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2"/>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w:t>
            </w: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43</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43</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3.59</w:t>
            </w:r>
          </w:p>
        </w:tc>
        <w:tc>
          <w:tcPr>
            <w:tcW w:w="232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5.00</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0.59</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2880.41</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195.00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2382.39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606.46</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282.88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运行维护</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154.99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23.00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223.63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246" w:firstLineChars="100"/>
              <w:jc w:val="left"/>
              <w:rPr>
                <w:rFonts w:hint="eastAsia" w:asciiTheme="majorEastAsia" w:hAnsiTheme="majorEastAsia" w:eastAsiaTheme="majorEastAsia" w:cstheme="majorEastAsia"/>
                <w:color w:val="000000" w:themeColor="text1"/>
                <w:spacing w:val="3"/>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3、区级专项资金(一个专项一行</w:t>
            </w:r>
            <w:r>
              <w:rPr>
                <w:rFonts w:hint="eastAsia" w:asciiTheme="majorEastAsia" w:hAnsiTheme="majorEastAsia" w:eastAsiaTheme="majorEastAsia" w:cstheme="majorEastAsia"/>
                <w:color w:val="000000" w:themeColor="text1"/>
                <w:spacing w:val="3"/>
                <w:sz w:val="24"/>
                <w:szCs w:val="24"/>
                <w:lang w:eastAsia="zh-CN"/>
                <w14:textFill>
                  <w14:solidFill>
                    <w14:schemeClr w14:val="tx1"/>
                  </w14:solidFill>
                </w14:textFill>
              </w:rPr>
              <w:t>）</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1231.28</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947.98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jc w:val="left"/>
              <w:rPr>
                <w:rFonts w:hint="default"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 xml:space="preserve">    宣传教育</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34.43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城镇独生子女父母奖励</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433.11</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独生子女保健费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26.37</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计划生育服务(奖扶、特扶)</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452.80</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重大传染病</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103.00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步毒重症监护中心</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136.00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房屋租赁</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核酸</w:t>
            </w: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检测</w:t>
            </w: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542.34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临聘医务人员工资</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29.41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医改工作经费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default"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生育关怀经费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医治中心工作经费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春节慰问费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重症精神病监护补贴</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91.80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246" w:firstLineChars="1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4、上级转移支付(一个专项一行)</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887.68</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927.90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城镇独生子女父母奖励</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266.27</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独生子女保健费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19.18</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计划生育服务(奖扶、特扶)</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602.23</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firstLine="492" w:firstLineChars="200"/>
              <w:jc w:val="left"/>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基本公卫经费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927.90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277.32</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86.40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25.32</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9.65</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11.20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8.29</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68.70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96.95</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146.18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kern w:val="2"/>
                <w:sz w:val="24"/>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rPr>
                <w:rFonts w:hint="eastAsia" w:asciiTheme="majorEastAsia" w:hAnsiTheme="majorEastAsia" w:eastAsiaTheme="majorEastAsia" w:cstheme="majorEastAsia"/>
                <w:color w:val="000000" w:themeColor="text1"/>
                <w:kern w:val="2"/>
                <w:sz w:val="21"/>
                <w:szCs w:val="24"/>
                <w:lang w:val="en-US" w:eastAsia="zh-CN" w:bidi="ar-SA"/>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填表人：李静云     联系电话：18973000839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2023-06-02</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2"/>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914"/>
        <w:gridCol w:w="1384"/>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w:t>
            </w: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199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384"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1993"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4"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1126.17</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3431.45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3431.45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3431.45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1049.06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2382.39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widowControl/>
              <w:spacing w:line="480" w:lineRule="auto"/>
              <w:rPr>
                <w:rFonts w:hint="eastAsia" w:ascii="Arial" w:eastAsiaTheme="minorEastAsia"/>
                <w:color w:val="000000" w:themeColor="text1"/>
                <w:spacing w:val="0"/>
                <w:sz w:val="20"/>
                <w:lang w:val="en-US" w:eastAsia="zh-CN"/>
                <w14:textFill>
                  <w14:solidFill>
                    <w14:schemeClr w14:val="tx1"/>
                  </w14:solidFill>
                </w14:textFill>
              </w:rPr>
            </w:pPr>
            <w:r>
              <w:rPr>
                <w:rFonts w:hint="eastAsia" w:ascii="宋体" w:hAnsi="宋体" w:eastAsia="宋体" w:cs="宋体"/>
                <w:kern w:val="0"/>
                <w:sz w:val="18"/>
                <w:szCs w:val="18"/>
                <w:lang w:val="en-US" w:eastAsia="zh-CN" w:bidi="ar-SA"/>
              </w:rPr>
              <w:t>1、疫情防控工作：计划核酸检测人数为535.83万人次，新冠疫苗接种剂次163.272万剂；2、计划家庭医生签约人数为23.07万人；3、加大重点项目建设，计划投入资金5850万元，用于区公共卫生医治中心、枫桥湖社区卫生服务中心、区二人民医院和金鹗山社区卫生服务中心、洛王社区卫生服务中心等项目建设；4、岳阳市口腔医院、区妇幼保健院、区人民医院3家公立医院实现院内数据互通；5、管理高血压患者人数为3.83万人，管理糖尿病患者人数1.43万人；6、妇女“两癌”免费检查人数1981人，新生儿先心病免费筛查2647人，高危孕产妇免费筛查人数2539人。</w:t>
            </w:r>
          </w:p>
        </w:tc>
        <w:tc>
          <w:tcPr>
            <w:tcW w:w="4055" w:type="dxa"/>
            <w:gridSpan w:val="4"/>
            <w:noWrap w:val="0"/>
            <w:vAlign w:val="top"/>
          </w:tcPr>
          <w:p>
            <w:pPr>
              <w:widowControl/>
              <w:spacing w:line="240" w:lineRule="auto"/>
              <w:rPr>
                <w:rFonts w:ascii="Arial"/>
                <w:color w:val="000000" w:themeColor="text1"/>
                <w:spacing w:val="0"/>
                <w:sz w:val="20"/>
                <w14:textFill>
                  <w14:solidFill>
                    <w14:schemeClr w14:val="tx1"/>
                  </w14:solidFill>
                </w14:textFill>
              </w:rPr>
            </w:pPr>
            <w:r>
              <w:rPr>
                <w:rFonts w:hint="eastAsia" w:ascii="宋体" w:hAnsi="宋体" w:eastAsia="宋体" w:cs="宋体"/>
                <w:kern w:val="0"/>
                <w:sz w:val="18"/>
                <w:szCs w:val="18"/>
                <w:lang w:val="en-US" w:eastAsia="zh-CN" w:bidi="ar-SA"/>
              </w:rPr>
              <w:t>一是“个防”到位，精准高效。自全区发现第一例输入性病例以来，区防指迅速启动应急机制，全面开展区域常态化核酸检测工作，在全区范围内设置90个便民免费采样点，共开展7轮次全员核酸检测，累计检测535.73余万人次。强化疫苗接种工作，今年以来开展新冠疫苗接种10余次清零专项攻坚行动，全区新冠疫苗累计接种163.272万剂，其中18岁及以上人群加强针累计接种38.56万剂，加强针接种占比为91.97%；60岁及以上人群第一剂疫苗累计接种9.6万剂，接种覆盖率达91.7%。加强集中隔离管控，全区累计启用集中隔离场所11个，备用隔离场所33个，隔离对象用房4042间,集中隔离点管控9465人。居家隔离3355人，居家健康监测1.34万人。二是积极构建医疗机构服务网络。近年来，我们持续加大重点项目建设，完善医疗机构服务网络，投入资金5850万元，现区公共卫生医治中心已于2月底完工，并投入使用；枫桥湖社区卫生服务中心今年8月主体已完成封顶建设，预计年底可以投入使用；区二人民医院和金鹗山社区卫生服务中心已正式挂牌运营，洛王社区卫生服务中心新建项目，己完成项目前期工作，目前正在办理招投标手续，预计12月开工建设。截至10月31日，全区医疗机构开展门诊服务55.01万人次，住院服务10784人次，门诊收入12617.49万元，住院收入3309.05万元。三是积极构建医疗数据互联互通。目前，岳阳市口腔医院、区妇幼保健院、区人民医院3家公立医院已实现院内数据互通。区人民医院和区妇幼保健院已对接湖南省全民健康信息平台，实现了全省互联互通，上传数据质量综合评分均达到90分以上。四是基本公共卫生服务更加成熟。按照“保基本、强基层”的要求，扎实开展十四大类55项国家基本公共卫生服务。组建 91个“3+2+1”家庭医生服务团队。截至10月31日，全区建立居民健康档案69.27万份，建档率105%；65岁以上老年人健康体检3.07万人，老年人健康管理率3.83%；管理高血压患者3.83万人、糖尿病患者1.43万人，管理率分别达79.8%和83.6%；管理严重精神障碍患者2910人，规范管理率达97.26%；家庭医生签约23.07万人，其中重点人群签约15.04万人。六是妇幼保健管理服务更加贴心。坚持从人民最关心、最直接、最现实的问题入手，集中办好重点民生实事，努力惠及广大人民群众。高危孕产妇免费筛查2800人，已完成100%；新生儿先心病免费筛查2800人，已完成100%；农村适龄妇女和城镇低保适龄妇女“两癌”免费检查1981人，完成率已达100.05%；新生儿耳聋基因免费筛查3000人，已完成100%。七是生育优化惠民政策更加全面。按照区委要求积极落实我区关于优化生育政策促进人口长期均衡发展的具体措施，多次组织各街道（乡）综合事业服务中心主任召开专题讨论会和征求财政、发改、教育、民政等10个区直部门意见，形成了初步的方案，已交区政府办审核。同时今年已全面落实奖励扶助城镇独生子女6.1万人，基本完成惠农惠民一卡通核实、办理工作，共办卡4800余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914"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4"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产出指标（50分）</w:t>
            </w:r>
          </w:p>
        </w:tc>
        <w:tc>
          <w:tcPr>
            <w:tcW w:w="914"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数量指标</w:t>
            </w: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核酸检测人数</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535.73余万人次</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1"/>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535.73余万人次</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新冠疫苗接种剂次</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163.272万剂</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163.272万剂</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家庭医生签约人数</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23.07万人</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23.07万人</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加大重点项目建设</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投入资金5850万元</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现区公共卫生医治中心已于2月底完工，并投入使用；枫桥湖社区卫生服务中心今年8月主体已完成封顶建设，预计年底可以投入使用；区二人民医院和金鹗山社区卫生服务中心已正式挂牌运营，洛王社区卫生服务中心新建项目，己完成项目前期工作，目前正在办理招投标手续，预计12月开工建设</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医疗数据互联互通</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3家公立医院</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岳阳市口腔医院、区妇幼保健院、区人民医院3家公立医院实现院内数据互通</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管理高血压患者人数</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3.83万人</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3.83万人</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管理糖尿病患者人数</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1.43万人</w:t>
            </w:r>
          </w:p>
        </w:tc>
        <w:tc>
          <w:tcPr>
            <w:tcW w:w="125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1.43万人</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妇女“两癌”免费检查人数</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1981人</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1981人</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新生儿先心病免费筛查</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2647人</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2647人</w:t>
            </w:r>
          </w:p>
        </w:tc>
        <w:tc>
          <w:tcPr>
            <w:tcW w:w="719"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高危孕产妇免费筛查人数</w:t>
            </w:r>
          </w:p>
        </w:tc>
        <w:tc>
          <w:tcPr>
            <w:tcW w:w="1319" w:type="dxa"/>
            <w:noWrap w:val="0"/>
            <w:vAlign w:val="center"/>
          </w:tcPr>
          <w:p>
            <w:pPr>
              <w:keepNext w:val="0"/>
              <w:keepLines w:val="0"/>
              <w:widowControl/>
              <w:suppressLineNumbers w:val="0"/>
              <w:jc w:val="center"/>
              <w:textAlignment w:val="center"/>
              <w:rPr>
                <w:rFonts w:hint="eastAsia"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2539人</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2539人</w:t>
            </w:r>
          </w:p>
        </w:tc>
        <w:tc>
          <w:tcPr>
            <w:tcW w:w="719"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医疗数据互联互通，上传数据质量综合</w:t>
            </w:r>
          </w:p>
        </w:tc>
        <w:tc>
          <w:tcPr>
            <w:tcW w:w="1319" w:type="dxa"/>
            <w:noWrap w:val="0"/>
            <w:vAlign w:val="center"/>
          </w:tcPr>
          <w:p>
            <w:pPr>
              <w:keepNext w:val="0"/>
              <w:keepLines w:val="0"/>
              <w:widowControl/>
              <w:suppressLineNumbers w:val="0"/>
              <w:jc w:val="center"/>
              <w:textAlignment w:val="center"/>
              <w:rPr>
                <w:rFonts w:hint="default"/>
                <w:lang w:val="en-US" w:eastAsia="zh-CN"/>
              </w:rPr>
            </w:pPr>
            <w:r>
              <w:rPr>
                <w:rFonts w:hint="eastAsia" w:ascii="仿宋" w:hAnsi="仿宋" w:eastAsia="仿宋" w:cs="仿宋"/>
                <w:i w:val="0"/>
                <w:iCs w:val="0"/>
                <w:color w:val="000000"/>
                <w:kern w:val="0"/>
                <w:sz w:val="24"/>
                <w:szCs w:val="24"/>
                <w:u w:val="none"/>
                <w:lang w:val="en-US" w:eastAsia="zh-CN" w:bidi="ar"/>
              </w:rPr>
              <w:t>大于等于90分</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区人民医院和区妇幼保健院已对接湖南省全民健康信息平台，实现了全省互联互通，上传数据质量综合评分均达到90分以上。</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妇女“两癌”免费检查完成率</w:t>
            </w:r>
          </w:p>
        </w:tc>
        <w:tc>
          <w:tcPr>
            <w:tcW w:w="13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25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100.05%</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管理严重精神障碍患者规范率</w:t>
            </w:r>
          </w:p>
        </w:tc>
        <w:tc>
          <w:tcPr>
            <w:tcW w:w="1319" w:type="dxa"/>
            <w:noWrap w:val="0"/>
            <w:vAlign w:val="center"/>
          </w:tcPr>
          <w:p>
            <w:pPr>
              <w:keepNext w:val="0"/>
              <w:keepLines w:val="0"/>
              <w:widowControl/>
              <w:suppressLineNumbers w:val="0"/>
              <w:jc w:val="center"/>
              <w:textAlignment w:val="center"/>
              <w:rPr>
                <w:rFonts w:ascii="Arial"/>
                <w:color w:val="000000" w:themeColor="text1"/>
                <w:sz w:val="19"/>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大于等于95%</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9"/>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97.26%</w:t>
            </w:r>
          </w:p>
        </w:tc>
        <w:tc>
          <w:tcPr>
            <w:tcW w:w="719"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19"/>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19"/>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全年完成基本公共卫生服务</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2022年12月31日</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已完成</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全年完成妇幼保健管理服务</w:t>
            </w:r>
          </w:p>
        </w:tc>
        <w:tc>
          <w:tcPr>
            <w:tcW w:w="13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2022年12月31日</w:t>
            </w:r>
          </w:p>
        </w:tc>
        <w:tc>
          <w:tcPr>
            <w:tcW w:w="125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已完成</w:t>
            </w:r>
          </w:p>
        </w:tc>
        <w:tc>
          <w:tcPr>
            <w:tcW w:w="7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802"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384"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2"/>
                <w:szCs w:val="22"/>
                <w:u w:val="none"/>
                <w:lang w:val="en-US" w:eastAsia="zh-CN" w:bidi="ar"/>
              </w:rPr>
              <w:t>总成本控制</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不超过预算投入</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3431.35万元</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w:t>
            </w:r>
          </w:p>
        </w:tc>
        <w:tc>
          <w:tcPr>
            <w:tcW w:w="1275"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2022年度主要是增加了项目支出2305.28万元，其中包括：业务工作经费、运行维护经费、核酸检测经费、重症精神病监护补贴、基本公卫经费、春节慰问经费等项目资金。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3</w:t>
            </w:r>
            <w:r>
              <w:rPr>
                <w:rFonts w:ascii="宋体" w:hAnsi="宋体" w:eastAsia="宋体" w:cs="宋体"/>
                <w:color w:val="000000" w:themeColor="text1"/>
                <w:spacing w:val="9"/>
                <w:sz w:val="21"/>
                <w:szCs w:val="21"/>
                <w14:textFill>
                  <w14:solidFill>
                    <w14:schemeClr w14:val="tx1"/>
                  </w14:solidFill>
                </w14:textFill>
              </w:rPr>
              <w:t>0分)</w:t>
            </w:r>
          </w:p>
        </w:tc>
        <w:tc>
          <w:tcPr>
            <w:tcW w:w="91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84" w:type="dxa"/>
            <w:noWrap w:val="0"/>
            <w:vAlign w:val="center"/>
          </w:tcPr>
          <w:p>
            <w:pPr>
              <w:keepNext w:val="0"/>
              <w:keepLines w:val="0"/>
              <w:widowControl/>
              <w:suppressLineNumbers w:val="0"/>
              <w:jc w:val="center"/>
              <w:textAlignment w:val="center"/>
              <w:rPr>
                <w:rFonts w:ascii="宋体" w:hAnsi="宋体" w:eastAsia="宋体" w:cs="宋体"/>
                <w:color w:val="000000" w:themeColor="text1"/>
                <w:spacing w:val="-3"/>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门诊收入</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12617.49万元</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12617.49万元</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住院收入</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3309.05万元</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3309.05万元</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84"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重大传染病规范处置率</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25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3"/>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优化生育政策措施方案</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促进人口长期均衡发展</w:t>
            </w:r>
          </w:p>
        </w:tc>
        <w:tc>
          <w:tcPr>
            <w:tcW w:w="125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今年已全面落实奖励扶助城镇独生子女6.1万人，基本完成惠农惠民一卡通核实、办理工作，共办卡4800余张</w:t>
            </w:r>
          </w:p>
        </w:tc>
        <w:tc>
          <w:tcPr>
            <w:tcW w:w="7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384"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医废处置率</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全部有效处置</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384"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人才培训和技能培训</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人才总量和质量全面提升</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全面提升</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914"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384"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群众满意度</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大于等于90%</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95%</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914"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384"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二级机构职工满意度</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大于等于90%</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95%</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8"/>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填表人：李静云 联系电话：18973000839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2023-06-02</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岳阳市岳阳楼区卫生健康局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月02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岳阳市岳阳楼区卫生健康局</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ascii="微软雅黑" w:hAnsi="微软雅黑" w:eastAsia="微软雅黑" w:cs="微软雅黑"/>
          <w:i w:val="0"/>
          <w:iCs w:val="0"/>
          <w:caps w:val="0"/>
          <w:color w:val="333333"/>
          <w:spacing w:val="0"/>
          <w:sz w:val="19"/>
          <w:szCs w:val="19"/>
        </w:rPr>
      </w:pPr>
      <w:r>
        <w:rPr>
          <w:rFonts w:ascii="仿宋" w:hAnsi="仿宋" w:eastAsia="仿宋" w:cs="仿宋"/>
          <w:b/>
          <w:bCs/>
          <w:i w:val="0"/>
          <w:iCs w:val="0"/>
          <w:caps w:val="0"/>
          <w:color w:val="333333"/>
          <w:spacing w:val="0"/>
          <w:sz w:val="32"/>
          <w:szCs w:val="32"/>
          <w:shd w:val="clear" w:fill="FFFFFF"/>
        </w:rPr>
        <w:t>（一）职能职责</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贯彻执行国民健康政策及国家和省、市关于卫生健康工作的方针政策和法律法规，组织实施全区卫生健康政策、规划、地方标准和技术规范。研究提出统筹全区卫生健康事业战略目标、发展和区域规划，协调全区卫生健康资源配置。落实卫生健康基本公共服务均等化、普惠化、便捷化和公共资源向基层延伸等政策措施。</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2、协调推进全区深化医药卫生体制改革，研究提出全区深化医药卫生体制改革政策、措施的建议。组织深化公立医院综合改革，推进管办分离，健全现代医院管理制度，组织实施推动卫生健康公共服务提供主体多元化、提供方式多样化的政策措施，提出医疗服务和药品价格政策的建议。</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3、组织落实全区疾病预防控制规划、免疫规划以及严重危害人民健康的公共卫生问题的干预措施。负责卫生应急工作，组织指导全区突发公共卫生事件预防控制和各类突发公共事件的医疗卫生救援。发布突发公共卫生事件应急处置信息。</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4、协调落实应对人口老龄化政策措施，推进全区老年健康服务体系建设和医养结合工作。</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5、贯彻执行国家药物政策和国家基本药物制度，开展药品使用监测、临床综合评价和短缺药品预警。组织开展食品安全风险监测，负责食源性疾病及与食品安全事故有关的流行病学调查。</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6、负责职责范围内的职业卫生、放射卫生、环境卫生、学校卫生、公共场所卫生、饮用水卫生等公共卫生的监督管理，负责传染病防治监督，健全卫生健康综合监督体系。</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7、制定全区医疗机构、医疗服务行业管理办法并监督实施，建立医疗服务评价和监督管理体系。会同有关部门实施卫生健康专业技术人员资格标准。制定并组织实施医疗服务规范、标准和卫生健康专业技术人员执业规则、服务规范。</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8、负责计划生育管理和服务工作，开展人口监测预警，贯彻执行人口与家庭发展相关政策。</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9、负责全区卫生健康工作，落实基层医疗卫生、妇幼健康服务体系建设，加强全科医生队伍建设。推进卫生健康科技创新发展。</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10、贯彻落实全区健康教育、健康促进和卫生健康信息化建设等工作。</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11、承担全区重大会议与重大活动的医疗卫生保障工作。</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12、指导区计划生育协会的业务工作。</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13、负责本单位、本系统的信访维稳和安全生产工作；完成区委、区人民政府交办的其他任务。</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14、职能转变。区卫健局应当牢固树立大卫生、大健康理念，推动实施健康楼区战略，以改革创新为动力，以促健康、转模式、强基层、重保障为着力点，把以治病为中心转变到以人民健康为中心，为人民群众提供全方位全周期健康服务。一是更加注重预防为主和健康促进，加强预防控制重大疾病工作，积极应对人口老龄化，健全健康服务体系；二是更加注重工作重心下移和资源下沉，推进卫生健康公共资源向基层延伸、向农村覆盖、向边远地区和生活困难群众倾斜；三是更加注重提高服务质量和水平，推进卫生健康基本公共服务均等化、普惠化、便捷化；四是协调推进深化医药卫生体制改革，加大公立医院改革力度，推进管办分离，推动卫生健康公共服务提供主体多元化、提供方式多样化。</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15、有关职责分工 （1）与区发展和改革局的有关职责分工。区卫健局负责开展人口监测预警工作，贯彻落实计划生育政策和与生育相关的人口数量、素质、结构、分布方面的政策建议，促进生育政策和相关经济社会政策配套衔接，落实全区人口发展规划中的有关任务。区发展和改革局负责组织监测和评估人口变动情况及趋势影响，建立人口预测预报制度，开展重大决策人口影响评估，完善重大人口政策咨询机制，研究提出全区人口发展战略，拟订人口发展规划和人口政策，研究提出人口与经济、社会、资源、环境协调可持续发展，以及统筹促进人口长期均衡发展的政策建议。 （2）与区民政局的有关职责分工。区卫健局负责拟订应对人口老龄化、医养结合政策措施，综合协调、督促指导、组织推进老龄事业发展，承担老年疾病防治、老年人医疗照护、老年人心理健康与关怀服务等老年健康工作。区民政局负责统筹推进、督促指导、监督管理养老服务工作，指导全区贯彻养老服务体系建设规划、法规、政策、标准并组织实施，承担老年人福利和特殊困难老年人救助工作。 （3）与区市场监督管理局的有关职责分工。区卫健局负责食品安全风险监测工作，会同区市场监督管理局等部门制定、实施食品安全风险监测计划。区卫健局对通过食品安全风险监测或者接到举报发现食品可能存在安全隐患的，应当及时将相关信息通报区市场监督管理局等部门，区市场监督管理局等部门应当立即采取措施。区市场监督管理局等部门在监督管理工作中发现需要进行食品安全风险评估的，应当及时向区卫健局提出建议。区市场监督管理局会同区卫健局建立重大药品不良反应和医疗器械不良事件相互通报机制和联合处置机制。 （4）与区医疗保障局的有关职责分工。区卫健局、区医疗保障局等部门在医疗、医保、医药等方面加强制度、政策衔接，建立沟通协商机制，协同推进改革，提高医疗资源使用效率和医疗保障水平。</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b/>
          <w:bCs/>
          <w:i w:val="0"/>
          <w:iCs w:val="0"/>
          <w:caps w:val="0"/>
          <w:color w:val="333333"/>
          <w:spacing w:val="0"/>
          <w:sz w:val="32"/>
          <w:szCs w:val="32"/>
          <w:shd w:val="clear" w:fill="FFFFFF"/>
        </w:rPr>
        <w:t>（二）机构设置</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640"/>
        <w:jc w:val="both"/>
        <w:textAlignment w:val="center"/>
        <w:rPr>
          <w:rFonts w:hint="eastAsia" w:ascii="微软雅黑" w:hAnsi="微软雅黑" w:eastAsia="微软雅黑" w:cs="微软雅黑"/>
          <w:i w:val="0"/>
          <w:iCs w:val="0"/>
          <w:caps w:val="0"/>
          <w:color w:val="333333"/>
          <w:spacing w:val="0"/>
          <w:sz w:val="19"/>
          <w:szCs w:val="19"/>
        </w:rPr>
      </w:pPr>
      <w:r>
        <w:rPr>
          <w:rFonts w:hint="eastAsia" w:ascii="仿宋" w:hAnsi="仿宋" w:eastAsia="仿宋" w:cs="仿宋"/>
          <w:i w:val="0"/>
          <w:iCs w:val="0"/>
          <w:caps w:val="0"/>
          <w:color w:val="333333"/>
          <w:spacing w:val="0"/>
          <w:sz w:val="32"/>
          <w:szCs w:val="32"/>
          <w:shd w:val="clear" w:fill="FFFFFF"/>
        </w:rPr>
        <w:t>岳阳楼区卫生健康局是全额行政拨款单位，局本级内设办公室18个，事业单位6个，</w:t>
      </w:r>
      <w:r>
        <w:rPr>
          <w:rFonts w:hint="eastAsia" w:ascii="仿宋" w:hAnsi="仿宋" w:eastAsia="仿宋" w:cs="仿宋"/>
          <w:i w:val="0"/>
          <w:iCs w:val="0"/>
          <w:caps w:val="0"/>
          <w:color w:val="333333"/>
          <w:spacing w:val="0"/>
          <w:sz w:val="32"/>
          <w:szCs w:val="32"/>
          <w:shd w:val="clear" w:fill="FFFFFF"/>
          <w:lang w:val="en-US" w:eastAsia="zh-CN"/>
        </w:rPr>
        <w:t>2</w:t>
      </w:r>
      <w:r>
        <w:rPr>
          <w:rFonts w:hint="eastAsia" w:ascii="仿宋" w:hAnsi="仿宋" w:eastAsia="仿宋" w:cs="仿宋"/>
          <w:i w:val="0"/>
          <w:iCs w:val="0"/>
          <w:caps w:val="0"/>
          <w:color w:val="333333"/>
          <w:spacing w:val="0"/>
          <w:sz w:val="32"/>
          <w:szCs w:val="32"/>
          <w:shd w:val="clear" w:fill="FFFFFF"/>
        </w:rPr>
        <w:t>家公立医院、1家专科医院，3家专业公共卫生服务机构，14家街道社区卫生服务中心和2家卫生院。内设办公室分别是办公室（信访室）、爱国卫生运动委员会办公室、血吸虫病防治办公室、规划发展股（体制改革领导小组办公室）、卫生应急办公室（突发分共卫生事件应急指挥中心）、人事股、计划财务审计股、药物政策与基本药物制度股、法规与综合监督股（行政审批股、食品安全标准与监测股）、疾病预防控制股（区防治艾滋病工作委员会办公室）、职业健康股、老龄健康股、医政医管股、中医药管理股、基层卫生健康股、科技宣传教育股、妇幼健康股、人口监测与家庭发展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2022年我单位基本支出是1049.06万元，其中：人员经费：956.79万元，占基本支出的91.20%，主要是包括基本工资、津贴补贴、奖金、机关事业单位养老保险缴费、职业年金缴费、职工基本医疗保险缴费、其他社会保险缴费、住房公积金、离休费、退休费、其他对个人和家庭的补助。公用经费：92.27万元，占基本支出的8.80%，主要包括办公费、印刷费、咨询费、水费、电费、邮电费、物业管理费、差旅费、维修（护）费、会议费、公务接待费、劳务费、工会经费、公务车运行维护费、其他商品和服务支出、办公设备购置。</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lang w:val="en-US" w:eastAsia="zh-CN"/>
        </w:rPr>
      </w:pPr>
      <w:r>
        <w:rPr>
          <w:rFonts w:hint="eastAsia" w:ascii="仿宋" w:hAnsi="仿宋" w:eastAsia="仿宋" w:cs="仿宋"/>
          <w:color w:val="auto"/>
          <w:kern w:val="2"/>
          <w:sz w:val="32"/>
          <w:szCs w:val="32"/>
          <w:highlight w:val="none"/>
          <w:u w:val="none"/>
          <w:lang w:val="en-US" w:eastAsia="zh-CN"/>
        </w:rPr>
        <w:t>2022年我单位项目支出总数是2382.39万元，其中：1、业务工作经费是282.88万元；2、运行维护经费是223.63万元；3、区级专项资金是947.98万元，其中：宣传教育经费是34.43万元，核酸检测经费542.34万元，临聘医务人员工资180.00万元，医改工作经费50.00万元，计生经费35.00万元，医治中心工作经费30.00万元，春节慰问费32.45万元，重症精神病监护补贴43.76万元；4、上级转移支付资金是927.90万元，主要是基本公共卫生经费。</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我单位2022年度无国有资本经营预算。</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558" w:lineRule="exact"/>
        <w:ind w:left="0" w:leftChars="0" w:firstLine="640" w:firstLineChars="200"/>
        <w:textAlignment w:val="auto"/>
        <w:rPr>
          <w:rFonts w:hint="default" w:ascii="黑体" w:hAnsi="黑体" w:eastAsia="黑体" w:cs="黑体"/>
          <w:color w:val="000000" w:themeColor="text1"/>
          <w:sz w:val="32"/>
          <w:szCs w:val="32"/>
          <w:lang w:val="en-US" w:eastAsia="zh-CN"/>
          <w14:textFill>
            <w14:solidFill>
              <w14:schemeClr w14:val="tx1"/>
            </w14:solidFill>
          </w14:textFill>
        </w:rPr>
      </w:pPr>
      <w:r>
        <w:rPr>
          <w:rFonts w:hint="eastAsia" w:ascii="仿宋" w:hAnsi="仿宋" w:eastAsia="仿宋" w:cs="仿宋"/>
          <w:sz w:val="32"/>
          <w:szCs w:val="32"/>
          <w:lang w:val="en-US" w:eastAsia="zh-CN"/>
        </w:rPr>
        <w:t>今年来，在区委、区政府的坚强领导下，区卫生健康局一直致力于医疗卫生事业的建设与发展，全面贯彻落实党的二十大精神，把全民健康放在优先发展的战略位置，严格落实常态化疫情防控各项工作，持续深化医药卫生体制改革，将“健康楼区”建设推向纵深，全力办好民生实事，为全区经济社会发展和居民生命健康保驾护航。</w:t>
      </w:r>
    </w:p>
    <w:p>
      <w:pPr>
        <w:keepNext w:val="0"/>
        <w:keepLines w:val="0"/>
        <w:pageBreakBefore w:val="0"/>
        <w:widowControl w:val="0"/>
        <w:numPr>
          <w:ilvl w:val="0"/>
          <w:numId w:val="0"/>
        </w:numPr>
        <w:kinsoku/>
        <w:wordWrap/>
        <w:overflowPunct/>
        <w:topLinePunct w:val="0"/>
        <w:autoSpaceDE/>
        <w:autoSpaceDN/>
        <w:bidi w:val="0"/>
        <w:adjustRightInd/>
        <w:snapToGrid/>
        <w:spacing w:line="558" w:lineRule="exact"/>
        <w:ind w:left="0" w:leftChars="0" w:firstLine="321" w:firstLineChars="1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rPr>
        <w:t>凝心聚力，筑牢常态化疫情防控“铜墙铁壁”</w:t>
      </w: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snapToGrid/>
        <w:spacing w:line="558" w:lineRule="exact"/>
        <w:ind w:left="0" w:leftChars="0" w:firstLine="591"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pacing w:val="-13"/>
          <w:sz w:val="32"/>
          <w:szCs w:val="32"/>
          <w:lang w:val="en-US" w:eastAsia="zh-CN"/>
        </w:rPr>
        <w:t>一是</w:t>
      </w:r>
      <w:r>
        <w:rPr>
          <w:rFonts w:hint="eastAsia" w:ascii="仿宋_GB2312" w:hAnsi="仿宋_GB2312" w:eastAsia="仿宋_GB2312" w:cs="仿宋_GB2312"/>
          <w:b/>
          <w:bCs/>
          <w:spacing w:val="-13"/>
          <w:sz w:val="32"/>
          <w:szCs w:val="32"/>
        </w:rPr>
        <w:t>“</w:t>
      </w:r>
      <w:r>
        <w:rPr>
          <w:rFonts w:hint="eastAsia" w:ascii="仿宋_GB2312" w:hAnsi="仿宋_GB2312" w:eastAsia="仿宋_GB2312" w:cs="仿宋_GB2312"/>
          <w:b/>
          <w:bCs/>
          <w:spacing w:val="-13"/>
          <w:sz w:val="32"/>
          <w:szCs w:val="32"/>
          <w:lang w:val="en-US" w:eastAsia="zh-CN"/>
        </w:rPr>
        <w:t>个防</w:t>
      </w:r>
      <w:r>
        <w:rPr>
          <w:rFonts w:hint="eastAsia" w:ascii="仿宋_GB2312" w:hAnsi="仿宋_GB2312" w:eastAsia="仿宋_GB2312" w:cs="仿宋_GB2312"/>
          <w:b/>
          <w:bCs/>
          <w:spacing w:val="-13"/>
          <w:sz w:val="32"/>
          <w:szCs w:val="32"/>
        </w:rPr>
        <w:t>”到位</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精准高效</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val="0"/>
          <w:bCs w:val="0"/>
          <w:sz w:val="32"/>
          <w:szCs w:val="32"/>
          <w:lang w:val="en-US" w:eastAsia="zh-CN"/>
        </w:rPr>
        <w:t>自全区</w:t>
      </w:r>
      <w:r>
        <w:rPr>
          <w:rFonts w:hint="eastAsia" w:ascii="仿宋_GB2312" w:hAnsi="仿宋_GB2312" w:eastAsia="仿宋_GB2312" w:cs="仿宋_GB2312"/>
          <w:b w:val="0"/>
          <w:bCs w:val="0"/>
          <w:sz w:val="32"/>
          <w:szCs w:val="32"/>
        </w:rPr>
        <w:t>发现</w:t>
      </w:r>
      <w:r>
        <w:rPr>
          <w:rFonts w:hint="eastAsia" w:ascii="仿宋_GB2312" w:hAnsi="仿宋_GB2312" w:eastAsia="仿宋_GB2312" w:cs="仿宋_GB2312"/>
          <w:b w:val="0"/>
          <w:bCs w:val="0"/>
          <w:sz w:val="32"/>
          <w:szCs w:val="32"/>
          <w:lang w:eastAsia="zh-CN"/>
        </w:rPr>
        <w:t>第一例</w:t>
      </w:r>
      <w:r>
        <w:rPr>
          <w:rFonts w:hint="eastAsia" w:ascii="仿宋_GB2312" w:hAnsi="仿宋_GB2312" w:eastAsia="仿宋_GB2312" w:cs="仿宋_GB2312"/>
          <w:b w:val="0"/>
          <w:bCs w:val="0"/>
          <w:sz w:val="32"/>
          <w:szCs w:val="32"/>
        </w:rPr>
        <w:t>输入性病例</w:t>
      </w:r>
      <w:r>
        <w:rPr>
          <w:rFonts w:hint="eastAsia" w:ascii="仿宋_GB2312" w:hAnsi="仿宋_GB2312" w:eastAsia="仿宋_GB2312" w:cs="仿宋_GB2312"/>
          <w:b w:val="0"/>
          <w:bCs w:val="0"/>
          <w:sz w:val="32"/>
          <w:szCs w:val="32"/>
          <w:lang w:val="en-US" w:eastAsia="zh-CN"/>
        </w:rPr>
        <w:t>以来，</w:t>
      </w:r>
      <w:r>
        <w:rPr>
          <w:rFonts w:hint="eastAsia" w:ascii="仿宋_GB2312" w:hAnsi="仿宋_GB2312" w:eastAsia="仿宋_GB2312" w:cs="仿宋_GB2312"/>
          <w:b w:val="0"/>
          <w:bCs w:val="0"/>
          <w:sz w:val="32"/>
          <w:szCs w:val="32"/>
        </w:rPr>
        <w:t>区防指迅速启动应急机制，</w:t>
      </w:r>
      <w:r>
        <w:rPr>
          <w:rFonts w:hint="eastAsia" w:ascii="仿宋_GB2312" w:hAnsi="仿宋_GB2312" w:eastAsia="仿宋_GB2312" w:cs="仿宋_GB2312"/>
          <w:b w:val="0"/>
          <w:bCs w:val="0"/>
          <w:sz w:val="32"/>
          <w:szCs w:val="32"/>
          <w:lang w:val="en-US" w:eastAsia="zh-CN"/>
        </w:rPr>
        <w:t>全面开展区域常态化核酸检测工作，</w:t>
      </w:r>
      <w:r>
        <w:rPr>
          <w:rFonts w:hint="eastAsia" w:ascii="仿宋_GB2312" w:hAnsi="仿宋_GB2312" w:eastAsia="仿宋_GB2312" w:cs="仿宋_GB2312"/>
          <w:b w:val="0"/>
          <w:bCs w:val="0"/>
          <w:sz w:val="32"/>
          <w:szCs w:val="32"/>
        </w:rPr>
        <w:t>在全区范围内设置90个便民免费采样点</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共开展</w:t>
      </w:r>
      <w:r>
        <w:rPr>
          <w:rFonts w:hint="eastAsia" w:ascii="仿宋_GB2312" w:hAnsi="仿宋_GB2312" w:eastAsia="仿宋_GB2312" w:cs="仿宋_GB2312"/>
          <w:b w:val="0"/>
          <w:bCs w:val="0"/>
          <w:sz w:val="32"/>
          <w:szCs w:val="32"/>
          <w:lang w:val="en-US" w:eastAsia="zh-CN"/>
        </w:rPr>
        <w:t>7</w:t>
      </w:r>
      <w:r>
        <w:rPr>
          <w:rFonts w:hint="eastAsia" w:ascii="仿宋_GB2312" w:hAnsi="仿宋_GB2312" w:eastAsia="仿宋_GB2312" w:cs="仿宋_GB2312"/>
          <w:b w:val="0"/>
          <w:bCs w:val="0"/>
          <w:sz w:val="32"/>
          <w:szCs w:val="32"/>
        </w:rPr>
        <w:t>轮次全员核酸检测</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累计检测</w:t>
      </w:r>
      <w:r>
        <w:rPr>
          <w:rFonts w:hint="eastAsia" w:ascii="仿宋_GB2312" w:hAnsi="仿宋_GB2312" w:eastAsia="仿宋_GB2312" w:cs="仿宋_GB2312"/>
          <w:b w:val="0"/>
          <w:bCs w:val="0"/>
          <w:sz w:val="32"/>
          <w:szCs w:val="32"/>
          <w:lang w:val="en-US" w:eastAsia="zh-CN"/>
        </w:rPr>
        <w:t>535.73</w:t>
      </w:r>
      <w:r>
        <w:rPr>
          <w:rFonts w:hint="eastAsia" w:ascii="仿宋_GB2312" w:hAnsi="仿宋_GB2312" w:eastAsia="仿宋_GB2312" w:cs="仿宋_GB2312"/>
          <w:b w:val="0"/>
          <w:bCs w:val="0"/>
          <w:sz w:val="32"/>
          <w:szCs w:val="32"/>
        </w:rPr>
        <w:t>余万人次</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kern w:val="2"/>
          <w:sz w:val="32"/>
          <w:szCs w:val="32"/>
          <w:lang w:val="en-US" w:eastAsia="zh-CN"/>
        </w:rPr>
        <w:t>强化疫苗接种工作，</w:t>
      </w:r>
      <w:r>
        <w:rPr>
          <w:rFonts w:hint="eastAsia" w:ascii="仿宋_GB2312" w:hAnsi="仿宋_GB2312" w:eastAsia="仿宋_GB2312" w:cs="仿宋_GB2312"/>
          <w:b w:val="0"/>
          <w:bCs w:val="0"/>
          <w:sz w:val="32"/>
          <w:szCs w:val="32"/>
          <w:lang w:val="en-US" w:eastAsia="zh-CN"/>
        </w:rPr>
        <w:t>今年以来开展新冠疫苗接种10余次清零专项攻坚行动，截至10月31日，全区新冠疫苗累计接种163.272万剂，其中18岁及以上人群加强针累计接种38.56万剂，加强针接种占比为91.97%；60岁及以上人群第一剂疫苗累计接种9.6万剂，接种覆盖率达91.7%。</w:t>
      </w:r>
      <w:r>
        <w:rPr>
          <w:rFonts w:hint="eastAsia" w:ascii="仿宋_GB2312" w:hAnsi="仿宋_GB2312" w:eastAsia="仿宋_GB2312" w:cs="仿宋_GB2312"/>
          <w:sz w:val="32"/>
          <w:szCs w:val="32"/>
          <w:lang w:val="en-US" w:eastAsia="zh-CN"/>
        </w:rPr>
        <w:t>加强集中隔离管控，全区累计启用集中隔离场所11个，备用隔离场所33个，隔离对象用房4042间,集中隔离点管控9465人。居家隔离3355人，居家健康监测1.34万人。</w:t>
      </w:r>
    </w:p>
    <w:p>
      <w:pPr>
        <w:keepNext w:val="0"/>
        <w:keepLines w:val="0"/>
        <w:pageBreakBefore w:val="0"/>
        <w:widowControl w:val="0"/>
        <w:numPr>
          <w:ilvl w:val="0"/>
          <w:numId w:val="0"/>
        </w:numPr>
        <w:kinsoku/>
        <w:wordWrap/>
        <w:overflowPunct/>
        <w:topLinePunct w:val="0"/>
        <w:autoSpaceDE/>
        <w:autoSpaceDN/>
        <w:bidi w:val="0"/>
        <w:adjustRightInd/>
        <w:snapToGrid/>
        <w:spacing w:line="558" w:lineRule="exact"/>
        <w:ind w:left="0" w:leftChars="0" w:firstLine="559"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pacing w:val="-21"/>
          <w:sz w:val="32"/>
          <w:szCs w:val="32"/>
          <w:lang w:val="en-US" w:eastAsia="zh-CN"/>
        </w:rPr>
        <w:t>二是</w:t>
      </w:r>
      <w:r>
        <w:rPr>
          <w:rFonts w:hint="eastAsia" w:ascii="仿宋_GB2312" w:hAnsi="仿宋_GB2312" w:eastAsia="仿宋_GB2312" w:cs="仿宋_GB2312"/>
          <w:b/>
          <w:bCs/>
          <w:spacing w:val="-21"/>
          <w:sz w:val="32"/>
          <w:szCs w:val="32"/>
        </w:rPr>
        <w:t>“点防”到位</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及早预警</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val="0"/>
          <w:bCs w:val="0"/>
          <w:color w:val="000000" w:themeColor="text1"/>
          <w:sz w:val="32"/>
          <w:szCs w:val="32"/>
          <w:lang w:val="en-US" w:eastAsia="zh-CN"/>
          <w14:textFill>
            <w14:solidFill>
              <w14:schemeClr w14:val="tx1"/>
            </w14:solidFill>
          </w14:textFill>
        </w:rPr>
        <w:t>坚持“逢疑必报、逢疑必检”原则，建立健全医疗卫生机构和药店的哨点监测预警机制。全区医疗机构设置了预检分诊处，并在区人民医院和区妇幼保健院分别设置发热门诊，对所有就诊人员和陪同人员查健康码、行程码、体温、规范佩戴口罩和问流行病学史。截至10月31日，全区医疗机构预检分诊接待病患56.79万人，处置发热病人941例,黄码人员745例和红码人员164例。对发热购买“四类药品”病人相关信息录入上报省疫情</w:t>
      </w:r>
      <w:r>
        <w:rPr>
          <w:rFonts w:hint="eastAsia" w:ascii="仿宋_GB2312" w:hAnsi="仿宋_GB2312" w:eastAsia="仿宋_GB2312" w:cs="仿宋_GB2312"/>
          <w:sz w:val="32"/>
          <w:szCs w:val="32"/>
          <w:lang w:val="en-US" w:eastAsia="zh-CN"/>
        </w:rPr>
        <w:t>预警登记小程序。同时，对全区5000余家公共场所、商超、农集贸市场、酒店宾馆等人员密集场地，坚持“逢进必扫、逢人必扫、逢扫必验”的原则，落实场所码的查验工作。截至10月31日，共扫码查验19.37万人次，处置红码4225人次，黄码6304人次。</w:t>
      </w:r>
    </w:p>
    <w:p>
      <w:pPr>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三是“边防”到位，守牢卡口。</w:t>
      </w:r>
      <w:r>
        <w:rPr>
          <w:rFonts w:hint="eastAsia" w:ascii="仿宋_GB2312" w:hAnsi="仿宋_GB2312" w:eastAsia="仿宋_GB2312" w:cs="仿宋_GB2312"/>
          <w:b w:val="0"/>
          <w:bCs w:val="0"/>
          <w:sz w:val="32"/>
          <w:szCs w:val="32"/>
          <w:lang w:val="en-US" w:eastAsia="zh-CN"/>
        </w:rPr>
        <w:t>严格落实“三站一场”守点查验工作，进一步完善交通卡口值班值守工作方案，优化人员配备，明确工作职责，全体区级领导下沉到3个交通卡口，严格实行8小时带班坐班制度，有效提升了</w:t>
      </w:r>
      <w:r>
        <w:rPr>
          <w:rFonts w:hint="eastAsia" w:ascii="仿宋_GB2312" w:hAnsi="仿宋_GB2312" w:eastAsia="仿宋_GB2312" w:cs="仿宋_GB2312"/>
          <w:sz w:val="32"/>
          <w:szCs w:val="32"/>
        </w:rPr>
        <w:t>卡口指挥效率和防控效能。扎实做好交通卡口车辆查验、分类管理工作，对来返岳人员及车辆一律落实“6个100%”。</w:t>
      </w:r>
      <w:r>
        <w:rPr>
          <w:rFonts w:hint="eastAsia" w:ascii="仿宋_GB2312" w:hAnsi="仿宋_GB2312" w:eastAsia="仿宋_GB2312" w:cs="仿宋_GB2312"/>
          <w:b w:val="0"/>
          <w:bCs w:val="0"/>
          <w:sz w:val="32"/>
          <w:szCs w:val="32"/>
          <w:lang w:val="en-US" w:eastAsia="zh-CN"/>
        </w:rPr>
        <w:t>增强转运力量、加密转运频次、预留检测通道，确保交通卡口采样标本即送即检，实现5小时内出结果的工作目标。截止10月31日</w:t>
      </w:r>
      <w:r>
        <w:rPr>
          <w:rFonts w:hint="eastAsia" w:ascii="仿宋_GB2312" w:hAnsi="仿宋_GB2312" w:eastAsia="仿宋_GB2312" w:cs="仿宋_GB2312"/>
          <w:b w:val="0"/>
          <w:bCs w:val="0"/>
          <w:color w:val="auto"/>
          <w:sz w:val="32"/>
          <w:szCs w:val="32"/>
          <w:lang w:val="en-US" w:eastAsia="zh-CN"/>
        </w:rPr>
        <w:t>，三</w:t>
      </w:r>
      <w:r>
        <w:rPr>
          <w:rFonts w:hint="eastAsia" w:ascii="仿宋_GB2312" w:hAnsi="仿宋_GB2312" w:eastAsia="仿宋_GB2312" w:cs="仿宋_GB2312"/>
          <w:sz w:val="32"/>
          <w:szCs w:val="32"/>
        </w:rPr>
        <w:t>个交通卡口累计查验</w:t>
      </w:r>
      <w:r>
        <w:rPr>
          <w:rFonts w:hint="eastAsia" w:ascii="仿宋_GB2312" w:hAnsi="仿宋_GB2312" w:eastAsia="仿宋_GB2312" w:cs="仿宋_GB2312"/>
          <w:sz w:val="32"/>
          <w:szCs w:val="32"/>
          <w:lang w:val="en-US" w:eastAsia="zh-CN"/>
        </w:rPr>
        <w:t>196.8</w:t>
      </w:r>
      <w:r>
        <w:rPr>
          <w:rFonts w:hint="eastAsia" w:ascii="仿宋_GB2312" w:hAnsi="仿宋_GB2312" w:eastAsia="仿宋_GB2312" w:cs="仿宋_GB2312"/>
          <w:sz w:val="32"/>
          <w:szCs w:val="32"/>
        </w:rPr>
        <w:t>万人次，完成落地检</w:t>
      </w:r>
      <w:r>
        <w:rPr>
          <w:rFonts w:hint="eastAsia" w:ascii="仿宋_GB2312" w:hAnsi="仿宋_GB2312" w:eastAsia="仿宋_GB2312" w:cs="仿宋_GB2312"/>
          <w:sz w:val="32"/>
          <w:szCs w:val="32"/>
          <w:lang w:val="en-US" w:eastAsia="zh-CN"/>
        </w:rPr>
        <w:t>83.6</w:t>
      </w:r>
      <w:r>
        <w:rPr>
          <w:rFonts w:hint="eastAsia" w:ascii="仿宋_GB2312" w:hAnsi="仿宋_GB2312" w:eastAsia="仿宋_GB2312" w:cs="仿宋_GB2312"/>
          <w:sz w:val="32"/>
          <w:szCs w:val="32"/>
        </w:rPr>
        <w:t>万人次。</w:t>
      </w:r>
    </w:p>
    <w:p>
      <w:pPr>
        <w:keepNext w:val="0"/>
        <w:keepLines w:val="0"/>
        <w:pageBreakBefore w:val="0"/>
        <w:widowControl w:val="0"/>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四是“远防”到位，严密排查。</w:t>
      </w:r>
      <w:r>
        <w:rPr>
          <w:rFonts w:hint="eastAsia" w:ascii="仿宋_GB2312" w:hAnsi="仿宋_GB2312" w:eastAsia="仿宋_GB2312" w:cs="仿宋_GB2312"/>
          <w:sz w:val="32"/>
          <w:szCs w:val="32"/>
          <w:lang w:val="en-US" w:eastAsia="zh-CN"/>
        </w:rPr>
        <w:t>在各社区（村）、区直单位、物业小区、驻区企事业单位组建408个排查小组，从快从实加强大数据、社区摸排、自主报备等重点人员信息排查。截至10月31日，共排查国内高、中风险地区来（返）岳人员35.54万人。</w:t>
      </w:r>
      <w:r>
        <w:rPr>
          <w:rFonts w:hint="eastAsia" w:ascii="仿宋_GB2312" w:hAnsi="仿宋_GB2312" w:eastAsia="仿宋_GB2312" w:cs="仿宋_GB2312"/>
          <w:b w:val="0"/>
          <w:bCs w:val="0"/>
          <w:sz w:val="32"/>
          <w:szCs w:val="32"/>
          <w:lang w:val="en-US" w:eastAsia="zh-CN"/>
        </w:rPr>
        <w:t>强化流调溯源工作，</w:t>
      </w:r>
      <w:r>
        <w:rPr>
          <w:rFonts w:hint="eastAsia" w:ascii="仿宋_GB2312" w:hAnsi="仿宋_GB2312" w:eastAsia="仿宋_GB2312" w:cs="仿宋_GB2312"/>
          <w:b w:val="0"/>
          <w:bCs w:val="0"/>
          <w:sz w:val="32"/>
          <w:szCs w:val="32"/>
        </w:rPr>
        <w:t>建成</w:t>
      </w:r>
      <w:r>
        <w:rPr>
          <w:rFonts w:hint="eastAsia" w:ascii="仿宋_GB2312" w:hAnsi="仿宋_GB2312" w:eastAsia="仿宋_GB2312" w:cs="仿宋_GB2312"/>
          <w:b w:val="0"/>
          <w:bCs w:val="0"/>
          <w:sz w:val="32"/>
          <w:szCs w:val="32"/>
          <w:lang w:val="en-US" w:eastAsia="zh-CN"/>
        </w:rPr>
        <w:t>24支94人的“三公”（公安、公卫、工信）流调溯源队伍和16支65人的专业消毒队伍，共处置应急事件28起,成功处置涉疫阳性事件12起，处置阳性病例6例，完成流调报告6篇，发现密切接触者884人、次密切接触者633人。</w:t>
      </w:r>
      <w:r>
        <w:rPr>
          <w:rFonts w:hint="eastAsia" w:ascii="仿宋_GB2312" w:hAnsi="仿宋_GB2312" w:eastAsia="仿宋_GB2312" w:cs="仿宋_GB2312"/>
          <w:b w:val="0"/>
          <w:bCs w:val="0"/>
          <w:sz w:val="32"/>
          <w:szCs w:val="32"/>
        </w:rPr>
        <w:t>建立快速混管追阳机制</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成立由副区长为总指挥，公安、疾控、乡街相关负责人为成员的45个追阳工作小组，</w:t>
      </w:r>
      <w:r>
        <w:rPr>
          <w:rFonts w:hint="eastAsia" w:ascii="仿宋_GB2312" w:hAnsi="仿宋_GB2312" w:eastAsia="仿宋_GB2312" w:cs="仿宋_GB2312"/>
          <w:b w:val="0"/>
          <w:bCs w:val="0"/>
          <w:sz w:val="32"/>
          <w:szCs w:val="32"/>
        </w:rPr>
        <w:t>组建专业追阳流调队伍和应急采样队伍，</w:t>
      </w:r>
      <w:r>
        <w:rPr>
          <w:rFonts w:hint="eastAsia" w:ascii="仿宋_GB2312" w:hAnsi="仿宋_GB2312" w:eastAsia="仿宋_GB2312" w:cs="仿宋_GB2312"/>
          <w:b w:val="0"/>
          <w:bCs w:val="0"/>
          <w:sz w:val="32"/>
          <w:szCs w:val="32"/>
          <w:lang w:val="en-US" w:eastAsia="zh-CN"/>
        </w:rPr>
        <w:t>全面细化混管阳性处置的具体流程，有效提高了疫情应急处置的工作效率</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eastAsia="宋体"/>
          <w:sz w:val="32"/>
          <w:szCs w:val="32"/>
          <w:lang w:val="en-US" w:eastAsia="zh-CN"/>
        </w:rPr>
      </w:pPr>
      <w:r>
        <w:rPr>
          <w:rFonts w:hint="eastAsia" w:ascii="楷体_GB2312" w:hAnsi="楷体_GB2312" w:eastAsia="楷体_GB2312" w:cs="楷体_GB2312"/>
          <w:b/>
          <w:bCs/>
          <w:sz w:val="32"/>
          <w:szCs w:val="32"/>
          <w:lang w:val="en-US" w:eastAsia="zh-CN"/>
        </w:rPr>
        <w:t>（二）</w:t>
      </w:r>
      <w:r>
        <w:rPr>
          <w:rFonts w:hint="eastAsia" w:ascii="楷体_GB2312" w:hAnsi="楷体_GB2312" w:eastAsia="楷体_GB2312" w:cs="楷体_GB2312"/>
          <w:b/>
          <w:bCs/>
          <w:sz w:val="32"/>
          <w:szCs w:val="32"/>
        </w:rPr>
        <w:t>固本强基，夯实医疗服务能力“磐石之基”</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 w:hAnsi="仿宋" w:eastAsia="仿宋" w:cs="仿宋"/>
          <w:sz w:val="32"/>
          <w:szCs w:val="32"/>
          <w:lang w:val="en-US" w:eastAsia="zh-CN"/>
        </w:rPr>
      </w:pPr>
      <w:r>
        <w:rPr>
          <w:rFonts w:hint="eastAsia" w:ascii="仿宋_GB2312" w:hAnsi="仿宋_GB2312" w:eastAsia="仿宋_GB2312" w:cs="仿宋_GB2312"/>
          <w:b/>
          <w:bCs/>
          <w:sz w:val="32"/>
          <w:szCs w:val="32"/>
          <w:lang w:val="en-US" w:eastAsia="zh-CN"/>
        </w:rPr>
        <w:t>一是积极构建医疗机构服务网络。</w:t>
      </w:r>
      <w:r>
        <w:rPr>
          <w:rFonts w:hint="eastAsia" w:ascii="仿宋" w:hAnsi="仿宋" w:eastAsia="仿宋" w:cs="仿宋"/>
          <w:sz w:val="32"/>
          <w:szCs w:val="32"/>
          <w:lang w:val="en-US" w:eastAsia="zh-CN"/>
        </w:rPr>
        <w:t>近年来，我们持续加大重点项目建设，完善医疗机构服务网络，投入资金5850万元，现区公共卫生医治中心已于2月底完工，并投入使用；枫桥湖社区卫生服务中心今年8月主体已完成封顶建设，预计年底可以投入使用；区二人民医院和金鹗山社区卫生服务中心已正式挂牌运营，洛王社区卫生服务中心新建项目，己完成项目前期工作，目前正在办理招投标手续，预计12月开工建设。截至10月31日，全区医疗机构开展门诊服务55.01万人次，住院服务10784人次，门诊收入12617.49万元，住院收入3309.05万元。</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 w:hAnsi="仿宋" w:eastAsia="仿宋" w:cs="仿宋"/>
          <w:sz w:val="32"/>
          <w:szCs w:val="32"/>
          <w:lang w:val="en-US" w:eastAsia="zh-CN"/>
        </w:rPr>
      </w:pPr>
      <w:r>
        <w:rPr>
          <w:rFonts w:hint="eastAsia" w:ascii="仿宋_GB2312" w:hAnsi="仿宋_GB2312" w:eastAsia="仿宋_GB2312" w:cs="仿宋_GB2312"/>
          <w:b/>
          <w:bCs/>
          <w:sz w:val="32"/>
          <w:szCs w:val="32"/>
          <w:lang w:val="en-US" w:eastAsia="zh-CN"/>
        </w:rPr>
        <w:t>二是积极构建医疗数据互联互通。</w:t>
      </w:r>
      <w:r>
        <w:rPr>
          <w:rFonts w:hint="eastAsia" w:ascii="仿宋" w:hAnsi="仿宋" w:eastAsia="仿宋" w:cs="仿宋"/>
          <w:sz w:val="32"/>
          <w:szCs w:val="32"/>
          <w:lang w:val="en-US" w:eastAsia="zh-CN"/>
        </w:rPr>
        <w:t>目前，岳阳市口腔医院、区妇幼保健院、区人民医院3家公立医院已实现院内数据互通。区人民医院和区妇幼保健院已对接湖南省全民健康信息平台，实现了全省互联互通，上传数据质量综合评分均达到90分以上。</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sz w:val="32"/>
          <w:szCs w:val="32"/>
          <w:lang w:val="en-US" w:eastAsia="zh-CN"/>
        </w:rPr>
        <w:t>三是积极构建医疗机构治污机制。</w:t>
      </w:r>
      <w:r>
        <w:rPr>
          <w:rFonts w:hint="eastAsia" w:ascii="仿宋_GB2312" w:hAnsi="仿宋_GB2312" w:eastAsia="仿宋_GB2312" w:cs="仿宋_GB2312"/>
          <w:color w:val="000000" w:themeColor="text1"/>
          <w:sz w:val="32"/>
          <w:szCs w:val="32"/>
          <w:lang w:eastAsia="zh-CN"/>
          <w14:textFill>
            <w14:solidFill>
              <w14:schemeClr w14:val="tx1"/>
            </w14:solidFill>
          </w14:textFill>
        </w:rPr>
        <w:t>今年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6月份以来，我局按照省市区关于</w:t>
      </w:r>
      <w:r>
        <w:rPr>
          <w:rFonts w:hint="eastAsia" w:ascii="仿宋_GB2312" w:hAnsi="仿宋_GB2312" w:eastAsia="仿宋_GB2312" w:cs="仿宋_GB2312"/>
          <w:color w:val="000000" w:themeColor="text1"/>
          <w:sz w:val="32"/>
          <w:szCs w:val="32"/>
          <w14:textFill>
            <w14:solidFill>
              <w14:schemeClr w14:val="tx1"/>
            </w14:solidFill>
          </w14:textFill>
        </w:rPr>
        <w:t>污染防治攻坚战“夏季攻势”</w:t>
      </w:r>
      <w:r>
        <w:rPr>
          <w:rFonts w:hint="eastAsia" w:ascii="仿宋_GB2312" w:hAnsi="仿宋_GB2312" w:eastAsia="仿宋_GB2312" w:cs="仿宋_GB2312"/>
          <w:color w:val="000000" w:themeColor="text1"/>
          <w:sz w:val="32"/>
          <w:szCs w:val="32"/>
          <w:lang w:eastAsia="zh-CN"/>
          <w14:textFill>
            <w14:solidFill>
              <w14:schemeClr w14:val="tx1"/>
            </w14:solidFill>
          </w14:textFill>
        </w:rPr>
        <w:t>要求，成立工作专班，制定工作方案，倒排工作任务和进度表，督促全区范围内</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家二级以上的医疗机构和12家民营机构进行污水整治工作，形成“一家一策”的整改方案，与各医疗机构签订责任状，与执法人员签订监督责任状，约谈区人民医院、爱尔眼科医院，爱康医院等多家医院，按照省市技术标准均于9月30日前完成了整改任务并销号。</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560"/>
        <w:textAlignment w:val="auto"/>
        <w:rPr>
          <w:rStyle w:val="17"/>
          <w:rFonts w:hint="eastAsia"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b/>
          <w:bCs/>
          <w:kern w:val="2"/>
          <w:sz w:val="32"/>
          <w:szCs w:val="32"/>
          <w:lang w:val="en-US" w:eastAsia="zh-CN"/>
        </w:rPr>
        <w:t>四是</w:t>
      </w:r>
      <w:r>
        <w:rPr>
          <w:rFonts w:hint="eastAsia" w:ascii="仿宋_GB2312" w:hAnsi="仿宋_GB2312" w:eastAsia="仿宋_GB2312" w:cs="仿宋_GB2312"/>
          <w:b/>
          <w:bCs/>
          <w:sz w:val="32"/>
          <w:szCs w:val="32"/>
          <w:lang w:val="en-US" w:eastAsia="zh-CN"/>
        </w:rPr>
        <w:t>积极构建“</w:t>
      </w:r>
      <w:r>
        <w:rPr>
          <w:rFonts w:hint="eastAsia" w:ascii="仿宋_GB2312" w:hAnsi="仿宋_GB2312" w:eastAsia="仿宋_GB2312" w:cs="仿宋_GB2312"/>
          <w:b/>
          <w:bCs/>
          <w:kern w:val="2"/>
          <w:sz w:val="32"/>
          <w:szCs w:val="32"/>
          <w:lang w:val="en-US" w:eastAsia="zh-CN"/>
        </w:rPr>
        <w:t>健康楼区</w:t>
      </w:r>
      <w:r>
        <w:rPr>
          <w:rFonts w:hint="eastAsia" w:ascii="仿宋_GB2312" w:hAnsi="仿宋_GB2312" w:eastAsia="仿宋_GB2312" w:cs="仿宋_GB2312"/>
          <w:b/>
          <w:bCs/>
          <w:sz w:val="32"/>
          <w:szCs w:val="32"/>
          <w:lang w:val="en-US" w:eastAsia="zh-CN"/>
        </w:rPr>
        <w:t>”行动</w:t>
      </w:r>
      <w:r>
        <w:rPr>
          <w:rFonts w:hint="eastAsia" w:ascii="仿宋_GB2312" w:hAnsi="仿宋_GB2312" w:eastAsia="仿宋_GB2312" w:cs="仿宋_GB2312"/>
          <w:b/>
          <w:bCs/>
          <w:kern w:val="2"/>
          <w:sz w:val="32"/>
          <w:szCs w:val="32"/>
          <w:lang w:val="en-US" w:eastAsia="zh-CN"/>
        </w:rPr>
        <w:t>蓝图。</w:t>
      </w:r>
      <w:r>
        <w:rPr>
          <w:rStyle w:val="17"/>
          <w:rFonts w:hint="eastAsia" w:ascii="仿宋_GB2312" w:eastAsia="仿宋_GB2312"/>
          <w:color w:val="000000" w:themeColor="text1"/>
          <w:sz w:val="32"/>
          <w:szCs w:val="32"/>
          <w14:textFill>
            <w14:solidFill>
              <w14:schemeClr w14:val="tx1"/>
            </w14:solidFill>
          </w14:textFill>
        </w:rPr>
        <w:t>今年国家正式将健康中国行动纳入各级政府绩效考核的重要指标。我区积极响应，成立了健康岳阳楼区行动推进委员会，出台了《健康岳阳楼区行动(2020-2030年)》《2020-2022年健康岳阳楼区行动工作方案》等相关文件，全面开展健康知识普及、合理膳食、全民健身等十五项健康行动。</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Style w:val="17"/>
          <w:rFonts w:hint="eastAsia" w:ascii="仿宋_GB2312" w:eastAsia="仿宋_GB2312"/>
          <w:color w:val="000000" w:themeColor="text1"/>
          <w:sz w:val="32"/>
          <w:szCs w:val="32"/>
          <w14:textFill>
            <w14:solidFill>
              <w14:schemeClr w14:val="tx1"/>
            </w14:solidFill>
          </w14:textFill>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三</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重点推进</w:t>
      </w: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eastAsia="zh-CN"/>
        </w:rPr>
        <w:t>完善</w:t>
      </w:r>
      <w:r>
        <w:rPr>
          <w:rFonts w:hint="eastAsia" w:ascii="楷体_GB2312" w:hAnsi="楷体_GB2312" w:eastAsia="楷体_GB2312" w:cs="楷体_GB2312"/>
          <w:b/>
          <w:bCs/>
          <w:sz w:val="32"/>
          <w:szCs w:val="32"/>
        </w:rPr>
        <w:t>公共卫生</w:t>
      </w:r>
      <w:r>
        <w:rPr>
          <w:rFonts w:hint="eastAsia" w:ascii="楷体_GB2312" w:hAnsi="楷体_GB2312" w:eastAsia="楷体_GB2312" w:cs="楷体_GB2312"/>
          <w:b/>
          <w:bCs/>
          <w:sz w:val="32"/>
          <w:szCs w:val="32"/>
          <w:lang w:eastAsia="zh-CN"/>
        </w:rPr>
        <w:t>体系</w:t>
      </w:r>
      <w:r>
        <w:rPr>
          <w:rFonts w:hint="eastAsia" w:ascii="楷体_GB2312" w:hAnsi="楷体_GB2312" w:eastAsia="楷体_GB2312" w:cs="楷体_GB2312"/>
          <w:b/>
          <w:bCs/>
          <w:sz w:val="32"/>
          <w:szCs w:val="32"/>
        </w:rPr>
        <w:t>“</w:t>
      </w:r>
      <w:r>
        <w:rPr>
          <w:rFonts w:hint="eastAsia" w:ascii="楷体_GB2312" w:hAnsi="楷体_GB2312" w:eastAsia="楷体_GB2312" w:cs="楷体_GB2312"/>
          <w:b/>
          <w:bCs/>
          <w:sz w:val="32"/>
          <w:szCs w:val="32"/>
          <w:lang w:val="en-US" w:eastAsia="zh-CN"/>
        </w:rPr>
        <w:t>空间架构</w:t>
      </w:r>
      <w:r>
        <w:rPr>
          <w:rFonts w:hint="eastAsia" w:ascii="楷体_GB2312" w:hAnsi="楷体_GB2312" w:eastAsia="楷体_GB2312" w:cs="楷体_GB2312"/>
          <w:b/>
          <w:bCs/>
          <w:sz w:val="32"/>
          <w:szCs w:val="32"/>
        </w:rPr>
        <w:t>”</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Style w:val="17"/>
          <w:rFonts w:hint="default" w:ascii="仿宋_GB2312" w:eastAsia="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b/>
          <w:bCs/>
          <w:sz w:val="32"/>
          <w:szCs w:val="32"/>
          <w:lang w:val="en-US" w:eastAsia="zh-CN"/>
        </w:rPr>
        <w:t>一是疾病预警监测体系建设更加健全。</w:t>
      </w:r>
      <w:r>
        <w:rPr>
          <w:rStyle w:val="17"/>
          <w:rFonts w:hint="eastAsia" w:ascii="仿宋_GB2312" w:eastAsia="仿宋_GB2312"/>
          <w:color w:val="000000" w:themeColor="text1"/>
          <w:sz w:val="32"/>
          <w:szCs w:val="32"/>
          <w14:textFill>
            <w14:solidFill>
              <w14:schemeClr w14:val="tx1"/>
            </w14:solidFill>
          </w14:textFill>
        </w:rPr>
        <w:t>按照《湖南省公共卫生防控救治能力重点建设行动方案（2020—2023年）》的要求，全力提升监测预警能力和疫情发现及现场处置能力，先后投入1370余万元用于疾病预警监测体系建设（其中投入500万元建成了区疾控中心、区人民医院、区妇幼保健院3个PCR核酸检测实验室，投入300万元对全区16家基层医疗卫生机构预防接种室进行提质改造，投入470万元采购疾控中心实验室仪器设备45台套，投入100万元用于疾控中心标准化建设），统筹配置采样队伍，分级设置</w:t>
      </w:r>
      <w:r>
        <w:rPr>
          <w:rStyle w:val="17"/>
          <w:rFonts w:hint="eastAsia" w:ascii="仿宋_GB2312" w:eastAsia="仿宋_GB2312"/>
          <w:color w:val="000000" w:themeColor="text1"/>
          <w:sz w:val="32"/>
          <w:szCs w:val="32"/>
          <w:lang w:val="en-US" w:eastAsia="zh-CN"/>
          <w14:textFill>
            <w14:solidFill>
              <w14:schemeClr w14:val="tx1"/>
            </w14:solidFill>
          </w14:textFill>
        </w:rPr>
        <w:t>15</w:t>
      </w:r>
      <w:r>
        <w:rPr>
          <w:rStyle w:val="17"/>
          <w:rFonts w:hint="eastAsia" w:ascii="仿宋_GB2312" w:eastAsia="仿宋_GB2312"/>
          <w:color w:val="000000" w:themeColor="text1"/>
          <w:sz w:val="32"/>
          <w:szCs w:val="32"/>
          <w14:textFill>
            <w14:solidFill>
              <w14:schemeClr w14:val="tx1"/>
            </w14:solidFill>
          </w14:textFill>
        </w:rPr>
        <w:t>个</w:t>
      </w:r>
      <w:r>
        <w:rPr>
          <w:rStyle w:val="17"/>
          <w:rFonts w:hint="eastAsia" w:ascii="仿宋_GB2312" w:eastAsia="仿宋_GB2312"/>
          <w:color w:val="000000" w:themeColor="text1"/>
          <w:sz w:val="32"/>
          <w:szCs w:val="32"/>
          <w:lang w:val="en-US" w:eastAsia="zh-CN"/>
          <w14:textFill>
            <w14:solidFill>
              <w14:schemeClr w14:val="tx1"/>
            </w14:solidFill>
          </w14:textFill>
        </w:rPr>
        <w:t>街道</w:t>
      </w:r>
      <w:r>
        <w:rPr>
          <w:rStyle w:val="17"/>
          <w:rFonts w:hint="eastAsia" w:ascii="仿宋_GB2312" w:eastAsia="仿宋_GB2312"/>
          <w:color w:val="000000" w:themeColor="text1"/>
          <w:sz w:val="32"/>
          <w:szCs w:val="32"/>
          <w14:textFill>
            <w14:solidFill>
              <w14:schemeClr w14:val="tx1"/>
            </w14:solidFill>
          </w14:textFill>
        </w:rPr>
        <w:t>采样大队，储备采样队员</w:t>
      </w:r>
      <w:r>
        <w:rPr>
          <w:rStyle w:val="17"/>
          <w:rFonts w:hint="eastAsia" w:ascii="仿宋_GB2312" w:eastAsia="仿宋_GB2312"/>
          <w:color w:val="000000" w:themeColor="text1"/>
          <w:sz w:val="32"/>
          <w:szCs w:val="32"/>
          <w:lang w:val="en-US" w:eastAsia="zh-CN"/>
          <w14:textFill>
            <w14:solidFill>
              <w14:schemeClr w14:val="tx1"/>
            </w14:solidFill>
          </w14:textFill>
        </w:rPr>
        <w:t>1000</w:t>
      </w:r>
      <w:r>
        <w:rPr>
          <w:rStyle w:val="17"/>
          <w:rFonts w:hint="eastAsia" w:ascii="仿宋_GB2312" w:eastAsia="仿宋_GB2312"/>
          <w:color w:val="000000" w:themeColor="text1"/>
          <w:sz w:val="32"/>
          <w:szCs w:val="32"/>
          <w14:textFill>
            <w14:solidFill>
              <w14:schemeClr w14:val="tx1"/>
            </w14:solidFill>
          </w14:textFill>
        </w:rPr>
        <w:t>余名</w:t>
      </w:r>
      <w:r>
        <w:rPr>
          <w:rStyle w:val="17"/>
          <w:rFonts w:hint="eastAsia" w:ascii="仿宋_GB2312" w:eastAsia="仿宋_GB2312"/>
          <w:color w:val="000000" w:themeColor="text1"/>
          <w:sz w:val="32"/>
          <w:szCs w:val="32"/>
          <w:lang w:eastAsia="zh-CN"/>
          <w14:textFill>
            <w14:solidFill>
              <w14:schemeClr w14:val="tx1"/>
            </w14:solidFill>
          </w14:textFill>
        </w:rPr>
        <w:t>，</w:t>
      </w:r>
      <w:r>
        <w:rPr>
          <w:rStyle w:val="17"/>
          <w:rFonts w:hint="eastAsia" w:ascii="仿宋_GB2312" w:eastAsia="仿宋_GB2312"/>
          <w:color w:val="000000" w:themeColor="text1"/>
          <w:sz w:val="32"/>
          <w:szCs w:val="32"/>
          <w14:textFill>
            <w14:solidFill>
              <w14:schemeClr w14:val="tx1"/>
            </w14:solidFill>
          </w14:textFill>
        </w:rPr>
        <w:t>最高日核酸检测能力达</w:t>
      </w:r>
      <w:r>
        <w:rPr>
          <w:rStyle w:val="17"/>
          <w:rFonts w:hint="eastAsia" w:ascii="仿宋_GB2312" w:eastAsia="仿宋_GB2312"/>
          <w:color w:val="000000" w:themeColor="text1"/>
          <w:sz w:val="32"/>
          <w:szCs w:val="32"/>
          <w:lang w:val="en-US" w:eastAsia="zh-CN"/>
          <w14:textFill>
            <w14:solidFill>
              <w14:schemeClr w14:val="tx1"/>
            </w14:solidFill>
          </w14:textFill>
        </w:rPr>
        <w:t>2</w:t>
      </w:r>
      <w:r>
        <w:rPr>
          <w:rStyle w:val="17"/>
          <w:rFonts w:hint="eastAsia" w:ascii="仿宋_GB2312" w:eastAsia="仿宋_GB2312"/>
          <w:color w:val="000000" w:themeColor="text1"/>
          <w:sz w:val="32"/>
          <w:szCs w:val="32"/>
          <w14:textFill>
            <w14:solidFill>
              <w14:schemeClr w14:val="tx1"/>
            </w14:solidFill>
          </w14:textFill>
        </w:rPr>
        <w:t>万</w:t>
      </w:r>
      <w:r>
        <w:rPr>
          <w:rStyle w:val="17"/>
          <w:rFonts w:hint="eastAsia" w:ascii="仿宋_GB2312" w:eastAsia="仿宋_GB2312"/>
          <w:color w:val="000000" w:themeColor="text1"/>
          <w:sz w:val="32"/>
          <w:szCs w:val="32"/>
          <w:lang w:val="en-US" w:eastAsia="zh-CN"/>
          <w14:textFill>
            <w14:solidFill>
              <w14:schemeClr w14:val="tx1"/>
            </w14:solidFill>
          </w14:textFill>
        </w:rPr>
        <w:t>余</w:t>
      </w:r>
      <w:r>
        <w:rPr>
          <w:rStyle w:val="17"/>
          <w:rFonts w:hint="eastAsia" w:ascii="仿宋_GB2312" w:eastAsia="仿宋_GB2312"/>
          <w:color w:val="000000" w:themeColor="text1"/>
          <w:sz w:val="32"/>
          <w:szCs w:val="32"/>
          <w14:textFill>
            <w14:solidFill>
              <w14:schemeClr w14:val="tx1"/>
            </w14:solidFill>
          </w14:textFill>
        </w:rPr>
        <w:t>管。全面提升了我区应对重大传染病疫情和突发公共卫生事件的能力。</w:t>
      </w:r>
      <w:r>
        <w:rPr>
          <w:rStyle w:val="17"/>
          <w:rFonts w:hint="eastAsia" w:ascii="仿宋_GB2312" w:eastAsia="仿宋_GB2312"/>
          <w:color w:val="000000" w:themeColor="text1"/>
          <w:sz w:val="32"/>
          <w:szCs w:val="32"/>
          <w:lang w:val="en-US"/>
          <w14:textFill>
            <w14:solidFill>
              <w14:schemeClr w14:val="tx1"/>
            </w14:solidFill>
          </w14:textFill>
        </w:rPr>
        <w:t xml:space="preserve">                                                                                                                                                                                                                                                                                                                                                                                                                                                                                                                                                                                                                                                                                                                                                                                                                                                                                                                                                                                                                                                                                                                                                                                                                                                                                                                                                                                                                                                                                                                                                                                                                                                                                                                                                                                                                                                                                                                                                                                                                                                                                                                                                                                                                                                                                                                                                                                                                                                                                                                                                                                                                                                                                                                                                                                                                                                                                                                                                                                                                                                                                                                                                                                                                                                                                                                                                                                                                                                                                                                                                                                                                                                                                                                                                                                                                                                                                                                                                                                                                                                                                                                                                                                                                </w:t>
      </w:r>
      <w:r>
        <w:rPr>
          <w:rStyle w:val="17"/>
          <w:rFonts w:hint="eastAsia" w:ascii="仿宋_GB2312" w:eastAsia="仿宋_GB2312"/>
          <w:color w:val="000000" w:themeColor="text1"/>
          <w:sz w:val="32"/>
          <w:szCs w:val="32"/>
          <w:lang w:val="en-US"/>
          <w14:textFill>
            <w14:solidFill>
              <w14:schemeClr w14:val="tx1"/>
            </w14:solidFill>
          </w14:textFill>
        </w:rPr>
        <w:t xml:space="preserve">                                                                                                                                                                                                                                                                                                                                                                                                                                                                                                                                                                                                                                                                                                                                                                                                                                                                                                                                                                                                                                                                                                                                                                                                                                                                                                                                                                                                                                                                                                                                                                                                                                                                                                                                                                                                                                                                                                                                                                                                                                                                                                                                                                                                                                                                                                                                                                                                                                                                                                                                                                                                                                                                                                                                                                                                                                                                                                                                                                                                                                                                                                                                                                                                                                                                                                                                                                                                                                                                                                                                                                                                                                                                                                                                                                                                                                                                                                                                                                                                                                                                                                                                                                                                                </w:t>
      </w:r>
      <w:r>
        <w:rPr>
          <w:rStyle w:val="17"/>
          <w:rFonts w:hint="eastAsia" w:ascii="仿宋_GB2312" w:eastAsia="仿宋_GB2312"/>
          <w:color w:val="000000" w:themeColor="text1"/>
          <w:sz w:val="32"/>
          <w:szCs w:val="32"/>
          <w:lang w:val="en-US"/>
          <w14:textFill>
            <w14:solidFill>
              <w14:schemeClr w14:val="tx1"/>
            </w14:solidFill>
          </w14:textFill>
        </w:rPr>
        <w:t xml:space="preserve">                                                                                                                                                                                                                                                                                                                                                                                                                                                                                                                                                                                                                                                                                                                                                                                                                                                                                                                                                                                                                                                                                                                                                                                             </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560"/>
        <w:textAlignment w:val="auto"/>
        <w:rPr>
          <w:rStyle w:val="17"/>
          <w:rFonts w:hint="eastAsia" w:ascii="仿宋_GB2312" w:eastAsia="仿宋_GB2312"/>
          <w:color w:val="000000" w:themeColor="text1"/>
          <w:sz w:val="32"/>
          <w:szCs w:val="32"/>
          <w14:textFill>
            <w14:solidFill>
              <w14:schemeClr w14:val="tx1"/>
            </w14:solidFill>
          </w14:textFill>
        </w:rPr>
      </w:pPr>
      <w:r>
        <w:rPr>
          <w:rFonts w:hint="eastAsia" w:ascii="仿宋_GB2312" w:hAnsi="仿宋_GB2312" w:eastAsia="仿宋_GB2312" w:cs="仿宋_GB2312"/>
          <w:b/>
          <w:bCs/>
          <w:kern w:val="2"/>
          <w:sz w:val="32"/>
          <w:szCs w:val="32"/>
          <w:lang w:val="en-US" w:eastAsia="zh-CN"/>
        </w:rPr>
        <w:t>二是基本公共卫生服务更加成熟。</w:t>
      </w:r>
      <w:r>
        <w:rPr>
          <w:rStyle w:val="17"/>
          <w:rFonts w:hint="eastAsia" w:ascii="仿宋_GB2312" w:eastAsia="仿宋_GB2312"/>
          <w:color w:val="000000" w:themeColor="text1"/>
          <w:sz w:val="32"/>
          <w:szCs w:val="32"/>
          <w14:textFill>
            <w14:solidFill>
              <w14:schemeClr w14:val="tx1"/>
            </w14:solidFill>
          </w14:textFill>
        </w:rPr>
        <w:t>按照“保基本、强基层”的要求，扎实开展十四大类55项国家基本公共卫生服务。</w:t>
      </w:r>
      <w:r>
        <w:rPr>
          <w:rFonts w:hint="eastAsia" w:ascii="仿宋" w:hAnsi="仿宋" w:eastAsia="仿宋" w:cs="仿宋"/>
          <w:sz w:val="32"/>
          <w:szCs w:val="32"/>
        </w:rPr>
        <w:t>组建 91个“3+2+1”家庭医生服</w:t>
      </w:r>
      <w:r>
        <w:rPr>
          <w:rStyle w:val="17"/>
          <w:rFonts w:hint="eastAsia" w:ascii="仿宋_GB2312" w:eastAsia="仿宋_GB2312"/>
          <w:color w:val="000000" w:themeColor="text1"/>
          <w:sz w:val="32"/>
          <w:szCs w:val="32"/>
          <w14:textFill>
            <w14:solidFill>
              <w14:schemeClr w14:val="tx1"/>
            </w14:solidFill>
          </w14:textFill>
        </w:rPr>
        <w:t>务团队</w:t>
      </w:r>
      <w:r>
        <w:rPr>
          <w:rStyle w:val="17"/>
          <w:rFonts w:hint="eastAsia" w:ascii="仿宋_GB2312" w:eastAsia="仿宋_GB2312"/>
          <w:color w:val="000000" w:themeColor="text1"/>
          <w:sz w:val="32"/>
          <w:szCs w:val="32"/>
          <w:lang w:eastAsia="zh-CN"/>
          <w14:textFill>
            <w14:solidFill>
              <w14:schemeClr w14:val="tx1"/>
            </w14:solidFill>
          </w14:textFill>
        </w:rPr>
        <w:t>。</w:t>
      </w:r>
      <w:r>
        <w:rPr>
          <w:rStyle w:val="17"/>
          <w:rFonts w:hint="eastAsia" w:ascii="仿宋_GB2312" w:eastAsia="仿宋_GB2312"/>
          <w:color w:val="000000" w:themeColor="text1"/>
          <w:sz w:val="32"/>
          <w:szCs w:val="32"/>
          <w14:textFill>
            <w14:solidFill>
              <w14:schemeClr w14:val="tx1"/>
            </w14:solidFill>
          </w14:textFill>
        </w:rPr>
        <w:t>截至</w:t>
      </w:r>
      <w:r>
        <w:rPr>
          <w:rStyle w:val="17"/>
          <w:rFonts w:hint="eastAsia" w:ascii="仿宋_GB2312" w:eastAsia="仿宋_GB2312"/>
          <w:color w:val="000000" w:themeColor="text1"/>
          <w:sz w:val="32"/>
          <w:szCs w:val="32"/>
          <w:lang w:val="en-US"/>
          <w14:textFill>
            <w14:solidFill>
              <w14:schemeClr w14:val="tx1"/>
            </w14:solidFill>
          </w14:textFill>
        </w:rPr>
        <w:t>10</w:t>
      </w:r>
      <w:r>
        <w:rPr>
          <w:rStyle w:val="17"/>
          <w:rFonts w:hint="eastAsia" w:ascii="仿宋_GB2312" w:eastAsia="仿宋_GB2312"/>
          <w:color w:val="000000" w:themeColor="text1"/>
          <w:sz w:val="32"/>
          <w:szCs w:val="32"/>
          <w14:textFill>
            <w14:solidFill>
              <w14:schemeClr w14:val="tx1"/>
            </w14:solidFill>
          </w14:textFill>
        </w:rPr>
        <w:t>月</w:t>
      </w:r>
      <w:r>
        <w:rPr>
          <w:rStyle w:val="17"/>
          <w:rFonts w:hint="eastAsia" w:ascii="仿宋_GB2312" w:eastAsia="仿宋_GB2312"/>
          <w:color w:val="000000" w:themeColor="text1"/>
          <w:sz w:val="32"/>
          <w:szCs w:val="32"/>
          <w:lang w:val="en-US"/>
          <w14:textFill>
            <w14:solidFill>
              <w14:schemeClr w14:val="tx1"/>
            </w14:solidFill>
          </w14:textFill>
        </w:rPr>
        <w:t>31</w:t>
      </w:r>
      <w:r>
        <w:rPr>
          <w:rStyle w:val="17"/>
          <w:rFonts w:hint="eastAsia" w:ascii="仿宋_GB2312" w:eastAsia="仿宋_GB2312"/>
          <w:color w:val="000000" w:themeColor="text1"/>
          <w:sz w:val="32"/>
          <w:szCs w:val="32"/>
          <w14:textFill>
            <w14:solidFill>
              <w14:schemeClr w14:val="tx1"/>
            </w14:solidFill>
          </w14:textFill>
        </w:rPr>
        <w:t>日，全区建立居民健康档案69.</w:t>
      </w:r>
      <w:r>
        <w:rPr>
          <w:rStyle w:val="17"/>
          <w:rFonts w:hint="eastAsia" w:ascii="仿宋_GB2312" w:eastAsia="仿宋_GB2312"/>
          <w:color w:val="000000" w:themeColor="text1"/>
          <w:sz w:val="32"/>
          <w:szCs w:val="32"/>
          <w:lang w:val="en-US"/>
          <w14:textFill>
            <w14:solidFill>
              <w14:schemeClr w14:val="tx1"/>
            </w14:solidFill>
          </w14:textFill>
        </w:rPr>
        <w:t>27</w:t>
      </w:r>
      <w:r>
        <w:rPr>
          <w:rStyle w:val="17"/>
          <w:rFonts w:hint="eastAsia" w:ascii="仿宋_GB2312" w:eastAsia="仿宋_GB2312"/>
          <w:color w:val="000000" w:themeColor="text1"/>
          <w:sz w:val="32"/>
          <w:szCs w:val="32"/>
          <w14:textFill>
            <w14:solidFill>
              <w14:schemeClr w14:val="tx1"/>
            </w14:solidFill>
          </w14:textFill>
        </w:rPr>
        <w:t>万份，建档率105%；65岁以上老年人健康体检</w:t>
      </w:r>
      <w:r>
        <w:rPr>
          <w:rStyle w:val="17"/>
          <w:rFonts w:hint="eastAsia" w:ascii="仿宋_GB2312" w:eastAsia="仿宋_GB2312"/>
          <w:color w:val="000000" w:themeColor="text1"/>
          <w:sz w:val="32"/>
          <w:szCs w:val="32"/>
          <w:lang w:val="en-US"/>
          <w14:textFill>
            <w14:solidFill>
              <w14:schemeClr w14:val="tx1"/>
            </w14:solidFill>
          </w14:textFill>
        </w:rPr>
        <w:t>3.07</w:t>
      </w:r>
      <w:r>
        <w:rPr>
          <w:rStyle w:val="17"/>
          <w:rFonts w:hint="eastAsia" w:ascii="仿宋_GB2312" w:eastAsia="仿宋_GB2312"/>
          <w:color w:val="000000" w:themeColor="text1"/>
          <w:sz w:val="32"/>
          <w:szCs w:val="32"/>
          <w14:textFill>
            <w14:solidFill>
              <w14:schemeClr w14:val="tx1"/>
            </w14:solidFill>
          </w14:textFill>
        </w:rPr>
        <w:t>万人，老年人健康管理率</w:t>
      </w:r>
      <w:r>
        <w:rPr>
          <w:rStyle w:val="17"/>
          <w:rFonts w:hint="eastAsia" w:ascii="仿宋_GB2312" w:eastAsia="仿宋_GB2312"/>
          <w:color w:val="000000" w:themeColor="text1"/>
          <w:sz w:val="32"/>
          <w:szCs w:val="32"/>
          <w:lang w:val="en-US"/>
          <w14:textFill>
            <w14:solidFill>
              <w14:schemeClr w14:val="tx1"/>
            </w14:solidFill>
          </w14:textFill>
        </w:rPr>
        <w:t>3.83</w:t>
      </w:r>
      <w:r>
        <w:rPr>
          <w:rStyle w:val="17"/>
          <w:rFonts w:hint="eastAsia" w:ascii="仿宋_GB2312" w:eastAsia="仿宋_GB2312"/>
          <w:color w:val="000000" w:themeColor="text1"/>
          <w:sz w:val="32"/>
          <w:szCs w:val="32"/>
          <w14:textFill>
            <w14:solidFill>
              <w14:schemeClr w14:val="tx1"/>
            </w14:solidFill>
          </w14:textFill>
        </w:rPr>
        <w:t>%；管理高血压患者</w:t>
      </w:r>
      <w:r>
        <w:rPr>
          <w:rStyle w:val="17"/>
          <w:rFonts w:hint="eastAsia" w:ascii="仿宋_GB2312" w:eastAsia="仿宋_GB2312"/>
          <w:color w:val="000000" w:themeColor="text1"/>
          <w:sz w:val="32"/>
          <w:szCs w:val="32"/>
          <w:lang w:val="en-US"/>
          <w14:textFill>
            <w14:solidFill>
              <w14:schemeClr w14:val="tx1"/>
            </w14:solidFill>
          </w14:textFill>
        </w:rPr>
        <w:t>3.83</w:t>
      </w:r>
      <w:r>
        <w:rPr>
          <w:rStyle w:val="17"/>
          <w:rFonts w:hint="eastAsia" w:ascii="仿宋_GB2312" w:eastAsia="仿宋_GB2312"/>
          <w:color w:val="000000" w:themeColor="text1"/>
          <w:sz w:val="32"/>
          <w:szCs w:val="32"/>
          <w14:textFill>
            <w14:solidFill>
              <w14:schemeClr w14:val="tx1"/>
            </w14:solidFill>
          </w14:textFill>
        </w:rPr>
        <w:t>万人、糖尿病患者1.</w:t>
      </w:r>
      <w:r>
        <w:rPr>
          <w:rStyle w:val="17"/>
          <w:rFonts w:hint="eastAsia" w:ascii="仿宋_GB2312" w:eastAsia="仿宋_GB2312"/>
          <w:color w:val="000000" w:themeColor="text1"/>
          <w:sz w:val="32"/>
          <w:szCs w:val="32"/>
          <w:lang w:val="en-US"/>
          <w14:textFill>
            <w14:solidFill>
              <w14:schemeClr w14:val="tx1"/>
            </w14:solidFill>
          </w14:textFill>
        </w:rPr>
        <w:t>43</w:t>
      </w:r>
      <w:r>
        <w:rPr>
          <w:rStyle w:val="17"/>
          <w:rFonts w:hint="eastAsia" w:ascii="仿宋_GB2312" w:eastAsia="仿宋_GB2312"/>
          <w:color w:val="000000" w:themeColor="text1"/>
          <w:sz w:val="32"/>
          <w:szCs w:val="32"/>
          <w14:textFill>
            <w14:solidFill>
              <w14:schemeClr w14:val="tx1"/>
            </w14:solidFill>
          </w14:textFill>
        </w:rPr>
        <w:t>万人，管理率分别达</w:t>
      </w:r>
      <w:r>
        <w:rPr>
          <w:rStyle w:val="17"/>
          <w:rFonts w:hint="eastAsia" w:ascii="仿宋_GB2312" w:eastAsia="仿宋_GB2312"/>
          <w:color w:val="000000" w:themeColor="text1"/>
          <w:sz w:val="32"/>
          <w:szCs w:val="32"/>
          <w:lang w:val="en-US"/>
          <w14:textFill>
            <w14:solidFill>
              <w14:schemeClr w14:val="tx1"/>
            </w14:solidFill>
          </w14:textFill>
        </w:rPr>
        <w:t>79.8</w:t>
      </w:r>
      <w:r>
        <w:rPr>
          <w:rStyle w:val="17"/>
          <w:rFonts w:hint="eastAsia" w:ascii="仿宋_GB2312" w:eastAsia="仿宋_GB2312"/>
          <w:color w:val="000000" w:themeColor="text1"/>
          <w:sz w:val="32"/>
          <w:szCs w:val="32"/>
          <w14:textFill>
            <w14:solidFill>
              <w14:schemeClr w14:val="tx1"/>
            </w14:solidFill>
          </w14:textFill>
        </w:rPr>
        <w:t>%和</w:t>
      </w:r>
      <w:r>
        <w:rPr>
          <w:rStyle w:val="17"/>
          <w:rFonts w:hint="eastAsia" w:ascii="仿宋_GB2312" w:eastAsia="仿宋_GB2312"/>
          <w:color w:val="000000" w:themeColor="text1"/>
          <w:sz w:val="32"/>
          <w:szCs w:val="32"/>
          <w:lang w:val="en-US"/>
          <w14:textFill>
            <w14:solidFill>
              <w14:schemeClr w14:val="tx1"/>
            </w14:solidFill>
          </w14:textFill>
        </w:rPr>
        <w:t>83.6</w:t>
      </w:r>
      <w:r>
        <w:rPr>
          <w:rStyle w:val="17"/>
          <w:rFonts w:hint="eastAsia" w:ascii="仿宋_GB2312" w:eastAsia="仿宋_GB2312"/>
          <w:color w:val="000000" w:themeColor="text1"/>
          <w:sz w:val="32"/>
          <w:szCs w:val="32"/>
          <w14:textFill>
            <w14:solidFill>
              <w14:schemeClr w14:val="tx1"/>
            </w14:solidFill>
          </w14:textFill>
        </w:rPr>
        <w:t>%；管理严重精神障碍患者</w:t>
      </w:r>
      <w:r>
        <w:rPr>
          <w:rStyle w:val="17"/>
          <w:rFonts w:hint="eastAsia" w:ascii="仿宋_GB2312" w:eastAsia="仿宋_GB2312"/>
          <w:color w:val="000000" w:themeColor="text1"/>
          <w:sz w:val="32"/>
          <w:szCs w:val="32"/>
          <w:lang w:val="en-US"/>
          <w14:textFill>
            <w14:solidFill>
              <w14:schemeClr w14:val="tx1"/>
            </w14:solidFill>
          </w14:textFill>
        </w:rPr>
        <w:t>2910</w:t>
      </w:r>
      <w:r>
        <w:rPr>
          <w:rStyle w:val="17"/>
          <w:rFonts w:hint="eastAsia" w:ascii="仿宋_GB2312" w:eastAsia="仿宋_GB2312"/>
          <w:color w:val="000000" w:themeColor="text1"/>
          <w:sz w:val="32"/>
          <w:szCs w:val="32"/>
          <w14:textFill>
            <w14:solidFill>
              <w14:schemeClr w14:val="tx1"/>
            </w14:solidFill>
          </w14:textFill>
        </w:rPr>
        <w:t>人，规范管理率达97.</w:t>
      </w:r>
      <w:r>
        <w:rPr>
          <w:rStyle w:val="17"/>
          <w:rFonts w:hint="eastAsia" w:ascii="仿宋_GB2312" w:eastAsia="仿宋_GB2312"/>
          <w:color w:val="000000" w:themeColor="text1"/>
          <w:sz w:val="32"/>
          <w:szCs w:val="32"/>
          <w:lang w:val="en-US"/>
          <w14:textFill>
            <w14:solidFill>
              <w14:schemeClr w14:val="tx1"/>
            </w14:solidFill>
          </w14:textFill>
        </w:rPr>
        <w:t>26</w:t>
      </w:r>
      <w:r>
        <w:rPr>
          <w:rStyle w:val="17"/>
          <w:rFonts w:hint="eastAsia" w:ascii="仿宋_GB2312" w:eastAsia="仿宋_GB2312"/>
          <w:color w:val="000000" w:themeColor="text1"/>
          <w:sz w:val="32"/>
          <w:szCs w:val="32"/>
          <w14:textFill>
            <w14:solidFill>
              <w14:schemeClr w14:val="tx1"/>
            </w14:solidFill>
          </w14:textFill>
        </w:rPr>
        <w:t>%；家庭医生签约</w:t>
      </w:r>
      <w:r>
        <w:rPr>
          <w:rStyle w:val="17"/>
          <w:rFonts w:hint="eastAsia" w:ascii="仿宋_GB2312" w:eastAsia="仿宋_GB2312"/>
          <w:color w:val="000000" w:themeColor="text1"/>
          <w:sz w:val="32"/>
          <w:szCs w:val="32"/>
          <w:lang w:val="en-US"/>
          <w14:textFill>
            <w14:solidFill>
              <w14:schemeClr w14:val="tx1"/>
            </w14:solidFill>
          </w14:textFill>
        </w:rPr>
        <w:t>23.07</w:t>
      </w:r>
      <w:r>
        <w:rPr>
          <w:rStyle w:val="17"/>
          <w:rFonts w:hint="eastAsia" w:ascii="仿宋_GB2312" w:eastAsia="仿宋_GB2312"/>
          <w:color w:val="000000" w:themeColor="text1"/>
          <w:sz w:val="32"/>
          <w:szCs w:val="32"/>
          <w14:textFill>
            <w14:solidFill>
              <w14:schemeClr w14:val="tx1"/>
            </w14:solidFill>
          </w14:textFill>
        </w:rPr>
        <w:t>万人，其中重点人群签约</w:t>
      </w:r>
      <w:r>
        <w:rPr>
          <w:rStyle w:val="17"/>
          <w:rFonts w:hint="eastAsia" w:ascii="仿宋_GB2312" w:eastAsia="仿宋_GB2312"/>
          <w:color w:val="000000" w:themeColor="text1"/>
          <w:sz w:val="32"/>
          <w:szCs w:val="32"/>
          <w:lang w:val="en-US"/>
          <w14:textFill>
            <w14:solidFill>
              <w14:schemeClr w14:val="tx1"/>
            </w14:solidFill>
          </w14:textFill>
        </w:rPr>
        <w:t>15.04</w:t>
      </w:r>
      <w:r>
        <w:rPr>
          <w:rStyle w:val="17"/>
          <w:rFonts w:hint="eastAsia" w:ascii="仿宋_GB2312" w:eastAsia="仿宋_GB2312"/>
          <w:color w:val="000000" w:themeColor="text1"/>
          <w:sz w:val="32"/>
          <w:szCs w:val="32"/>
          <w14:textFill>
            <w14:solidFill>
              <w14:schemeClr w14:val="tx1"/>
            </w14:solidFill>
          </w14:textFill>
        </w:rPr>
        <w:t>万人。</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560"/>
        <w:textAlignment w:val="auto"/>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b/>
          <w:bCs/>
          <w:kern w:val="2"/>
          <w:sz w:val="32"/>
          <w:szCs w:val="32"/>
          <w:lang w:val="en-US" w:eastAsia="zh-CN"/>
        </w:rPr>
        <w:t>三是妇幼保健管理服务更加贴心。</w:t>
      </w:r>
      <w:r>
        <w:rPr>
          <w:rStyle w:val="17"/>
          <w:rFonts w:hint="eastAsia" w:ascii="仿宋_GB2312" w:eastAsia="仿宋_GB2312"/>
          <w:color w:val="000000" w:themeColor="text1"/>
          <w:sz w:val="32"/>
          <w:szCs w:val="32"/>
          <w:lang w:eastAsia="zh-CN"/>
          <w14:textFill>
            <w14:solidFill>
              <w14:schemeClr w14:val="tx1"/>
            </w14:solidFill>
          </w14:textFill>
        </w:rPr>
        <w:t>坚持从</w:t>
      </w:r>
      <w:r>
        <w:rPr>
          <w:rStyle w:val="17"/>
          <w:rFonts w:hint="eastAsia" w:ascii="仿宋_GB2312" w:eastAsia="仿宋_GB2312"/>
          <w:color w:val="000000" w:themeColor="text1"/>
          <w:sz w:val="32"/>
          <w:szCs w:val="32"/>
          <w14:textFill>
            <w14:solidFill>
              <w14:schemeClr w14:val="tx1"/>
            </w14:solidFill>
          </w14:textFill>
        </w:rPr>
        <w:t>人民最关心、最直接、最现实的问题入手，</w:t>
      </w:r>
      <w:r>
        <w:rPr>
          <w:rStyle w:val="17"/>
          <w:rFonts w:hint="eastAsia" w:ascii="仿宋_GB2312" w:eastAsia="仿宋_GB2312"/>
          <w:color w:val="000000" w:themeColor="text1"/>
          <w:sz w:val="32"/>
          <w:szCs w:val="32"/>
          <w:lang w:eastAsia="zh-CN"/>
          <w14:textFill>
            <w14:solidFill>
              <w14:schemeClr w14:val="tx1"/>
            </w14:solidFill>
          </w14:textFill>
        </w:rPr>
        <w:t>集中</w:t>
      </w:r>
      <w:r>
        <w:rPr>
          <w:rStyle w:val="17"/>
          <w:rFonts w:hint="eastAsia" w:ascii="仿宋_GB2312" w:eastAsia="仿宋_GB2312"/>
          <w:color w:val="000000" w:themeColor="text1"/>
          <w:sz w:val="32"/>
          <w:szCs w:val="32"/>
          <w14:textFill>
            <w14:solidFill>
              <w14:schemeClr w14:val="tx1"/>
            </w14:solidFill>
          </w14:textFill>
        </w:rPr>
        <w:t>办好重点民生实事，</w:t>
      </w:r>
      <w:r>
        <w:rPr>
          <w:rStyle w:val="17"/>
          <w:rFonts w:hint="eastAsia" w:ascii="仿宋_GB2312" w:eastAsia="仿宋_GB2312"/>
          <w:color w:val="000000" w:themeColor="text1"/>
          <w:sz w:val="32"/>
          <w:szCs w:val="32"/>
          <w:lang w:eastAsia="zh-CN"/>
          <w14:textFill>
            <w14:solidFill>
              <w14:schemeClr w14:val="tx1"/>
            </w14:solidFill>
          </w14:textFill>
        </w:rPr>
        <w:t>努力</w:t>
      </w:r>
      <w:r>
        <w:rPr>
          <w:rStyle w:val="17"/>
          <w:rFonts w:hint="eastAsia" w:ascii="仿宋_GB2312" w:eastAsia="仿宋_GB2312"/>
          <w:color w:val="000000" w:themeColor="text1"/>
          <w:sz w:val="32"/>
          <w:szCs w:val="32"/>
          <w14:textFill>
            <w14:solidFill>
              <w14:schemeClr w14:val="tx1"/>
            </w14:solidFill>
          </w14:textFill>
        </w:rPr>
        <w:t>惠及广大人民群众。</w:t>
      </w:r>
      <w:r>
        <w:rPr>
          <w:rStyle w:val="17"/>
          <w:rFonts w:hint="eastAsia" w:ascii="仿宋_GB2312" w:eastAsia="仿宋_GB2312"/>
          <w:color w:val="000000" w:themeColor="text1"/>
          <w:sz w:val="32"/>
          <w:szCs w:val="32"/>
          <w:lang w:val="en-US"/>
          <w14:textFill>
            <w14:solidFill>
              <w14:schemeClr w14:val="tx1"/>
            </w14:solidFill>
          </w14:textFill>
        </w:rPr>
        <w:t>截止10月31日，</w:t>
      </w:r>
      <w:r>
        <w:rPr>
          <w:rFonts w:hint="eastAsia" w:ascii="仿宋_GB2312" w:hAnsi="仿宋_GB2312" w:eastAsia="仿宋_GB2312" w:cs="仿宋_GB2312"/>
          <w:kern w:val="0"/>
          <w:sz w:val="32"/>
          <w:szCs w:val="32"/>
          <w:lang w:val="en-US" w:eastAsia="zh-CN"/>
        </w:rPr>
        <w:t>高危</w:t>
      </w:r>
      <w:r>
        <w:rPr>
          <w:rStyle w:val="17"/>
          <w:rFonts w:hint="eastAsia" w:ascii="仿宋_GB2312" w:eastAsia="仿宋_GB2312" w:cs="Times New Roman"/>
          <w:color w:val="000000" w:themeColor="text1"/>
          <w:sz w:val="32"/>
          <w:szCs w:val="32"/>
          <w14:textFill>
            <w14:solidFill>
              <w14:schemeClr w14:val="tx1"/>
            </w14:solidFill>
          </w14:textFill>
        </w:rPr>
        <w:t>孕产妇免费</w:t>
      </w:r>
      <w:r>
        <w:rPr>
          <w:rStyle w:val="17"/>
          <w:rFonts w:hint="eastAsia" w:ascii="仿宋_GB2312" w:eastAsia="仿宋_GB2312" w:cs="Times New Roman"/>
          <w:color w:val="000000" w:themeColor="text1"/>
          <w:sz w:val="32"/>
          <w:szCs w:val="32"/>
          <w:lang w:val="en-US"/>
          <w14:textFill>
            <w14:solidFill>
              <w14:schemeClr w14:val="tx1"/>
            </w14:solidFill>
          </w14:textFill>
        </w:rPr>
        <w:t>筛查</w:t>
      </w:r>
      <w:r>
        <w:rPr>
          <w:rFonts w:hint="eastAsia" w:ascii="仿宋_GB2312" w:hAnsi="仿宋_GB2312" w:eastAsia="仿宋_GB2312" w:cs="仿宋_GB2312"/>
          <w:kern w:val="0"/>
          <w:sz w:val="32"/>
          <w:szCs w:val="32"/>
          <w:lang w:val="en-US" w:eastAsia="zh-CN"/>
        </w:rPr>
        <w:t>2539人，已完成90.68%；新生儿先心病免费筛查2647人，已完成94.54%；</w:t>
      </w:r>
      <w:r>
        <w:rPr>
          <w:rFonts w:hint="eastAsia" w:ascii="仿宋_GB2312" w:hAnsi="仿宋_GB2312" w:eastAsia="仿宋_GB2312" w:cs="仿宋_GB2312"/>
          <w:b w:val="0"/>
          <w:bCs w:val="0"/>
          <w:i w:val="0"/>
          <w:caps w:val="0"/>
          <w:spacing w:val="0"/>
          <w:w w:val="100"/>
          <w:sz w:val="32"/>
          <w:szCs w:val="32"/>
        </w:rPr>
        <w:t>农村适龄妇女和城镇低保适龄妇女“两癌”免费检查</w:t>
      </w:r>
      <w:r>
        <w:rPr>
          <w:rFonts w:hint="eastAsia" w:ascii="仿宋_GB2312" w:hAnsi="仿宋_GB2312" w:eastAsia="仿宋_GB2312" w:cs="仿宋_GB2312"/>
          <w:kern w:val="0"/>
          <w:sz w:val="32"/>
          <w:szCs w:val="32"/>
          <w:lang w:val="en-US" w:eastAsia="zh-CN"/>
        </w:rPr>
        <w:t>1981人，完成率已达100.05%；新生儿耳聋基因免费筛查2712人，已完成90.4%，未完成的任务将会在12月30前保质保量完成。</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560"/>
        <w:textAlignment w:val="auto"/>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bCs/>
          <w:kern w:val="2"/>
          <w:sz w:val="32"/>
          <w:szCs w:val="32"/>
          <w:lang w:val="en-US" w:eastAsia="zh-CN"/>
        </w:rPr>
        <w:t>四是生育优化惠民政策更加全面。</w:t>
      </w:r>
      <w:r>
        <w:rPr>
          <w:rStyle w:val="17"/>
          <w:rFonts w:hint="eastAsia" w:ascii="仿宋_GB2312" w:eastAsia="仿宋_GB2312"/>
          <w:color w:val="000000" w:themeColor="text1"/>
          <w:sz w:val="32"/>
          <w:szCs w:val="32"/>
          <w:lang w:val="en-US" w:eastAsia="zh-CN"/>
          <w14:textFill>
            <w14:solidFill>
              <w14:schemeClr w14:val="tx1"/>
            </w14:solidFill>
          </w14:textFill>
        </w:rPr>
        <w:t>按照区委要求积极</w:t>
      </w:r>
      <w:r>
        <w:rPr>
          <w:rStyle w:val="17"/>
          <w:rFonts w:hint="eastAsia" w:ascii="仿宋_GB2312" w:eastAsia="仿宋_GB2312"/>
          <w:color w:val="000000" w:themeColor="text1"/>
          <w:sz w:val="32"/>
          <w:szCs w:val="32"/>
          <w14:textFill>
            <w14:solidFill>
              <w14:schemeClr w14:val="tx1"/>
            </w14:solidFill>
          </w14:textFill>
        </w:rPr>
        <w:t>落实我区关于优化生育政策促进人口长期均衡发展的具体措施</w:t>
      </w:r>
      <w:r>
        <w:rPr>
          <w:rStyle w:val="17"/>
          <w:rFonts w:hint="eastAsia" w:ascii="仿宋_GB2312" w:eastAsia="仿宋_GB2312"/>
          <w:color w:val="000000" w:themeColor="text1"/>
          <w:sz w:val="32"/>
          <w:szCs w:val="32"/>
          <w:lang w:eastAsia="zh-CN"/>
          <w14:textFill>
            <w14:solidFill>
              <w14:schemeClr w14:val="tx1"/>
            </w14:solidFill>
          </w14:textFill>
        </w:rPr>
        <w:t>，</w:t>
      </w:r>
      <w:r>
        <w:rPr>
          <w:rStyle w:val="17"/>
          <w:rFonts w:hint="eastAsia" w:ascii="仿宋_GB2312" w:eastAsia="仿宋_GB2312"/>
          <w:color w:val="000000" w:themeColor="text1"/>
          <w:sz w:val="32"/>
          <w:szCs w:val="32"/>
          <w:lang w:val="en-US" w:eastAsia="zh-CN"/>
          <w14:textFill>
            <w14:solidFill>
              <w14:schemeClr w14:val="tx1"/>
            </w14:solidFill>
          </w14:textFill>
        </w:rPr>
        <w:t>多次</w:t>
      </w:r>
      <w:r>
        <w:rPr>
          <w:rStyle w:val="17"/>
          <w:rFonts w:hint="eastAsia" w:ascii="仿宋_GB2312" w:eastAsia="仿宋_GB2312"/>
          <w:color w:val="000000" w:themeColor="text1"/>
          <w:sz w:val="32"/>
          <w:szCs w:val="32"/>
          <w14:textFill>
            <w14:solidFill>
              <w14:schemeClr w14:val="tx1"/>
            </w14:solidFill>
          </w14:textFill>
        </w:rPr>
        <w:t>组织各街道（乡）综合事业服务中心主任召开专题讨论会和征求财政、发改、教育、民政等10个区直部门意见，形成</w:t>
      </w:r>
      <w:r>
        <w:rPr>
          <w:rStyle w:val="17"/>
          <w:rFonts w:hint="eastAsia" w:ascii="仿宋_GB2312" w:eastAsia="仿宋_GB2312"/>
          <w:color w:val="000000" w:themeColor="text1"/>
          <w:sz w:val="32"/>
          <w:szCs w:val="32"/>
          <w:lang w:val="en-US" w:eastAsia="zh-CN"/>
          <w14:textFill>
            <w14:solidFill>
              <w14:schemeClr w14:val="tx1"/>
            </w14:solidFill>
          </w14:textFill>
        </w:rPr>
        <w:t>了</w:t>
      </w:r>
      <w:r>
        <w:rPr>
          <w:rStyle w:val="17"/>
          <w:rFonts w:hint="eastAsia" w:ascii="仿宋_GB2312" w:eastAsia="仿宋_GB2312"/>
          <w:color w:val="000000" w:themeColor="text1"/>
          <w:sz w:val="32"/>
          <w:szCs w:val="32"/>
          <w14:textFill>
            <w14:solidFill>
              <w14:schemeClr w14:val="tx1"/>
            </w14:solidFill>
          </w14:textFill>
        </w:rPr>
        <w:t>初步的方案</w:t>
      </w:r>
      <w:r>
        <w:rPr>
          <w:rStyle w:val="17"/>
          <w:rFonts w:hint="eastAsia" w:ascii="仿宋_GB2312" w:eastAsia="仿宋_GB2312"/>
          <w:color w:val="000000" w:themeColor="text1"/>
          <w:sz w:val="32"/>
          <w:szCs w:val="32"/>
          <w:lang w:eastAsia="zh-CN"/>
          <w14:textFill>
            <w14:solidFill>
              <w14:schemeClr w14:val="tx1"/>
            </w14:solidFill>
          </w14:textFill>
        </w:rPr>
        <w:t>，</w:t>
      </w:r>
      <w:r>
        <w:rPr>
          <w:rStyle w:val="17"/>
          <w:rFonts w:hint="eastAsia" w:ascii="仿宋_GB2312" w:eastAsia="仿宋_GB2312"/>
          <w:color w:val="000000" w:themeColor="text1"/>
          <w:sz w:val="32"/>
          <w:szCs w:val="32"/>
          <w:lang w:val="en-US" w:eastAsia="zh-CN"/>
          <w14:textFill>
            <w14:solidFill>
              <w14:schemeClr w14:val="tx1"/>
            </w14:solidFill>
          </w14:textFill>
        </w:rPr>
        <w:t>已交区政府办审核</w:t>
      </w:r>
      <w:r>
        <w:rPr>
          <w:rStyle w:val="17"/>
          <w:rFonts w:hint="eastAsia" w:ascii="仿宋_GB2312" w:eastAsia="仿宋_GB2312"/>
          <w:color w:val="000000" w:themeColor="text1"/>
          <w:sz w:val="32"/>
          <w:szCs w:val="32"/>
          <w14:textFill>
            <w14:solidFill>
              <w14:schemeClr w14:val="tx1"/>
            </w14:solidFill>
          </w14:textFill>
        </w:rPr>
        <w:t>。同时今</w:t>
      </w:r>
      <w:r>
        <w:rPr>
          <w:rStyle w:val="17"/>
          <w:rFonts w:hint="eastAsia" w:ascii="仿宋_GB2312" w:eastAsia="仿宋_GB2312"/>
          <w:color w:val="000000" w:themeColor="text1"/>
          <w:sz w:val="32"/>
          <w:szCs w:val="32"/>
          <w:lang w:val="en-US" w:eastAsia="zh-CN"/>
          <w14:textFill>
            <w14:solidFill>
              <w14:schemeClr w14:val="tx1"/>
            </w14:solidFill>
          </w14:textFill>
        </w:rPr>
        <w:t>年已全面落实奖励扶助城镇独生子女6.1万人，基本完成惠农惠民一卡通核实、办理工作，共办卡4800余张。</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560"/>
        <w:textAlignment w:val="auto"/>
        <w:rPr>
          <w:rFonts w:hint="eastAsia" w:ascii="仿宋" w:hAnsi="仿宋" w:eastAsia="仿宋" w:cs="仿宋"/>
          <w:sz w:val="32"/>
          <w:szCs w:val="32"/>
        </w:rPr>
      </w:pPr>
      <w:r>
        <w:rPr>
          <w:rFonts w:hint="eastAsia" w:ascii="楷体_GB2312" w:hAnsi="楷体_GB2312" w:eastAsia="楷体_GB2312" w:cs="楷体_GB2312"/>
          <w:b/>
          <w:bCs/>
          <w:sz w:val="32"/>
          <w:szCs w:val="32"/>
          <w:lang w:val="en-US" w:eastAsia="zh-CN"/>
        </w:rPr>
        <w:t>（四）守正创新，推动医药卫生体制改革“长风破浪”</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 w:hAnsi="仿宋" w:eastAsia="仿宋" w:cs="仿宋"/>
          <w:sz w:val="32"/>
          <w:szCs w:val="32"/>
          <w:lang w:val="en-US" w:eastAsia="zh-CN"/>
        </w:rPr>
      </w:pPr>
      <w:r>
        <w:rPr>
          <w:rFonts w:hint="eastAsia" w:ascii="仿宋_GB2312" w:hAnsi="仿宋_GB2312" w:eastAsia="仿宋_GB2312" w:cs="仿宋_GB2312"/>
          <w:b/>
          <w:bCs/>
          <w:kern w:val="2"/>
          <w:sz w:val="32"/>
          <w:szCs w:val="32"/>
          <w:lang w:val="en-US" w:eastAsia="zh-CN"/>
        </w:rPr>
        <w:t>一是持续深化医药卫生体制改革。</w:t>
      </w:r>
      <w:r>
        <w:rPr>
          <w:rFonts w:hint="eastAsia" w:ascii="仿宋" w:hAnsi="仿宋" w:eastAsia="仿宋" w:cs="仿宋"/>
          <w:sz w:val="32"/>
          <w:szCs w:val="32"/>
          <w:lang w:val="en-US" w:eastAsia="zh-CN"/>
        </w:rPr>
        <w:t>坚持惠民、惠医、惠政，促进“以治病为中心”向“以人民健康为中心”转变。不断深化医疗、医保、医药联动改革。稳步推进公立医院综合改革，确定岳阳口腔医院为岳阳楼区现代医院管理试点医院。优化整合省、市、区三级优质医疗资源,着力推进“基层首诊、</w:t>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"https://baike.sogou.com/lemma/ShowInnerLink.htm?lemmaId=283241&amp;ss_c=ssc.citiao.link" \t "https://baike.sogou.com/_blank"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双向转诊</w:t>
      </w:r>
      <w:r>
        <w:rPr>
          <w:rFonts w:hint="eastAsia" w:ascii="仿宋" w:hAnsi="仿宋" w:eastAsia="仿宋" w:cs="仿宋"/>
          <w:sz w:val="32"/>
          <w:szCs w:val="32"/>
          <w:lang w:val="en-US" w:eastAsia="zh-CN"/>
        </w:rPr>
        <w:fldChar w:fldCharType="end"/>
      </w:r>
      <w:r>
        <w:rPr>
          <w:rFonts w:hint="eastAsia" w:ascii="仿宋" w:hAnsi="仿宋" w:eastAsia="仿宋" w:cs="仿宋"/>
          <w:sz w:val="32"/>
          <w:szCs w:val="32"/>
          <w:lang w:val="en-US" w:eastAsia="zh-CN"/>
        </w:rPr>
        <w:t>、急慢分治、上下联动”的分级诊疗制度落实落地，11家基层医疗机构与市中心医院和市人民医院、16家社区卫生服务中心（卫生院）与市中医院建立了医联体，社区居民在家门口即可享受“一级收费、三甲服务”的医疗卫生服务。</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ascii="仿宋_GB2312" w:hAnsi="仿宋_GB2312" w:eastAsia="仿宋_GB2312" w:cs="仿宋_GB2312"/>
          <w:b/>
          <w:bCs/>
          <w:kern w:val="2"/>
          <w:sz w:val="32"/>
          <w:szCs w:val="32"/>
          <w:lang w:val="en-US" w:eastAsia="zh-CN"/>
        </w:rPr>
        <w:t>二是引进培养高素质人才。</w:t>
      </w:r>
      <w:r>
        <w:rPr>
          <w:rFonts w:hint="eastAsia" w:ascii="仿宋_GB2312" w:hAnsi="仿宋_GB2312" w:eastAsia="仿宋_GB2312" w:cs="仿宋_GB2312"/>
          <w:b w:val="0"/>
          <w:bCs w:val="0"/>
          <w:color w:val="auto"/>
          <w:kern w:val="2"/>
          <w:sz w:val="32"/>
          <w:szCs w:val="32"/>
          <w:lang w:val="en-US" w:eastAsia="zh-CN" w:bidi="ar-SA"/>
        </w:rPr>
        <w:t>今年来，区卫健局坚持以“人才兴医，人才强卫”为引领，积极构建“引育用留”全链条机制，着力在人才引进、培养、使用和服务等三个环节下功夫，力促人才总量和质量全面提升。通过“四海揽才”招聘引进9名专业技术人才；公开招聘引进2名疾控专业技术人才；从区外选调2名专业技术人才。依托岳阳市中心医院规范化培训基地，为基层培养高素质专业技术人才，拟将4名农村订单定向委培本科生纳入编制管理。</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0" w:firstLineChars="200"/>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color w:val="auto"/>
          <w:kern w:val="2"/>
          <w:sz w:val="32"/>
          <w:szCs w:val="32"/>
          <w:lang w:val="en-US" w:eastAsia="zh-CN" w:bidi="ar-SA"/>
        </w:rPr>
        <w:t>1.基层医疗服务体系建设还有差距。</w:t>
      </w:r>
      <w:r>
        <w:rPr>
          <w:rFonts w:hint="eastAsia" w:ascii="仿宋_GB2312" w:hAnsi="仿宋_GB2312" w:eastAsia="仿宋_GB2312" w:cs="仿宋_GB2312"/>
          <w:b w:val="0"/>
          <w:bCs w:val="0"/>
          <w:color w:val="auto"/>
          <w:kern w:val="2"/>
          <w:sz w:val="32"/>
          <w:szCs w:val="32"/>
          <w:lang w:val="en-US" w:eastAsia="zh-CN" w:bidi="ar-SA"/>
        </w:rPr>
        <w:t>机构建设发展举步维艰，部分机构业务用房较差、器械设备陈旧短缺，基层医疗机构基础建设有待加强。全系统高级专业技术人才总量偏少,层次结构不优，疾控专业技术人员不足，服务能力有待提高。</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color w:val="auto"/>
          <w:kern w:val="2"/>
          <w:sz w:val="32"/>
          <w:szCs w:val="32"/>
          <w:lang w:val="en-US" w:eastAsia="zh-CN" w:bidi="ar-SA"/>
        </w:rPr>
        <w:t>2.深化医药卫生体制改革工作还有差距。</w:t>
      </w:r>
      <w:r>
        <w:rPr>
          <w:rFonts w:hint="eastAsia" w:ascii="仿宋_GB2312" w:hAnsi="仿宋_GB2312" w:eastAsia="仿宋_GB2312" w:cs="仿宋_GB2312"/>
          <w:b w:val="0"/>
          <w:bCs w:val="0"/>
          <w:color w:val="auto"/>
          <w:kern w:val="2"/>
          <w:sz w:val="32"/>
          <w:szCs w:val="32"/>
          <w:lang w:val="en-US" w:eastAsia="zh-CN" w:bidi="ar-SA"/>
        </w:rPr>
        <w:t>主要是全区卫健系统信息化基础建设还较为落后；我区信息化建设平台与市级智慧医疗信息平台在信息互通共享仍然存在卡点，优质医疗资源难以及时上下贯通，制约了区域性医联体建设发展。推动“三医”联动改革的力度还不够，部门之间联动不够畅通，公立医院改革和深化人事薪酬改革措施不够深。</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color w:val="auto"/>
          <w:kern w:val="2"/>
          <w:sz w:val="32"/>
          <w:szCs w:val="32"/>
          <w:lang w:val="en-US" w:eastAsia="zh-CN" w:bidi="ar-SA"/>
        </w:rPr>
        <w:t>3.“将健康融入所有政策”还有差距。</w:t>
      </w:r>
      <w:r>
        <w:rPr>
          <w:rFonts w:hint="eastAsia" w:ascii="仿宋_GB2312" w:hAnsi="仿宋_GB2312" w:eastAsia="仿宋_GB2312" w:cs="仿宋_GB2312"/>
          <w:b w:val="0"/>
          <w:bCs w:val="0"/>
          <w:color w:val="auto"/>
          <w:kern w:val="2"/>
          <w:sz w:val="32"/>
          <w:szCs w:val="32"/>
          <w:lang w:val="en-US" w:eastAsia="zh-CN" w:bidi="ar-SA"/>
        </w:rPr>
        <w:t>随着新冠肺炎疫情的持续蔓延，人民生活水平的不断提高，人民对健康服务需求的日益增长。公共卫生应急体系建设还不够健全，突发公共卫生的处置能力还需加强，与之相适应的财政投入长效机制、医保支付方式改革、区域医联体建设、双向转诊制度等相关卫生健康支持政策还需进一步得到落实。</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0" w:firstLineChars="200"/>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color w:val="auto"/>
          <w:kern w:val="2"/>
          <w:sz w:val="32"/>
          <w:szCs w:val="32"/>
          <w:lang w:val="en-US" w:eastAsia="zh-CN" w:bidi="ar-SA"/>
        </w:rPr>
        <w:t>1.</w:t>
      </w:r>
      <w:r>
        <w:rPr>
          <w:rFonts w:hint="default" w:ascii="楷体_GB2312" w:hAnsi="楷体_GB2312" w:eastAsia="楷体_GB2312" w:cs="楷体_GB2312"/>
          <w:b/>
          <w:bCs/>
          <w:color w:val="auto"/>
          <w:kern w:val="2"/>
          <w:sz w:val="32"/>
          <w:szCs w:val="32"/>
          <w:lang w:val="en-US" w:eastAsia="zh-CN" w:bidi="ar-SA"/>
        </w:rPr>
        <w:t>严格落实常态化疫情防控</w:t>
      </w:r>
      <w:r>
        <w:rPr>
          <w:rFonts w:hint="eastAsia" w:ascii="楷体_GB2312" w:hAnsi="楷体_GB2312" w:eastAsia="楷体_GB2312" w:cs="楷体_GB2312"/>
          <w:b/>
          <w:bCs/>
          <w:color w:val="auto"/>
          <w:kern w:val="2"/>
          <w:sz w:val="32"/>
          <w:szCs w:val="32"/>
          <w:lang w:val="en-US" w:eastAsia="zh-CN" w:bidi="ar-SA"/>
        </w:rPr>
        <w:t>。</w:t>
      </w:r>
      <w:r>
        <w:rPr>
          <w:rFonts w:hint="eastAsia" w:ascii="仿宋_GB2312" w:hAnsi="仿宋_GB2312" w:eastAsia="仿宋_GB2312" w:cs="仿宋_GB2312"/>
          <w:b w:val="0"/>
          <w:bCs w:val="0"/>
          <w:color w:val="auto"/>
          <w:kern w:val="2"/>
          <w:sz w:val="32"/>
          <w:szCs w:val="32"/>
          <w:lang w:val="en-US" w:eastAsia="zh-CN" w:bidi="ar-SA"/>
        </w:rPr>
        <w:t xml:space="preserve">围绕“四防”“五早”“五快”“八实”的工作要求，始终坚持立足于防、始终坚持发现于早、始终坚持制胜于快、始终坚持落脚于实，进一步规范管理、扩大风险筛查面、健全工作机制、强化应急预案和应急准备、加强指挥系统建设，全力筑牢疫情防控安全防线。  </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default"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color w:val="auto"/>
          <w:kern w:val="2"/>
          <w:sz w:val="32"/>
          <w:szCs w:val="32"/>
          <w:lang w:val="en-US" w:eastAsia="zh-CN" w:bidi="ar-SA"/>
        </w:rPr>
        <w:t>2.稳步</w:t>
      </w:r>
      <w:r>
        <w:rPr>
          <w:rFonts w:hint="default" w:ascii="楷体_GB2312" w:hAnsi="楷体_GB2312" w:eastAsia="楷体_GB2312" w:cs="楷体_GB2312"/>
          <w:b/>
          <w:bCs/>
          <w:color w:val="auto"/>
          <w:kern w:val="2"/>
          <w:sz w:val="32"/>
          <w:szCs w:val="32"/>
          <w:lang w:val="en-US" w:eastAsia="zh-CN" w:bidi="ar-SA"/>
        </w:rPr>
        <w:t>提升基层医疗卫生服务水平。</w:t>
      </w:r>
      <w:r>
        <w:rPr>
          <w:rFonts w:hint="eastAsia" w:ascii="仿宋_GB2312" w:hAnsi="仿宋_GB2312" w:eastAsia="仿宋_GB2312" w:cs="仿宋_GB2312"/>
          <w:b w:val="0"/>
          <w:bCs w:val="0"/>
          <w:color w:val="auto"/>
          <w:kern w:val="2"/>
          <w:sz w:val="32"/>
          <w:szCs w:val="32"/>
          <w:lang w:val="en-US" w:eastAsia="zh-CN" w:bidi="ar-SA"/>
        </w:rPr>
        <w:t>健全医疗服务网络，加快基层医疗机构建设投入，</w:t>
      </w:r>
      <w:r>
        <w:rPr>
          <w:rFonts w:hint="default" w:ascii="仿宋_GB2312" w:hAnsi="仿宋_GB2312" w:eastAsia="仿宋_GB2312" w:cs="仿宋_GB2312"/>
          <w:b w:val="0"/>
          <w:bCs w:val="0"/>
          <w:color w:val="auto"/>
          <w:kern w:val="2"/>
          <w:sz w:val="32"/>
          <w:szCs w:val="32"/>
          <w:lang w:val="en-US" w:eastAsia="zh-CN" w:bidi="ar-SA"/>
        </w:rPr>
        <w:t>持续开展业务用房改扩建和必要的医疗仪器设备配备，鼓励遴选已达到“优质服务基层行”活动推荐标准的社区卫生服务中心建成区域医疗次中心，使其达到二级医院水平。</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color w:val="auto"/>
          <w:kern w:val="2"/>
          <w:sz w:val="32"/>
          <w:szCs w:val="32"/>
          <w:lang w:val="en-US" w:eastAsia="zh-CN" w:bidi="ar-SA"/>
        </w:rPr>
        <w:t>3.健全完善公共卫生服务体系。</w:t>
      </w:r>
      <w:r>
        <w:rPr>
          <w:rFonts w:hint="eastAsia" w:ascii="仿宋_GB2312" w:hAnsi="仿宋_GB2312" w:eastAsia="仿宋_GB2312" w:cs="仿宋_GB2312"/>
          <w:sz w:val="32"/>
          <w:szCs w:val="32"/>
          <w:lang w:val="en-US" w:eastAsia="zh-CN"/>
        </w:rPr>
        <w:t>不断完善公共卫生服务体系建设，</w:t>
      </w:r>
      <w:r>
        <w:rPr>
          <w:rFonts w:hint="eastAsia" w:ascii="仿宋_GB2312" w:hAnsi="仿宋_GB2312" w:eastAsia="仿宋_GB2312" w:cs="仿宋_GB2312"/>
          <w:sz w:val="32"/>
          <w:szCs w:val="32"/>
        </w:rPr>
        <w:t>形成以专业公共卫生机构为核心、以基层医疗卫生机构为网底的公共卫生服务体系。</w:t>
      </w:r>
      <w:r>
        <w:rPr>
          <w:rFonts w:hint="eastAsia" w:ascii="仿宋_GB2312" w:hAnsi="仿宋_GB2312" w:eastAsia="仿宋_GB2312" w:cs="仿宋_GB2312"/>
          <w:sz w:val="32"/>
          <w:szCs w:val="32"/>
          <w:lang w:val="en-US" w:eastAsia="zh-CN"/>
        </w:rPr>
        <w:t>不断提高公共卫生服务均等化可及性，充分发挥岳阳楼区网格化管理网络优势，将国家基本公共卫生服务融入网格，做实国家基本公共卫生服务工作。</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color w:val="auto"/>
          <w:kern w:val="2"/>
          <w:sz w:val="32"/>
          <w:szCs w:val="32"/>
          <w:highlight w:val="none"/>
          <w:lang w:val="en-US" w:eastAsia="zh-CN" w:bidi="ar-SA"/>
        </w:rPr>
        <w:t>4.持续</w:t>
      </w:r>
      <w:r>
        <w:rPr>
          <w:rFonts w:hint="default" w:ascii="楷体_GB2312" w:hAnsi="楷体_GB2312" w:eastAsia="楷体_GB2312" w:cs="楷体_GB2312"/>
          <w:b/>
          <w:bCs/>
          <w:color w:val="auto"/>
          <w:kern w:val="2"/>
          <w:sz w:val="32"/>
          <w:szCs w:val="32"/>
          <w:highlight w:val="none"/>
          <w:lang w:val="en-US" w:eastAsia="zh-CN" w:bidi="ar-SA"/>
        </w:rPr>
        <w:t>推进医药卫生体制改革</w:t>
      </w:r>
      <w:r>
        <w:rPr>
          <w:rFonts w:hint="eastAsia" w:ascii="楷体_GB2312" w:hAnsi="楷体_GB2312" w:eastAsia="楷体_GB2312" w:cs="楷体_GB2312"/>
          <w:b/>
          <w:bCs/>
          <w:color w:val="auto"/>
          <w:kern w:val="2"/>
          <w:sz w:val="32"/>
          <w:szCs w:val="32"/>
          <w:highlight w:val="none"/>
          <w:lang w:val="en-US" w:eastAsia="zh-CN" w:bidi="ar-SA"/>
        </w:rPr>
        <w:t>。</w:t>
      </w:r>
      <w:r>
        <w:rPr>
          <w:rFonts w:hint="eastAsia" w:ascii="仿宋_GB2312" w:hAnsi="仿宋_GB2312" w:eastAsia="仿宋_GB2312" w:cs="仿宋_GB2312"/>
          <w:sz w:val="32"/>
          <w:szCs w:val="32"/>
          <w:lang w:val="en-US" w:eastAsia="zh-CN"/>
        </w:rPr>
        <w:t>大力推广三明医改经验，加快推进医疗、医保、医药联动改革，开展药品耗材集中带量采购，深化人事薪酬制度改革，强化医药卫生综合监管；构建优质高效分级诊疗体系，筑厚基层医疗卫生网底，加强紧密型医联体建设；织密公共卫生防护网络，推进医药卫生高质量发展，提升疾病预防控制能力，科学防控新冠肺炎疫情，深入推进健康楼区行动；完善政府投入保障机制，推动公立医院改革发展，健全多层次医疗保障体系。</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0" w:firstLineChars="200"/>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numPr>
          <w:ilvl w:val="0"/>
          <w:numId w:val="0"/>
        </w:numPr>
        <w:pBdr>
          <w:bottom w:val="single" w:color="FFFFFF" w:sz="4" w:space="31"/>
        </w:pBdr>
        <w:kinsoku/>
        <w:wordWrap/>
        <w:overflowPunct/>
        <w:topLinePunct w:val="0"/>
        <w:autoSpaceDE/>
        <w:autoSpaceDN/>
        <w:bidi w:val="0"/>
        <w:adjustRightInd/>
        <w:snapToGrid/>
        <w:spacing w:line="558" w:lineRule="exact"/>
        <w:ind w:left="0" w:leftChars="0" w:firstLine="640" w:firstLineChars="200"/>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医改工作经费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pPr>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岳阳楼区卫生健康局</w:t>
            </w:r>
          </w:p>
        </w:tc>
        <w:tc>
          <w:tcPr>
            <w:tcW w:w="1140" w:type="dxa"/>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pPr>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spacing w:line="254" w:lineRule="auto"/>
              <w:jc w:val="center"/>
              <w:rPr>
                <w:rFonts w:hint="eastAsia" w:ascii="Arial"/>
                <w:color w:val="000000" w:themeColor="text1"/>
                <w:szCs w:val="21"/>
                <w14:textFill>
                  <w14:solidFill>
                    <w14:schemeClr w14:val="tx1"/>
                  </w14:solidFill>
                </w14:textFill>
              </w:rPr>
            </w:pPr>
          </w:p>
          <w:p>
            <w:pPr>
              <w:spacing w:line="255" w:lineRule="auto"/>
              <w:jc w:val="center"/>
              <w:rPr>
                <w:rFonts w:hint="eastAsia" w:ascii="Arial"/>
                <w:color w:val="000000" w:themeColor="text1"/>
                <w:szCs w:val="21"/>
                <w14:textFill>
                  <w14:solidFill>
                    <w14:schemeClr w14:val="tx1"/>
                  </w14:solidFill>
                </w14:textFill>
              </w:rPr>
            </w:pP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pPr>
              <w:spacing w:line="300" w:lineRule="exact"/>
              <w:jc w:val="center"/>
              <w:rPr>
                <w:rFonts w:hint="eastAsia" w:ascii="Arial"/>
                <w:color w:val="000000" w:themeColor="text1"/>
                <w:szCs w:val="21"/>
                <w14:textFill>
                  <w14:solidFill>
                    <w14:schemeClr w14:val="tx1"/>
                  </w14:solidFill>
                </w14:textFill>
              </w:rPr>
            </w:pP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31" w:type="dxa"/>
            <w:vAlign w:val="center"/>
          </w:tcPr>
          <w:p>
            <w:pPr>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p>
        </w:tc>
        <w:tc>
          <w:tcPr>
            <w:tcW w:w="685" w:type="dxa"/>
            <w:vAlign w:val="center"/>
          </w:tcPr>
          <w:p>
            <w:pPr>
              <w:jc w:val="center"/>
              <w:rPr>
                <w:rFonts w:ascii="宋体" w:hAnsi="宋体" w:eastAsia="宋体" w:cs="宋体"/>
                <w:color w:val="000000" w:themeColor="text1"/>
                <w:szCs w:val="21"/>
                <w14:textFill>
                  <w14:solidFill>
                    <w14:schemeClr w14:val="tx1"/>
                  </w14:solidFill>
                </w14:textFill>
              </w:rPr>
            </w:pP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p>
        </w:tc>
        <w:tc>
          <w:tcPr>
            <w:tcW w:w="685" w:type="dxa"/>
            <w:vAlign w:val="center"/>
          </w:tcPr>
          <w:p>
            <w:pPr>
              <w:jc w:val="center"/>
              <w:rPr>
                <w:rFonts w:ascii="宋体" w:hAnsi="宋体" w:eastAsia="宋体" w:cs="宋体"/>
                <w:color w:val="000000" w:themeColor="text1"/>
                <w:szCs w:val="21"/>
                <w14:textFill>
                  <w14:solidFill>
                    <w14:schemeClr w14:val="tx1"/>
                  </w14:solidFill>
                </w14:textFill>
              </w:rPr>
            </w:pP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jc w:val="center"/>
              <w:rPr>
                <w:rFonts w:hint="eastAsia" w:ascii="Arial"/>
                <w:color w:val="000000" w:themeColor="text1"/>
                <w:szCs w:val="21"/>
                <w14:textFill>
                  <w14:solidFill>
                    <w14:schemeClr w14:val="tx1"/>
                  </w14:solidFill>
                </w14:textFill>
              </w:rPr>
            </w:pPr>
          </w:p>
        </w:tc>
        <w:tc>
          <w:tcPr>
            <w:tcW w:w="4520" w:type="dxa"/>
            <w:gridSpan w:val="4"/>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50</w:t>
            </w:r>
            <w:r>
              <w:rPr>
                <w:rFonts w:hint="eastAsia" w:ascii="宋体" w:hAnsi="宋体" w:eastAsia="宋体" w:cs="宋体"/>
                <w:color w:val="000000" w:themeColor="text1"/>
                <w:szCs w:val="21"/>
                <w14:textFill>
                  <w14:solidFill>
                    <w14:schemeClr w14:val="tx1"/>
                  </w14:solidFill>
                </w14:textFill>
              </w:rPr>
              <w:t>万</w:t>
            </w:r>
          </w:p>
        </w:tc>
        <w:tc>
          <w:tcPr>
            <w:tcW w:w="3985" w:type="dxa"/>
            <w:gridSpan w:val="4"/>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50</w:t>
            </w:r>
            <w:r>
              <w:rPr>
                <w:rFonts w:hint="eastAsia" w:ascii="宋体" w:hAnsi="宋体" w:eastAsia="宋体" w:cs="宋体"/>
                <w:color w:val="000000" w:themeColor="text1"/>
                <w:szCs w:val="21"/>
                <w14:textFill>
                  <w14:solidFill>
                    <w14:schemeClr w14:val="tx1"/>
                  </w14:solidFill>
                </w14:textFill>
              </w:rPr>
              <w:t>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一级指标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二级指标</w:t>
            </w: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三级指标</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年度</w:t>
            </w:r>
          </w:p>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指标值</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实际</w:t>
            </w:r>
          </w:p>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完成值</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得分</w:t>
            </w:r>
          </w:p>
        </w:tc>
        <w:tc>
          <w:tcPr>
            <w:tcW w:w="1365" w:type="dxa"/>
            <w:vAlign w:val="center"/>
          </w:tcPr>
          <w:p>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2"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56"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50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2"/>
                <w:szCs w:val="21"/>
                <w14:textFill>
                  <w14:solidFill>
                    <w14:schemeClr w14:val="tx1"/>
                  </w14:solidFill>
                </w14:textFill>
              </w:rPr>
              <w:t>产出指标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(50分)</w:t>
            </w:r>
          </w:p>
        </w:tc>
        <w:tc>
          <w:tcPr>
            <w:tcW w:w="1080" w:type="dxa"/>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数量指标</w:t>
            </w:r>
          </w:p>
        </w:tc>
        <w:tc>
          <w:tcPr>
            <w:tcW w:w="1229" w:type="dxa"/>
            <w:vAlign w:val="center"/>
          </w:tcPr>
          <w:p>
            <w:pPr>
              <w:widowControl/>
              <w:spacing w:line="240" w:lineRule="exact"/>
              <w:jc w:val="center"/>
              <w:rPr>
                <w:rFonts w:hint="eastAsia" w:ascii="宋体" w:hAnsi="宋体" w:eastAsia="宋体" w:cs="宋体"/>
                <w:color w:val="FF0000"/>
                <w:kern w:val="0"/>
                <w:sz w:val="21"/>
                <w:szCs w:val="21"/>
                <w:lang w:val="en-US" w:eastAsia="zh-CN" w:bidi="ar-SA"/>
              </w:rPr>
            </w:pPr>
            <w:r>
              <w:rPr>
                <w:rFonts w:hint="eastAsia" w:ascii="宋体" w:hAnsi="宋体" w:eastAsia="宋体" w:cs="宋体"/>
                <w:color w:val="000000"/>
                <w:kern w:val="0"/>
                <w:sz w:val="21"/>
                <w:szCs w:val="21"/>
              </w:rPr>
              <w:t>公立医院资产负债率</w:t>
            </w:r>
          </w:p>
        </w:tc>
        <w:tc>
          <w:tcPr>
            <w:tcW w:w="1131" w:type="dxa"/>
            <w:vAlign w:val="center"/>
          </w:tcPr>
          <w:p>
            <w:pPr>
              <w:widowControl/>
              <w:spacing w:line="240" w:lineRule="exact"/>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低于40%</w:t>
            </w:r>
          </w:p>
        </w:tc>
        <w:tc>
          <w:tcPr>
            <w:tcW w:w="1140" w:type="dxa"/>
            <w:vAlign w:val="center"/>
          </w:tcPr>
          <w:p>
            <w:pPr>
              <w:widowControl/>
              <w:spacing w:line="240" w:lineRule="exact"/>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35.6%</w:t>
            </w:r>
          </w:p>
        </w:tc>
        <w:tc>
          <w:tcPr>
            <w:tcW w:w="685" w:type="dxa"/>
            <w:vAlign w:val="center"/>
          </w:tcPr>
          <w:p>
            <w:pPr>
              <w:spacing w:line="219"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15</w:t>
            </w:r>
          </w:p>
        </w:tc>
        <w:tc>
          <w:tcPr>
            <w:tcW w:w="795" w:type="dxa"/>
            <w:vAlign w:val="center"/>
          </w:tcPr>
          <w:p>
            <w:pPr>
              <w:spacing w:line="219"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15</w:t>
            </w:r>
          </w:p>
        </w:tc>
        <w:tc>
          <w:tcPr>
            <w:tcW w:w="1365" w:type="dxa"/>
            <w:vAlign w:val="center"/>
          </w:tcPr>
          <w:p>
            <w:pPr>
              <w:spacing w:line="21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质量指标</w:t>
            </w:r>
          </w:p>
        </w:tc>
        <w:tc>
          <w:tcPr>
            <w:tcW w:w="1229" w:type="dxa"/>
            <w:vAlign w:val="center"/>
          </w:tcPr>
          <w:p>
            <w:pPr>
              <w:spacing w:line="360" w:lineRule="auto"/>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kern w:val="0"/>
                <w:sz w:val="21"/>
                <w:szCs w:val="21"/>
              </w:rPr>
              <w:t>公立医院平均住院日</w:t>
            </w:r>
          </w:p>
        </w:tc>
        <w:tc>
          <w:tcPr>
            <w:tcW w:w="1131" w:type="dxa"/>
            <w:vAlign w:val="center"/>
          </w:tcPr>
          <w:p>
            <w:pPr>
              <w:spacing w:line="360" w:lineRule="auto"/>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kern w:val="0"/>
                <w:sz w:val="21"/>
                <w:szCs w:val="21"/>
                <w:lang w:val="en-US" w:eastAsia="zh-CN"/>
              </w:rPr>
              <w:t>小于或等于8天</w:t>
            </w:r>
          </w:p>
        </w:tc>
        <w:tc>
          <w:tcPr>
            <w:tcW w:w="1140" w:type="dxa"/>
            <w:vAlign w:val="center"/>
          </w:tcPr>
          <w:p>
            <w:pPr>
              <w:spacing w:line="360" w:lineRule="auto"/>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kern w:val="0"/>
                <w:sz w:val="21"/>
                <w:szCs w:val="21"/>
                <w:lang w:val="en-US" w:eastAsia="zh-CN"/>
              </w:rPr>
              <w:t>7.9天</w:t>
            </w:r>
          </w:p>
        </w:tc>
        <w:tc>
          <w:tcPr>
            <w:tcW w:w="685" w:type="dxa"/>
            <w:vAlign w:val="center"/>
          </w:tcPr>
          <w:p>
            <w:pPr>
              <w:spacing w:line="230"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15</w:t>
            </w:r>
          </w:p>
        </w:tc>
        <w:tc>
          <w:tcPr>
            <w:tcW w:w="795" w:type="dxa"/>
            <w:vAlign w:val="center"/>
          </w:tcPr>
          <w:p>
            <w:pPr>
              <w:spacing w:line="230"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15</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4"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20" w:lineRule="auto"/>
              <w:jc w:val="center"/>
              <w:rPr>
                <w:rFonts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时效指标</w:t>
            </w:r>
          </w:p>
        </w:tc>
        <w:tc>
          <w:tcPr>
            <w:tcW w:w="1229" w:type="dxa"/>
            <w:vAlign w:val="center"/>
          </w:tcPr>
          <w:p>
            <w:pPr>
              <w:spacing w:line="360" w:lineRule="auto"/>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2022年1月至12月完成目标</w:t>
            </w:r>
          </w:p>
        </w:tc>
        <w:tc>
          <w:tcPr>
            <w:tcW w:w="1131" w:type="dxa"/>
            <w:vAlign w:val="center"/>
          </w:tcPr>
          <w:p>
            <w:pPr>
              <w:spacing w:line="360" w:lineRule="auto"/>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140" w:type="dxa"/>
            <w:vAlign w:val="center"/>
          </w:tcPr>
          <w:p>
            <w:pPr>
              <w:spacing w:line="360" w:lineRule="auto"/>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2022年12月底完成预定目标</w:t>
            </w:r>
          </w:p>
        </w:tc>
        <w:tc>
          <w:tcPr>
            <w:tcW w:w="685" w:type="dxa"/>
            <w:vAlign w:val="center"/>
          </w:tcPr>
          <w:p>
            <w:pPr>
              <w:spacing w:line="239" w:lineRule="exact"/>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39" w:lineRule="exact"/>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36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19" w:lineRule="auto"/>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成本指标</w:t>
            </w:r>
          </w:p>
        </w:tc>
        <w:tc>
          <w:tcPr>
            <w:tcW w:w="1229" w:type="dxa"/>
            <w:vAlign w:val="center"/>
          </w:tcPr>
          <w:p>
            <w:pPr>
              <w:widowControl/>
              <w:spacing w:line="240" w:lineRule="exact"/>
              <w:jc w:val="center"/>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rPr>
              <w:t>公立医院百元医疗收入的医疗支出（均不含药品收入）</w:t>
            </w:r>
          </w:p>
        </w:tc>
        <w:tc>
          <w:tcPr>
            <w:tcW w:w="1131" w:type="dxa"/>
            <w:vAlign w:val="center"/>
          </w:tcPr>
          <w:p>
            <w:pPr>
              <w:widowControl/>
              <w:spacing w:line="240" w:lineRule="exact"/>
              <w:jc w:val="center"/>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rPr>
              <w:t>较上年降低</w:t>
            </w:r>
          </w:p>
        </w:tc>
        <w:tc>
          <w:tcPr>
            <w:tcW w:w="1140" w:type="dxa"/>
            <w:vAlign w:val="center"/>
          </w:tcPr>
          <w:p>
            <w:pPr>
              <w:widowControl/>
              <w:tabs>
                <w:tab w:val="left" w:pos="499"/>
              </w:tabs>
              <w:spacing w:line="240" w:lineRule="exact"/>
              <w:jc w:val="center"/>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rPr>
              <w:t>较上年降低</w:t>
            </w:r>
          </w:p>
        </w:tc>
        <w:tc>
          <w:tcPr>
            <w:tcW w:w="685" w:type="dxa"/>
            <w:vAlign w:val="center"/>
          </w:tcPr>
          <w:p>
            <w:pPr>
              <w:spacing w:line="220" w:lineRule="exact"/>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10</w:t>
            </w:r>
          </w:p>
        </w:tc>
        <w:tc>
          <w:tcPr>
            <w:tcW w:w="795" w:type="dxa"/>
            <w:vAlign w:val="center"/>
          </w:tcPr>
          <w:p>
            <w:pPr>
              <w:spacing w:line="220" w:lineRule="exact"/>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10</w:t>
            </w:r>
          </w:p>
        </w:tc>
        <w:tc>
          <w:tcPr>
            <w:tcW w:w="1365" w:type="dxa"/>
            <w:vAlign w:val="center"/>
          </w:tcPr>
          <w:p>
            <w:pPr>
              <w:spacing w:line="22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4"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300" w:lineRule="auto"/>
              <w:jc w:val="center"/>
              <w:rPr>
                <w:rFonts w:ascii="宋体" w:hAnsi="宋体" w:eastAsia="宋体" w:cs="宋体"/>
                <w:color w:val="000000" w:themeColor="text1"/>
                <w:szCs w:val="21"/>
                <w14:textFill>
                  <w14:solidFill>
                    <w14:schemeClr w14:val="tx1"/>
                  </w14:solidFill>
                </w14:textFill>
              </w:rPr>
            </w:pPr>
          </w:p>
          <w:p>
            <w:pPr>
              <w:spacing w:line="301" w:lineRule="auto"/>
              <w:jc w:val="center"/>
              <w:rPr>
                <w:rFonts w:ascii="宋体" w:hAnsi="宋体" w:eastAsia="宋体" w:cs="宋体"/>
                <w:color w:val="000000" w:themeColor="text1"/>
                <w:szCs w:val="21"/>
                <w14:textFill>
                  <w14:solidFill>
                    <w14:schemeClr w14:val="tx1"/>
                  </w14:solidFill>
                </w14:textFill>
              </w:rPr>
            </w:pPr>
          </w:p>
          <w:p>
            <w:pPr>
              <w:spacing w:line="301" w:lineRule="auto"/>
              <w:jc w:val="center"/>
              <w:rPr>
                <w:rFonts w:ascii="宋体" w:hAnsi="宋体" w:eastAsia="宋体" w:cs="宋体"/>
                <w:color w:val="000000" w:themeColor="text1"/>
                <w:szCs w:val="21"/>
                <w14:textFill>
                  <w14:solidFill>
                    <w14:schemeClr w14:val="tx1"/>
                  </w14:solidFill>
                </w14:textFill>
              </w:rPr>
            </w:pPr>
          </w:p>
          <w:p>
            <w:pPr>
              <w:spacing w:line="49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1"/>
                <w:szCs w:val="21"/>
                <w14:textFill>
                  <w14:solidFill>
                    <w14:schemeClr w14:val="tx1"/>
                  </w14:solidFill>
                </w14:textFill>
              </w:rPr>
              <w:t>效益指标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(40分)</w:t>
            </w: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4"/>
                <w:szCs w:val="21"/>
                <w14:textFill>
                  <w14:solidFill>
                    <w14:schemeClr w14:val="tx1"/>
                  </w14:solidFill>
                </w14:textFill>
              </w:rPr>
              <w:t>经济效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360" w:lineRule="auto"/>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缓解群众看病贵问题</w:t>
            </w:r>
          </w:p>
        </w:tc>
        <w:tc>
          <w:tcPr>
            <w:tcW w:w="1131"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140" w:type="dxa"/>
            <w:vAlign w:val="center"/>
          </w:tcPr>
          <w:p>
            <w:pPr>
              <w:spacing w:line="360" w:lineRule="auto"/>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有效缓解群众看病贵问题</w:t>
            </w:r>
          </w:p>
        </w:tc>
        <w:tc>
          <w:tcPr>
            <w:tcW w:w="68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36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2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社会效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360" w:lineRule="auto"/>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提升群众幸福感</w:t>
            </w:r>
          </w:p>
        </w:tc>
        <w:tc>
          <w:tcPr>
            <w:tcW w:w="1131"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140" w:type="dxa"/>
            <w:vAlign w:val="center"/>
          </w:tcPr>
          <w:p>
            <w:pPr>
              <w:spacing w:line="360" w:lineRule="auto"/>
              <w:jc w:val="both"/>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有效提升群众幸福感</w:t>
            </w:r>
          </w:p>
        </w:tc>
        <w:tc>
          <w:tcPr>
            <w:tcW w:w="68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37"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生态效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36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此项目与生态环境无直接影响</w:t>
            </w:r>
          </w:p>
        </w:tc>
        <w:tc>
          <w:tcPr>
            <w:tcW w:w="1131"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140" w:type="dxa"/>
            <w:vAlign w:val="center"/>
          </w:tcPr>
          <w:p>
            <w:pPr>
              <w:spacing w:line="36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此项目不会给生态环境带来直接影响</w:t>
            </w:r>
          </w:p>
        </w:tc>
        <w:tc>
          <w:tcPr>
            <w:tcW w:w="68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可持续</w:t>
            </w:r>
          </w:p>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影响指标</w:t>
            </w:r>
          </w:p>
        </w:tc>
        <w:tc>
          <w:tcPr>
            <w:tcW w:w="1229" w:type="dxa"/>
            <w:vAlign w:val="center"/>
          </w:tcPr>
          <w:p>
            <w:pPr>
              <w:spacing w:line="360" w:lineRule="auto"/>
              <w:jc w:val="center"/>
              <w:rPr>
                <w:rFonts w:ascii="宋体" w:hAnsi="宋体" w:eastAsia="宋体" w:cs="宋体"/>
                <w:color w:val="000000" w:themeColor="text1"/>
                <w:szCs w:val="21"/>
                <w14:textFill>
                  <w14:solidFill>
                    <w14:schemeClr w14:val="tx1"/>
                  </w14:solidFill>
                </w14:textFill>
              </w:rPr>
            </w:pPr>
          </w:p>
        </w:tc>
        <w:tc>
          <w:tcPr>
            <w:tcW w:w="1131"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140" w:type="dxa"/>
            <w:vAlign w:val="center"/>
          </w:tcPr>
          <w:p>
            <w:pPr>
              <w:spacing w:line="360" w:lineRule="auto"/>
              <w:jc w:val="center"/>
              <w:rPr>
                <w:rFonts w:ascii="宋体" w:hAnsi="宋体" w:eastAsia="宋体" w:cs="宋体"/>
                <w:color w:val="000000" w:themeColor="text1"/>
                <w:szCs w:val="21"/>
                <w14:textFill>
                  <w14:solidFill>
                    <w14:schemeClr w14:val="tx1"/>
                  </w14:solidFill>
                </w14:textFill>
              </w:rPr>
            </w:pPr>
          </w:p>
        </w:tc>
        <w:tc>
          <w:tcPr>
            <w:tcW w:w="68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指标</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服务对象</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指标</w:t>
            </w:r>
          </w:p>
        </w:tc>
        <w:tc>
          <w:tcPr>
            <w:tcW w:w="1229" w:type="dxa"/>
            <w:vAlign w:val="center"/>
          </w:tcPr>
          <w:p>
            <w:pPr>
              <w:spacing w:line="360" w:lineRule="auto"/>
              <w:jc w:val="center"/>
              <w:rPr>
                <w:rFonts w:hint="default" w:ascii="宋体" w:hAnsi="宋体" w:eastAsia="仿宋_GB2312" w:cs="宋体"/>
                <w:color w:val="000000" w:themeColor="text1"/>
                <w:szCs w:val="21"/>
                <w:lang w:val="en-US" w:eastAsia="zh-CN"/>
                <w14:textFill>
                  <w14:solidFill>
                    <w14:schemeClr w14:val="tx1"/>
                  </w14:solidFill>
                </w14:textFill>
              </w:rPr>
            </w:pPr>
            <w:r>
              <w:rPr>
                <w:rFonts w:hint="default" w:ascii="宋体" w:hAnsi="宋体" w:eastAsia="宋体" w:cs="宋体"/>
                <w:color w:val="000000" w:themeColor="text1"/>
                <w:szCs w:val="21"/>
                <w14:textFill>
                  <w14:solidFill>
                    <w14:schemeClr w14:val="tx1"/>
                  </w14:solidFill>
                </w14:textFill>
              </w:rPr>
              <w:t>公立医院职工满意度</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lang w:val="en-US" w:eastAsia="zh-CN"/>
                <w14:textFill>
                  <w14:solidFill>
                    <w14:schemeClr w14:val="tx1"/>
                  </w14:solidFill>
                </w14:textFill>
              </w:rPr>
              <w:t>住院患者满意度</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大于或等于95</w:t>
            </w:r>
            <w:r>
              <w:rPr>
                <w:rFonts w:hint="eastAsia" w:ascii="宋体" w:hAnsi="宋体" w:eastAsia="宋体" w:cs="宋体"/>
                <w:color w:val="000000" w:themeColor="text1"/>
                <w:szCs w:val="21"/>
                <w14:textFill>
                  <w14:solidFill>
                    <w14:schemeClr w14:val="tx1"/>
                  </w14:solidFill>
                </w14:textFill>
              </w:rPr>
              <w:t>%</w:t>
            </w:r>
          </w:p>
        </w:tc>
        <w:tc>
          <w:tcPr>
            <w:tcW w:w="1140" w:type="dxa"/>
            <w:vAlign w:val="center"/>
          </w:tcPr>
          <w:p>
            <w:pPr>
              <w:spacing w:line="360" w:lineRule="auto"/>
              <w:jc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95%</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spacing w:line="260" w:lineRule="exact"/>
              <w:ind w:firstLine="3145"/>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pPr>
              <w:jc w:val="center"/>
              <w:rPr>
                <w:rFonts w:hint="eastAsia" w:ascii="Arial"/>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98</w:t>
            </w:r>
          </w:p>
        </w:tc>
        <w:tc>
          <w:tcPr>
            <w:tcW w:w="1365" w:type="dxa"/>
            <w:vAlign w:val="center"/>
          </w:tcPr>
          <w:p>
            <w:pPr>
              <w:jc w:val="center"/>
              <w:rPr>
                <w:rFonts w:hint="eastAsia" w:ascii="Arial"/>
                <w:color w:val="000000" w:themeColor="text1"/>
                <w:szCs w:val="21"/>
                <w14:textFill>
                  <w14:solidFill>
                    <w14:schemeClr w14:val="tx1"/>
                  </w14:solidFill>
                </w14:textFill>
              </w:rPr>
            </w:pPr>
          </w:p>
        </w:tc>
      </w:tr>
    </w:tbl>
    <w:p>
      <w:pPr>
        <w:spacing w:line="252" w:lineRule="auto"/>
        <w:rPr>
          <w:rFonts w:hint="eastAsia" w:ascii="Arial"/>
          <w:color w:val="000000" w:themeColor="text1"/>
          <w14:textFill>
            <w14:solidFill>
              <w14:schemeClr w14:val="tx1"/>
            </w14:solidFill>
          </w14:textFill>
        </w:rPr>
      </w:pPr>
    </w:p>
    <w:p>
      <w:pPr>
        <w:spacing w:before="75" w:line="230" w:lineRule="auto"/>
        <w:rPr>
          <w:rFonts w:ascii="仿宋" w:hAnsi="仿宋" w:eastAsia="仿宋" w:cs="仿宋"/>
          <w:color w:val="000000" w:themeColor="text1"/>
          <w:spacing w:val="4"/>
          <w:sz w:val="23"/>
          <w:szCs w:val="23"/>
          <w14:textFill>
            <w14:solidFill>
              <w14:schemeClr w14:val="tx1"/>
            </w14:solidFill>
          </w14:textFill>
        </w:r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val="en-US" w:eastAsia="zh-CN"/>
          <w14:textFill>
            <w14:solidFill>
              <w14:schemeClr w14:val="tx1"/>
            </w14:solidFill>
          </w14:textFill>
        </w:rPr>
        <w:t>杨李华</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13975038128</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pStyle w:val="2"/>
        <w:rPr>
          <w:rFonts w:ascii="仿宋" w:hAnsi="仿宋" w:eastAsia="仿宋" w:cs="仿宋"/>
          <w:color w:val="000000" w:themeColor="text1"/>
          <w:spacing w:val="4"/>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604"/>
        <w:gridCol w:w="870"/>
        <w:gridCol w:w="1170"/>
        <w:gridCol w:w="675"/>
        <w:gridCol w:w="661"/>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b/>
                <w:bCs/>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重性精神病障碍患者监护人补贴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34"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701"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91.8</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91.8</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86.6%</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34"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71"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634"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106万元</w:t>
            </w:r>
          </w:p>
        </w:tc>
        <w:tc>
          <w:tcPr>
            <w:tcW w:w="3871"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91.8万元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补贴发放人数</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446</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451</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补贴费用发放率</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补贴费用半年发放一次</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2次/年</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按时发放</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医疗机构筛查费</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90元/人次</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符合条件对象，补贴按文件严格执行发放。</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增强精神患者监护人的责任心，促进社会的稳定发展，营造良好的社会环境</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对自然生态环境造成负面影响</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落实严重精神障碍患者监护人责任，有效防范肇事肇祸案（事）件发生，维护公共安全</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已完成</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7.5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604"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群众满意度</w:t>
            </w:r>
          </w:p>
        </w:tc>
        <w:tc>
          <w:tcPr>
            <w:tcW w:w="8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大于等于90%</w:t>
            </w:r>
          </w:p>
        </w:tc>
        <w:tc>
          <w:tcPr>
            <w:tcW w:w="117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87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7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66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填表人：李静云 联系电话：18973000839单位负责人签字：填报日期：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2023-06-11</w:t>
      </w:r>
    </w:p>
    <w:p>
      <w:pPr>
        <w:pStyle w:val="2"/>
        <w:rPr>
          <w:rFonts w:ascii="仿宋" w:hAnsi="仿宋" w:eastAsia="仿宋" w:cs="仿宋"/>
          <w:color w:val="000000" w:themeColor="text1"/>
          <w:spacing w:val="4"/>
          <w:sz w:val="23"/>
          <w:szCs w:val="23"/>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149"/>
        <w:gridCol w:w="1160"/>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核酸检测项目经费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98.61%</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98.61%</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550.00万元</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全面开展区域常态化核酸检测工作</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开展7轮次全员核酸检测，累计检测535.73余万人次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全面完成</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加强集中隔离管控</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隔离对象用房4042间,集中隔离点管控9465人</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全面完成</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落实“三站一场”守点查验</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三个交通卡口累计查验196.8万人次，完成落地检83.6万人次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全面完成</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“个防”到位，精准高效</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全区范围内设置90个便民免费采样点</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大于等于90%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远防”到位，严密排查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强化流调溯源工作，疫情应急处置的工作效率提高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有提高</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“边防”到位，守牢卡口</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有效提升卡口指挥效率和防控效能</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有提升</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资金按时拨付到位</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资金按时拨付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按时拨付</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控制项目经费成本</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550.00万</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542.34万元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color w:val="auto"/>
                <w:szCs w:val="21"/>
              </w:rPr>
              <w:t>为楼区民生</w:t>
            </w:r>
            <w:r>
              <w:rPr>
                <w:rFonts w:hint="eastAsia" w:ascii="宋体" w:hAnsi="宋体" w:eastAsia="宋体" w:cs="宋体"/>
                <w:color w:val="auto"/>
                <w:szCs w:val="21"/>
                <w:lang w:val="en-US" w:eastAsia="zh-CN"/>
              </w:rPr>
              <w:t>健康</w:t>
            </w:r>
            <w:r>
              <w:rPr>
                <w:rFonts w:hint="eastAsia" w:ascii="宋体" w:hAnsi="宋体" w:eastAsia="宋体" w:cs="宋体"/>
                <w:color w:val="auto"/>
                <w:szCs w:val="21"/>
              </w:rPr>
              <w:t>和社会稳定带来了良好的社会反响</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color w:val="auto"/>
                <w:szCs w:val="21"/>
              </w:rPr>
              <w:t>为楼区民生</w:t>
            </w:r>
            <w:r>
              <w:rPr>
                <w:rFonts w:hint="eastAsia" w:ascii="宋体" w:hAnsi="宋体" w:eastAsia="宋体" w:cs="宋体"/>
                <w:color w:val="auto"/>
                <w:szCs w:val="21"/>
                <w:lang w:val="en-US" w:eastAsia="zh-CN"/>
              </w:rPr>
              <w:t>健康</w:t>
            </w:r>
            <w:r>
              <w:rPr>
                <w:rFonts w:hint="eastAsia" w:ascii="宋体" w:hAnsi="宋体" w:eastAsia="宋体" w:cs="宋体"/>
                <w:color w:val="auto"/>
                <w:szCs w:val="21"/>
              </w:rPr>
              <w:t>和社会稳定带来了良好的社会反响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全面完成</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对自然生态环境造成负面影响</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无</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群众满意度</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大于等于90%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李静云</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18973000839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2023-06-13</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149"/>
        <w:gridCol w:w="1160"/>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宣传教育经费项目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岳阳市岳阳楼区卫生健康局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34.43</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34.43</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34.43</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34.43</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leftChars="0" w:right="0" w:rightChars="0"/>
              <w:jc w:val="center"/>
              <w:textAlignment w:val="auto"/>
              <w:rPr>
                <w:rFonts w:ascii="宋体" w:hAnsi="宋体" w:eastAsia="宋体" w:cs="宋体"/>
                <w:color w:val="000000" w:themeColor="text1"/>
                <w:spacing w:val="0"/>
                <w:kern w:val="2"/>
                <w:sz w:val="21"/>
                <w:szCs w:val="21"/>
                <w:lang w:val="en-US" w:eastAsia="zh-CN" w:bidi="ar-SA"/>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9"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我局计划安排3人参加全科医生转岗培训，楼区共有389人完成全科医生转岗培训，全科医生配置数为每万人口3.4名全科医生；2、2022年计划共完成34名医务人员的一类继续教育学分审核工作。区卫生健康系统选派专业技术人员培训学习、进修共68人；3、全年媒体上稿件总数350条，省级以上媒体92条。</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月18日，组织区医疗卫生单位科教工作相关人员参加2022年全省卫生健康科教工作电视电话会议暨全市科教工作视频会议。2022年共完成34名医务人员的一类继续教育学分审核工作。区卫生健康系统选派专业技术人员培训学习、进修共68人；2、2022年我局共安排3人参加全科医生转岗培训，2022年已完成转岗培训的人员有4名，已及时增加了全科专业执业范围。截至目前，楼区共有389人完成全科医生转岗培训。医生执业注册联网系统楼区内医疗机构增加注册全科专业执业范围的医生共计225人，其中临床专业182人，中医专业31人,乡村执业助理全科医生7人，中西医结合专业5人。2022年新增临床类全科专业30人、中医全科专业4人、乡村全科执业助理医师1人、中西医结合专业2人，全科医生配置数为每万人口3.4名全科医生。3、全年媒体上稿件总数350条，省级以上媒体92条（其中：“建立分级分类诊疗体系  保障重点人群健康”在央视新闻播发；“岳阳：16家基层医疗机构设立氧疗区”、“岳阳：为老年人发放防疫包”在湖南卫视新闻播发）。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6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完成全科医生转岗培训人数</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389人</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389人</w:t>
            </w:r>
          </w:p>
        </w:tc>
        <w:tc>
          <w:tcPr>
            <w:tcW w:w="68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医务人员一类继续教育人数</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34名</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34名</w:t>
            </w:r>
          </w:p>
        </w:tc>
        <w:tc>
          <w:tcPr>
            <w:tcW w:w="68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widowControl/>
              <w:suppressLineNumbers w:val="0"/>
              <w:jc w:val="center"/>
              <w:textAlignment w:val="center"/>
              <w:rPr>
                <w:rFonts w:hint="eastAsia" w:ascii="Arial"/>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每万人口全科医生数数量</w:t>
            </w:r>
          </w:p>
        </w:tc>
        <w:tc>
          <w:tcPr>
            <w:tcW w:w="1131" w:type="dxa"/>
            <w:noWrap w:val="0"/>
            <w:vAlign w:val="center"/>
          </w:tcPr>
          <w:p>
            <w:pPr>
              <w:keepNext w:val="0"/>
              <w:keepLines w:val="0"/>
              <w:widowControl/>
              <w:suppressLineNumbers w:val="0"/>
              <w:jc w:val="center"/>
              <w:textAlignment w:val="center"/>
              <w:rPr>
                <w:rFonts w:hint="eastAsia" w:ascii="Arial"/>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3.4名</w:t>
            </w:r>
          </w:p>
        </w:tc>
        <w:tc>
          <w:tcPr>
            <w:tcW w:w="1140" w:type="dxa"/>
            <w:noWrap w:val="0"/>
            <w:vAlign w:val="center"/>
          </w:tcPr>
          <w:p>
            <w:pPr>
              <w:keepNext w:val="0"/>
              <w:keepLines w:val="0"/>
              <w:widowControl/>
              <w:suppressLineNumbers w:val="0"/>
              <w:jc w:val="center"/>
              <w:textAlignment w:val="center"/>
              <w:rPr>
                <w:rFonts w:hint="eastAsia" w:ascii="Arial"/>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3.4名</w:t>
            </w:r>
          </w:p>
        </w:tc>
        <w:tc>
          <w:tcPr>
            <w:tcW w:w="685" w:type="dxa"/>
            <w:noWrap w:val="0"/>
            <w:vAlign w:val="center"/>
          </w:tcPr>
          <w:p>
            <w:pPr>
              <w:keepNext w:val="0"/>
              <w:keepLines w:val="0"/>
              <w:widowControl/>
              <w:suppressLineNumbers w:val="0"/>
              <w:jc w:val="center"/>
              <w:textAlignment w:val="center"/>
              <w:rPr>
                <w:rFonts w:hint="eastAsia" w:ascii="Arial"/>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widowControl/>
              <w:suppressLineNumbers w:val="0"/>
              <w:jc w:val="center"/>
              <w:textAlignment w:val="center"/>
              <w:rPr>
                <w:rFonts w:hint="eastAsia" w:ascii="Arial"/>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全年媒体上稿件数量</w:t>
            </w:r>
          </w:p>
        </w:tc>
        <w:tc>
          <w:tcPr>
            <w:tcW w:w="1131" w:type="dxa"/>
            <w:noWrap w:val="0"/>
            <w:vAlign w:val="center"/>
          </w:tcPr>
          <w:p>
            <w:pPr>
              <w:keepNext w:val="0"/>
              <w:keepLines w:val="0"/>
              <w:widowControl/>
              <w:suppressLineNumbers w:val="0"/>
              <w:jc w:val="center"/>
              <w:textAlignment w:val="center"/>
              <w:rPr>
                <w:rFonts w:hint="eastAsia" w:ascii="Arial"/>
                <w:color w:val="000000" w:themeColor="text1"/>
                <w:sz w:val="20"/>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350条</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350条</w:t>
            </w:r>
          </w:p>
        </w:tc>
        <w:tc>
          <w:tcPr>
            <w:tcW w:w="68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60"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全科医生转岗培训人数达标率</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6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宣传工作活动举办成功率</w:t>
            </w:r>
          </w:p>
        </w:tc>
        <w:tc>
          <w:tcPr>
            <w:tcW w:w="1131"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795"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6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全年完成科技教育工作</w:t>
            </w:r>
          </w:p>
        </w:tc>
        <w:tc>
          <w:tcPr>
            <w:tcW w:w="1131"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2022.12.31</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已完成</w:t>
            </w:r>
          </w:p>
        </w:tc>
        <w:tc>
          <w:tcPr>
            <w:tcW w:w="68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6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控制项目经费成本</w:t>
            </w:r>
          </w:p>
        </w:tc>
        <w:tc>
          <w:tcPr>
            <w:tcW w:w="1131"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不超过预算投入</w:t>
            </w:r>
          </w:p>
        </w:tc>
        <w:tc>
          <w:tcPr>
            <w:tcW w:w="1140" w:type="dxa"/>
            <w:noWrap w:val="0"/>
            <w:vAlign w:val="center"/>
          </w:tcPr>
          <w:p>
            <w:pPr>
              <w:keepNext w:val="0"/>
              <w:keepLines w:val="0"/>
              <w:widowControl/>
              <w:suppressLineNumbers w:val="0"/>
              <w:jc w:val="center"/>
              <w:textAlignment w:val="center"/>
              <w:rPr>
                <w:rFonts w:hint="default" w:ascii="Arial"/>
                <w:color w:val="000000" w:themeColor="text1"/>
                <w:spacing w:val="0"/>
                <w:sz w:val="21"/>
                <w:szCs w:val="21"/>
                <w:lang w:val="en-US"/>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34.43万元</w:t>
            </w:r>
          </w:p>
        </w:tc>
        <w:tc>
          <w:tcPr>
            <w:tcW w:w="68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9" w:type="dxa"/>
            <w:tcBorders>
              <w:bottom w:val="nil"/>
            </w:tcBorders>
            <w:noWrap w:val="0"/>
            <w:vAlign w:val="center"/>
          </w:tcPr>
          <w:p>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每万人口全科医生数比例</w:t>
            </w:r>
          </w:p>
        </w:tc>
        <w:tc>
          <w:tcPr>
            <w:tcW w:w="1160" w:type="dxa"/>
            <w:noWrap w:val="0"/>
            <w:vAlign w:val="center"/>
          </w:tcPr>
          <w:p>
            <w:pPr>
              <w:keepNext w:val="0"/>
              <w:keepLines w:val="0"/>
              <w:widowControl/>
              <w:suppressLineNumbers w:val="0"/>
              <w:jc w:val="center"/>
              <w:textAlignment w:val="center"/>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比例增长</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医生执业注册联网系统楼区内医疗机构增加注册全科专业执业范围的医生共计225人，其中临床专业182人，中医专业31人,乡村执业助理全科医生7人，中西医结合专业5人。2022年新增临床类全科专业30人、中医全科专业4人、乡村全科执业助理医师1人、中西医结合专业2人，全科医生配置数为每万人口3.4名全科医生。</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每万人口全科医生数比例</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9" w:type="dxa"/>
            <w:tcBorders>
              <w:bottom w:val="nil"/>
            </w:tcBorders>
            <w:noWrap w:val="0"/>
            <w:vAlign w:val="center"/>
          </w:tcPr>
          <w:p>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人才培训和技能培训</w:t>
            </w:r>
          </w:p>
        </w:tc>
        <w:tc>
          <w:tcPr>
            <w:tcW w:w="116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大幅提升</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大幅提升</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68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795"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人才培训和技能培训</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9" w:type="dxa"/>
            <w:tcBorders>
              <w:bottom w:val="nil"/>
            </w:tcBorders>
            <w:noWrap w:val="0"/>
            <w:vAlign w:val="center"/>
          </w:tcPr>
          <w:p>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职工满意度</w:t>
            </w:r>
          </w:p>
        </w:tc>
        <w:tc>
          <w:tcPr>
            <w:tcW w:w="1160" w:type="dxa"/>
            <w:noWrap w:val="0"/>
            <w:vAlign w:val="center"/>
          </w:tcPr>
          <w:p>
            <w:pPr>
              <w:keepNext w:val="0"/>
              <w:keepLines w:val="0"/>
              <w:widowControl/>
              <w:suppressLineNumbers w:val="0"/>
              <w:jc w:val="center"/>
              <w:textAlignment w:val="center"/>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大于等于90%</w:t>
            </w:r>
          </w:p>
        </w:tc>
        <w:tc>
          <w:tcPr>
            <w:tcW w:w="1131" w:type="dxa"/>
            <w:noWrap w:val="0"/>
            <w:vAlign w:val="center"/>
          </w:tcPr>
          <w:p>
            <w:pPr>
              <w:keepNext w:val="0"/>
              <w:keepLines w:val="0"/>
              <w:widowControl/>
              <w:suppressLineNumbers w:val="0"/>
              <w:jc w:val="center"/>
              <w:textAlignment w:val="center"/>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95%</w:t>
            </w:r>
          </w:p>
        </w:tc>
        <w:tc>
          <w:tcPr>
            <w:tcW w:w="1140" w:type="dxa"/>
            <w:noWrap w:val="0"/>
            <w:vAlign w:val="center"/>
          </w:tcPr>
          <w:p>
            <w:pPr>
              <w:keepNext w:val="0"/>
              <w:keepLines w:val="0"/>
              <w:widowControl/>
              <w:suppressLineNumbers w:val="0"/>
              <w:jc w:val="center"/>
              <w:textAlignment w:val="center"/>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68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职工满意度</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李静云</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18973000839</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2023-06-13</w:t>
      </w:r>
    </w:p>
    <w:p>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pPr>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生育关怀专项资金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pPr>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岳阳楼区卫生健康局</w:t>
            </w:r>
          </w:p>
        </w:tc>
        <w:tc>
          <w:tcPr>
            <w:tcW w:w="1140" w:type="dxa"/>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pPr>
              <w:jc w:val="center"/>
              <w:rPr>
                <w:rFonts w:hint="eastAsia"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岳阳楼区计划生育协会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spacing w:line="254" w:lineRule="auto"/>
              <w:jc w:val="center"/>
              <w:rPr>
                <w:rFonts w:hint="eastAsia" w:ascii="Arial"/>
                <w:color w:val="000000" w:themeColor="text1"/>
                <w:szCs w:val="21"/>
                <w14:textFill>
                  <w14:solidFill>
                    <w14:schemeClr w14:val="tx1"/>
                  </w14:solidFill>
                </w14:textFill>
              </w:rPr>
            </w:pPr>
          </w:p>
          <w:p>
            <w:pPr>
              <w:spacing w:line="255" w:lineRule="auto"/>
              <w:jc w:val="center"/>
              <w:rPr>
                <w:rFonts w:hint="eastAsia" w:ascii="Arial"/>
                <w:color w:val="000000" w:themeColor="text1"/>
                <w:szCs w:val="21"/>
                <w14:textFill>
                  <w14:solidFill>
                    <w14:schemeClr w14:val="tx1"/>
                  </w14:solidFill>
                </w14:textFill>
              </w:rPr>
            </w:pP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pPr>
              <w:spacing w:line="300" w:lineRule="exact"/>
              <w:jc w:val="center"/>
              <w:rPr>
                <w:rFonts w:hint="eastAsia" w:ascii="Arial"/>
                <w:color w:val="000000" w:themeColor="text1"/>
                <w:szCs w:val="21"/>
                <w14:textFill>
                  <w14:solidFill>
                    <w14:schemeClr w14:val="tx1"/>
                  </w14:solidFill>
                </w14:textFill>
              </w:rPr>
            </w:pP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68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jc w:val="center"/>
              <w:rPr>
                <w:rFonts w:hint="eastAsia" w:ascii="Arial"/>
                <w:color w:val="000000" w:themeColor="text1"/>
                <w:szCs w:val="21"/>
                <w14:textFill>
                  <w14:solidFill>
                    <w14:schemeClr w14:val="tx1"/>
                  </w14:solidFill>
                </w14:textFill>
              </w:rPr>
            </w:pPr>
          </w:p>
        </w:tc>
        <w:tc>
          <w:tcPr>
            <w:tcW w:w="2160" w:type="dxa"/>
            <w:gridSpan w:val="2"/>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131"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140"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68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79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c>
          <w:tcPr>
            <w:tcW w:w="1365" w:type="dxa"/>
            <w:vAlign w:val="center"/>
          </w:tcPr>
          <w:p>
            <w:pPr>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jc w:val="center"/>
              <w:rPr>
                <w:rFonts w:hint="eastAsia" w:ascii="Arial"/>
                <w:color w:val="000000" w:themeColor="text1"/>
                <w:szCs w:val="21"/>
                <w14:textFill>
                  <w14:solidFill>
                    <w14:schemeClr w14:val="tx1"/>
                  </w14:solidFill>
                </w14:textFill>
              </w:rPr>
            </w:pPr>
          </w:p>
        </w:tc>
        <w:tc>
          <w:tcPr>
            <w:tcW w:w="4520" w:type="dxa"/>
            <w:gridSpan w:val="4"/>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区级财政2022年投入50万元生育关怀资金。主要用于以下三个方面：一是“5.29”计生困难家庭慰问关怀108人，12万元；二是“金秋助学”关怀计生困难家庭学子32名贫困学子6.9万元；三是春节关怀计生特殊家庭197人，31.1万元。共计支出50万元。</w:t>
            </w:r>
          </w:p>
        </w:tc>
        <w:tc>
          <w:tcPr>
            <w:tcW w:w="3985" w:type="dxa"/>
            <w:gridSpan w:val="4"/>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全面完成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一级指标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二级指标</w:t>
            </w: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三级指标</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年度</w:t>
            </w:r>
          </w:p>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指标值</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实际</w:t>
            </w:r>
          </w:p>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完成值</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得分</w:t>
            </w:r>
          </w:p>
        </w:tc>
        <w:tc>
          <w:tcPr>
            <w:tcW w:w="1365" w:type="dxa"/>
            <w:vAlign w:val="center"/>
          </w:tcPr>
          <w:p>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restart"/>
            <w:vAlign w:val="center"/>
          </w:tcPr>
          <w:p>
            <w:pPr>
              <w:spacing w:line="256"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257" w:lineRule="auto"/>
              <w:jc w:val="center"/>
              <w:rPr>
                <w:rFonts w:ascii="宋体" w:hAnsi="宋体" w:eastAsia="宋体" w:cs="宋体"/>
                <w:color w:val="000000" w:themeColor="text1"/>
                <w:szCs w:val="21"/>
                <w14:textFill>
                  <w14:solidFill>
                    <w14:schemeClr w14:val="tx1"/>
                  </w14:solidFill>
                </w14:textFill>
              </w:rPr>
            </w:pPr>
          </w:p>
          <w:p>
            <w:pPr>
              <w:spacing w:line="50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2"/>
                <w:szCs w:val="21"/>
                <w14:textFill>
                  <w14:solidFill>
                    <w14:schemeClr w14:val="tx1"/>
                  </w14:solidFill>
                </w14:textFill>
              </w:rPr>
              <w:t>产出指标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(50分)</w:t>
            </w:r>
          </w:p>
        </w:tc>
        <w:tc>
          <w:tcPr>
            <w:tcW w:w="1080" w:type="dxa"/>
            <w:vMerge w:val="restart"/>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数量指标</w:t>
            </w:r>
          </w:p>
        </w:tc>
        <w:tc>
          <w:tcPr>
            <w:tcW w:w="1229"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“5.29”计生困难家庭慰问关怀人数</w:t>
            </w:r>
          </w:p>
        </w:tc>
        <w:tc>
          <w:tcPr>
            <w:tcW w:w="1131"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108人</w:t>
            </w:r>
          </w:p>
        </w:tc>
        <w:tc>
          <w:tcPr>
            <w:tcW w:w="1140"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108人</w:t>
            </w:r>
          </w:p>
        </w:tc>
        <w:tc>
          <w:tcPr>
            <w:tcW w:w="68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79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1365" w:type="dxa"/>
            <w:vAlign w:val="center"/>
          </w:tcPr>
          <w:p>
            <w:pPr>
              <w:spacing w:line="21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16"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vAlign w:val="center"/>
          </w:tcPr>
          <w:p>
            <w:pPr>
              <w:spacing w:line="220" w:lineRule="auto"/>
              <w:jc w:val="center"/>
              <w:rPr>
                <w:rFonts w:hint="eastAsia" w:ascii="宋体" w:hAnsi="宋体" w:eastAsia="宋体" w:cs="宋体"/>
                <w:color w:val="000000" w:themeColor="text1"/>
                <w:szCs w:val="21"/>
                <w14:textFill>
                  <w14:solidFill>
                    <w14:schemeClr w14:val="tx1"/>
                  </w14:solidFill>
                </w14:textFill>
              </w:rPr>
            </w:pPr>
          </w:p>
        </w:tc>
        <w:tc>
          <w:tcPr>
            <w:tcW w:w="1080" w:type="dxa"/>
            <w:vMerge w:val="continue"/>
            <w:vAlign w:val="center"/>
          </w:tcPr>
          <w:p>
            <w:pPr>
              <w:spacing w:line="219" w:lineRule="auto"/>
              <w:jc w:val="center"/>
              <w:rPr>
                <w:rFonts w:hint="eastAsia" w:ascii="宋体" w:hAnsi="宋体" w:eastAsia="宋体" w:cs="宋体"/>
                <w:color w:val="000000" w:themeColor="text1"/>
                <w:szCs w:val="21"/>
                <w14:textFill>
                  <w14:solidFill>
                    <w14:schemeClr w14:val="tx1"/>
                  </w14:solidFill>
                </w14:textFill>
              </w:rPr>
            </w:pPr>
          </w:p>
        </w:tc>
        <w:tc>
          <w:tcPr>
            <w:tcW w:w="1229"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“金秋助学”关怀计生困难家庭学子人数</w:t>
            </w:r>
          </w:p>
        </w:tc>
        <w:tc>
          <w:tcPr>
            <w:tcW w:w="1131"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32名</w:t>
            </w:r>
          </w:p>
        </w:tc>
        <w:tc>
          <w:tcPr>
            <w:tcW w:w="1140"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32名</w:t>
            </w:r>
          </w:p>
        </w:tc>
        <w:tc>
          <w:tcPr>
            <w:tcW w:w="68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79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1365" w:type="dxa"/>
            <w:vAlign w:val="center"/>
          </w:tcPr>
          <w:p>
            <w:pPr>
              <w:spacing w:line="21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vAlign w:val="center"/>
          </w:tcPr>
          <w:p>
            <w:pPr>
              <w:spacing w:line="220" w:lineRule="auto"/>
              <w:jc w:val="center"/>
              <w:rPr>
                <w:rFonts w:ascii="宋体" w:hAnsi="宋体" w:eastAsia="宋体" w:cs="宋体"/>
                <w:color w:val="000000" w:themeColor="text1"/>
                <w:szCs w:val="21"/>
                <w14:textFill>
                  <w14:solidFill>
                    <w14:schemeClr w14:val="tx1"/>
                  </w14:solidFill>
                </w14:textFill>
              </w:rPr>
            </w:pPr>
          </w:p>
        </w:tc>
        <w:tc>
          <w:tcPr>
            <w:tcW w:w="1080" w:type="dxa"/>
            <w:vMerge w:val="continue"/>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春节关怀计生特殊家庭人数</w:t>
            </w:r>
          </w:p>
        </w:tc>
        <w:tc>
          <w:tcPr>
            <w:tcW w:w="1131"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197人</w:t>
            </w:r>
          </w:p>
        </w:tc>
        <w:tc>
          <w:tcPr>
            <w:tcW w:w="1140"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197人</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1365" w:type="dxa"/>
            <w:vAlign w:val="center"/>
          </w:tcPr>
          <w:p>
            <w:pPr>
              <w:spacing w:line="21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vMerge w:val="restart"/>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质量指标</w:t>
            </w:r>
          </w:p>
        </w:tc>
        <w:tc>
          <w:tcPr>
            <w:tcW w:w="1229"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生育关怀专项资金使用率</w:t>
            </w:r>
          </w:p>
        </w:tc>
        <w:tc>
          <w:tcPr>
            <w:tcW w:w="1131"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795" w:type="dxa"/>
            <w:vAlign w:val="center"/>
          </w:tcPr>
          <w:p>
            <w:pPr>
              <w:keepNext w:val="0"/>
              <w:keepLines w:val="0"/>
              <w:widowControl/>
              <w:suppressLineNumbers w:val="0"/>
              <w:jc w:val="center"/>
              <w:textAlignment w:val="center"/>
              <w:rPr>
                <w:rFonts w:hint="eastAsia"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vMerge w:val="continue"/>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p>
        </w:tc>
        <w:tc>
          <w:tcPr>
            <w:tcW w:w="1229"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生育关怀专项资金使用监管率</w:t>
            </w:r>
          </w:p>
        </w:tc>
        <w:tc>
          <w:tcPr>
            <w:tcW w:w="1131"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6</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4"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vMerge w:val="restart"/>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时效指标</w:t>
            </w:r>
          </w:p>
        </w:tc>
        <w:tc>
          <w:tcPr>
            <w:tcW w:w="1229"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2022年1月至12月完成困难家庭帮扶和慰问工作</w:t>
            </w:r>
          </w:p>
        </w:tc>
        <w:tc>
          <w:tcPr>
            <w:tcW w:w="1131"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2022年1月至12月</w:t>
            </w:r>
          </w:p>
        </w:tc>
        <w:tc>
          <w:tcPr>
            <w:tcW w:w="1140" w:type="dxa"/>
            <w:vMerge w:val="restart"/>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已完成</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136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vMerge w:val="restart"/>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成本指标</w:t>
            </w:r>
          </w:p>
        </w:tc>
        <w:tc>
          <w:tcPr>
            <w:tcW w:w="1229"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控制项目经费成本</w:t>
            </w:r>
          </w:p>
        </w:tc>
        <w:tc>
          <w:tcPr>
            <w:tcW w:w="1131"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不超过预算投入</w:t>
            </w:r>
          </w:p>
        </w:tc>
        <w:tc>
          <w:tcPr>
            <w:tcW w:w="1140"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50万</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1365" w:type="dxa"/>
            <w:vAlign w:val="center"/>
          </w:tcPr>
          <w:p>
            <w:pPr>
              <w:spacing w:line="22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4"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300" w:lineRule="auto"/>
              <w:jc w:val="center"/>
              <w:rPr>
                <w:rFonts w:ascii="宋体" w:hAnsi="宋体" w:eastAsia="宋体" w:cs="宋体"/>
                <w:color w:val="000000" w:themeColor="text1"/>
                <w:szCs w:val="21"/>
                <w14:textFill>
                  <w14:solidFill>
                    <w14:schemeClr w14:val="tx1"/>
                  </w14:solidFill>
                </w14:textFill>
              </w:rPr>
            </w:pPr>
          </w:p>
          <w:p>
            <w:pPr>
              <w:spacing w:line="301" w:lineRule="auto"/>
              <w:jc w:val="center"/>
              <w:rPr>
                <w:rFonts w:ascii="宋体" w:hAnsi="宋体" w:eastAsia="宋体" w:cs="宋体"/>
                <w:color w:val="000000" w:themeColor="text1"/>
                <w:szCs w:val="21"/>
                <w14:textFill>
                  <w14:solidFill>
                    <w14:schemeClr w14:val="tx1"/>
                  </w14:solidFill>
                </w14:textFill>
              </w:rPr>
            </w:pPr>
          </w:p>
          <w:p>
            <w:pPr>
              <w:spacing w:line="301" w:lineRule="auto"/>
              <w:jc w:val="center"/>
              <w:rPr>
                <w:rFonts w:ascii="宋体" w:hAnsi="宋体" w:eastAsia="宋体" w:cs="宋体"/>
                <w:color w:val="000000" w:themeColor="text1"/>
                <w:szCs w:val="21"/>
                <w14:textFill>
                  <w14:solidFill>
                    <w14:schemeClr w14:val="tx1"/>
                  </w14:solidFill>
                </w14:textFill>
              </w:rPr>
            </w:pPr>
          </w:p>
          <w:p>
            <w:pPr>
              <w:spacing w:line="49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21"/>
                <w:szCs w:val="21"/>
                <w14:textFill>
                  <w14:solidFill>
                    <w14:schemeClr w14:val="tx1"/>
                  </w14:solidFill>
                </w14:textFill>
              </w:rPr>
              <w:t>效益指标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(40分)</w:t>
            </w: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4"/>
                <w:szCs w:val="21"/>
                <w:lang w:val="en-US" w:eastAsia="zh-CN"/>
                <w14:textFill>
                  <w14:solidFill>
                    <w14:schemeClr w14:val="tx1"/>
                  </w14:solidFill>
                </w14:textFill>
              </w:rPr>
              <w:t>社会</w:t>
            </w:r>
            <w:r>
              <w:rPr>
                <w:rFonts w:hint="eastAsia" w:ascii="宋体" w:hAnsi="宋体" w:eastAsia="宋体" w:cs="宋体"/>
                <w:color w:val="000000" w:themeColor="text1"/>
                <w:position w:val="4"/>
                <w:szCs w:val="21"/>
                <w14:textFill>
                  <w14:solidFill>
                    <w14:schemeClr w14:val="tx1"/>
                  </w14:solidFill>
                </w14:textFill>
              </w:rPr>
              <w:t>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益指标</w:t>
            </w:r>
          </w:p>
        </w:tc>
        <w:tc>
          <w:tcPr>
            <w:tcW w:w="1229"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计生特殊（困难）家庭关爱程度</w:t>
            </w:r>
          </w:p>
        </w:tc>
        <w:tc>
          <w:tcPr>
            <w:tcW w:w="1131"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1365" w:type="dxa"/>
            <w:vAlign w:val="center"/>
          </w:tcPr>
          <w:p>
            <w:pPr>
              <w:spacing w:line="239"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宋体" w:hAnsi="宋体" w:eastAsia="宋体" w:cs="宋体"/>
                <w:color w:val="000000" w:themeColor="text1"/>
                <w:szCs w:val="21"/>
                <w14:textFill>
                  <w14:solidFill>
                    <w14:schemeClr w14:val="tx1"/>
                  </w14:solidFill>
                </w14:textFill>
              </w:rPr>
            </w:pPr>
          </w:p>
        </w:tc>
        <w:tc>
          <w:tcPr>
            <w:tcW w:w="1080" w:type="dxa"/>
            <w:tcBorders>
              <w:bottom w:val="nil"/>
            </w:tcBorders>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可持续 影响指标</w:t>
            </w:r>
          </w:p>
        </w:tc>
        <w:tc>
          <w:tcPr>
            <w:tcW w:w="1229"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专项资工作领导小组成立</w:t>
            </w:r>
          </w:p>
        </w:tc>
        <w:tc>
          <w:tcPr>
            <w:tcW w:w="1131"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成立</w:t>
            </w:r>
          </w:p>
        </w:tc>
        <w:tc>
          <w:tcPr>
            <w:tcW w:w="1140"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为做好专项资金绩效评价工作，提高专项资金的使用效益，区计生协会专门成立了专项资金项目评价工作领导小组，由常务副会长廖岳龙任组长，杜仲，李蕊，钟娜，范文，陈乔夫任组员，并由钟娜兼任领导小组办公室主任。专项资工作领导小组对照省计生协会工作要求进行了自查，并撰写了绩效报告报区卫健局财务和上级计生协会。</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15</w:t>
            </w:r>
          </w:p>
        </w:tc>
        <w:tc>
          <w:tcPr>
            <w:tcW w:w="795" w:type="dxa"/>
            <w:vAlign w:val="center"/>
          </w:tcPr>
          <w:p>
            <w:pPr>
              <w:keepNext w:val="0"/>
              <w:keepLines w:val="0"/>
              <w:widowControl/>
              <w:suppressLineNumbers w:val="0"/>
              <w:jc w:val="center"/>
              <w:textAlignment w:val="center"/>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15</w:t>
            </w:r>
          </w:p>
        </w:tc>
        <w:tc>
          <w:tcPr>
            <w:tcW w:w="1365" w:type="dxa"/>
            <w:vAlign w:val="center"/>
          </w:tcPr>
          <w:p>
            <w:pPr>
              <w:spacing w:line="23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1075" w:type="dxa"/>
            <w:vMerge w:val="continue"/>
            <w:tcBorders>
              <w:top w:val="nil"/>
              <w:bottom w:val="nil"/>
            </w:tcBorders>
            <w:textDirection w:val="tbRlV"/>
            <w:vAlign w:val="center"/>
          </w:tcPr>
          <w:p>
            <w:pPr>
              <w:jc w:val="center"/>
              <w:rPr>
                <w:rFonts w:hint="eastAsia" w:ascii="Arial"/>
                <w:color w:val="000000" w:themeColor="text1"/>
                <w:szCs w:val="21"/>
                <w14:textFill>
                  <w14:solidFill>
                    <w14:schemeClr w14:val="tx1"/>
                  </w14:solidFill>
                </w14:textFill>
              </w:rPr>
            </w:pPr>
          </w:p>
        </w:tc>
        <w:tc>
          <w:tcPr>
            <w:tcW w:w="1080" w:type="dxa"/>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指标</w:t>
            </w:r>
          </w:p>
          <w:p>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(10分)</w:t>
            </w:r>
          </w:p>
        </w:tc>
        <w:tc>
          <w:tcPr>
            <w:tcW w:w="1080" w:type="dxa"/>
            <w:tcBorders>
              <w:bottom w:val="nil"/>
            </w:tcBorders>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服务对象满意度指标</w:t>
            </w:r>
          </w:p>
        </w:tc>
        <w:tc>
          <w:tcPr>
            <w:tcW w:w="1229"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服务对象满意度</w:t>
            </w:r>
          </w:p>
        </w:tc>
        <w:tc>
          <w:tcPr>
            <w:tcW w:w="1131"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1140"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100%</w:t>
            </w:r>
          </w:p>
        </w:tc>
        <w:tc>
          <w:tcPr>
            <w:tcW w:w="68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795" w:type="dxa"/>
            <w:vAlign w:val="center"/>
          </w:tcPr>
          <w:p>
            <w:pPr>
              <w:keepNext w:val="0"/>
              <w:keepLines w:val="0"/>
              <w:widowControl/>
              <w:suppressLineNumbers w:val="0"/>
              <w:jc w:val="center"/>
              <w:textAlignment w:val="center"/>
              <w:rPr>
                <w:rFonts w:ascii="宋体" w:hAnsi="宋体" w:eastAsia="宋体" w:cs="宋体"/>
                <w:color w:val="000000" w:themeColor="text1"/>
                <w:szCs w:val="21"/>
                <w14:textFill>
                  <w14:solidFill>
                    <w14:schemeClr w14:val="tx1"/>
                  </w14:solidFill>
                </w14:textFill>
              </w:rPr>
            </w:pPr>
            <w:r>
              <w:rPr>
                <w:rFonts w:hint="eastAsia" w:ascii="仿宋" w:hAnsi="仿宋" w:eastAsia="仿宋" w:cs="仿宋"/>
                <w:i w:val="0"/>
                <w:iCs w:val="0"/>
                <w:color w:val="000000"/>
                <w:kern w:val="0"/>
                <w:sz w:val="24"/>
                <w:szCs w:val="24"/>
                <w:u w:val="none"/>
                <w:lang w:val="en-US" w:eastAsia="zh-CN" w:bidi="ar"/>
              </w:rPr>
              <w:t>10</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spacing w:line="260" w:lineRule="exact"/>
              <w:ind w:firstLine="3145"/>
              <w:jc w:val="center"/>
              <w:rPr>
                <w:rFonts w:hint="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100</w:t>
            </w:r>
          </w:p>
        </w:tc>
        <w:tc>
          <w:tcPr>
            <w:tcW w:w="1365" w:type="dxa"/>
            <w:vAlign w:val="center"/>
          </w:tcPr>
          <w:p>
            <w:pPr>
              <w:jc w:val="center"/>
              <w:rPr>
                <w:rFonts w:hint="eastAsia" w:ascii="Arial"/>
                <w:color w:val="000000" w:themeColor="text1"/>
                <w:szCs w:val="21"/>
                <w14:textFill>
                  <w14:solidFill>
                    <w14:schemeClr w14:val="tx1"/>
                  </w14:solidFill>
                </w14:textFill>
              </w:rPr>
            </w:pPr>
          </w:p>
        </w:tc>
      </w:tr>
    </w:tbl>
    <w:p>
      <w:pPr>
        <w:spacing w:line="252" w:lineRule="auto"/>
        <w:rPr>
          <w:rFonts w:hint="eastAsia" w:ascii="Arial"/>
          <w:color w:val="000000" w:themeColor="text1"/>
          <w14:textFill>
            <w14:solidFill>
              <w14:schemeClr w14:val="tx1"/>
            </w14:solidFill>
          </w14:textFill>
        </w:rPr>
      </w:pPr>
    </w:p>
    <w:p>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footerReference r:id="rId4" w:type="default"/>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钟娜</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14:textFill>
            <w14:solidFill>
              <w14:schemeClr w14:val="tx1"/>
            </w14:solidFill>
          </w14:textFill>
        </w:rPr>
        <w:t>13873019096</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失独对象节日慰问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岳阳楼区卫生健康局</w:t>
            </w:r>
          </w:p>
        </w:tc>
        <w:tc>
          <w:tcPr>
            <w:tcW w:w="1140" w:type="dxa"/>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人家股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spacing w:line="254" w:lineRule="auto"/>
              <w:jc w:val="center"/>
              <w:rPr>
                <w:rFonts w:ascii="Arial"/>
                <w:color w:val="000000" w:themeColor="text1"/>
                <w:szCs w:val="21"/>
                <w14:textFill>
                  <w14:solidFill>
                    <w14:schemeClr w14:val="tx1"/>
                  </w14:solidFill>
                </w14:textFill>
              </w:rPr>
            </w:pPr>
          </w:p>
          <w:p>
            <w:pPr>
              <w:spacing w:line="255" w:lineRule="auto"/>
              <w:jc w:val="center"/>
              <w:rPr>
                <w:rFonts w:ascii="Arial"/>
                <w:color w:val="000000" w:themeColor="text1"/>
                <w:szCs w:val="21"/>
                <w14:textFill>
                  <w14:solidFill>
                    <w14:schemeClr w14:val="tx1"/>
                  </w14:solidFill>
                </w14:textFill>
              </w:rPr>
            </w:pP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vAlign w:val="center"/>
          </w:tcPr>
          <w:p>
            <w:pPr>
              <w:spacing w:line="300" w:lineRule="exact"/>
              <w:jc w:val="center"/>
              <w:rPr>
                <w:rFonts w:ascii="Arial"/>
                <w:color w:val="000000" w:themeColor="text1"/>
                <w:szCs w:val="21"/>
                <w14:textFill>
                  <w14:solidFill>
                    <w14:schemeClr w14:val="tx1"/>
                  </w14:solidFill>
                </w14:textFill>
              </w:rPr>
            </w:pP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20</w:t>
            </w:r>
          </w:p>
        </w:tc>
        <w:tc>
          <w:tcPr>
            <w:tcW w:w="1131" w:type="dxa"/>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20</w:t>
            </w:r>
          </w:p>
        </w:tc>
        <w:tc>
          <w:tcPr>
            <w:tcW w:w="1140" w:type="dxa"/>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20</w:t>
            </w:r>
          </w:p>
        </w:tc>
        <w:tc>
          <w:tcPr>
            <w:tcW w:w="685" w:type="dxa"/>
            <w:vAlign w:val="center"/>
          </w:tcPr>
          <w:p>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36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tcPr>
          <w:p>
            <w:pPr>
              <w:jc w:val="center"/>
              <w:rPr>
                <w:rFonts w:ascii="Arial"/>
                <w:color w:val="000000" w:themeColor="text1"/>
                <w:szCs w:val="21"/>
                <w14:textFill>
                  <w14:solidFill>
                    <w14:schemeClr w14:val="tx1"/>
                  </w14:solidFill>
                </w14:textFill>
              </w:rPr>
            </w:pPr>
            <w:r>
              <w:t>120</w:t>
            </w:r>
          </w:p>
        </w:tc>
        <w:tc>
          <w:tcPr>
            <w:tcW w:w="1131" w:type="dxa"/>
          </w:tcPr>
          <w:p>
            <w:pPr>
              <w:jc w:val="center"/>
              <w:rPr>
                <w:rFonts w:ascii="Arial"/>
                <w:color w:val="000000" w:themeColor="text1"/>
                <w:szCs w:val="21"/>
                <w14:textFill>
                  <w14:solidFill>
                    <w14:schemeClr w14:val="tx1"/>
                  </w14:solidFill>
                </w14:textFill>
              </w:rPr>
            </w:pPr>
            <w:r>
              <w:t>120</w:t>
            </w:r>
          </w:p>
        </w:tc>
        <w:tc>
          <w:tcPr>
            <w:tcW w:w="1140" w:type="dxa"/>
          </w:tcPr>
          <w:p>
            <w:pPr>
              <w:jc w:val="center"/>
              <w:rPr>
                <w:rFonts w:ascii="Arial"/>
                <w:color w:val="000000" w:themeColor="text1"/>
                <w:szCs w:val="21"/>
                <w14:textFill>
                  <w14:solidFill>
                    <w14:schemeClr w14:val="tx1"/>
                  </w14:solidFill>
                </w14:textFill>
              </w:rPr>
            </w:pPr>
            <w:r>
              <w:t>120</w:t>
            </w:r>
          </w:p>
        </w:tc>
        <w:tc>
          <w:tcPr>
            <w:tcW w:w="68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100%</w:t>
            </w:r>
          </w:p>
        </w:tc>
        <w:tc>
          <w:tcPr>
            <w:tcW w:w="1365" w:type="dxa"/>
            <w:vAlign w:val="center"/>
          </w:tcPr>
          <w:p>
            <w:pPr>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上年结转资金</w:t>
            </w:r>
          </w:p>
        </w:tc>
        <w:tc>
          <w:tcPr>
            <w:tcW w:w="1229" w:type="dxa"/>
            <w:vAlign w:val="center"/>
          </w:tcPr>
          <w:p>
            <w:pPr>
              <w:jc w:val="center"/>
              <w:rPr>
                <w:rFonts w:ascii="Arial"/>
                <w:color w:val="000000" w:themeColor="text1"/>
                <w:szCs w:val="21"/>
                <w14:textFill>
                  <w14:solidFill>
                    <w14:schemeClr w14:val="tx1"/>
                  </w14:solidFill>
                </w14:textFill>
              </w:rPr>
            </w:pPr>
          </w:p>
        </w:tc>
        <w:tc>
          <w:tcPr>
            <w:tcW w:w="1131" w:type="dxa"/>
            <w:vAlign w:val="center"/>
          </w:tcPr>
          <w:p>
            <w:pPr>
              <w:jc w:val="center"/>
              <w:rPr>
                <w:rFonts w:ascii="Arial"/>
                <w:color w:val="000000" w:themeColor="text1"/>
                <w:szCs w:val="21"/>
                <w14:textFill>
                  <w14:solidFill>
                    <w14:schemeClr w14:val="tx1"/>
                  </w14:solidFill>
                </w14:textFill>
              </w:rPr>
            </w:pPr>
          </w:p>
        </w:tc>
        <w:tc>
          <w:tcPr>
            <w:tcW w:w="1140" w:type="dxa"/>
            <w:vAlign w:val="center"/>
          </w:tcPr>
          <w:p>
            <w:pPr>
              <w:jc w:val="center"/>
              <w:rPr>
                <w:rFonts w:ascii="Arial"/>
                <w:color w:val="000000" w:themeColor="text1"/>
                <w:szCs w:val="21"/>
                <w14:textFill>
                  <w14:solidFill>
                    <w14:schemeClr w14:val="tx1"/>
                  </w14:solidFill>
                </w14:textFill>
              </w:rPr>
            </w:pP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2160" w:type="dxa"/>
            <w:gridSpan w:val="2"/>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其他资金</w:t>
            </w:r>
          </w:p>
        </w:tc>
        <w:tc>
          <w:tcPr>
            <w:tcW w:w="1229" w:type="dxa"/>
            <w:vAlign w:val="center"/>
          </w:tcPr>
          <w:p>
            <w:pPr>
              <w:jc w:val="center"/>
              <w:rPr>
                <w:rFonts w:ascii="Arial"/>
                <w:color w:val="000000" w:themeColor="text1"/>
                <w:szCs w:val="21"/>
                <w14:textFill>
                  <w14:solidFill>
                    <w14:schemeClr w14:val="tx1"/>
                  </w14:solidFill>
                </w14:textFill>
              </w:rPr>
            </w:pPr>
          </w:p>
        </w:tc>
        <w:tc>
          <w:tcPr>
            <w:tcW w:w="1131" w:type="dxa"/>
            <w:vAlign w:val="center"/>
          </w:tcPr>
          <w:p>
            <w:pPr>
              <w:jc w:val="center"/>
              <w:rPr>
                <w:rFonts w:ascii="Arial"/>
                <w:color w:val="000000" w:themeColor="text1"/>
                <w:szCs w:val="21"/>
                <w14:textFill>
                  <w14:solidFill>
                    <w14:schemeClr w14:val="tx1"/>
                  </w14:solidFill>
                </w14:textFill>
              </w:rPr>
            </w:pPr>
          </w:p>
        </w:tc>
        <w:tc>
          <w:tcPr>
            <w:tcW w:w="1140" w:type="dxa"/>
            <w:vAlign w:val="center"/>
          </w:tcPr>
          <w:p>
            <w:pPr>
              <w:jc w:val="center"/>
              <w:rPr>
                <w:rFonts w:ascii="Arial"/>
                <w:color w:val="000000" w:themeColor="text1"/>
                <w:szCs w:val="21"/>
                <w14:textFill>
                  <w14:solidFill>
                    <w14:schemeClr w14:val="tx1"/>
                  </w14:solidFill>
                </w14:textFill>
              </w:rPr>
            </w:pP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vAlign w:val="center"/>
          </w:tcPr>
          <w:p>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vAlign w:val="center"/>
          </w:tcPr>
          <w:p>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4520" w:type="dxa"/>
            <w:gridSpan w:val="4"/>
            <w:vAlign w:val="center"/>
          </w:tcPr>
          <w:p>
            <w:pPr>
              <w:spacing w:line="24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120.00万</w:t>
            </w:r>
          </w:p>
        </w:tc>
        <w:tc>
          <w:tcPr>
            <w:tcW w:w="3985" w:type="dxa"/>
            <w:gridSpan w:val="4"/>
            <w:vAlign w:val="center"/>
          </w:tcPr>
          <w:p>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120.00万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textDirection w:val="tbRlV"/>
            <w:vAlign w:val="center"/>
          </w:tcPr>
          <w:p>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效</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指</w:t>
            </w: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vAlign w:val="center"/>
          </w:tcPr>
          <w:p>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vAlign w:val="center"/>
          </w:tcPr>
          <w:p>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w:t>
            </w:r>
            <w:r>
              <w:rPr>
                <w:rFonts w:ascii="宋体" w:hAnsi="宋体" w:eastAsia="宋体" w:cs="宋体"/>
                <w:color w:val="000000" w:themeColor="text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56"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257" w:lineRule="auto"/>
              <w:jc w:val="center"/>
              <w:rPr>
                <w:rFonts w:ascii="Arial"/>
                <w:color w:val="000000" w:themeColor="text1"/>
                <w:szCs w:val="21"/>
                <w14:textFill>
                  <w14:solidFill>
                    <w14:schemeClr w14:val="tx1"/>
                  </w14:solidFill>
                </w14:textFill>
              </w:rPr>
            </w:pPr>
          </w:p>
          <w:p>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vAlign w:val="center"/>
          </w:tcPr>
          <w:p>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失独对象</w:t>
            </w:r>
          </w:p>
        </w:tc>
        <w:tc>
          <w:tcPr>
            <w:tcW w:w="1131" w:type="dxa"/>
            <w:vAlign w:val="center"/>
          </w:tcPr>
          <w:p>
            <w:pPr>
              <w:spacing w:line="219" w:lineRule="exact"/>
              <w:jc w:val="center"/>
              <w:rPr>
                <w:rFonts w:ascii="Arial"/>
                <w:color w:val="000000" w:themeColor="text1"/>
                <w:szCs w:val="21"/>
                <w14:textFill>
                  <w14:solidFill>
                    <w14:schemeClr w14:val="tx1"/>
                  </w14:solidFill>
                </w14:textFill>
              </w:rPr>
            </w:pPr>
            <w:r>
              <w:rPr>
                <w:rFonts w:ascii="Arial"/>
                <w:color w:val="000000" w:themeColor="text1"/>
                <w:szCs w:val="21"/>
                <w14:textFill>
                  <w14:solidFill>
                    <w14:schemeClr w14:val="tx1"/>
                  </w14:solidFill>
                </w14:textFill>
              </w:rPr>
              <w:t>699</w:t>
            </w:r>
          </w:p>
        </w:tc>
        <w:tc>
          <w:tcPr>
            <w:tcW w:w="1140" w:type="dxa"/>
            <w:vAlign w:val="center"/>
          </w:tcPr>
          <w:p>
            <w:pPr>
              <w:spacing w:line="219" w:lineRule="exact"/>
              <w:jc w:val="center"/>
              <w:rPr>
                <w:rFonts w:ascii="Arial"/>
                <w:color w:val="000000" w:themeColor="text1"/>
                <w:szCs w:val="21"/>
                <w14:textFill>
                  <w14:solidFill>
                    <w14:schemeClr w14:val="tx1"/>
                  </w14:solidFill>
                </w14:textFill>
              </w:rPr>
            </w:pPr>
            <w:r>
              <w:rPr>
                <w:rFonts w:ascii="Arial"/>
                <w:color w:val="000000" w:themeColor="text1"/>
                <w:szCs w:val="21"/>
                <w14:textFill>
                  <w14:solidFill>
                    <w14:schemeClr w14:val="tx1"/>
                  </w14:solidFill>
                </w14:textFill>
              </w:rPr>
              <w:t>699</w:t>
            </w:r>
          </w:p>
        </w:tc>
        <w:tc>
          <w:tcPr>
            <w:tcW w:w="685"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795" w:type="dxa"/>
            <w:vAlign w:val="center"/>
          </w:tcPr>
          <w:p>
            <w:pPr>
              <w:spacing w:line="21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1365" w:type="dxa"/>
            <w:vAlign w:val="center"/>
          </w:tcPr>
          <w:p>
            <w:pPr>
              <w:spacing w:line="21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40" w:lineRule="exact"/>
              <w:jc w:val="center"/>
              <w:rPr>
                <w:rFonts w:ascii="Arial"/>
                <w:color w:val="000000" w:themeColor="text1"/>
                <w:szCs w:val="21"/>
                <w14:textFill>
                  <w14:solidFill>
                    <w14:schemeClr w14:val="tx1"/>
                  </w14:solidFill>
                </w14:textFill>
              </w:rPr>
            </w:pPr>
          </w:p>
        </w:tc>
        <w:tc>
          <w:tcPr>
            <w:tcW w:w="1131" w:type="dxa"/>
            <w:vAlign w:val="center"/>
          </w:tcPr>
          <w:p>
            <w:pPr>
              <w:spacing w:line="240" w:lineRule="exact"/>
              <w:jc w:val="center"/>
              <w:rPr>
                <w:rFonts w:ascii="Arial"/>
                <w:color w:val="000000" w:themeColor="text1"/>
                <w:szCs w:val="21"/>
                <w14:textFill>
                  <w14:solidFill>
                    <w14:schemeClr w14:val="tx1"/>
                  </w14:solidFill>
                </w14:textFill>
              </w:rPr>
            </w:pPr>
          </w:p>
        </w:tc>
        <w:tc>
          <w:tcPr>
            <w:tcW w:w="1140" w:type="dxa"/>
            <w:vAlign w:val="center"/>
          </w:tcPr>
          <w:p>
            <w:pPr>
              <w:spacing w:line="240" w:lineRule="exact"/>
              <w:jc w:val="center"/>
              <w:rPr>
                <w:rFonts w:ascii="Arial"/>
                <w:color w:val="000000" w:themeColor="text1"/>
                <w:szCs w:val="21"/>
                <w14:textFill>
                  <w14:solidFill>
                    <w14:schemeClr w14:val="tx1"/>
                  </w14:solidFill>
                </w14:textFill>
              </w:rPr>
            </w:pPr>
          </w:p>
        </w:tc>
        <w:tc>
          <w:tcPr>
            <w:tcW w:w="685" w:type="dxa"/>
            <w:vAlign w:val="center"/>
          </w:tcPr>
          <w:p>
            <w:pPr>
              <w:spacing w:line="240" w:lineRule="exact"/>
              <w:jc w:val="center"/>
              <w:rPr>
                <w:rFonts w:ascii="Arial"/>
                <w:color w:val="000000" w:themeColor="text1"/>
                <w:szCs w:val="21"/>
                <w14:textFill>
                  <w14:solidFill>
                    <w14:schemeClr w14:val="tx1"/>
                  </w14:solidFill>
                </w14:textFill>
              </w:rPr>
            </w:pPr>
          </w:p>
        </w:tc>
        <w:tc>
          <w:tcPr>
            <w:tcW w:w="795" w:type="dxa"/>
            <w:vAlign w:val="center"/>
          </w:tcPr>
          <w:p>
            <w:pPr>
              <w:spacing w:line="240" w:lineRule="exact"/>
              <w:jc w:val="center"/>
              <w:rPr>
                <w:rFonts w:ascii="Arial"/>
                <w:color w:val="000000" w:themeColor="text1"/>
                <w:szCs w:val="21"/>
                <w14:textFill>
                  <w14:solidFill>
                    <w14:schemeClr w14:val="tx1"/>
                  </w14:solidFill>
                </w14:textFill>
              </w:rPr>
            </w:pPr>
          </w:p>
        </w:tc>
        <w:tc>
          <w:tcPr>
            <w:tcW w:w="1365" w:type="dxa"/>
            <w:vAlign w:val="center"/>
          </w:tcPr>
          <w:p>
            <w:pPr>
              <w:spacing w:line="24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vAlign w:val="center"/>
          </w:tcPr>
          <w:p>
            <w:pPr>
              <w:spacing w:line="230"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核准对象信息</w:t>
            </w:r>
          </w:p>
        </w:tc>
        <w:tc>
          <w:tcPr>
            <w:tcW w:w="1131" w:type="dxa"/>
            <w:vAlign w:val="center"/>
          </w:tcPr>
          <w:p>
            <w:pPr>
              <w:spacing w:line="230" w:lineRule="exact"/>
              <w:jc w:val="center"/>
              <w:rPr>
                <w:rFonts w:ascii="Arial"/>
                <w:color w:val="000000" w:themeColor="text1"/>
                <w:szCs w:val="21"/>
                <w14:textFill>
                  <w14:solidFill>
                    <w14:schemeClr w14:val="tx1"/>
                  </w14:solidFill>
                </w14:textFill>
              </w:rPr>
            </w:pPr>
            <w:r>
              <w:rPr>
                <w:rFonts w:ascii="Arial"/>
                <w:color w:val="000000" w:themeColor="text1"/>
                <w:szCs w:val="21"/>
                <w14:textFill>
                  <w14:solidFill>
                    <w14:schemeClr w14:val="tx1"/>
                  </w14:solidFill>
                </w14:textFill>
              </w:rPr>
              <w:t>100%</w:t>
            </w:r>
            <w:r>
              <w:rPr>
                <w:rFonts w:ascii="Arial"/>
                <w:color w:val="000000" w:themeColor="text1"/>
                <w:szCs w:val="21"/>
                <w14:textFill>
                  <w14:solidFill>
                    <w14:schemeClr w14:val="tx1"/>
                  </w14:solidFill>
                </w14:textFill>
              </w:rPr>
              <w:tab/>
            </w:r>
          </w:p>
        </w:tc>
        <w:tc>
          <w:tcPr>
            <w:tcW w:w="1140" w:type="dxa"/>
            <w:vAlign w:val="center"/>
          </w:tcPr>
          <w:p>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p>
        </w:tc>
        <w:tc>
          <w:tcPr>
            <w:tcW w:w="68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795" w:type="dxa"/>
            <w:vAlign w:val="center"/>
          </w:tcPr>
          <w:p>
            <w:pPr>
              <w:spacing w:line="23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20" w:lineRule="exact"/>
              <w:jc w:val="center"/>
              <w:rPr>
                <w:rFonts w:ascii="Arial"/>
                <w:color w:val="000000" w:themeColor="text1"/>
                <w:szCs w:val="21"/>
                <w14:textFill>
                  <w14:solidFill>
                    <w14:schemeClr w14:val="tx1"/>
                  </w14:solidFill>
                </w14:textFill>
              </w:rPr>
            </w:pPr>
          </w:p>
        </w:tc>
        <w:tc>
          <w:tcPr>
            <w:tcW w:w="1131" w:type="dxa"/>
            <w:vAlign w:val="center"/>
          </w:tcPr>
          <w:p>
            <w:pPr>
              <w:spacing w:line="220" w:lineRule="exact"/>
              <w:jc w:val="center"/>
              <w:rPr>
                <w:rFonts w:ascii="Arial"/>
                <w:color w:val="000000" w:themeColor="text1"/>
                <w:szCs w:val="21"/>
                <w14:textFill>
                  <w14:solidFill>
                    <w14:schemeClr w14:val="tx1"/>
                  </w14:solidFill>
                </w14:textFill>
              </w:rPr>
            </w:pPr>
          </w:p>
        </w:tc>
        <w:tc>
          <w:tcPr>
            <w:tcW w:w="1140" w:type="dxa"/>
            <w:vAlign w:val="center"/>
          </w:tcPr>
          <w:p>
            <w:pPr>
              <w:spacing w:line="220" w:lineRule="exact"/>
              <w:jc w:val="center"/>
              <w:rPr>
                <w:rFonts w:ascii="Arial"/>
                <w:color w:val="000000" w:themeColor="text1"/>
                <w:szCs w:val="21"/>
                <w14:textFill>
                  <w14:solidFill>
                    <w14:schemeClr w14:val="tx1"/>
                  </w14:solidFill>
                </w14:textFill>
              </w:rPr>
            </w:pPr>
          </w:p>
        </w:tc>
        <w:tc>
          <w:tcPr>
            <w:tcW w:w="685" w:type="dxa"/>
            <w:vAlign w:val="center"/>
          </w:tcPr>
          <w:p>
            <w:pPr>
              <w:spacing w:line="220" w:lineRule="exact"/>
              <w:jc w:val="center"/>
              <w:rPr>
                <w:rFonts w:ascii="Arial"/>
                <w:color w:val="000000" w:themeColor="text1"/>
                <w:szCs w:val="21"/>
                <w14:textFill>
                  <w14:solidFill>
                    <w14:schemeClr w14:val="tx1"/>
                  </w14:solidFill>
                </w14:textFill>
              </w:rPr>
            </w:pPr>
          </w:p>
        </w:tc>
        <w:tc>
          <w:tcPr>
            <w:tcW w:w="795" w:type="dxa"/>
            <w:vAlign w:val="center"/>
          </w:tcPr>
          <w:p>
            <w:pPr>
              <w:spacing w:line="220" w:lineRule="exact"/>
              <w:jc w:val="center"/>
              <w:rPr>
                <w:rFonts w:ascii="Arial"/>
                <w:color w:val="000000" w:themeColor="text1"/>
                <w:szCs w:val="21"/>
                <w14:textFill>
                  <w14:solidFill>
                    <w14:schemeClr w14:val="tx1"/>
                  </w14:solidFill>
                </w14:textFill>
              </w:rPr>
            </w:pP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vAlign w:val="center"/>
          </w:tcPr>
          <w:p>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按节</w:t>
            </w:r>
            <w:r>
              <w:rPr>
                <w:rFonts w:hint="eastAsia" w:ascii="Arial"/>
                <w:color w:val="000000" w:themeColor="text1"/>
                <w:szCs w:val="21"/>
                <w:lang w:val="en-US" w:eastAsia="zh-CN"/>
                <w14:textFill>
                  <w14:solidFill>
                    <w14:schemeClr w14:val="tx1"/>
                  </w14:solidFill>
                </w14:textFill>
              </w:rPr>
              <w:t>日</w:t>
            </w:r>
            <w:r>
              <w:rPr>
                <w:rFonts w:hint="eastAsia" w:ascii="Arial"/>
                <w:color w:val="000000" w:themeColor="text1"/>
                <w:szCs w:val="21"/>
                <w14:textFill>
                  <w14:solidFill>
                    <w14:schemeClr w14:val="tx1"/>
                  </w14:solidFill>
                </w14:textFill>
              </w:rPr>
              <w:t>发放</w:t>
            </w:r>
            <w:r>
              <w:rPr>
                <w:rFonts w:ascii="Arial"/>
                <w:color w:val="000000" w:themeColor="text1"/>
                <w:szCs w:val="21"/>
                <w14:textFill>
                  <w14:solidFill>
                    <w14:schemeClr w14:val="tx1"/>
                  </w14:solidFill>
                </w14:textFill>
              </w:rPr>
              <w:t xml:space="preserve"> </w:t>
            </w:r>
          </w:p>
        </w:tc>
        <w:tc>
          <w:tcPr>
            <w:tcW w:w="1131" w:type="dxa"/>
            <w:vAlign w:val="center"/>
          </w:tcPr>
          <w:p>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r>
              <w:rPr>
                <w:rFonts w:hint="eastAsia" w:ascii="Arial"/>
                <w:color w:val="000000" w:themeColor="text1"/>
                <w:szCs w:val="21"/>
                <w14:textFill>
                  <w14:solidFill>
                    <w14:schemeClr w14:val="tx1"/>
                  </w14:solidFill>
                </w14:textFill>
              </w:rPr>
              <w:t>%</w:t>
            </w:r>
          </w:p>
        </w:tc>
        <w:tc>
          <w:tcPr>
            <w:tcW w:w="1140" w:type="dxa"/>
            <w:vAlign w:val="center"/>
          </w:tcPr>
          <w:p>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r>
              <w:rPr>
                <w:rFonts w:hint="eastAsia" w:ascii="Arial"/>
                <w:color w:val="000000" w:themeColor="text1"/>
                <w:szCs w:val="21"/>
                <w14:textFill>
                  <w14:solidFill>
                    <w14:schemeClr w14:val="tx1"/>
                  </w14:solidFill>
                </w14:textFill>
              </w:rPr>
              <w:t>%</w:t>
            </w:r>
          </w:p>
        </w:tc>
        <w:tc>
          <w:tcPr>
            <w:tcW w:w="68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79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vAlign w:val="center"/>
          </w:tcPr>
          <w:p>
            <w:pPr>
              <w:spacing w:line="220"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按文件比例承担</w:t>
            </w:r>
          </w:p>
        </w:tc>
        <w:tc>
          <w:tcPr>
            <w:tcW w:w="1131" w:type="dxa"/>
            <w:vAlign w:val="center"/>
          </w:tcPr>
          <w:p>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w:t>
            </w:r>
            <w:r>
              <w:rPr>
                <w:rFonts w:ascii="Arial"/>
                <w:color w:val="000000" w:themeColor="text1"/>
                <w:szCs w:val="21"/>
                <w14:textFill>
                  <w14:solidFill>
                    <w14:schemeClr w14:val="tx1"/>
                  </w14:solidFill>
                </w14:textFill>
              </w:rPr>
              <w:t>100</w:t>
            </w:r>
            <w:r>
              <w:rPr>
                <w:rFonts w:hint="eastAsia" w:ascii="Arial"/>
                <w:color w:val="000000" w:themeColor="text1"/>
                <w:szCs w:val="21"/>
                <w14:textFill>
                  <w14:solidFill>
                    <w14:schemeClr w14:val="tx1"/>
                  </w14:solidFill>
                </w14:textFill>
              </w:rPr>
              <w:t>%</w:t>
            </w:r>
          </w:p>
        </w:tc>
        <w:tc>
          <w:tcPr>
            <w:tcW w:w="1140" w:type="dxa"/>
            <w:vAlign w:val="center"/>
          </w:tcPr>
          <w:p>
            <w:pPr>
              <w:spacing w:line="220" w:lineRule="exact"/>
              <w:jc w:val="center"/>
              <w:rPr>
                <w:rFonts w:ascii="Arial"/>
                <w:color w:val="000000" w:themeColor="text1"/>
                <w:szCs w:val="21"/>
                <w14:textFill>
                  <w14:solidFill>
                    <w14:schemeClr w14:val="tx1"/>
                  </w14:solidFill>
                </w14:textFill>
              </w:rPr>
            </w:pPr>
            <w:r>
              <w:rPr>
                <w:rFonts w:ascii="Arial"/>
                <w:color w:val="000000" w:themeColor="text1"/>
                <w:szCs w:val="21"/>
                <w14:textFill>
                  <w14:solidFill>
                    <w14:schemeClr w14:val="tx1"/>
                  </w14:solidFill>
                </w14:textFill>
              </w:rPr>
              <w:t>区100%</w:t>
            </w:r>
          </w:p>
        </w:tc>
        <w:tc>
          <w:tcPr>
            <w:tcW w:w="685"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795" w:type="dxa"/>
            <w:vAlign w:val="center"/>
          </w:tcPr>
          <w:p>
            <w:pPr>
              <w:spacing w:line="22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12.5</w:t>
            </w: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9" w:lineRule="exact"/>
              <w:jc w:val="center"/>
              <w:rPr>
                <w:rFonts w:ascii="Arial"/>
                <w:color w:val="000000" w:themeColor="text1"/>
                <w:szCs w:val="21"/>
                <w14:textFill>
                  <w14:solidFill>
                    <w14:schemeClr w14:val="tx1"/>
                  </w14:solidFill>
                </w14:textFill>
              </w:rPr>
            </w:pPr>
          </w:p>
        </w:tc>
        <w:tc>
          <w:tcPr>
            <w:tcW w:w="1131" w:type="dxa"/>
            <w:vAlign w:val="center"/>
          </w:tcPr>
          <w:p>
            <w:pPr>
              <w:spacing w:line="239" w:lineRule="exact"/>
              <w:jc w:val="center"/>
              <w:rPr>
                <w:rFonts w:ascii="Arial"/>
                <w:color w:val="000000" w:themeColor="text1"/>
                <w:szCs w:val="21"/>
                <w14:textFill>
                  <w14:solidFill>
                    <w14:schemeClr w14:val="tx1"/>
                  </w14:solidFill>
                </w14:textFill>
              </w:rPr>
            </w:pPr>
          </w:p>
        </w:tc>
        <w:tc>
          <w:tcPr>
            <w:tcW w:w="1140" w:type="dxa"/>
            <w:vAlign w:val="center"/>
          </w:tcPr>
          <w:p>
            <w:pPr>
              <w:spacing w:line="239" w:lineRule="exact"/>
              <w:jc w:val="center"/>
              <w:rPr>
                <w:rFonts w:ascii="Arial"/>
                <w:color w:val="000000" w:themeColor="text1"/>
                <w:szCs w:val="21"/>
                <w14:textFill>
                  <w14:solidFill>
                    <w14:schemeClr w14:val="tx1"/>
                  </w14:solidFill>
                </w14:textFill>
              </w:rPr>
            </w:pPr>
          </w:p>
        </w:tc>
        <w:tc>
          <w:tcPr>
            <w:tcW w:w="685" w:type="dxa"/>
            <w:vAlign w:val="center"/>
          </w:tcPr>
          <w:p>
            <w:pPr>
              <w:spacing w:line="239" w:lineRule="exact"/>
              <w:jc w:val="center"/>
              <w:rPr>
                <w:rFonts w:ascii="Arial"/>
                <w:color w:val="000000" w:themeColor="text1"/>
                <w:szCs w:val="21"/>
                <w14:textFill>
                  <w14:solidFill>
                    <w14:schemeClr w14:val="tx1"/>
                  </w14:solidFill>
                </w14:textFill>
              </w:rPr>
            </w:pPr>
          </w:p>
        </w:tc>
        <w:tc>
          <w:tcPr>
            <w:tcW w:w="795" w:type="dxa"/>
            <w:vAlign w:val="center"/>
          </w:tcPr>
          <w:p>
            <w:pPr>
              <w:spacing w:line="239" w:lineRule="exact"/>
              <w:jc w:val="center"/>
              <w:rPr>
                <w:rFonts w:ascii="Arial"/>
                <w:color w:val="000000" w:themeColor="text1"/>
                <w:szCs w:val="21"/>
                <w14:textFill>
                  <w14:solidFill>
                    <w14:schemeClr w14:val="tx1"/>
                  </w14:solidFill>
                </w14:textFill>
              </w:rPr>
            </w:pP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20" w:lineRule="exact"/>
              <w:jc w:val="center"/>
              <w:rPr>
                <w:rFonts w:ascii="Arial"/>
                <w:color w:val="000000" w:themeColor="text1"/>
                <w:szCs w:val="21"/>
                <w14:textFill>
                  <w14:solidFill>
                    <w14:schemeClr w14:val="tx1"/>
                  </w14:solidFill>
                </w14:textFill>
              </w:rPr>
            </w:pPr>
          </w:p>
        </w:tc>
        <w:tc>
          <w:tcPr>
            <w:tcW w:w="1131" w:type="dxa"/>
            <w:vAlign w:val="center"/>
          </w:tcPr>
          <w:p>
            <w:pPr>
              <w:spacing w:line="220" w:lineRule="exact"/>
              <w:jc w:val="center"/>
              <w:rPr>
                <w:rFonts w:ascii="Arial"/>
                <w:color w:val="000000" w:themeColor="text1"/>
                <w:szCs w:val="21"/>
                <w14:textFill>
                  <w14:solidFill>
                    <w14:schemeClr w14:val="tx1"/>
                  </w14:solidFill>
                </w14:textFill>
              </w:rPr>
            </w:pPr>
          </w:p>
        </w:tc>
        <w:tc>
          <w:tcPr>
            <w:tcW w:w="1140" w:type="dxa"/>
            <w:vAlign w:val="center"/>
          </w:tcPr>
          <w:p>
            <w:pPr>
              <w:spacing w:line="220" w:lineRule="exact"/>
              <w:jc w:val="center"/>
              <w:rPr>
                <w:rFonts w:ascii="Arial"/>
                <w:color w:val="000000" w:themeColor="text1"/>
                <w:szCs w:val="21"/>
                <w14:textFill>
                  <w14:solidFill>
                    <w14:schemeClr w14:val="tx1"/>
                  </w14:solidFill>
                </w14:textFill>
              </w:rPr>
            </w:pPr>
          </w:p>
        </w:tc>
        <w:tc>
          <w:tcPr>
            <w:tcW w:w="685" w:type="dxa"/>
            <w:vAlign w:val="center"/>
          </w:tcPr>
          <w:p>
            <w:pPr>
              <w:spacing w:line="220" w:lineRule="exact"/>
              <w:jc w:val="center"/>
              <w:rPr>
                <w:rFonts w:ascii="Arial"/>
                <w:color w:val="000000" w:themeColor="text1"/>
                <w:szCs w:val="21"/>
                <w14:textFill>
                  <w14:solidFill>
                    <w14:schemeClr w14:val="tx1"/>
                  </w14:solidFill>
                </w14:textFill>
              </w:rPr>
            </w:pPr>
          </w:p>
        </w:tc>
        <w:tc>
          <w:tcPr>
            <w:tcW w:w="795" w:type="dxa"/>
            <w:vAlign w:val="center"/>
          </w:tcPr>
          <w:p>
            <w:pPr>
              <w:spacing w:line="220" w:lineRule="exact"/>
              <w:jc w:val="center"/>
              <w:rPr>
                <w:rFonts w:ascii="Arial"/>
                <w:color w:val="000000" w:themeColor="text1"/>
                <w:szCs w:val="21"/>
                <w14:textFill>
                  <w14:solidFill>
                    <w14:schemeClr w14:val="tx1"/>
                  </w14:solidFill>
                </w14:textFill>
              </w:rPr>
            </w:pP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300" w:lineRule="auto"/>
              <w:jc w:val="center"/>
              <w:rPr>
                <w:rFonts w:ascii="Arial"/>
                <w:color w:val="000000" w:themeColor="text1"/>
                <w:szCs w:val="21"/>
                <w14:textFill>
                  <w14:solidFill>
                    <w14:schemeClr w14:val="tx1"/>
                  </w14:solidFill>
                </w14:textFill>
              </w:rPr>
            </w:pPr>
          </w:p>
          <w:p>
            <w:pPr>
              <w:spacing w:line="301" w:lineRule="auto"/>
              <w:jc w:val="center"/>
              <w:rPr>
                <w:rFonts w:ascii="Arial"/>
                <w:color w:val="000000" w:themeColor="text1"/>
                <w:szCs w:val="21"/>
                <w14:textFill>
                  <w14:solidFill>
                    <w14:schemeClr w14:val="tx1"/>
                  </w14:solidFill>
                </w14:textFill>
              </w:rPr>
            </w:pPr>
          </w:p>
          <w:p>
            <w:pPr>
              <w:spacing w:line="301" w:lineRule="auto"/>
              <w:jc w:val="center"/>
              <w:rPr>
                <w:rFonts w:ascii="Arial"/>
                <w:color w:val="000000" w:themeColor="text1"/>
                <w:szCs w:val="21"/>
                <w14:textFill>
                  <w14:solidFill>
                    <w14:schemeClr w14:val="tx1"/>
                  </w14:solidFill>
                </w14:textFill>
              </w:rPr>
            </w:pPr>
          </w:p>
          <w:p>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vMerge w:val="restart"/>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按文件标准发放</w:t>
            </w:r>
          </w:p>
        </w:tc>
        <w:tc>
          <w:tcPr>
            <w:tcW w:w="1131" w:type="dxa"/>
            <w:vAlign w:val="center"/>
          </w:tcPr>
          <w:p>
            <w:pPr>
              <w:spacing w:line="239" w:lineRule="exact"/>
              <w:jc w:val="center"/>
              <w:rPr>
                <w:rFonts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r>
              <w:rPr>
                <w:rFonts w:hint="eastAsia" w:ascii="Arial"/>
                <w:color w:val="000000" w:themeColor="text1"/>
                <w:szCs w:val="21"/>
                <w14:textFill>
                  <w14:solidFill>
                    <w14:schemeClr w14:val="tx1"/>
                  </w14:solidFill>
                </w14:textFill>
              </w:rPr>
              <w:t>%</w:t>
            </w:r>
          </w:p>
        </w:tc>
        <w:tc>
          <w:tcPr>
            <w:tcW w:w="1140" w:type="dxa"/>
            <w:vAlign w:val="center"/>
          </w:tcPr>
          <w:p>
            <w:pPr>
              <w:spacing w:line="239" w:lineRule="exact"/>
              <w:jc w:val="center"/>
              <w:rPr>
                <w:rFonts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r>
              <w:rPr>
                <w:rFonts w:hint="eastAsia" w:ascii="Arial"/>
                <w:color w:val="000000" w:themeColor="text1"/>
                <w:szCs w:val="21"/>
                <w14:textFill>
                  <w14:solidFill>
                    <w14:schemeClr w14:val="tx1"/>
                  </w14:solidFill>
                </w14:textFill>
              </w:rPr>
              <w:t>%</w:t>
            </w:r>
          </w:p>
        </w:tc>
        <w:tc>
          <w:tcPr>
            <w:tcW w:w="68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39"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20" w:lineRule="exact"/>
              <w:jc w:val="center"/>
              <w:rPr>
                <w:rFonts w:ascii="Arial"/>
                <w:color w:val="000000" w:themeColor="text1"/>
                <w:szCs w:val="21"/>
                <w14:textFill>
                  <w14:solidFill>
                    <w14:schemeClr w14:val="tx1"/>
                  </w14:solidFill>
                </w14:textFill>
              </w:rPr>
            </w:pPr>
          </w:p>
        </w:tc>
        <w:tc>
          <w:tcPr>
            <w:tcW w:w="1131" w:type="dxa"/>
            <w:vAlign w:val="center"/>
          </w:tcPr>
          <w:p>
            <w:pPr>
              <w:spacing w:line="220" w:lineRule="exact"/>
              <w:jc w:val="center"/>
              <w:rPr>
                <w:rFonts w:ascii="Arial"/>
                <w:color w:val="000000" w:themeColor="text1"/>
                <w:szCs w:val="21"/>
                <w14:textFill>
                  <w14:solidFill>
                    <w14:schemeClr w14:val="tx1"/>
                  </w14:solidFill>
                </w14:textFill>
              </w:rPr>
            </w:pPr>
          </w:p>
        </w:tc>
        <w:tc>
          <w:tcPr>
            <w:tcW w:w="1140" w:type="dxa"/>
            <w:vAlign w:val="center"/>
          </w:tcPr>
          <w:p>
            <w:pPr>
              <w:spacing w:line="220" w:lineRule="exact"/>
              <w:jc w:val="center"/>
              <w:rPr>
                <w:rFonts w:ascii="Arial"/>
                <w:color w:val="000000" w:themeColor="text1"/>
                <w:szCs w:val="21"/>
                <w14:textFill>
                  <w14:solidFill>
                    <w14:schemeClr w14:val="tx1"/>
                  </w14:solidFill>
                </w14:textFill>
              </w:rPr>
            </w:pPr>
          </w:p>
        </w:tc>
        <w:tc>
          <w:tcPr>
            <w:tcW w:w="685" w:type="dxa"/>
            <w:vAlign w:val="center"/>
          </w:tcPr>
          <w:p>
            <w:pPr>
              <w:spacing w:line="220" w:lineRule="exact"/>
              <w:jc w:val="center"/>
              <w:rPr>
                <w:rFonts w:ascii="Arial"/>
                <w:color w:val="000000" w:themeColor="text1"/>
                <w:szCs w:val="21"/>
                <w14:textFill>
                  <w14:solidFill>
                    <w14:schemeClr w14:val="tx1"/>
                  </w14:solidFill>
                </w14:textFill>
              </w:rPr>
            </w:pPr>
          </w:p>
        </w:tc>
        <w:tc>
          <w:tcPr>
            <w:tcW w:w="795" w:type="dxa"/>
            <w:vAlign w:val="center"/>
          </w:tcPr>
          <w:p>
            <w:pPr>
              <w:spacing w:line="220" w:lineRule="exact"/>
              <w:jc w:val="center"/>
              <w:rPr>
                <w:rFonts w:ascii="Arial"/>
                <w:color w:val="000000" w:themeColor="text1"/>
                <w:szCs w:val="21"/>
                <w14:textFill>
                  <w14:solidFill>
                    <w14:schemeClr w14:val="tx1"/>
                  </w14:solidFill>
                </w14:textFill>
              </w:rPr>
            </w:pP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pPr>
              <w:spacing w:line="230"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家庭发展</w:t>
            </w:r>
          </w:p>
        </w:tc>
        <w:tc>
          <w:tcPr>
            <w:tcW w:w="1131" w:type="dxa"/>
          </w:tcPr>
          <w:p>
            <w:pPr>
              <w:spacing w:line="230" w:lineRule="exact"/>
              <w:jc w:val="center"/>
              <w:rPr>
                <w:rFonts w:ascii="Arial"/>
                <w:color w:val="000000" w:themeColor="text1"/>
                <w:szCs w:val="21"/>
                <w14:textFill>
                  <w14:solidFill>
                    <w14:schemeClr w14:val="tx1"/>
                  </w14:solidFill>
                </w14:textFill>
              </w:rPr>
            </w:pPr>
            <w:r>
              <w:rPr>
                <w:rFonts w:hint="eastAsia"/>
              </w:rPr>
              <w:t>逐步提高</w:t>
            </w:r>
          </w:p>
        </w:tc>
        <w:tc>
          <w:tcPr>
            <w:tcW w:w="1140" w:type="dxa"/>
          </w:tcPr>
          <w:p>
            <w:pPr>
              <w:spacing w:line="230" w:lineRule="exact"/>
              <w:jc w:val="center"/>
              <w:rPr>
                <w:rFonts w:ascii="Arial"/>
                <w:color w:val="000000" w:themeColor="text1"/>
                <w:szCs w:val="21"/>
                <w14:textFill>
                  <w14:solidFill>
                    <w14:schemeClr w14:val="tx1"/>
                  </w14:solidFill>
                </w14:textFill>
              </w:rPr>
            </w:pPr>
            <w:r>
              <w:rPr>
                <w:rFonts w:hint="eastAsia"/>
              </w:rPr>
              <w:t>逐步提高</w:t>
            </w:r>
          </w:p>
        </w:tc>
        <w:tc>
          <w:tcPr>
            <w:tcW w:w="685" w:type="dxa"/>
            <w:vAlign w:val="center"/>
          </w:tcPr>
          <w:p>
            <w:pPr>
              <w:spacing w:line="230"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w:t>
            </w:r>
          </w:p>
        </w:tc>
        <w:tc>
          <w:tcPr>
            <w:tcW w:w="795" w:type="dxa"/>
            <w:vAlign w:val="center"/>
          </w:tcPr>
          <w:p>
            <w:pPr>
              <w:spacing w:line="230"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tcPr>
          <w:p>
            <w:pPr>
              <w:spacing w:line="239" w:lineRule="exact"/>
              <w:jc w:val="center"/>
              <w:rPr>
                <w:rFonts w:ascii="Arial"/>
                <w:color w:val="000000" w:themeColor="text1"/>
                <w:sz w:val="18"/>
                <w:szCs w:val="18"/>
                <w14:textFill>
                  <w14:solidFill>
                    <w14:schemeClr w14:val="tx1"/>
                  </w14:solidFill>
                </w14:textFill>
              </w:rPr>
            </w:pPr>
            <w:r>
              <w:rPr>
                <w:rFonts w:hint="eastAsia"/>
                <w:sz w:val="18"/>
                <w:szCs w:val="18"/>
              </w:rPr>
              <w:t xml:space="preserve"> 社会稳定水平</w:t>
            </w:r>
          </w:p>
        </w:tc>
        <w:tc>
          <w:tcPr>
            <w:tcW w:w="1131" w:type="dxa"/>
          </w:tcPr>
          <w:p>
            <w:pPr>
              <w:spacing w:line="239" w:lineRule="exact"/>
              <w:jc w:val="center"/>
              <w:rPr>
                <w:rFonts w:ascii="Arial"/>
                <w:color w:val="000000" w:themeColor="text1"/>
                <w:sz w:val="18"/>
                <w:szCs w:val="18"/>
                <w14:textFill>
                  <w14:solidFill>
                    <w14:schemeClr w14:val="tx1"/>
                  </w14:solidFill>
                </w14:textFill>
              </w:rPr>
            </w:pPr>
            <w:r>
              <w:rPr>
                <w:rFonts w:hint="eastAsia"/>
                <w:sz w:val="18"/>
                <w:szCs w:val="18"/>
              </w:rPr>
              <w:t>逐步提高</w:t>
            </w:r>
          </w:p>
        </w:tc>
        <w:tc>
          <w:tcPr>
            <w:tcW w:w="1140" w:type="dxa"/>
          </w:tcPr>
          <w:p>
            <w:pPr>
              <w:spacing w:line="239" w:lineRule="exact"/>
              <w:jc w:val="center"/>
              <w:rPr>
                <w:rFonts w:ascii="Arial"/>
                <w:color w:val="000000" w:themeColor="text1"/>
                <w:sz w:val="18"/>
                <w:szCs w:val="18"/>
                <w14:textFill>
                  <w14:solidFill>
                    <w14:schemeClr w14:val="tx1"/>
                  </w14:solidFill>
                </w14:textFill>
              </w:rPr>
            </w:pPr>
            <w:r>
              <w:rPr>
                <w:rFonts w:hint="eastAsia"/>
                <w:sz w:val="18"/>
                <w:szCs w:val="18"/>
              </w:rPr>
              <w:t>逐步提高</w:t>
            </w:r>
          </w:p>
        </w:tc>
        <w:tc>
          <w:tcPr>
            <w:tcW w:w="685" w:type="dxa"/>
            <w:vAlign w:val="center"/>
          </w:tcPr>
          <w:p>
            <w:pPr>
              <w:spacing w:line="239"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w:t>
            </w:r>
          </w:p>
        </w:tc>
        <w:tc>
          <w:tcPr>
            <w:tcW w:w="795" w:type="dxa"/>
            <w:vAlign w:val="center"/>
          </w:tcPr>
          <w:p>
            <w:pPr>
              <w:spacing w:line="239"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5</w:t>
            </w:r>
          </w:p>
        </w:tc>
        <w:tc>
          <w:tcPr>
            <w:tcW w:w="1365" w:type="dxa"/>
            <w:vAlign w:val="center"/>
          </w:tcPr>
          <w:p>
            <w:pPr>
              <w:spacing w:line="239"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20" w:lineRule="exact"/>
              <w:jc w:val="center"/>
              <w:rPr>
                <w:rFonts w:ascii="Arial"/>
                <w:color w:val="000000" w:themeColor="text1"/>
                <w:szCs w:val="21"/>
                <w14:textFill>
                  <w14:solidFill>
                    <w14:schemeClr w14:val="tx1"/>
                  </w14:solidFill>
                </w14:textFill>
              </w:rPr>
            </w:pPr>
          </w:p>
        </w:tc>
        <w:tc>
          <w:tcPr>
            <w:tcW w:w="1131" w:type="dxa"/>
            <w:vAlign w:val="center"/>
          </w:tcPr>
          <w:p>
            <w:pPr>
              <w:spacing w:line="220" w:lineRule="exact"/>
              <w:jc w:val="center"/>
              <w:rPr>
                <w:rFonts w:ascii="Arial"/>
                <w:color w:val="000000" w:themeColor="text1"/>
                <w:szCs w:val="21"/>
                <w14:textFill>
                  <w14:solidFill>
                    <w14:schemeClr w14:val="tx1"/>
                  </w14:solidFill>
                </w14:textFill>
              </w:rPr>
            </w:pPr>
          </w:p>
        </w:tc>
        <w:tc>
          <w:tcPr>
            <w:tcW w:w="1140" w:type="dxa"/>
            <w:vAlign w:val="center"/>
          </w:tcPr>
          <w:p>
            <w:pPr>
              <w:spacing w:line="220" w:lineRule="exact"/>
              <w:jc w:val="center"/>
              <w:rPr>
                <w:rFonts w:ascii="Arial"/>
                <w:color w:val="000000" w:themeColor="text1"/>
                <w:szCs w:val="21"/>
                <w14:textFill>
                  <w14:solidFill>
                    <w14:schemeClr w14:val="tx1"/>
                  </w14:solidFill>
                </w14:textFill>
              </w:rPr>
            </w:pPr>
          </w:p>
        </w:tc>
        <w:tc>
          <w:tcPr>
            <w:tcW w:w="685" w:type="dxa"/>
            <w:vAlign w:val="center"/>
          </w:tcPr>
          <w:p>
            <w:pPr>
              <w:spacing w:line="220" w:lineRule="exact"/>
              <w:jc w:val="center"/>
              <w:rPr>
                <w:rFonts w:ascii="Arial"/>
                <w:color w:val="000000" w:themeColor="text1"/>
                <w:szCs w:val="21"/>
                <w14:textFill>
                  <w14:solidFill>
                    <w14:schemeClr w14:val="tx1"/>
                  </w14:solidFill>
                </w14:textFill>
              </w:rPr>
            </w:pPr>
          </w:p>
        </w:tc>
        <w:tc>
          <w:tcPr>
            <w:tcW w:w="795" w:type="dxa"/>
            <w:vAlign w:val="center"/>
          </w:tcPr>
          <w:p>
            <w:pPr>
              <w:spacing w:line="220" w:lineRule="exact"/>
              <w:jc w:val="center"/>
              <w:rPr>
                <w:rFonts w:ascii="Arial"/>
                <w:color w:val="000000" w:themeColor="text1"/>
                <w:szCs w:val="21"/>
                <w14:textFill>
                  <w14:solidFill>
                    <w14:schemeClr w14:val="tx1"/>
                  </w14:solidFill>
                </w14:textFill>
              </w:rPr>
            </w:pPr>
          </w:p>
        </w:tc>
        <w:tc>
          <w:tcPr>
            <w:tcW w:w="1365" w:type="dxa"/>
            <w:vAlign w:val="center"/>
          </w:tcPr>
          <w:p>
            <w:pPr>
              <w:spacing w:line="22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tcBorders>
              <w:bottom w:val="nil"/>
            </w:tcBorders>
            <w:vAlign w:val="center"/>
          </w:tcPr>
          <w:p>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生态效</w:t>
            </w:r>
          </w:p>
          <w:p>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14:textFill>
                  <w14:solidFill>
                    <w14:schemeClr w14:val="tx1"/>
                  </w14:solidFill>
                </w14:textFill>
              </w:rPr>
              <w:t>对自然生态环境造成负面影响</w:t>
            </w:r>
          </w:p>
        </w:tc>
        <w:tc>
          <w:tcPr>
            <w:tcW w:w="1131"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114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无负面影响</w:t>
            </w:r>
          </w:p>
        </w:tc>
        <w:tc>
          <w:tcPr>
            <w:tcW w:w="68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vAlign w:val="center"/>
          </w:tcPr>
          <w:p>
            <w:pPr>
              <w:spacing w:line="230" w:lineRule="exact"/>
              <w:jc w:val="center"/>
              <w:rPr>
                <w:rFonts w:hint="eastAsia"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无</w:t>
            </w:r>
          </w:p>
        </w:tc>
        <w:tc>
          <w:tcPr>
            <w:tcW w:w="1131" w:type="dxa"/>
            <w:vAlign w:val="center"/>
          </w:tcPr>
          <w:p>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无</w:t>
            </w:r>
          </w:p>
        </w:tc>
        <w:tc>
          <w:tcPr>
            <w:tcW w:w="1140" w:type="dxa"/>
            <w:vAlign w:val="center"/>
          </w:tcPr>
          <w:p>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无</w:t>
            </w: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restart"/>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vMerge w:val="restart"/>
            <w:tcBorders>
              <w:bottom w:val="nil"/>
            </w:tcBorders>
            <w:vAlign w:val="center"/>
          </w:tcPr>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vAlign w:val="center"/>
          </w:tcPr>
          <w:p>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群众</w:t>
            </w:r>
            <w:r>
              <w:rPr>
                <w:rFonts w:hint="eastAsia" w:ascii="Arial"/>
                <w:color w:val="000000" w:themeColor="text1"/>
                <w:szCs w:val="21"/>
                <w14:textFill>
                  <w14:solidFill>
                    <w14:schemeClr w14:val="tx1"/>
                  </w14:solidFill>
                </w14:textFill>
              </w:rPr>
              <w:t>满意度</w:t>
            </w:r>
          </w:p>
        </w:tc>
        <w:tc>
          <w:tcPr>
            <w:tcW w:w="1131" w:type="dxa"/>
          </w:tcPr>
          <w:p>
            <w:pPr>
              <w:spacing w:line="240" w:lineRule="exact"/>
              <w:jc w:val="center"/>
              <w:rPr>
                <w:rFonts w:ascii="Arial"/>
                <w:color w:val="000000" w:themeColor="text1"/>
                <w:szCs w:val="21"/>
                <w14:textFill>
                  <w14:solidFill>
                    <w14:schemeClr w14:val="tx1"/>
                  </w14:solidFill>
                </w14:textFill>
              </w:rPr>
            </w:pPr>
            <w:r>
              <w:t>100%</w:t>
            </w:r>
          </w:p>
        </w:tc>
        <w:tc>
          <w:tcPr>
            <w:tcW w:w="1140" w:type="dxa"/>
          </w:tcPr>
          <w:p>
            <w:pPr>
              <w:spacing w:line="240" w:lineRule="exact"/>
              <w:jc w:val="center"/>
              <w:rPr>
                <w:rFonts w:ascii="Arial"/>
                <w:color w:val="000000" w:themeColor="text1"/>
                <w:szCs w:val="21"/>
                <w14:textFill>
                  <w14:solidFill>
                    <w14:schemeClr w14:val="tx1"/>
                  </w14:solidFill>
                </w14:textFill>
              </w:rPr>
            </w:pPr>
            <w:r>
              <w:t>100%</w:t>
            </w:r>
          </w:p>
        </w:tc>
        <w:tc>
          <w:tcPr>
            <w:tcW w:w="685" w:type="dxa"/>
            <w:vAlign w:val="center"/>
          </w:tcPr>
          <w:p>
            <w:pPr>
              <w:spacing w:line="24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795" w:type="dxa"/>
            <w:vAlign w:val="center"/>
          </w:tcPr>
          <w:p>
            <w:pPr>
              <w:spacing w:line="240" w:lineRule="exact"/>
              <w:jc w:val="center"/>
              <w:rPr>
                <w:rFonts w:hint="default" w:ascii="Arial" w:eastAsiaTheme="minorEastAsia"/>
                <w:color w:val="000000" w:themeColor="text1"/>
                <w:szCs w:val="21"/>
                <w:lang w:val="en-US" w:eastAsia="zh-CN"/>
                <w14:textFill>
                  <w14:solidFill>
                    <w14:schemeClr w14:val="tx1"/>
                  </w14:solidFill>
                </w14:textFill>
              </w:rPr>
            </w:pPr>
            <w:r>
              <w:rPr>
                <w:rFonts w:hint="eastAsia" w:ascii="Arial"/>
                <w:color w:val="000000" w:themeColor="text1"/>
                <w:szCs w:val="21"/>
                <w:lang w:val="en-US" w:eastAsia="zh-CN"/>
                <w14:textFill>
                  <w14:solidFill>
                    <w14:schemeClr w14:val="tx1"/>
                  </w14:solidFill>
                </w14:textFill>
              </w:rPr>
              <w:t>10</w:t>
            </w:r>
          </w:p>
        </w:tc>
        <w:tc>
          <w:tcPr>
            <w:tcW w:w="1365" w:type="dxa"/>
            <w:vAlign w:val="center"/>
          </w:tcPr>
          <w:p>
            <w:pPr>
              <w:spacing w:line="24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spacing w:line="230" w:lineRule="exact"/>
              <w:jc w:val="center"/>
              <w:rPr>
                <w:rFonts w:ascii="Arial"/>
                <w:color w:val="000000" w:themeColor="text1"/>
                <w:szCs w:val="21"/>
                <w14:textFill>
                  <w14:solidFill>
                    <w14:schemeClr w14:val="tx1"/>
                  </w14:solidFill>
                </w14:textFill>
              </w:rPr>
            </w:pPr>
          </w:p>
        </w:tc>
        <w:tc>
          <w:tcPr>
            <w:tcW w:w="1131" w:type="dxa"/>
            <w:vAlign w:val="center"/>
          </w:tcPr>
          <w:p>
            <w:pPr>
              <w:spacing w:line="230" w:lineRule="exact"/>
              <w:jc w:val="center"/>
              <w:rPr>
                <w:rFonts w:ascii="Arial"/>
                <w:color w:val="000000" w:themeColor="text1"/>
                <w:szCs w:val="21"/>
                <w14:textFill>
                  <w14:solidFill>
                    <w14:schemeClr w14:val="tx1"/>
                  </w14:solidFill>
                </w14:textFill>
              </w:rPr>
            </w:pPr>
          </w:p>
        </w:tc>
        <w:tc>
          <w:tcPr>
            <w:tcW w:w="1140" w:type="dxa"/>
            <w:vAlign w:val="center"/>
          </w:tcPr>
          <w:p>
            <w:pPr>
              <w:spacing w:line="230" w:lineRule="exact"/>
              <w:jc w:val="center"/>
              <w:rPr>
                <w:rFonts w:ascii="Arial"/>
                <w:color w:val="000000" w:themeColor="text1"/>
                <w:szCs w:val="21"/>
                <w14:textFill>
                  <w14:solidFill>
                    <w14:schemeClr w14:val="tx1"/>
                  </w14:solidFill>
                </w14:textFill>
              </w:rPr>
            </w:pPr>
          </w:p>
        </w:tc>
        <w:tc>
          <w:tcPr>
            <w:tcW w:w="685" w:type="dxa"/>
            <w:vAlign w:val="center"/>
          </w:tcPr>
          <w:p>
            <w:pPr>
              <w:spacing w:line="230" w:lineRule="exact"/>
              <w:jc w:val="center"/>
              <w:rPr>
                <w:rFonts w:ascii="Arial"/>
                <w:color w:val="000000" w:themeColor="text1"/>
                <w:szCs w:val="21"/>
                <w14:textFill>
                  <w14:solidFill>
                    <w14:schemeClr w14:val="tx1"/>
                  </w14:solidFill>
                </w14:textFill>
              </w:rPr>
            </w:pPr>
          </w:p>
        </w:tc>
        <w:tc>
          <w:tcPr>
            <w:tcW w:w="795" w:type="dxa"/>
            <w:vAlign w:val="center"/>
          </w:tcPr>
          <w:p>
            <w:pPr>
              <w:spacing w:line="230" w:lineRule="exact"/>
              <w:jc w:val="center"/>
              <w:rPr>
                <w:rFonts w:ascii="Arial"/>
                <w:color w:val="000000" w:themeColor="text1"/>
                <w:szCs w:val="21"/>
                <w14:textFill>
                  <w14:solidFill>
                    <w14:schemeClr w14:val="tx1"/>
                  </w14:solidFill>
                </w14:textFill>
              </w:rPr>
            </w:pPr>
          </w:p>
        </w:tc>
        <w:tc>
          <w:tcPr>
            <w:tcW w:w="1365" w:type="dxa"/>
            <w:vAlign w:val="center"/>
          </w:tcPr>
          <w:p>
            <w:pPr>
              <w:spacing w:line="230" w:lineRule="exact"/>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textDirection w:val="tbRlV"/>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080" w:type="dxa"/>
            <w:vMerge w:val="continue"/>
            <w:tcBorders>
              <w:top w:val="nil"/>
            </w:tcBorders>
            <w:vAlign w:val="center"/>
          </w:tcPr>
          <w:p>
            <w:pPr>
              <w:jc w:val="center"/>
              <w:rPr>
                <w:rFonts w:ascii="Arial"/>
                <w:color w:val="000000" w:themeColor="text1"/>
                <w:szCs w:val="21"/>
                <w14:textFill>
                  <w14:solidFill>
                    <w14:schemeClr w14:val="tx1"/>
                  </w14:solidFill>
                </w14:textFill>
              </w:rPr>
            </w:pPr>
          </w:p>
        </w:tc>
        <w:tc>
          <w:tcPr>
            <w:tcW w:w="1229" w:type="dxa"/>
            <w:vAlign w:val="center"/>
          </w:tcPr>
          <w:p>
            <w:pPr>
              <w:jc w:val="center"/>
              <w:rPr>
                <w:rFonts w:ascii="Arial"/>
                <w:color w:val="000000" w:themeColor="text1"/>
                <w:szCs w:val="21"/>
                <w14:textFill>
                  <w14:solidFill>
                    <w14:schemeClr w14:val="tx1"/>
                  </w14:solidFill>
                </w14:textFill>
              </w:rPr>
            </w:pPr>
          </w:p>
        </w:tc>
        <w:tc>
          <w:tcPr>
            <w:tcW w:w="1131" w:type="dxa"/>
            <w:vAlign w:val="center"/>
          </w:tcPr>
          <w:p>
            <w:pPr>
              <w:jc w:val="center"/>
              <w:rPr>
                <w:rFonts w:ascii="Arial"/>
                <w:color w:val="000000" w:themeColor="text1"/>
                <w:szCs w:val="21"/>
                <w14:textFill>
                  <w14:solidFill>
                    <w14:schemeClr w14:val="tx1"/>
                  </w14:solidFill>
                </w14:textFill>
              </w:rPr>
            </w:pPr>
          </w:p>
        </w:tc>
        <w:tc>
          <w:tcPr>
            <w:tcW w:w="1140" w:type="dxa"/>
            <w:vAlign w:val="center"/>
          </w:tcPr>
          <w:p>
            <w:pPr>
              <w:jc w:val="center"/>
              <w:rPr>
                <w:rFonts w:ascii="Arial"/>
                <w:color w:val="000000" w:themeColor="text1"/>
                <w:szCs w:val="21"/>
                <w14:textFill>
                  <w14:solidFill>
                    <w14:schemeClr w14:val="tx1"/>
                  </w14:solidFill>
                </w14:textFill>
              </w:rPr>
            </w:pPr>
          </w:p>
        </w:tc>
        <w:tc>
          <w:tcPr>
            <w:tcW w:w="685" w:type="dxa"/>
            <w:vAlign w:val="center"/>
          </w:tcPr>
          <w:p>
            <w:pPr>
              <w:jc w:val="center"/>
              <w:rPr>
                <w:rFonts w:ascii="Arial"/>
                <w:color w:val="000000" w:themeColor="text1"/>
                <w:szCs w:val="21"/>
                <w14:textFill>
                  <w14:solidFill>
                    <w14:schemeClr w14:val="tx1"/>
                  </w14:solidFill>
                </w14:textFill>
              </w:rPr>
            </w:pPr>
          </w:p>
        </w:tc>
        <w:tc>
          <w:tcPr>
            <w:tcW w:w="795" w:type="dxa"/>
            <w:vAlign w:val="center"/>
          </w:tcPr>
          <w:p>
            <w:pPr>
              <w:jc w:val="center"/>
              <w:rPr>
                <w:rFonts w:ascii="Arial"/>
                <w:color w:val="000000" w:themeColor="text1"/>
                <w:szCs w:val="21"/>
                <w14:textFill>
                  <w14:solidFill>
                    <w14:schemeClr w14:val="tx1"/>
                  </w14:solidFill>
                </w14:textFill>
              </w:rPr>
            </w:pPr>
          </w:p>
        </w:tc>
        <w:tc>
          <w:tcPr>
            <w:tcW w:w="1365" w:type="dxa"/>
            <w:vAlign w:val="center"/>
          </w:tcPr>
          <w:p>
            <w:pPr>
              <w:jc w:val="center"/>
              <w:rPr>
                <w:rFonts w:ascii="Arial"/>
                <w:color w:val="000000" w:themeColor="text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vAlign w:val="center"/>
          </w:tcPr>
          <w:p>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vAlign w:val="center"/>
          </w:tcPr>
          <w:p>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vAlign w:val="center"/>
          </w:tcPr>
          <w:p>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w:t>
            </w:r>
            <w:r>
              <w:rPr>
                <w:rFonts w:ascii="Arial"/>
                <w:color w:val="000000" w:themeColor="text1"/>
                <w:szCs w:val="21"/>
                <w14:textFill>
                  <w14:solidFill>
                    <w14:schemeClr w14:val="tx1"/>
                  </w14:solidFill>
                </w14:textFill>
              </w:rPr>
              <w:t>00</w:t>
            </w:r>
          </w:p>
        </w:tc>
        <w:tc>
          <w:tcPr>
            <w:tcW w:w="1365" w:type="dxa"/>
            <w:vAlign w:val="center"/>
          </w:tcPr>
          <w:p>
            <w:pPr>
              <w:jc w:val="center"/>
              <w:rPr>
                <w:rFonts w:ascii="Arial"/>
                <w:color w:val="000000" w:themeColor="text1"/>
                <w:szCs w:val="21"/>
                <w14:textFill>
                  <w14:solidFill>
                    <w14:schemeClr w14:val="tx1"/>
                  </w14:solidFill>
                </w14:textFill>
              </w:rPr>
            </w:pPr>
          </w:p>
        </w:tc>
      </w:tr>
    </w:tbl>
    <w:p>
      <w:pPr>
        <w:spacing w:before="75" w:line="230" w:lineRule="auto"/>
        <w:rPr>
          <w:rFonts w:hint="default" w:ascii="仿宋_GB2312" w:hAnsi="仿宋_GB2312" w:eastAsia="仿宋" w:cs="仿宋_GB2312"/>
          <w:sz w:val="32"/>
          <w:szCs w:val="32"/>
          <w:lang w:val="en-US" w:eastAsia="zh-CN"/>
        </w:rPr>
        <w:sectPr>
          <w:footerReference r:id="rId5" w:type="default"/>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14:textFill>
            <w14:solidFill>
              <w14:schemeClr w14:val="tx1"/>
            </w14:solidFill>
          </w14:textFill>
        </w:rPr>
        <w:t>任荣</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18973000300      </w:t>
      </w:r>
      <w:r>
        <w:rPr>
          <w:rFonts w:hint="eastAsia" w:ascii="仿宋" w:hAnsi="仿宋" w:eastAsia="仿宋" w:cs="仿宋"/>
          <w:color w:val="000000" w:themeColor="text1"/>
          <w:spacing w:val="3"/>
          <w:sz w:val="23"/>
          <w:szCs w:val="23"/>
          <w14:textFill>
            <w14:solidFill>
              <w14:schemeClr w14:val="tx1"/>
            </w14:solidFill>
          </w14:textFill>
        </w:rPr>
        <w:t>单</w:t>
      </w:r>
      <w:r>
        <w:rPr>
          <w:rFonts w:ascii="仿宋" w:hAnsi="仿宋" w:eastAsia="仿宋" w:cs="仿宋"/>
          <w:color w:val="000000" w:themeColor="text1"/>
          <w:spacing w:val="-26"/>
          <w:sz w:val="23"/>
          <w:szCs w:val="23"/>
          <w14:textFill>
            <w14:solidFill>
              <w14:schemeClr w14:val="tx1"/>
            </w14:solidFill>
          </w14:textFill>
        </w:rPr>
        <w:t>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2023.06</w:t>
      </w:r>
      <w:r>
        <w:rPr>
          <w:rFonts w:hint="eastAsia" w:ascii="仿宋" w:hAnsi="仿宋" w:eastAsia="仿宋" w:cs="仿宋"/>
          <w:color w:val="000000" w:themeColor="text1"/>
          <w:spacing w:val="4"/>
          <w:sz w:val="23"/>
          <w:szCs w:val="23"/>
          <w:lang w:val="en-US" w:eastAsia="zh-CN"/>
          <w14:textFill>
            <w14:solidFill>
              <w14:schemeClr w14:val="tx1"/>
            </w14:solidFill>
          </w14:textFill>
        </w:rPr>
        <w:t>.12</w:t>
      </w:r>
    </w:p>
    <w:p>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2"/>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vAlign w:val="center"/>
          </w:tcPr>
          <w:p>
            <w:pPr>
              <w:spacing w:line="226" w:lineRule="auto"/>
              <w:jc w:val="center"/>
              <w:rPr>
                <w:rFonts w:ascii="宋体" w:hAnsi="宋体" w:eastAsia="宋体" w:cs="宋体"/>
                <w:color w:val="auto"/>
                <w:szCs w:val="21"/>
              </w:rPr>
            </w:pPr>
            <w:r>
              <w:rPr>
                <w:rFonts w:ascii="宋体" w:hAnsi="宋体" w:eastAsia="宋体" w:cs="宋体"/>
                <w:color w:val="auto"/>
                <w:szCs w:val="21"/>
              </w:rPr>
              <w:t>项目支出</w:t>
            </w:r>
          </w:p>
          <w:p>
            <w:pPr>
              <w:spacing w:line="226" w:lineRule="auto"/>
              <w:jc w:val="center"/>
              <w:rPr>
                <w:rFonts w:ascii="宋体" w:hAnsi="宋体" w:eastAsia="宋体" w:cs="宋体"/>
                <w:color w:val="auto"/>
                <w:szCs w:val="21"/>
              </w:rPr>
            </w:pPr>
            <w:r>
              <w:rPr>
                <w:rFonts w:ascii="宋体" w:hAnsi="宋体" w:eastAsia="宋体" w:cs="宋体"/>
                <w:color w:val="auto"/>
                <w:szCs w:val="21"/>
              </w:rPr>
              <w:t>名称</w:t>
            </w:r>
          </w:p>
        </w:tc>
        <w:tc>
          <w:tcPr>
            <w:tcW w:w="8505" w:type="dxa"/>
            <w:gridSpan w:val="8"/>
            <w:vAlign w:val="center"/>
          </w:tcPr>
          <w:p>
            <w:pPr>
              <w:jc w:val="center"/>
              <w:rPr>
                <w:rFonts w:hint="default" w:ascii="Arial" w:eastAsiaTheme="minorEastAsia"/>
                <w:color w:val="auto"/>
                <w:szCs w:val="21"/>
                <w:lang w:val="en-US" w:eastAsia="zh-CN"/>
              </w:rPr>
            </w:pPr>
            <w:r>
              <w:rPr>
                <w:rFonts w:hint="eastAsia" w:ascii="Arial"/>
                <w:color w:val="auto"/>
                <w:szCs w:val="21"/>
                <w:lang w:val="en-US" w:eastAsia="zh-CN"/>
              </w:rPr>
              <w:t>区公共卫生医治中心工作经费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vAlign w:val="center"/>
          </w:tcPr>
          <w:p>
            <w:pPr>
              <w:spacing w:line="202" w:lineRule="auto"/>
              <w:jc w:val="center"/>
              <w:rPr>
                <w:rFonts w:ascii="宋体" w:hAnsi="宋体" w:eastAsia="宋体" w:cs="宋体"/>
                <w:color w:val="auto"/>
                <w:szCs w:val="21"/>
              </w:rPr>
            </w:pPr>
            <w:r>
              <w:rPr>
                <w:rFonts w:ascii="宋体" w:hAnsi="宋体" w:eastAsia="宋体" w:cs="宋体"/>
                <w:color w:val="auto"/>
                <w:szCs w:val="21"/>
              </w:rPr>
              <w:t>主管部门</w:t>
            </w:r>
          </w:p>
        </w:tc>
        <w:tc>
          <w:tcPr>
            <w:tcW w:w="4520" w:type="dxa"/>
            <w:gridSpan w:val="4"/>
            <w:vAlign w:val="center"/>
          </w:tcPr>
          <w:p>
            <w:pPr>
              <w:jc w:val="center"/>
              <w:rPr>
                <w:rFonts w:hint="default" w:ascii="Arial" w:eastAsiaTheme="minorEastAsia"/>
                <w:color w:val="auto"/>
                <w:szCs w:val="21"/>
                <w:lang w:val="en-US" w:eastAsia="zh-CN"/>
              </w:rPr>
            </w:pPr>
            <w:r>
              <w:rPr>
                <w:rFonts w:hint="eastAsia" w:ascii="Arial"/>
                <w:color w:val="auto"/>
                <w:szCs w:val="21"/>
                <w:lang w:val="en-US" w:eastAsia="zh-CN"/>
              </w:rPr>
              <w:t>岳阳楼区卫生健康局</w:t>
            </w:r>
          </w:p>
        </w:tc>
        <w:tc>
          <w:tcPr>
            <w:tcW w:w="1140" w:type="dxa"/>
            <w:vAlign w:val="center"/>
          </w:tcPr>
          <w:p>
            <w:pPr>
              <w:spacing w:line="201" w:lineRule="auto"/>
              <w:jc w:val="center"/>
              <w:rPr>
                <w:rFonts w:ascii="宋体" w:hAnsi="宋体" w:eastAsia="宋体" w:cs="宋体"/>
                <w:color w:val="auto"/>
                <w:szCs w:val="21"/>
              </w:rPr>
            </w:pPr>
            <w:r>
              <w:rPr>
                <w:rFonts w:ascii="宋体" w:hAnsi="宋体" w:eastAsia="宋体" w:cs="宋体"/>
                <w:color w:val="auto"/>
                <w:szCs w:val="21"/>
              </w:rPr>
              <w:t>实施单位</w:t>
            </w:r>
          </w:p>
        </w:tc>
        <w:tc>
          <w:tcPr>
            <w:tcW w:w="2845" w:type="dxa"/>
            <w:gridSpan w:val="3"/>
            <w:vAlign w:val="center"/>
          </w:tcPr>
          <w:p>
            <w:pPr>
              <w:jc w:val="center"/>
              <w:rPr>
                <w:rFonts w:hint="default" w:ascii="Arial" w:eastAsiaTheme="minorEastAsia"/>
                <w:color w:val="auto"/>
                <w:szCs w:val="21"/>
                <w:lang w:val="en-US" w:eastAsia="zh-CN"/>
              </w:rPr>
            </w:pPr>
            <w:r>
              <w:rPr>
                <w:rFonts w:hint="eastAsia" w:ascii="Arial"/>
                <w:color w:val="auto"/>
                <w:szCs w:val="21"/>
                <w:lang w:val="en-US" w:eastAsia="zh-CN"/>
              </w:rPr>
              <w:t>岳阳楼区公共卫生医治中心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vAlign w:val="center"/>
          </w:tcPr>
          <w:p>
            <w:pPr>
              <w:spacing w:line="254" w:lineRule="auto"/>
              <w:jc w:val="center"/>
              <w:rPr>
                <w:rFonts w:hint="eastAsia" w:ascii="Arial"/>
                <w:color w:val="auto"/>
                <w:szCs w:val="21"/>
              </w:rPr>
            </w:pPr>
          </w:p>
          <w:p>
            <w:pPr>
              <w:spacing w:line="255" w:lineRule="auto"/>
              <w:jc w:val="center"/>
              <w:rPr>
                <w:rFonts w:hint="eastAsia" w:ascii="Arial"/>
                <w:color w:val="auto"/>
                <w:szCs w:val="21"/>
              </w:rPr>
            </w:pPr>
          </w:p>
          <w:p>
            <w:pPr>
              <w:spacing w:line="220" w:lineRule="auto"/>
              <w:jc w:val="center"/>
              <w:rPr>
                <w:rFonts w:ascii="宋体" w:hAnsi="宋体" w:eastAsia="宋体" w:cs="宋体"/>
                <w:color w:val="auto"/>
                <w:szCs w:val="21"/>
              </w:rPr>
            </w:pPr>
            <w:r>
              <w:rPr>
                <w:rFonts w:ascii="宋体" w:hAnsi="宋体" w:eastAsia="宋体" w:cs="宋体"/>
                <w:color w:val="auto"/>
                <w:szCs w:val="21"/>
              </w:rPr>
              <w:t>项目资金</w:t>
            </w:r>
          </w:p>
          <w:p>
            <w:pPr>
              <w:spacing w:line="220" w:lineRule="auto"/>
              <w:jc w:val="center"/>
              <w:rPr>
                <w:rFonts w:ascii="宋体" w:hAnsi="宋体" w:eastAsia="宋体" w:cs="宋体"/>
                <w:color w:val="auto"/>
                <w:szCs w:val="21"/>
              </w:rPr>
            </w:pPr>
            <w:r>
              <w:rPr>
                <w:rFonts w:ascii="宋体" w:hAnsi="宋体" w:eastAsia="宋体" w:cs="宋体"/>
                <w:color w:val="auto"/>
                <w:szCs w:val="21"/>
              </w:rPr>
              <w:t>(万元)</w:t>
            </w:r>
          </w:p>
        </w:tc>
        <w:tc>
          <w:tcPr>
            <w:tcW w:w="2160" w:type="dxa"/>
            <w:gridSpan w:val="2"/>
            <w:vAlign w:val="center"/>
          </w:tcPr>
          <w:p>
            <w:pPr>
              <w:spacing w:line="300" w:lineRule="exact"/>
              <w:jc w:val="center"/>
              <w:rPr>
                <w:rFonts w:hint="eastAsia" w:ascii="Arial"/>
                <w:color w:val="auto"/>
                <w:szCs w:val="21"/>
              </w:rPr>
            </w:pPr>
          </w:p>
        </w:tc>
        <w:tc>
          <w:tcPr>
            <w:tcW w:w="1229"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年初</w:t>
            </w:r>
          </w:p>
          <w:p>
            <w:pPr>
              <w:spacing w:line="240" w:lineRule="exact"/>
              <w:jc w:val="center"/>
              <w:rPr>
                <w:rFonts w:ascii="宋体" w:hAnsi="宋体" w:eastAsia="宋体" w:cs="宋体"/>
                <w:color w:val="auto"/>
                <w:szCs w:val="21"/>
              </w:rPr>
            </w:pPr>
            <w:r>
              <w:rPr>
                <w:rFonts w:ascii="宋体" w:hAnsi="宋体" w:eastAsia="宋体" w:cs="宋体"/>
                <w:color w:val="auto"/>
                <w:szCs w:val="21"/>
              </w:rPr>
              <w:t>预算数</w:t>
            </w:r>
          </w:p>
        </w:tc>
        <w:tc>
          <w:tcPr>
            <w:tcW w:w="1131"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全年</w:t>
            </w:r>
          </w:p>
          <w:p>
            <w:pPr>
              <w:spacing w:line="240" w:lineRule="exact"/>
              <w:jc w:val="center"/>
              <w:rPr>
                <w:rFonts w:ascii="宋体" w:hAnsi="宋体" w:eastAsia="宋体" w:cs="宋体"/>
                <w:color w:val="auto"/>
                <w:szCs w:val="21"/>
              </w:rPr>
            </w:pPr>
            <w:r>
              <w:rPr>
                <w:rFonts w:ascii="宋体" w:hAnsi="宋体" w:eastAsia="宋体" w:cs="宋体"/>
                <w:color w:val="auto"/>
                <w:szCs w:val="21"/>
              </w:rPr>
              <w:t>预算数</w:t>
            </w:r>
          </w:p>
        </w:tc>
        <w:tc>
          <w:tcPr>
            <w:tcW w:w="1140"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全年</w:t>
            </w:r>
          </w:p>
          <w:p>
            <w:pPr>
              <w:spacing w:line="240" w:lineRule="exact"/>
              <w:jc w:val="center"/>
              <w:rPr>
                <w:rFonts w:ascii="宋体" w:hAnsi="宋体" w:eastAsia="宋体" w:cs="宋体"/>
                <w:color w:val="auto"/>
                <w:szCs w:val="21"/>
              </w:rPr>
            </w:pPr>
            <w:r>
              <w:rPr>
                <w:rFonts w:ascii="宋体" w:hAnsi="宋体" w:eastAsia="宋体" w:cs="宋体"/>
                <w:color w:val="auto"/>
                <w:szCs w:val="21"/>
              </w:rPr>
              <w:t>执行数</w:t>
            </w:r>
          </w:p>
        </w:tc>
        <w:tc>
          <w:tcPr>
            <w:tcW w:w="685"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分值</w:t>
            </w:r>
          </w:p>
        </w:tc>
        <w:tc>
          <w:tcPr>
            <w:tcW w:w="795"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执行率</w:t>
            </w:r>
          </w:p>
        </w:tc>
        <w:tc>
          <w:tcPr>
            <w:tcW w:w="1365" w:type="dxa"/>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auto"/>
                <w:szCs w:val="21"/>
              </w:rPr>
            </w:pPr>
          </w:p>
        </w:tc>
        <w:tc>
          <w:tcPr>
            <w:tcW w:w="2160" w:type="dxa"/>
            <w:gridSpan w:val="2"/>
            <w:vAlign w:val="center"/>
          </w:tcPr>
          <w:p>
            <w:pPr>
              <w:spacing w:line="201" w:lineRule="auto"/>
              <w:jc w:val="center"/>
              <w:rPr>
                <w:rFonts w:ascii="宋体" w:hAnsi="宋体" w:eastAsia="宋体" w:cs="宋体"/>
                <w:color w:val="auto"/>
                <w:szCs w:val="21"/>
              </w:rPr>
            </w:pPr>
            <w:r>
              <w:rPr>
                <w:rFonts w:ascii="宋体" w:hAnsi="宋体" w:eastAsia="宋体" w:cs="宋体"/>
                <w:color w:val="auto"/>
                <w:szCs w:val="21"/>
              </w:rPr>
              <w:t>年度资金总额</w:t>
            </w:r>
          </w:p>
        </w:tc>
        <w:tc>
          <w:tcPr>
            <w:tcW w:w="1229" w:type="dxa"/>
            <w:vAlign w:val="center"/>
          </w:tcPr>
          <w:p>
            <w:pPr>
              <w:spacing w:line="240" w:lineRule="exact"/>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1131" w:type="dxa"/>
            <w:vAlign w:val="center"/>
          </w:tcPr>
          <w:p>
            <w:pPr>
              <w:spacing w:line="240" w:lineRule="exact"/>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1140"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68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w:t>
            </w:r>
          </w:p>
        </w:tc>
        <w:tc>
          <w:tcPr>
            <w:tcW w:w="79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100%</w:t>
            </w:r>
          </w:p>
        </w:tc>
        <w:tc>
          <w:tcPr>
            <w:tcW w:w="136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auto"/>
                <w:szCs w:val="21"/>
              </w:rPr>
            </w:pPr>
          </w:p>
        </w:tc>
        <w:tc>
          <w:tcPr>
            <w:tcW w:w="2160" w:type="dxa"/>
            <w:gridSpan w:val="2"/>
            <w:vAlign w:val="center"/>
          </w:tcPr>
          <w:p>
            <w:pPr>
              <w:spacing w:line="201" w:lineRule="auto"/>
              <w:jc w:val="center"/>
              <w:rPr>
                <w:rFonts w:ascii="宋体" w:hAnsi="宋体" w:eastAsia="宋体" w:cs="宋体"/>
                <w:color w:val="auto"/>
                <w:szCs w:val="21"/>
              </w:rPr>
            </w:pPr>
            <w:r>
              <w:rPr>
                <w:rFonts w:ascii="宋体" w:hAnsi="宋体" w:eastAsia="宋体" w:cs="宋体"/>
                <w:color w:val="auto"/>
                <w:szCs w:val="21"/>
              </w:rPr>
              <w:t>其中：当年财政拨款</w:t>
            </w:r>
          </w:p>
        </w:tc>
        <w:tc>
          <w:tcPr>
            <w:tcW w:w="1229" w:type="dxa"/>
            <w:vAlign w:val="center"/>
          </w:tcPr>
          <w:p>
            <w:pPr>
              <w:spacing w:line="240" w:lineRule="exact"/>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1131" w:type="dxa"/>
            <w:vAlign w:val="center"/>
          </w:tcPr>
          <w:p>
            <w:pPr>
              <w:spacing w:line="240" w:lineRule="exact"/>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1140"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30</w:t>
            </w:r>
          </w:p>
        </w:tc>
        <w:tc>
          <w:tcPr>
            <w:tcW w:w="68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w:t>
            </w:r>
          </w:p>
        </w:tc>
        <w:tc>
          <w:tcPr>
            <w:tcW w:w="79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100%</w:t>
            </w:r>
          </w:p>
        </w:tc>
        <w:tc>
          <w:tcPr>
            <w:tcW w:w="136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vAlign w:val="center"/>
          </w:tcPr>
          <w:p>
            <w:pPr>
              <w:jc w:val="center"/>
              <w:rPr>
                <w:rFonts w:hint="eastAsia" w:ascii="Arial"/>
                <w:color w:val="auto"/>
                <w:szCs w:val="21"/>
              </w:rPr>
            </w:pPr>
          </w:p>
        </w:tc>
        <w:tc>
          <w:tcPr>
            <w:tcW w:w="2160" w:type="dxa"/>
            <w:gridSpan w:val="2"/>
            <w:vAlign w:val="center"/>
          </w:tcPr>
          <w:p>
            <w:pPr>
              <w:spacing w:line="201" w:lineRule="auto"/>
              <w:jc w:val="center"/>
              <w:rPr>
                <w:rFonts w:ascii="宋体" w:hAnsi="宋体" w:eastAsia="宋体" w:cs="宋体"/>
                <w:color w:val="auto"/>
                <w:szCs w:val="21"/>
              </w:rPr>
            </w:pPr>
            <w:r>
              <w:rPr>
                <w:rFonts w:hint="eastAsia" w:ascii="宋体" w:hAnsi="宋体" w:eastAsia="宋体" w:cs="宋体"/>
                <w:color w:val="auto"/>
                <w:szCs w:val="21"/>
              </w:rPr>
              <w:t xml:space="preserve">     </w:t>
            </w:r>
            <w:r>
              <w:rPr>
                <w:rFonts w:ascii="宋体" w:hAnsi="宋体" w:eastAsia="宋体" w:cs="宋体"/>
                <w:color w:val="auto"/>
                <w:szCs w:val="21"/>
              </w:rPr>
              <w:t>上年结转资金</w:t>
            </w:r>
          </w:p>
        </w:tc>
        <w:tc>
          <w:tcPr>
            <w:tcW w:w="1229"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131"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140"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68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79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36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vAlign w:val="center"/>
          </w:tcPr>
          <w:p>
            <w:pPr>
              <w:jc w:val="center"/>
              <w:rPr>
                <w:rFonts w:hint="eastAsia" w:ascii="Arial"/>
                <w:color w:val="auto"/>
                <w:szCs w:val="21"/>
              </w:rPr>
            </w:pPr>
          </w:p>
        </w:tc>
        <w:tc>
          <w:tcPr>
            <w:tcW w:w="2160" w:type="dxa"/>
            <w:gridSpan w:val="2"/>
            <w:vAlign w:val="center"/>
          </w:tcPr>
          <w:p>
            <w:pPr>
              <w:spacing w:line="200" w:lineRule="auto"/>
              <w:jc w:val="center"/>
              <w:rPr>
                <w:rFonts w:ascii="宋体" w:hAnsi="宋体" w:eastAsia="宋体" w:cs="宋体"/>
                <w:color w:val="auto"/>
                <w:szCs w:val="21"/>
              </w:rPr>
            </w:pPr>
            <w:r>
              <w:rPr>
                <w:rFonts w:hint="eastAsia" w:ascii="宋体" w:hAnsi="宋体" w:eastAsia="宋体" w:cs="宋体"/>
                <w:color w:val="auto"/>
                <w:szCs w:val="21"/>
              </w:rPr>
              <w:t xml:space="preserve">  </w:t>
            </w:r>
            <w:r>
              <w:rPr>
                <w:rFonts w:ascii="宋体" w:hAnsi="宋体" w:eastAsia="宋体" w:cs="宋体"/>
                <w:color w:val="auto"/>
                <w:szCs w:val="21"/>
              </w:rPr>
              <w:t>其他资金</w:t>
            </w:r>
          </w:p>
        </w:tc>
        <w:tc>
          <w:tcPr>
            <w:tcW w:w="1229"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131"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140"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68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79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c>
          <w:tcPr>
            <w:tcW w:w="1365" w:type="dxa"/>
            <w:vAlign w:val="center"/>
          </w:tcPr>
          <w:p>
            <w:pPr>
              <w:spacing w:line="240" w:lineRule="exact"/>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vAlign w:val="center"/>
          </w:tcPr>
          <w:p>
            <w:pPr>
              <w:spacing w:line="206" w:lineRule="auto"/>
              <w:ind w:hanging="209"/>
              <w:jc w:val="center"/>
              <w:rPr>
                <w:rFonts w:ascii="宋体" w:hAnsi="宋体" w:eastAsia="宋体" w:cs="宋体"/>
                <w:color w:val="auto"/>
                <w:szCs w:val="21"/>
              </w:rPr>
            </w:pPr>
            <w:r>
              <w:rPr>
                <w:rFonts w:ascii="宋体" w:hAnsi="宋体" w:eastAsia="宋体" w:cs="宋体"/>
                <w:color w:val="auto"/>
                <w:szCs w:val="21"/>
              </w:rPr>
              <w:t>年度总体</w:t>
            </w:r>
          </w:p>
          <w:p>
            <w:pPr>
              <w:spacing w:line="206" w:lineRule="auto"/>
              <w:ind w:hanging="209"/>
              <w:jc w:val="center"/>
              <w:rPr>
                <w:rFonts w:ascii="宋体" w:hAnsi="宋体" w:eastAsia="宋体" w:cs="宋体"/>
                <w:color w:val="auto"/>
                <w:szCs w:val="21"/>
              </w:rPr>
            </w:pPr>
            <w:r>
              <w:rPr>
                <w:rFonts w:ascii="宋体" w:hAnsi="宋体" w:eastAsia="宋体" w:cs="宋体"/>
                <w:color w:val="auto"/>
                <w:szCs w:val="21"/>
              </w:rPr>
              <w:t>目标</w:t>
            </w:r>
          </w:p>
        </w:tc>
        <w:tc>
          <w:tcPr>
            <w:tcW w:w="4520" w:type="dxa"/>
            <w:gridSpan w:val="4"/>
            <w:vAlign w:val="center"/>
          </w:tcPr>
          <w:p>
            <w:pPr>
              <w:spacing w:line="200" w:lineRule="auto"/>
              <w:jc w:val="center"/>
              <w:rPr>
                <w:rFonts w:ascii="宋体" w:hAnsi="宋体" w:eastAsia="宋体" w:cs="宋体"/>
                <w:color w:val="auto"/>
                <w:szCs w:val="21"/>
              </w:rPr>
            </w:pPr>
            <w:r>
              <w:rPr>
                <w:rFonts w:ascii="宋体" w:hAnsi="宋体" w:eastAsia="宋体" w:cs="宋体"/>
                <w:color w:val="auto"/>
                <w:szCs w:val="21"/>
              </w:rPr>
              <w:t>预期目标</w:t>
            </w:r>
          </w:p>
        </w:tc>
        <w:tc>
          <w:tcPr>
            <w:tcW w:w="3985" w:type="dxa"/>
            <w:gridSpan w:val="4"/>
            <w:vAlign w:val="center"/>
          </w:tcPr>
          <w:p>
            <w:pPr>
              <w:spacing w:line="201" w:lineRule="auto"/>
              <w:jc w:val="center"/>
              <w:rPr>
                <w:rFonts w:ascii="宋体" w:hAnsi="宋体" w:eastAsia="宋体" w:cs="宋体"/>
                <w:color w:val="auto"/>
                <w:szCs w:val="21"/>
              </w:rPr>
            </w:pPr>
            <w:r>
              <w:rPr>
                <w:rFonts w:ascii="宋体" w:hAnsi="宋体" w:eastAsia="宋体" w:cs="宋体"/>
                <w:color w:val="auto"/>
                <w:szCs w:val="21"/>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bottom w:val="single" w:color="auto" w:sz="4" w:space="0"/>
            </w:tcBorders>
            <w:vAlign w:val="center"/>
          </w:tcPr>
          <w:p>
            <w:pPr>
              <w:jc w:val="center"/>
              <w:rPr>
                <w:rFonts w:hint="eastAsia" w:ascii="Arial"/>
                <w:color w:val="auto"/>
                <w:szCs w:val="21"/>
              </w:rPr>
            </w:pPr>
          </w:p>
        </w:tc>
        <w:tc>
          <w:tcPr>
            <w:tcW w:w="4520" w:type="dxa"/>
            <w:gridSpan w:val="4"/>
            <w:tcBorders>
              <w:bottom w:val="single" w:color="auto" w:sz="4" w:space="0"/>
            </w:tcBorders>
            <w:vAlign w:val="center"/>
          </w:tcPr>
          <w:p>
            <w:pPr>
              <w:spacing w:line="240" w:lineRule="exact"/>
              <w:jc w:val="center"/>
              <w:rPr>
                <w:rFonts w:hint="eastAsia" w:ascii="Arial"/>
                <w:color w:val="auto"/>
                <w:szCs w:val="21"/>
              </w:rPr>
            </w:pPr>
            <w:r>
              <w:rPr>
                <w:rFonts w:hint="eastAsia" w:ascii="宋体" w:hAnsi="宋体" w:eastAsia="宋体" w:cs="宋体"/>
                <w:color w:val="auto"/>
                <w:szCs w:val="21"/>
                <w:lang w:val="en-US" w:eastAsia="zh-CN"/>
              </w:rPr>
              <w:t>3</w:t>
            </w:r>
            <w:r>
              <w:rPr>
                <w:rFonts w:hint="eastAsia" w:ascii="宋体" w:hAnsi="宋体" w:eastAsia="宋体" w:cs="宋体"/>
                <w:color w:val="auto"/>
                <w:szCs w:val="21"/>
              </w:rPr>
              <w:t>0万</w:t>
            </w:r>
          </w:p>
        </w:tc>
        <w:tc>
          <w:tcPr>
            <w:tcW w:w="3985" w:type="dxa"/>
            <w:gridSpan w:val="4"/>
            <w:tcBorders>
              <w:bottom w:val="single" w:color="auto" w:sz="4" w:space="0"/>
            </w:tcBorders>
            <w:vAlign w:val="center"/>
          </w:tcPr>
          <w:p>
            <w:pPr>
              <w:spacing w:line="240" w:lineRule="exact"/>
              <w:jc w:val="center"/>
              <w:rPr>
                <w:rFonts w:hint="eastAsia" w:ascii="Arial"/>
                <w:color w:val="auto"/>
                <w:szCs w:val="21"/>
              </w:rPr>
            </w:pPr>
            <w:r>
              <w:rPr>
                <w:rFonts w:hint="eastAsia" w:ascii="宋体" w:hAnsi="宋体" w:eastAsia="宋体" w:cs="宋体"/>
                <w:color w:val="auto"/>
                <w:szCs w:val="21"/>
                <w:lang w:val="en-US" w:eastAsia="zh-CN"/>
              </w:rPr>
              <w:t>3</w:t>
            </w:r>
            <w:r>
              <w:rPr>
                <w:rFonts w:hint="eastAsia" w:ascii="宋体" w:hAnsi="宋体" w:eastAsia="宋体" w:cs="宋体"/>
                <w:color w:val="auto"/>
                <w:szCs w:val="21"/>
              </w:rPr>
              <w:t>0万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top w:val="single" w:color="auto" w:sz="4" w:space="0"/>
              <w:left w:val="single" w:color="auto" w:sz="4" w:space="0"/>
              <w:bottom w:val="single" w:color="auto" w:sz="4" w:space="0"/>
              <w:right w:val="single" w:color="auto" w:sz="4" w:space="0"/>
            </w:tcBorders>
            <w:textDirection w:val="tbRlV"/>
            <w:vAlign w:val="center"/>
          </w:tcPr>
          <w:p>
            <w:pPr>
              <w:spacing w:line="217" w:lineRule="auto"/>
              <w:jc w:val="center"/>
              <w:rPr>
                <w:rFonts w:ascii="宋体" w:hAnsi="宋体" w:eastAsia="宋体" w:cs="宋体"/>
                <w:color w:val="auto"/>
                <w:szCs w:val="21"/>
              </w:rPr>
            </w:pPr>
            <w:r>
              <w:rPr>
                <w:rFonts w:ascii="宋体" w:hAnsi="宋体" w:eastAsia="宋体" w:cs="宋体"/>
                <w:color w:val="auto"/>
                <w:szCs w:val="21"/>
              </w:rPr>
              <w:t>绩</w:t>
            </w:r>
            <w:r>
              <w:rPr>
                <w:rFonts w:hint="eastAsia" w:ascii="宋体" w:hAnsi="宋体" w:eastAsia="宋体" w:cs="宋体"/>
                <w:color w:val="auto"/>
                <w:szCs w:val="21"/>
              </w:rPr>
              <w:t xml:space="preserve">  </w:t>
            </w:r>
            <w:r>
              <w:rPr>
                <w:rFonts w:ascii="宋体" w:hAnsi="宋体" w:eastAsia="宋体" w:cs="宋体"/>
                <w:color w:val="auto"/>
                <w:szCs w:val="21"/>
              </w:rPr>
              <w:t>效</w:t>
            </w:r>
            <w:r>
              <w:rPr>
                <w:rFonts w:hint="eastAsia" w:ascii="宋体" w:hAnsi="宋体" w:eastAsia="宋体" w:cs="宋体"/>
                <w:color w:val="auto"/>
                <w:szCs w:val="21"/>
              </w:rPr>
              <w:t xml:space="preserve">  </w:t>
            </w:r>
            <w:r>
              <w:rPr>
                <w:rFonts w:ascii="宋体" w:hAnsi="宋体" w:eastAsia="宋体" w:cs="宋体"/>
                <w:color w:val="auto"/>
                <w:szCs w:val="21"/>
              </w:rPr>
              <w:t>指</w:t>
            </w:r>
            <w:r>
              <w:rPr>
                <w:rFonts w:hint="eastAsia" w:ascii="宋体" w:hAnsi="宋体" w:eastAsia="宋体" w:cs="宋体"/>
                <w:color w:val="auto"/>
                <w:szCs w:val="21"/>
              </w:rPr>
              <w:t xml:space="preserve">  </w:t>
            </w:r>
            <w:r>
              <w:rPr>
                <w:rFonts w:ascii="宋体" w:hAnsi="宋体" w:eastAsia="宋体" w:cs="宋体"/>
                <w:color w:val="auto"/>
                <w:szCs w:val="21"/>
              </w:rPr>
              <w:t>标</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一级指标</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二级指标</w:t>
            </w:r>
          </w:p>
        </w:tc>
        <w:tc>
          <w:tcPr>
            <w:tcW w:w="122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三级指标</w:t>
            </w:r>
          </w:p>
        </w:tc>
        <w:tc>
          <w:tcPr>
            <w:tcW w:w="113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年度</w:t>
            </w:r>
          </w:p>
          <w:p>
            <w:pPr>
              <w:spacing w:line="240" w:lineRule="exact"/>
              <w:jc w:val="center"/>
              <w:rPr>
                <w:rFonts w:ascii="宋体" w:hAnsi="宋体" w:eastAsia="宋体" w:cs="宋体"/>
                <w:color w:val="auto"/>
                <w:szCs w:val="21"/>
              </w:rPr>
            </w:pPr>
            <w:r>
              <w:rPr>
                <w:rFonts w:ascii="宋体" w:hAnsi="宋体" w:eastAsia="宋体" w:cs="宋体"/>
                <w:color w:val="auto"/>
                <w:szCs w:val="21"/>
              </w:rPr>
              <w:t>指标值</w:t>
            </w:r>
          </w:p>
        </w:tc>
        <w:tc>
          <w:tcPr>
            <w:tcW w:w="1140"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实际</w:t>
            </w:r>
          </w:p>
          <w:p>
            <w:pPr>
              <w:spacing w:line="240" w:lineRule="exact"/>
              <w:jc w:val="center"/>
              <w:rPr>
                <w:rFonts w:ascii="宋体" w:hAnsi="宋体" w:eastAsia="宋体" w:cs="宋体"/>
                <w:color w:val="auto"/>
                <w:szCs w:val="21"/>
              </w:rPr>
            </w:pPr>
            <w:r>
              <w:rPr>
                <w:rFonts w:ascii="宋体" w:hAnsi="宋体" w:eastAsia="宋体" w:cs="宋体"/>
                <w:color w:val="auto"/>
                <w:szCs w:val="21"/>
              </w:rPr>
              <w:t>完成值</w:t>
            </w:r>
          </w:p>
        </w:tc>
        <w:tc>
          <w:tcPr>
            <w:tcW w:w="68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分值</w:t>
            </w:r>
          </w:p>
        </w:tc>
        <w:tc>
          <w:tcPr>
            <w:tcW w:w="7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cs="宋体"/>
                <w:color w:val="auto"/>
                <w:szCs w:val="21"/>
              </w:rPr>
            </w:pPr>
            <w:r>
              <w:rPr>
                <w:rFonts w:ascii="宋体" w:hAnsi="宋体" w:eastAsia="宋体" w:cs="宋体"/>
                <w:color w:val="auto"/>
                <w:szCs w:val="21"/>
              </w:rPr>
              <w:t>得分</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exact"/>
              <w:ind w:hanging="99"/>
              <w:jc w:val="center"/>
              <w:rPr>
                <w:rFonts w:ascii="宋体" w:hAnsi="宋体" w:eastAsia="宋体" w:cs="宋体"/>
                <w:color w:val="auto"/>
                <w:szCs w:val="21"/>
              </w:rPr>
            </w:pPr>
            <w:r>
              <w:rPr>
                <w:rFonts w:hint="eastAsia" w:ascii="宋体" w:hAnsi="宋体" w:eastAsia="宋体" w:cs="宋体"/>
                <w:color w:val="auto"/>
                <w:szCs w:val="21"/>
              </w:rPr>
              <w:t xml:space="preserve"> </w:t>
            </w:r>
            <w:r>
              <w:rPr>
                <w:rFonts w:ascii="宋体" w:hAnsi="宋体" w:eastAsia="宋体" w:cs="宋体"/>
                <w:color w:val="auto"/>
                <w:szCs w:val="21"/>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pacing w:line="256" w:lineRule="auto"/>
              <w:jc w:val="center"/>
              <w:rPr>
                <w:rFonts w:hint="eastAsia" w:ascii="Arial"/>
                <w:color w:val="auto"/>
                <w:szCs w:val="21"/>
              </w:rPr>
            </w:pPr>
          </w:p>
          <w:p>
            <w:pPr>
              <w:spacing w:line="257" w:lineRule="auto"/>
              <w:jc w:val="center"/>
              <w:rPr>
                <w:rFonts w:hint="eastAsia" w:ascii="Arial"/>
                <w:color w:val="auto"/>
                <w:szCs w:val="21"/>
              </w:rPr>
            </w:pPr>
          </w:p>
          <w:p>
            <w:pPr>
              <w:spacing w:line="257" w:lineRule="auto"/>
              <w:jc w:val="center"/>
              <w:rPr>
                <w:rFonts w:hint="eastAsia" w:ascii="Arial"/>
                <w:color w:val="auto"/>
                <w:szCs w:val="21"/>
              </w:rPr>
            </w:pPr>
          </w:p>
          <w:p>
            <w:pPr>
              <w:spacing w:line="257" w:lineRule="auto"/>
              <w:jc w:val="center"/>
              <w:rPr>
                <w:rFonts w:hint="eastAsia" w:ascii="Arial"/>
                <w:color w:val="auto"/>
                <w:szCs w:val="21"/>
              </w:rPr>
            </w:pPr>
          </w:p>
          <w:p>
            <w:pPr>
              <w:spacing w:line="500" w:lineRule="exact"/>
              <w:jc w:val="center"/>
              <w:rPr>
                <w:rFonts w:ascii="宋体" w:hAnsi="宋体" w:eastAsia="宋体" w:cs="宋体"/>
                <w:color w:val="auto"/>
                <w:szCs w:val="21"/>
              </w:rPr>
            </w:pPr>
            <w:r>
              <w:rPr>
                <w:rFonts w:ascii="宋体" w:hAnsi="宋体" w:eastAsia="宋体" w:cs="宋体"/>
                <w:color w:val="auto"/>
                <w:position w:val="22"/>
                <w:szCs w:val="21"/>
              </w:rPr>
              <w:t>产出指标</w:t>
            </w:r>
          </w:p>
          <w:p>
            <w:pPr>
              <w:spacing w:line="220" w:lineRule="auto"/>
              <w:jc w:val="center"/>
              <w:rPr>
                <w:rFonts w:ascii="宋体" w:hAnsi="宋体" w:eastAsia="宋体" w:cs="宋体"/>
                <w:color w:val="auto"/>
                <w:szCs w:val="21"/>
              </w:rPr>
            </w:pPr>
            <w:r>
              <w:rPr>
                <w:rFonts w:ascii="宋体" w:hAnsi="宋体" w:eastAsia="宋体" w:cs="宋体"/>
                <w:color w:val="auto"/>
                <w:szCs w:val="21"/>
              </w:rPr>
              <w:t>(50分)</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19" w:lineRule="auto"/>
              <w:jc w:val="center"/>
              <w:rPr>
                <w:rFonts w:ascii="宋体" w:hAnsi="宋体" w:eastAsia="宋体" w:cs="宋体"/>
                <w:color w:val="auto"/>
                <w:szCs w:val="21"/>
              </w:rPr>
            </w:pPr>
            <w:r>
              <w:rPr>
                <w:rFonts w:ascii="宋体" w:hAnsi="宋体" w:eastAsia="宋体" w:cs="宋体"/>
                <w:color w:val="auto"/>
                <w:szCs w:val="21"/>
              </w:rPr>
              <w:t>数量指标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区级财政投入</w:t>
            </w:r>
            <w:r>
              <w:rPr>
                <w:rFonts w:hint="eastAsia" w:ascii="宋体" w:hAnsi="宋体" w:eastAsia="宋体" w:cs="宋体"/>
                <w:color w:val="auto"/>
                <w:szCs w:val="21"/>
                <w:lang w:val="en-US" w:eastAsia="zh-CN"/>
              </w:rPr>
              <w:t>30</w:t>
            </w:r>
            <w:r>
              <w:rPr>
                <w:rFonts w:hint="eastAsia" w:ascii="宋体" w:hAnsi="宋体" w:eastAsia="宋体" w:cs="宋体"/>
                <w:color w:val="auto"/>
                <w:szCs w:val="21"/>
              </w:rPr>
              <w:t>万元</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2022年实际支出</w:t>
            </w:r>
            <w:r>
              <w:rPr>
                <w:rFonts w:hint="eastAsia" w:ascii="宋体" w:hAnsi="宋体" w:eastAsia="宋体" w:cs="宋体"/>
                <w:color w:val="auto"/>
                <w:szCs w:val="21"/>
                <w:lang w:val="en-US" w:eastAsia="zh-CN"/>
              </w:rPr>
              <w:t>30</w:t>
            </w:r>
            <w:r>
              <w:rPr>
                <w:rFonts w:hint="eastAsia" w:ascii="宋体" w:hAnsi="宋体" w:eastAsia="宋体" w:cs="宋体"/>
                <w:color w:val="auto"/>
                <w:szCs w:val="21"/>
              </w:rPr>
              <w:t>万元，完成值为100%</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15</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15</w:t>
            </w:r>
          </w:p>
        </w:tc>
        <w:tc>
          <w:tcPr>
            <w:tcW w:w="13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20" w:lineRule="auto"/>
              <w:jc w:val="center"/>
              <w:rPr>
                <w:rFonts w:ascii="宋体" w:hAnsi="宋体" w:eastAsia="宋体" w:cs="宋体"/>
                <w:color w:val="auto"/>
                <w:szCs w:val="21"/>
              </w:rPr>
            </w:pPr>
            <w:r>
              <w:rPr>
                <w:rFonts w:ascii="宋体" w:hAnsi="宋体" w:eastAsia="宋体" w:cs="宋体"/>
                <w:color w:val="auto"/>
                <w:szCs w:val="21"/>
              </w:rPr>
              <w:t>质量指标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Cs w:val="21"/>
              </w:rPr>
              <w:t>全力做好重点人群转运</w:t>
            </w:r>
            <w:r>
              <w:rPr>
                <w:rFonts w:hint="eastAsia" w:ascii="宋体" w:hAnsi="宋体" w:eastAsia="宋体" w:cs="宋体"/>
                <w:color w:val="auto"/>
                <w:szCs w:val="21"/>
                <w:lang w:val="en-US" w:eastAsia="zh-CN"/>
              </w:rPr>
              <w:t>和管控工作</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default" w:ascii="宋体" w:hAnsi="宋体" w:eastAsia="宋体" w:cs="宋体"/>
                <w:color w:val="auto"/>
                <w:szCs w:val="21"/>
                <w:lang w:val="en-US" w:eastAsia="zh-CN"/>
              </w:rPr>
              <w:t>2022</w:t>
            </w:r>
            <w:r>
              <w:rPr>
                <w:rFonts w:hint="eastAsia" w:ascii="宋体" w:hAnsi="宋体" w:eastAsia="宋体" w:cs="宋体"/>
                <w:color w:val="auto"/>
                <w:szCs w:val="21"/>
                <w:lang w:val="en-US" w:eastAsia="zh-CN"/>
              </w:rPr>
              <w:t>年累计管控境外来（返）岳人员</w:t>
            </w:r>
            <w:r>
              <w:rPr>
                <w:rFonts w:hint="default" w:ascii="宋体" w:hAnsi="宋体" w:eastAsia="宋体" w:cs="宋体"/>
                <w:color w:val="auto"/>
                <w:szCs w:val="21"/>
                <w:lang w:val="en-US" w:eastAsia="zh-CN"/>
              </w:rPr>
              <w:t>763</w:t>
            </w:r>
            <w:r>
              <w:rPr>
                <w:rFonts w:hint="eastAsia" w:ascii="宋体" w:hAnsi="宋体" w:eastAsia="宋体" w:cs="宋体"/>
                <w:color w:val="auto"/>
                <w:szCs w:val="21"/>
                <w:lang w:val="en-US" w:eastAsia="zh-CN"/>
              </w:rPr>
              <w:t>人、密切接触者</w:t>
            </w:r>
            <w:r>
              <w:rPr>
                <w:rFonts w:hint="default" w:ascii="宋体" w:hAnsi="宋体" w:eastAsia="宋体" w:cs="宋体"/>
                <w:color w:val="auto"/>
                <w:szCs w:val="21"/>
                <w:lang w:val="en-US" w:eastAsia="zh-CN"/>
              </w:rPr>
              <w:t>4309</w:t>
            </w:r>
            <w:r>
              <w:rPr>
                <w:rFonts w:hint="eastAsia" w:ascii="宋体" w:hAnsi="宋体" w:eastAsia="宋体" w:cs="宋体"/>
                <w:color w:val="auto"/>
                <w:szCs w:val="21"/>
                <w:lang w:val="en-US" w:eastAsia="zh-CN"/>
              </w:rPr>
              <w:t>人。</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15</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15</w:t>
            </w:r>
          </w:p>
        </w:tc>
        <w:tc>
          <w:tcPr>
            <w:tcW w:w="13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20" w:lineRule="auto"/>
              <w:jc w:val="center"/>
              <w:rPr>
                <w:rFonts w:ascii="宋体" w:hAnsi="宋体" w:eastAsia="宋体" w:cs="宋体"/>
                <w:color w:val="auto"/>
                <w:szCs w:val="21"/>
              </w:rPr>
            </w:pPr>
            <w:r>
              <w:rPr>
                <w:rFonts w:ascii="宋体" w:hAnsi="宋体" w:eastAsia="宋体" w:cs="宋体"/>
                <w:color w:val="auto"/>
                <w:szCs w:val="21"/>
              </w:rPr>
              <w:t>时效指标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2022年1月至12月完成目标</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2022年12月底完成预定目标</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19" w:lineRule="auto"/>
              <w:jc w:val="center"/>
              <w:rPr>
                <w:rFonts w:ascii="宋体" w:hAnsi="宋体" w:eastAsia="宋体" w:cs="宋体"/>
                <w:color w:val="auto"/>
                <w:szCs w:val="21"/>
              </w:rPr>
            </w:pPr>
            <w:r>
              <w:rPr>
                <w:rFonts w:ascii="宋体" w:hAnsi="宋体" w:eastAsia="宋体" w:cs="宋体"/>
                <w:color w:val="auto"/>
                <w:szCs w:val="21"/>
              </w:rPr>
              <w:t>成本指标</w:t>
            </w:r>
          </w:p>
        </w:tc>
        <w:tc>
          <w:tcPr>
            <w:tcW w:w="12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lang w:val="en-US" w:eastAsia="zh-CN"/>
              </w:rPr>
              <w:t>30</w:t>
            </w:r>
            <w:r>
              <w:rPr>
                <w:rFonts w:hint="eastAsia" w:ascii="宋体" w:hAnsi="宋体" w:eastAsia="宋体" w:cs="宋体"/>
                <w:color w:val="auto"/>
                <w:szCs w:val="21"/>
              </w:rPr>
              <w:t>万</w:t>
            </w:r>
          </w:p>
        </w:tc>
        <w:tc>
          <w:tcPr>
            <w:tcW w:w="11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lang w:val="en-US" w:eastAsia="zh-CN"/>
              </w:rPr>
              <w:t>30</w:t>
            </w:r>
            <w:r>
              <w:rPr>
                <w:rFonts w:hint="eastAsia" w:ascii="宋体" w:hAnsi="宋体" w:eastAsia="宋体" w:cs="宋体"/>
                <w:color w:val="auto"/>
                <w:szCs w:val="21"/>
              </w:rPr>
              <w:t>万</w:t>
            </w:r>
          </w:p>
        </w:tc>
        <w:tc>
          <w:tcPr>
            <w:tcW w:w="685"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hint="eastAsia" w:ascii="Arial"/>
                <w:color w:val="auto"/>
                <w:szCs w:val="21"/>
              </w:rPr>
            </w:pPr>
          </w:p>
          <w:p>
            <w:pPr>
              <w:spacing w:line="301" w:lineRule="auto"/>
              <w:jc w:val="center"/>
              <w:rPr>
                <w:rFonts w:hint="eastAsia" w:ascii="Arial"/>
                <w:color w:val="auto"/>
                <w:szCs w:val="21"/>
              </w:rPr>
            </w:pPr>
          </w:p>
          <w:p>
            <w:pPr>
              <w:spacing w:line="301" w:lineRule="auto"/>
              <w:jc w:val="center"/>
              <w:rPr>
                <w:rFonts w:hint="eastAsia" w:ascii="Arial"/>
                <w:color w:val="auto"/>
                <w:szCs w:val="21"/>
              </w:rPr>
            </w:pPr>
          </w:p>
          <w:p>
            <w:pPr>
              <w:spacing w:line="490" w:lineRule="exact"/>
              <w:jc w:val="center"/>
              <w:rPr>
                <w:rFonts w:ascii="宋体" w:hAnsi="宋体" w:eastAsia="宋体" w:cs="宋体"/>
                <w:color w:val="auto"/>
                <w:szCs w:val="21"/>
              </w:rPr>
            </w:pPr>
            <w:r>
              <w:rPr>
                <w:rFonts w:ascii="宋体" w:hAnsi="宋体" w:eastAsia="宋体" w:cs="宋体"/>
                <w:color w:val="auto"/>
                <w:position w:val="21"/>
                <w:szCs w:val="21"/>
              </w:rPr>
              <w:t>效益指标</w:t>
            </w:r>
          </w:p>
          <w:p>
            <w:pPr>
              <w:spacing w:line="220" w:lineRule="auto"/>
              <w:jc w:val="center"/>
              <w:rPr>
                <w:rFonts w:ascii="宋体" w:hAnsi="宋体" w:eastAsia="宋体" w:cs="宋体"/>
                <w:color w:val="auto"/>
                <w:szCs w:val="21"/>
              </w:rPr>
            </w:pPr>
            <w:r>
              <w:rPr>
                <w:rFonts w:ascii="宋体" w:hAnsi="宋体" w:eastAsia="宋体" w:cs="宋体"/>
                <w:color w:val="auto"/>
                <w:szCs w:val="21"/>
              </w:rPr>
              <w:t>(30分)</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eastAsia="宋体" w:cs="宋体"/>
                <w:color w:val="auto"/>
                <w:szCs w:val="21"/>
              </w:rPr>
            </w:pPr>
            <w:r>
              <w:rPr>
                <w:rFonts w:ascii="宋体" w:hAnsi="宋体" w:eastAsia="宋体" w:cs="宋体"/>
                <w:color w:val="auto"/>
                <w:position w:val="4"/>
                <w:szCs w:val="21"/>
              </w:rPr>
              <w:t>经济效</w:t>
            </w:r>
          </w:p>
          <w:p>
            <w:pPr>
              <w:spacing w:line="220" w:lineRule="auto"/>
              <w:jc w:val="center"/>
              <w:rPr>
                <w:rFonts w:ascii="宋体" w:hAnsi="宋体" w:eastAsia="宋体" w:cs="宋体"/>
                <w:color w:val="auto"/>
                <w:szCs w:val="21"/>
              </w:rPr>
            </w:pPr>
            <w:r>
              <w:rPr>
                <w:rFonts w:ascii="宋体" w:hAnsi="宋体" w:eastAsia="宋体" w:cs="宋体"/>
                <w:color w:val="auto"/>
                <w:szCs w:val="21"/>
              </w:rPr>
              <w:t>益指标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项目对国民经济或区域经济发展、人民群众生活所带来的直接或间接</w:t>
            </w:r>
            <w:r>
              <w:rPr>
                <w:rFonts w:hint="eastAsia" w:ascii="宋体" w:hAnsi="宋体" w:eastAsia="宋体" w:cs="宋体"/>
                <w:color w:val="auto"/>
                <w:szCs w:val="21"/>
                <w:lang w:val="en-US" w:eastAsia="zh-CN"/>
              </w:rPr>
              <w:t>影响</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经现场评价，该项目</w:t>
            </w:r>
            <w:r>
              <w:rPr>
                <w:rFonts w:hint="eastAsia" w:ascii="宋体" w:hAnsi="宋体" w:eastAsia="宋体" w:cs="宋体"/>
                <w:color w:val="auto"/>
                <w:szCs w:val="21"/>
                <w:lang w:val="en-US" w:eastAsia="zh-CN"/>
              </w:rPr>
              <w:t>落实了新冠疫情防控工作</w:t>
            </w:r>
            <w:r>
              <w:rPr>
                <w:rFonts w:hint="eastAsia" w:ascii="宋体" w:hAnsi="宋体" w:eastAsia="宋体" w:cs="宋体"/>
                <w:color w:val="auto"/>
                <w:szCs w:val="21"/>
              </w:rPr>
              <w:t>，效果显著。</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21" w:lineRule="auto"/>
              <w:jc w:val="center"/>
              <w:rPr>
                <w:rFonts w:ascii="宋体" w:hAnsi="宋体" w:eastAsia="宋体" w:cs="宋体"/>
                <w:color w:val="auto"/>
                <w:szCs w:val="21"/>
              </w:rPr>
            </w:pPr>
            <w:r>
              <w:rPr>
                <w:rFonts w:ascii="宋体" w:hAnsi="宋体" w:eastAsia="宋体" w:cs="宋体"/>
                <w:color w:val="auto"/>
                <w:szCs w:val="21"/>
              </w:rPr>
              <w:t>社会效</w:t>
            </w:r>
          </w:p>
          <w:p>
            <w:pPr>
              <w:spacing w:line="220" w:lineRule="auto"/>
              <w:jc w:val="center"/>
              <w:rPr>
                <w:rFonts w:ascii="宋体" w:hAnsi="宋体" w:eastAsia="宋体" w:cs="宋体"/>
                <w:color w:val="auto"/>
                <w:szCs w:val="21"/>
              </w:rPr>
            </w:pPr>
            <w:r>
              <w:rPr>
                <w:rFonts w:ascii="宋体" w:hAnsi="宋体" w:eastAsia="宋体" w:cs="宋体"/>
                <w:color w:val="auto"/>
                <w:szCs w:val="21"/>
              </w:rPr>
              <w:t>益指标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为楼区民生建设和社会稳定带来了良好的社会反响</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为楼区民生建设和社会稳定带来了良好的社会反响</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30" w:lineRule="exact"/>
              <w:jc w:val="center"/>
              <w:rPr>
                <w:rFonts w:hint="eastAsia" w:ascii="Arial"/>
                <w:color w:val="0000FF"/>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37" w:lineRule="auto"/>
              <w:jc w:val="center"/>
              <w:rPr>
                <w:rFonts w:ascii="宋体" w:hAnsi="宋体" w:eastAsia="宋体" w:cs="宋体"/>
                <w:color w:val="auto"/>
                <w:szCs w:val="21"/>
              </w:rPr>
            </w:pPr>
            <w:r>
              <w:rPr>
                <w:rFonts w:ascii="宋体" w:hAnsi="宋体" w:eastAsia="宋体" w:cs="宋体"/>
                <w:color w:val="auto"/>
                <w:szCs w:val="21"/>
              </w:rPr>
              <w:t>生态效</w:t>
            </w:r>
          </w:p>
          <w:p>
            <w:pPr>
              <w:spacing w:line="220" w:lineRule="auto"/>
              <w:jc w:val="center"/>
              <w:rPr>
                <w:rFonts w:ascii="宋体" w:hAnsi="宋体" w:eastAsia="宋体" w:cs="宋体"/>
                <w:color w:val="auto"/>
                <w:szCs w:val="21"/>
              </w:rPr>
            </w:pPr>
            <w:r>
              <w:rPr>
                <w:rFonts w:ascii="宋体" w:hAnsi="宋体" w:eastAsia="宋体" w:cs="宋体"/>
                <w:color w:val="auto"/>
                <w:szCs w:val="21"/>
              </w:rPr>
              <w:t>益指标</w:t>
            </w:r>
          </w:p>
        </w:tc>
        <w:tc>
          <w:tcPr>
            <w:tcW w:w="122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此项目与生态环境无直接影响</w:t>
            </w:r>
          </w:p>
        </w:tc>
        <w:tc>
          <w:tcPr>
            <w:tcW w:w="113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此项目不会给生态环境带来直接影响</w:t>
            </w:r>
          </w:p>
        </w:tc>
        <w:tc>
          <w:tcPr>
            <w:tcW w:w="68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16" w:lineRule="auto"/>
              <w:ind w:hanging="99"/>
              <w:jc w:val="center"/>
              <w:rPr>
                <w:rFonts w:ascii="宋体" w:hAnsi="宋体" w:eastAsia="宋体" w:cs="宋体"/>
                <w:color w:val="auto"/>
                <w:szCs w:val="21"/>
              </w:rPr>
            </w:pPr>
            <w:r>
              <w:rPr>
                <w:rFonts w:ascii="宋体" w:hAnsi="宋体" w:eastAsia="宋体" w:cs="宋体"/>
                <w:color w:val="auto"/>
                <w:szCs w:val="21"/>
              </w:rPr>
              <w:t>可持续</w:t>
            </w:r>
          </w:p>
          <w:p>
            <w:pPr>
              <w:spacing w:line="216" w:lineRule="auto"/>
              <w:ind w:hanging="99"/>
              <w:jc w:val="center"/>
              <w:rPr>
                <w:rFonts w:ascii="宋体" w:hAnsi="宋体" w:eastAsia="宋体" w:cs="宋体"/>
                <w:color w:val="auto"/>
                <w:szCs w:val="21"/>
              </w:rPr>
            </w:pPr>
            <w:r>
              <w:rPr>
                <w:rFonts w:ascii="宋体" w:hAnsi="宋体" w:eastAsia="宋体" w:cs="宋体"/>
                <w:color w:val="auto"/>
                <w:szCs w:val="21"/>
              </w:rPr>
              <w:t>影响指标</w:t>
            </w:r>
          </w:p>
        </w:tc>
        <w:tc>
          <w:tcPr>
            <w:tcW w:w="12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p>
        </w:tc>
        <w:tc>
          <w:tcPr>
            <w:tcW w:w="1131" w:type="dxa"/>
            <w:tcBorders>
              <w:top w:val="single" w:color="auto" w:sz="4" w:space="0"/>
              <w:left w:val="single" w:color="auto" w:sz="4" w:space="0"/>
              <w:bottom w:val="single" w:color="auto" w:sz="4" w:space="0"/>
              <w:right w:val="single" w:color="auto" w:sz="4" w:space="0"/>
            </w:tcBorders>
            <w:vAlign w:val="center"/>
          </w:tcPr>
          <w:p>
            <w:pPr>
              <w:spacing w:line="23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p>
        </w:tc>
        <w:tc>
          <w:tcPr>
            <w:tcW w:w="685" w:type="dxa"/>
            <w:tcBorders>
              <w:top w:val="single" w:color="auto" w:sz="4" w:space="0"/>
              <w:left w:val="single" w:color="auto" w:sz="4" w:space="0"/>
              <w:bottom w:val="single" w:color="auto" w:sz="4" w:space="0"/>
              <w:right w:val="single" w:color="auto" w:sz="4" w:space="0"/>
            </w:tcBorders>
            <w:vAlign w:val="center"/>
          </w:tcPr>
          <w:p>
            <w:pPr>
              <w:spacing w:line="23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spacing w:line="23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30" w:lineRule="exact"/>
              <w:jc w:val="center"/>
              <w:rPr>
                <w:rFonts w:hint="eastAsia" w:ascii="宋体" w:hAnsi="宋体" w:eastAsia="宋体" w:cs="宋体"/>
                <w:color w:val="0000FF"/>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single" w:color="auto" w:sz="4" w:space="0"/>
              <w:left w:val="single" w:color="auto" w:sz="4" w:space="0"/>
              <w:bottom w:val="single" w:color="auto" w:sz="4" w:space="0"/>
              <w:right w:val="single" w:color="auto" w:sz="4" w:space="0"/>
            </w:tcBorders>
            <w:textDirection w:val="tbRlV"/>
            <w:vAlign w:val="center"/>
          </w:tcPr>
          <w:p>
            <w:pPr>
              <w:jc w:val="center"/>
              <w:rPr>
                <w:rFonts w:hint="eastAsia" w:ascii="Arial"/>
                <w:color w:val="auto"/>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eastAsia="宋体" w:cs="宋体"/>
                <w:color w:val="auto"/>
                <w:szCs w:val="21"/>
              </w:rPr>
            </w:pPr>
            <w:r>
              <w:rPr>
                <w:rFonts w:ascii="宋体" w:hAnsi="宋体" w:eastAsia="宋体" w:cs="宋体"/>
                <w:color w:val="auto"/>
                <w:szCs w:val="21"/>
              </w:rPr>
              <w:t>满意度</w:t>
            </w:r>
          </w:p>
          <w:p>
            <w:pPr>
              <w:spacing w:line="280" w:lineRule="exact"/>
              <w:jc w:val="center"/>
              <w:rPr>
                <w:rFonts w:ascii="宋体" w:hAnsi="宋体" w:eastAsia="宋体" w:cs="宋体"/>
                <w:color w:val="auto"/>
                <w:szCs w:val="21"/>
              </w:rPr>
            </w:pPr>
            <w:r>
              <w:rPr>
                <w:rFonts w:ascii="宋体" w:hAnsi="宋体" w:eastAsia="宋体" w:cs="宋体"/>
                <w:color w:val="auto"/>
                <w:szCs w:val="21"/>
              </w:rPr>
              <w:t>指标</w:t>
            </w:r>
          </w:p>
          <w:p>
            <w:pPr>
              <w:spacing w:line="280" w:lineRule="exact"/>
              <w:jc w:val="center"/>
              <w:rPr>
                <w:rFonts w:ascii="宋体" w:hAnsi="宋体" w:eastAsia="宋体" w:cs="宋体"/>
                <w:color w:val="auto"/>
                <w:szCs w:val="21"/>
              </w:rPr>
            </w:pPr>
            <w:r>
              <w:rPr>
                <w:rFonts w:ascii="宋体" w:hAnsi="宋体" w:eastAsia="宋体" w:cs="宋体"/>
                <w:color w:val="auto"/>
                <w:szCs w:val="21"/>
              </w:rPr>
              <w:t>(10分)</w:t>
            </w:r>
          </w:p>
        </w:tc>
        <w:tc>
          <w:tcPr>
            <w:tcW w:w="108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eastAsia="宋体" w:cs="宋体"/>
                <w:color w:val="auto"/>
                <w:szCs w:val="21"/>
              </w:rPr>
            </w:pPr>
            <w:r>
              <w:rPr>
                <w:rFonts w:ascii="宋体" w:hAnsi="宋体" w:eastAsia="宋体" w:cs="宋体"/>
                <w:color w:val="auto"/>
                <w:szCs w:val="21"/>
              </w:rPr>
              <w:t>服务对象</w:t>
            </w:r>
          </w:p>
          <w:p>
            <w:pPr>
              <w:spacing w:line="280" w:lineRule="exact"/>
              <w:jc w:val="center"/>
              <w:rPr>
                <w:rFonts w:ascii="宋体" w:hAnsi="宋体" w:eastAsia="宋体" w:cs="宋体"/>
                <w:color w:val="auto"/>
                <w:szCs w:val="21"/>
              </w:rPr>
            </w:pPr>
            <w:r>
              <w:rPr>
                <w:rFonts w:ascii="宋体" w:hAnsi="宋体" w:eastAsia="宋体" w:cs="宋体"/>
                <w:color w:val="auto"/>
                <w:szCs w:val="21"/>
              </w:rPr>
              <w:t>满意度</w:t>
            </w:r>
          </w:p>
          <w:p>
            <w:pPr>
              <w:spacing w:line="280" w:lineRule="exact"/>
              <w:jc w:val="center"/>
              <w:rPr>
                <w:rFonts w:ascii="宋体" w:hAnsi="宋体" w:eastAsia="宋体" w:cs="宋体"/>
                <w:color w:val="auto"/>
                <w:szCs w:val="21"/>
              </w:rPr>
            </w:pPr>
            <w:r>
              <w:rPr>
                <w:rFonts w:ascii="宋体" w:hAnsi="宋体" w:eastAsia="宋体" w:cs="宋体"/>
                <w:color w:val="auto"/>
                <w:szCs w:val="21"/>
              </w:rPr>
              <w:t>指标</w:t>
            </w:r>
          </w:p>
        </w:tc>
        <w:tc>
          <w:tcPr>
            <w:tcW w:w="12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二级机构职工满意度</w:t>
            </w:r>
          </w:p>
        </w:tc>
        <w:tc>
          <w:tcPr>
            <w:tcW w:w="113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100%</w:t>
            </w:r>
          </w:p>
        </w:tc>
        <w:tc>
          <w:tcPr>
            <w:tcW w:w="68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10</w:t>
            </w:r>
          </w:p>
        </w:tc>
        <w:tc>
          <w:tcPr>
            <w:tcW w:w="7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default" w:ascii="宋体" w:hAnsi="宋体" w:eastAsia="宋体" w:cs="宋体"/>
                <w:color w:val="auto"/>
                <w:kern w:val="2"/>
                <w:sz w:val="21"/>
                <w:szCs w:val="21"/>
                <w:lang w:val="en-US" w:eastAsia="zh-CN" w:bidi="ar-SA"/>
              </w:rPr>
            </w:pPr>
            <w:r>
              <w:rPr>
                <w:rFonts w:hint="eastAsia" w:ascii="宋体" w:hAnsi="宋体" w:eastAsia="宋体" w:cs="宋体"/>
                <w:color w:val="auto"/>
                <w:szCs w:val="21"/>
                <w:lang w:val="en-US" w:eastAsia="zh-CN"/>
              </w:rPr>
              <w:t>10</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tcBorders>
              <w:top w:val="single" w:color="auto" w:sz="4" w:space="0"/>
              <w:left w:val="single" w:color="auto" w:sz="4" w:space="0"/>
              <w:bottom w:val="single" w:color="auto" w:sz="4" w:space="0"/>
              <w:right w:val="single" w:color="auto" w:sz="4" w:space="0"/>
            </w:tcBorders>
            <w:vAlign w:val="center"/>
          </w:tcPr>
          <w:p>
            <w:pPr>
              <w:spacing w:line="260" w:lineRule="exact"/>
              <w:ind w:firstLine="3145"/>
              <w:jc w:val="center"/>
              <w:rPr>
                <w:rFonts w:hint="eastAsia"/>
                <w:color w:val="auto"/>
                <w:szCs w:val="21"/>
              </w:rPr>
            </w:pPr>
            <w:r>
              <w:rPr>
                <w:rFonts w:hint="eastAsia"/>
                <w:color w:val="auto"/>
                <w:szCs w:val="21"/>
              </w:rPr>
              <w:t>总分</w:t>
            </w:r>
          </w:p>
        </w:tc>
        <w:tc>
          <w:tcPr>
            <w:tcW w:w="685" w:type="dxa"/>
            <w:tcBorders>
              <w:top w:val="single" w:color="auto" w:sz="4" w:space="0"/>
              <w:left w:val="single" w:color="auto" w:sz="4" w:space="0"/>
              <w:bottom w:val="single" w:color="auto" w:sz="4" w:space="0"/>
              <w:right w:val="single" w:color="auto" w:sz="4" w:space="0"/>
            </w:tcBorders>
            <w:vAlign w:val="center"/>
          </w:tcPr>
          <w:p>
            <w:pPr>
              <w:spacing w:line="161" w:lineRule="auto"/>
              <w:jc w:val="center"/>
              <w:rPr>
                <w:rFonts w:ascii="宋体" w:hAnsi="宋体" w:eastAsia="宋体" w:cs="宋体"/>
                <w:color w:val="auto"/>
                <w:szCs w:val="21"/>
              </w:rPr>
            </w:pPr>
            <w:r>
              <w:rPr>
                <w:rFonts w:ascii="宋体" w:hAnsi="宋体" w:eastAsia="宋体" w:cs="宋体"/>
                <w:color w:val="auto"/>
                <w:szCs w:val="21"/>
              </w:rPr>
              <w:t>100</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default" w:ascii="Arial" w:eastAsiaTheme="minorEastAsia"/>
                <w:color w:val="auto"/>
                <w:szCs w:val="21"/>
                <w:lang w:val="en-US" w:eastAsia="zh-CN"/>
              </w:rPr>
            </w:pPr>
            <w:r>
              <w:rPr>
                <w:rFonts w:ascii="宋体" w:hAnsi="宋体" w:eastAsia="宋体" w:cs="宋体"/>
                <w:color w:val="auto"/>
                <w:szCs w:val="21"/>
              </w:rPr>
              <w:t>100</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Arial"/>
                <w:color w:val="000000" w:themeColor="text1"/>
                <w:szCs w:val="21"/>
                <w14:textFill>
                  <w14:solidFill>
                    <w14:schemeClr w14:val="tx1"/>
                  </w14:solidFill>
                </w14:textFill>
              </w:rPr>
            </w:pPr>
          </w:p>
        </w:tc>
      </w:tr>
    </w:tbl>
    <w:p>
      <w:pPr>
        <w:spacing w:line="252" w:lineRule="auto"/>
        <w:rPr>
          <w:rFonts w:hint="eastAsia" w:ascii="Arial"/>
          <w:color w:val="000000" w:themeColor="text1"/>
          <w14:textFill>
            <w14:solidFill>
              <w14:schemeClr w14:val="tx1"/>
            </w14:solidFill>
          </w14:textFill>
        </w:rPr>
      </w:pPr>
    </w:p>
    <w:p>
      <w:pPr>
        <w:spacing w:before="75" w:line="230" w:lineRule="auto"/>
        <w:jc w:val="center"/>
        <w:rPr>
          <w:rFonts w:ascii="仿宋" w:hAnsi="仿宋" w:eastAsia="仿宋" w:cs="仿宋"/>
          <w:color w:val="000000" w:themeColor="text1"/>
          <w:spacing w:val="4"/>
          <w:sz w:val="23"/>
          <w:szCs w:val="23"/>
          <w14:textFill>
            <w14:solidFill>
              <w14:schemeClr w14:val="tx1"/>
            </w14:solidFill>
          </w14:textFill>
        </w:rPr>
        <w:sectPr>
          <w:footerReference r:id="rId6" w:type="default"/>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何承前</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18873072345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罗江洪</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2023年6月12日</w:t>
      </w:r>
      <w:bookmarkStart w:id="0" w:name="_GoBack"/>
      <w:bookmarkEnd w:id="0"/>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8"/>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19</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13</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hint="eastAsia"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
                            <w:rPr>
                              <w:rFonts w:hint="eastAsia"/>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pPr>
                      <w:pStyle w:val="5"/>
                      <w:rPr>
                        <w:rFonts w:hint="eastAsia"/>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hint="eastAsia"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
                            <w:rPr>
                              <w:rFonts w:hint="eastAsia"/>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321C3E"/>
    <w:multiLevelType w:val="singleLevel"/>
    <w:tmpl w:val="8E321C3E"/>
    <w:lvl w:ilvl="0" w:tentative="0">
      <w:start w:val="1"/>
      <w:numFmt w:val="chineseCounting"/>
      <w:suff w:val="nothing"/>
      <w:lvlText w:val="%1、"/>
      <w:lvlJc w:val="left"/>
      <w:rPr>
        <w:rFonts w:hint="eastAsia"/>
      </w:rPr>
    </w:lvl>
  </w:abstractNum>
  <w:abstractNum w:abstractNumId="1">
    <w:nsid w:val="E4A2E93D"/>
    <w:multiLevelType w:val="singleLevel"/>
    <w:tmpl w:val="E4A2E93D"/>
    <w:lvl w:ilvl="0" w:tentative="0">
      <w:start w:val="2"/>
      <w:numFmt w:val="chineseCounting"/>
      <w:lvlText w:val="(%1)"/>
      <w:lvlJc w:val="left"/>
      <w:pPr>
        <w:tabs>
          <w:tab w:val="left" w:pos="312"/>
        </w:tabs>
      </w:pPr>
      <w:rPr>
        <w:rFonts w:hint="eastAsia"/>
      </w:rPr>
    </w:lvl>
  </w:abstractNum>
  <w:abstractNum w:abstractNumId="2">
    <w:nsid w:val="0F0BB7E7"/>
    <w:multiLevelType w:val="singleLevel"/>
    <w:tmpl w:val="0F0BB7E7"/>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wMmJlYzJhMzIwMmQ1NjY3N2FiZmZhNTZiNzgxM2YifQ=="/>
  </w:docVars>
  <w:rsids>
    <w:rsidRoot w:val="53FC3987"/>
    <w:rsid w:val="000A3765"/>
    <w:rsid w:val="001D7282"/>
    <w:rsid w:val="0039081D"/>
    <w:rsid w:val="005E6ECB"/>
    <w:rsid w:val="00742F6F"/>
    <w:rsid w:val="00744EA1"/>
    <w:rsid w:val="009419CA"/>
    <w:rsid w:val="00955854"/>
    <w:rsid w:val="00975D66"/>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8E386C"/>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E383E"/>
    <w:rsid w:val="03FF6E0F"/>
    <w:rsid w:val="0404259A"/>
    <w:rsid w:val="04051601"/>
    <w:rsid w:val="04150B3B"/>
    <w:rsid w:val="04327F62"/>
    <w:rsid w:val="04344800"/>
    <w:rsid w:val="044C7A61"/>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D313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D95D5A"/>
    <w:rsid w:val="06ED564C"/>
    <w:rsid w:val="06F22A7B"/>
    <w:rsid w:val="07023424"/>
    <w:rsid w:val="07043735"/>
    <w:rsid w:val="0725074E"/>
    <w:rsid w:val="07313C60"/>
    <w:rsid w:val="07331F0A"/>
    <w:rsid w:val="076971BD"/>
    <w:rsid w:val="076D43AE"/>
    <w:rsid w:val="077323CA"/>
    <w:rsid w:val="0775145F"/>
    <w:rsid w:val="0784404A"/>
    <w:rsid w:val="07926B92"/>
    <w:rsid w:val="07967DE0"/>
    <w:rsid w:val="07970994"/>
    <w:rsid w:val="07B913B4"/>
    <w:rsid w:val="07BA1C6A"/>
    <w:rsid w:val="07BD44A3"/>
    <w:rsid w:val="07CE6155"/>
    <w:rsid w:val="07E11DA2"/>
    <w:rsid w:val="07E31891"/>
    <w:rsid w:val="07E40515"/>
    <w:rsid w:val="07EE6091"/>
    <w:rsid w:val="08017E70"/>
    <w:rsid w:val="08046E7F"/>
    <w:rsid w:val="0805190B"/>
    <w:rsid w:val="080C52E3"/>
    <w:rsid w:val="082A5F7E"/>
    <w:rsid w:val="08391F38"/>
    <w:rsid w:val="083A18D9"/>
    <w:rsid w:val="0848472A"/>
    <w:rsid w:val="084D20E7"/>
    <w:rsid w:val="08674899"/>
    <w:rsid w:val="086A5B0F"/>
    <w:rsid w:val="08754155"/>
    <w:rsid w:val="087B77E7"/>
    <w:rsid w:val="087D3D34"/>
    <w:rsid w:val="0889236C"/>
    <w:rsid w:val="088E051E"/>
    <w:rsid w:val="08935A7B"/>
    <w:rsid w:val="08A91E6C"/>
    <w:rsid w:val="08BA1B19"/>
    <w:rsid w:val="08D059DD"/>
    <w:rsid w:val="08DC08E7"/>
    <w:rsid w:val="08F33D56"/>
    <w:rsid w:val="092D1C9E"/>
    <w:rsid w:val="09377E5E"/>
    <w:rsid w:val="09383E9F"/>
    <w:rsid w:val="0939426E"/>
    <w:rsid w:val="093A254F"/>
    <w:rsid w:val="09504F8C"/>
    <w:rsid w:val="095F03E9"/>
    <w:rsid w:val="09616470"/>
    <w:rsid w:val="096C1F5A"/>
    <w:rsid w:val="096C76C1"/>
    <w:rsid w:val="09906B28"/>
    <w:rsid w:val="09912E95"/>
    <w:rsid w:val="099C1A23"/>
    <w:rsid w:val="09A948AF"/>
    <w:rsid w:val="09AC2A76"/>
    <w:rsid w:val="09B04837"/>
    <w:rsid w:val="09C95891"/>
    <w:rsid w:val="09CD698F"/>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73347"/>
    <w:rsid w:val="0AE964B0"/>
    <w:rsid w:val="0B163034"/>
    <w:rsid w:val="0B1F5B6D"/>
    <w:rsid w:val="0B2F4AF7"/>
    <w:rsid w:val="0B3312B6"/>
    <w:rsid w:val="0B3E1E23"/>
    <w:rsid w:val="0B4064B3"/>
    <w:rsid w:val="0B640DAA"/>
    <w:rsid w:val="0B6E529C"/>
    <w:rsid w:val="0B701D27"/>
    <w:rsid w:val="0B7245CE"/>
    <w:rsid w:val="0B943886"/>
    <w:rsid w:val="0B9C3CD1"/>
    <w:rsid w:val="0BA852CC"/>
    <w:rsid w:val="0BB324D8"/>
    <w:rsid w:val="0BB672C7"/>
    <w:rsid w:val="0BC07BBF"/>
    <w:rsid w:val="0BC429EF"/>
    <w:rsid w:val="0BCE65D1"/>
    <w:rsid w:val="0BD27A8E"/>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07FF1"/>
    <w:rsid w:val="0C6B7DF9"/>
    <w:rsid w:val="0C6E2A56"/>
    <w:rsid w:val="0C7A708D"/>
    <w:rsid w:val="0C874EE1"/>
    <w:rsid w:val="0C8E09E9"/>
    <w:rsid w:val="0CB97ED9"/>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0E69D0"/>
    <w:rsid w:val="0E1E619E"/>
    <w:rsid w:val="0E267F81"/>
    <w:rsid w:val="0E365DE9"/>
    <w:rsid w:val="0E3E4633"/>
    <w:rsid w:val="0E4822EE"/>
    <w:rsid w:val="0E4E185D"/>
    <w:rsid w:val="0E522FBE"/>
    <w:rsid w:val="0E5D141B"/>
    <w:rsid w:val="0E8648D6"/>
    <w:rsid w:val="0E8C08DC"/>
    <w:rsid w:val="0E8E43C0"/>
    <w:rsid w:val="0E964CBE"/>
    <w:rsid w:val="0EB05323"/>
    <w:rsid w:val="0EBE40CB"/>
    <w:rsid w:val="0EC36A56"/>
    <w:rsid w:val="0EC62499"/>
    <w:rsid w:val="0ECE4E6F"/>
    <w:rsid w:val="0ED35878"/>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067489"/>
    <w:rsid w:val="10225AB2"/>
    <w:rsid w:val="102D74F0"/>
    <w:rsid w:val="10332869"/>
    <w:rsid w:val="103C47DA"/>
    <w:rsid w:val="103D5CB0"/>
    <w:rsid w:val="1043497A"/>
    <w:rsid w:val="104B6B58"/>
    <w:rsid w:val="105552F6"/>
    <w:rsid w:val="108449FF"/>
    <w:rsid w:val="108B34B0"/>
    <w:rsid w:val="109E2943"/>
    <w:rsid w:val="10C8346E"/>
    <w:rsid w:val="10E67830"/>
    <w:rsid w:val="10FE6AB1"/>
    <w:rsid w:val="1112624E"/>
    <w:rsid w:val="11153798"/>
    <w:rsid w:val="11297158"/>
    <w:rsid w:val="114B2C9B"/>
    <w:rsid w:val="114E6F18"/>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8C183F"/>
    <w:rsid w:val="12B310FA"/>
    <w:rsid w:val="12B7582D"/>
    <w:rsid w:val="12C621E8"/>
    <w:rsid w:val="12CF0716"/>
    <w:rsid w:val="12D95227"/>
    <w:rsid w:val="12E33197"/>
    <w:rsid w:val="12E52961"/>
    <w:rsid w:val="12EE1C9C"/>
    <w:rsid w:val="12F863E6"/>
    <w:rsid w:val="13094CA6"/>
    <w:rsid w:val="132156D8"/>
    <w:rsid w:val="132911E2"/>
    <w:rsid w:val="133868AE"/>
    <w:rsid w:val="135133AE"/>
    <w:rsid w:val="138C2C14"/>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884613"/>
    <w:rsid w:val="158D1367"/>
    <w:rsid w:val="15914EE6"/>
    <w:rsid w:val="15A42FA4"/>
    <w:rsid w:val="15A6418F"/>
    <w:rsid w:val="15AA091B"/>
    <w:rsid w:val="15BC6BD3"/>
    <w:rsid w:val="15CF095E"/>
    <w:rsid w:val="15D35BCA"/>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15791"/>
    <w:rsid w:val="175D3461"/>
    <w:rsid w:val="175F4C67"/>
    <w:rsid w:val="175F580B"/>
    <w:rsid w:val="17665207"/>
    <w:rsid w:val="17794395"/>
    <w:rsid w:val="178D50A9"/>
    <w:rsid w:val="178F0FE3"/>
    <w:rsid w:val="17B85018"/>
    <w:rsid w:val="17C00F62"/>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C5635"/>
    <w:rsid w:val="18DD0C18"/>
    <w:rsid w:val="18DE4BF6"/>
    <w:rsid w:val="18EC1CA5"/>
    <w:rsid w:val="18F119B1"/>
    <w:rsid w:val="18F23C9D"/>
    <w:rsid w:val="18F554AB"/>
    <w:rsid w:val="18FE49D5"/>
    <w:rsid w:val="190F3527"/>
    <w:rsid w:val="19100497"/>
    <w:rsid w:val="19183CAC"/>
    <w:rsid w:val="192A1EE0"/>
    <w:rsid w:val="193964B7"/>
    <w:rsid w:val="19521C94"/>
    <w:rsid w:val="195657BB"/>
    <w:rsid w:val="196B19EB"/>
    <w:rsid w:val="19717C66"/>
    <w:rsid w:val="198E7C2B"/>
    <w:rsid w:val="199945D5"/>
    <w:rsid w:val="199B5065"/>
    <w:rsid w:val="19D37D58"/>
    <w:rsid w:val="19DD0438"/>
    <w:rsid w:val="1A0A04E6"/>
    <w:rsid w:val="1A122E7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24E71"/>
    <w:rsid w:val="1C165874"/>
    <w:rsid w:val="1C1D4C3D"/>
    <w:rsid w:val="1C212C7F"/>
    <w:rsid w:val="1C4C28F3"/>
    <w:rsid w:val="1C6263EC"/>
    <w:rsid w:val="1C71314E"/>
    <w:rsid w:val="1C82672C"/>
    <w:rsid w:val="1C89138D"/>
    <w:rsid w:val="1C8E76D2"/>
    <w:rsid w:val="1C937172"/>
    <w:rsid w:val="1C975C4B"/>
    <w:rsid w:val="1CA27BB1"/>
    <w:rsid w:val="1CAF7DCF"/>
    <w:rsid w:val="1CB07D7A"/>
    <w:rsid w:val="1CDA4D56"/>
    <w:rsid w:val="1CF810AC"/>
    <w:rsid w:val="1D0B3755"/>
    <w:rsid w:val="1D124C24"/>
    <w:rsid w:val="1D2148A0"/>
    <w:rsid w:val="1D2C6C65"/>
    <w:rsid w:val="1D402518"/>
    <w:rsid w:val="1D4E7169"/>
    <w:rsid w:val="1D554265"/>
    <w:rsid w:val="1D660B43"/>
    <w:rsid w:val="1D69344A"/>
    <w:rsid w:val="1D6B31E8"/>
    <w:rsid w:val="1D6B7F83"/>
    <w:rsid w:val="1D776C3D"/>
    <w:rsid w:val="1D95321A"/>
    <w:rsid w:val="1DA56258"/>
    <w:rsid w:val="1DB85E5C"/>
    <w:rsid w:val="1DC46662"/>
    <w:rsid w:val="1DCA5E3A"/>
    <w:rsid w:val="1DCF5405"/>
    <w:rsid w:val="1DD75183"/>
    <w:rsid w:val="1DDE2626"/>
    <w:rsid w:val="1DFD7C50"/>
    <w:rsid w:val="1E0236F4"/>
    <w:rsid w:val="1E080AB5"/>
    <w:rsid w:val="1E0E0D58"/>
    <w:rsid w:val="1E2A197B"/>
    <w:rsid w:val="1E35255F"/>
    <w:rsid w:val="1E3C5A5F"/>
    <w:rsid w:val="1E4217BB"/>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2965E7"/>
    <w:rsid w:val="1F34786B"/>
    <w:rsid w:val="1F4B71B8"/>
    <w:rsid w:val="1F4C39A9"/>
    <w:rsid w:val="1F5009C3"/>
    <w:rsid w:val="1F5665AD"/>
    <w:rsid w:val="1F643AA0"/>
    <w:rsid w:val="1F692382"/>
    <w:rsid w:val="1F8815CD"/>
    <w:rsid w:val="1F8D1995"/>
    <w:rsid w:val="1F935BDD"/>
    <w:rsid w:val="1F9730E6"/>
    <w:rsid w:val="1FBF4223"/>
    <w:rsid w:val="1FDE0273"/>
    <w:rsid w:val="1FEF73C9"/>
    <w:rsid w:val="1FFA024A"/>
    <w:rsid w:val="20020491"/>
    <w:rsid w:val="203C7C11"/>
    <w:rsid w:val="20421AEB"/>
    <w:rsid w:val="20471AED"/>
    <w:rsid w:val="20487E48"/>
    <w:rsid w:val="20666EBF"/>
    <w:rsid w:val="206F239E"/>
    <w:rsid w:val="2086258B"/>
    <w:rsid w:val="20A45C99"/>
    <w:rsid w:val="20AD18F5"/>
    <w:rsid w:val="20B77D0F"/>
    <w:rsid w:val="20BB288C"/>
    <w:rsid w:val="20D06EB4"/>
    <w:rsid w:val="20D67642"/>
    <w:rsid w:val="20E40557"/>
    <w:rsid w:val="20EF04D3"/>
    <w:rsid w:val="210C69CF"/>
    <w:rsid w:val="21107C1A"/>
    <w:rsid w:val="213018E1"/>
    <w:rsid w:val="21392BC1"/>
    <w:rsid w:val="21431802"/>
    <w:rsid w:val="21463D2C"/>
    <w:rsid w:val="2151198F"/>
    <w:rsid w:val="215D29CC"/>
    <w:rsid w:val="2172070D"/>
    <w:rsid w:val="217B2C80"/>
    <w:rsid w:val="217D2EA2"/>
    <w:rsid w:val="21851E83"/>
    <w:rsid w:val="21861507"/>
    <w:rsid w:val="219020E3"/>
    <w:rsid w:val="21916EE8"/>
    <w:rsid w:val="219A308D"/>
    <w:rsid w:val="219F5834"/>
    <w:rsid w:val="21A35D48"/>
    <w:rsid w:val="21B46321"/>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A56D0"/>
    <w:rsid w:val="22CB0895"/>
    <w:rsid w:val="231527D7"/>
    <w:rsid w:val="23184F83"/>
    <w:rsid w:val="23185AD8"/>
    <w:rsid w:val="23336451"/>
    <w:rsid w:val="23474320"/>
    <w:rsid w:val="23492735"/>
    <w:rsid w:val="235B5F37"/>
    <w:rsid w:val="235C3EA6"/>
    <w:rsid w:val="23604810"/>
    <w:rsid w:val="237A7609"/>
    <w:rsid w:val="23A92664"/>
    <w:rsid w:val="23BE4330"/>
    <w:rsid w:val="23BF0A62"/>
    <w:rsid w:val="23C263BB"/>
    <w:rsid w:val="23CB14F2"/>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12963"/>
    <w:rsid w:val="25781237"/>
    <w:rsid w:val="257A6914"/>
    <w:rsid w:val="2588530F"/>
    <w:rsid w:val="25963C8A"/>
    <w:rsid w:val="25A04CF2"/>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26292C"/>
    <w:rsid w:val="27263C99"/>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B26E22"/>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602297"/>
    <w:rsid w:val="2A7A07C0"/>
    <w:rsid w:val="2A7B272E"/>
    <w:rsid w:val="2AB17620"/>
    <w:rsid w:val="2AB30FEA"/>
    <w:rsid w:val="2AB657B1"/>
    <w:rsid w:val="2ABB62D3"/>
    <w:rsid w:val="2AE07913"/>
    <w:rsid w:val="2AEA3FC0"/>
    <w:rsid w:val="2AEA4AC4"/>
    <w:rsid w:val="2B0E64B5"/>
    <w:rsid w:val="2B166BF6"/>
    <w:rsid w:val="2B283030"/>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4F11"/>
    <w:rsid w:val="2CF97782"/>
    <w:rsid w:val="2CFE0E57"/>
    <w:rsid w:val="2CFE5763"/>
    <w:rsid w:val="2D107154"/>
    <w:rsid w:val="2D143281"/>
    <w:rsid w:val="2D1C79F8"/>
    <w:rsid w:val="2D324177"/>
    <w:rsid w:val="2D3549AD"/>
    <w:rsid w:val="2D3A0EFB"/>
    <w:rsid w:val="2D5A7835"/>
    <w:rsid w:val="2D6578A0"/>
    <w:rsid w:val="2D7343C9"/>
    <w:rsid w:val="2DE44256"/>
    <w:rsid w:val="2DE557EB"/>
    <w:rsid w:val="2DEE74F1"/>
    <w:rsid w:val="2E072778"/>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EDE4089"/>
    <w:rsid w:val="2F0E1C14"/>
    <w:rsid w:val="2F366FC1"/>
    <w:rsid w:val="2F5034C7"/>
    <w:rsid w:val="2F866106"/>
    <w:rsid w:val="2FA3249D"/>
    <w:rsid w:val="2FC05B92"/>
    <w:rsid w:val="2FDE3BE4"/>
    <w:rsid w:val="2FEC1413"/>
    <w:rsid w:val="2FEF5C51"/>
    <w:rsid w:val="301F1E0F"/>
    <w:rsid w:val="302E6295"/>
    <w:rsid w:val="303146B5"/>
    <w:rsid w:val="303329F0"/>
    <w:rsid w:val="303818E5"/>
    <w:rsid w:val="303B4884"/>
    <w:rsid w:val="303F1851"/>
    <w:rsid w:val="303F79AD"/>
    <w:rsid w:val="30492212"/>
    <w:rsid w:val="304C3A2B"/>
    <w:rsid w:val="30596318"/>
    <w:rsid w:val="306F339C"/>
    <w:rsid w:val="30762710"/>
    <w:rsid w:val="307750E9"/>
    <w:rsid w:val="30814CF1"/>
    <w:rsid w:val="308E4163"/>
    <w:rsid w:val="30A71077"/>
    <w:rsid w:val="30C20BA4"/>
    <w:rsid w:val="30C478ED"/>
    <w:rsid w:val="30EC01FB"/>
    <w:rsid w:val="30F54D00"/>
    <w:rsid w:val="31026564"/>
    <w:rsid w:val="310A5122"/>
    <w:rsid w:val="312107CD"/>
    <w:rsid w:val="31210CA8"/>
    <w:rsid w:val="31215285"/>
    <w:rsid w:val="312D0344"/>
    <w:rsid w:val="31346C1B"/>
    <w:rsid w:val="314A407E"/>
    <w:rsid w:val="314E2EDF"/>
    <w:rsid w:val="317038BB"/>
    <w:rsid w:val="317958D0"/>
    <w:rsid w:val="317F3D9A"/>
    <w:rsid w:val="318D218C"/>
    <w:rsid w:val="31964319"/>
    <w:rsid w:val="319A32FE"/>
    <w:rsid w:val="31A53AB7"/>
    <w:rsid w:val="31A801F9"/>
    <w:rsid w:val="31BD25E6"/>
    <w:rsid w:val="31C57FB2"/>
    <w:rsid w:val="31C932E2"/>
    <w:rsid w:val="31F61F62"/>
    <w:rsid w:val="320358D0"/>
    <w:rsid w:val="32052FE4"/>
    <w:rsid w:val="320B77FD"/>
    <w:rsid w:val="321976B1"/>
    <w:rsid w:val="321D6876"/>
    <w:rsid w:val="3220390C"/>
    <w:rsid w:val="322B51BC"/>
    <w:rsid w:val="322F26BF"/>
    <w:rsid w:val="32313F22"/>
    <w:rsid w:val="325B32AE"/>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4E650C"/>
    <w:rsid w:val="335B40EE"/>
    <w:rsid w:val="335B62EC"/>
    <w:rsid w:val="335E79BA"/>
    <w:rsid w:val="3360061D"/>
    <w:rsid w:val="336549AB"/>
    <w:rsid w:val="33782709"/>
    <w:rsid w:val="338A259F"/>
    <w:rsid w:val="3392025F"/>
    <w:rsid w:val="33A8285D"/>
    <w:rsid w:val="33AC1E29"/>
    <w:rsid w:val="33B17041"/>
    <w:rsid w:val="33B202F3"/>
    <w:rsid w:val="33B20F64"/>
    <w:rsid w:val="33EE53FA"/>
    <w:rsid w:val="33FD7485"/>
    <w:rsid w:val="34012F1B"/>
    <w:rsid w:val="343203CF"/>
    <w:rsid w:val="34467089"/>
    <w:rsid w:val="34523AB5"/>
    <w:rsid w:val="34605501"/>
    <w:rsid w:val="346B4B47"/>
    <w:rsid w:val="346E4F77"/>
    <w:rsid w:val="34762AAC"/>
    <w:rsid w:val="348402A8"/>
    <w:rsid w:val="34B510BB"/>
    <w:rsid w:val="34BB2714"/>
    <w:rsid w:val="34C25EF7"/>
    <w:rsid w:val="34D20F28"/>
    <w:rsid w:val="34D55671"/>
    <w:rsid w:val="34E22DC0"/>
    <w:rsid w:val="350233D4"/>
    <w:rsid w:val="35195F01"/>
    <w:rsid w:val="35310628"/>
    <w:rsid w:val="35313A72"/>
    <w:rsid w:val="35493C91"/>
    <w:rsid w:val="355C0228"/>
    <w:rsid w:val="357800DF"/>
    <w:rsid w:val="358527FB"/>
    <w:rsid w:val="358B5BCF"/>
    <w:rsid w:val="359A77E8"/>
    <w:rsid w:val="35A1790B"/>
    <w:rsid w:val="35A45B99"/>
    <w:rsid w:val="35B01090"/>
    <w:rsid w:val="35C0067C"/>
    <w:rsid w:val="35DD2073"/>
    <w:rsid w:val="35DF75FB"/>
    <w:rsid w:val="35EB21A5"/>
    <w:rsid w:val="35EC27F9"/>
    <w:rsid w:val="35EC7269"/>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4753A"/>
    <w:rsid w:val="374D5647"/>
    <w:rsid w:val="374F42A7"/>
    <w:rsid w:val="37506DBE"/>
    <w:rsid w:val="3759338C"/>
    <w:rsid w:val="37654002"/>
    <w:rsid w:val="378E1DA7"/>
    <w:rsid w:val="378E3E66"/>
    <w:rsid w:val="37C244FC"/>
    <w:rsid w:val="37D95C79"/>
    <w:rsid w:val="37E81F7B"/>
    <w:rsid w:val="38026A1B"/>
    <w:rsid w:val="38197832"/>
    <w:rsid w:val="383903C6"/>
    <w:rsid w:val="383C423B"/>
    <w:rsid w:val="38415136"/>
    <w:rsid w:val="38504C90"/>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5C34D5"/>
    <w:rsid w:val="396B7002"/>
    <w:rsid w:val="396C2A15"/>
    <w:rsid w:val="39A750BA"/>
    <w:rsid w:val="39AC01F9"/>
    <w:rsid w:val="39B73BAC"/>
    <w:rsid w:val="39B7517F"/>
    <w:rsid w:val="39BA3B51"/>
    <w:rsid w:val="39C20795"/>
    <w:rsid w:val="39CB382F"/>
    <w:rsid w:val="39DE26FF"/>
    <w:rsid w:val="39E90E2B"/>
    <w:rsid w:val="39E94D86"/>
    <w:rsid w:val="39F1638E"/>
    <w:rsid w:val="3A001C79"/>
    <w:rsid w:val="3A1513BA"/>
    <w:rsid w:val="3A2E618D"/>
    <w:rsid w:val="3A4109A1"/>
    <w:rsid w:val="3A5042B3"/>
    <w:rsid w:val="3A742C8C"/>
    <w:rsid w:val="3A7B2702"/>
    <w:rsid w:val="3A896EEE"/>
    <w:rsid w:val="3AAA2893"/>
    <w:rsid w:val="3ABB15C7"/>
    <w:rsid w:val="3AD8279E"/>
    <w:rsid w:val="3AE73EDB"/>
    <w:rsid w:val="3B08641D"/>
    <w:rsid w:val="3B1C7A19"/>
    <w:rsid w:val="3B2B5582"/>
    <w:rsid w:val="3B4234D4"/>
    <w:rsid w:val="3B5068F7"/>
    <w:rsid w:val="3B7622BA"/>
    <w:rsid w:val="3B7C1C88"/>
    <w:rsid w:val="3B8107C8"/>
    <w:rsid w:val="3B8972AA"/>
    <w:rsid w:val="3BA219B8"/>
    <w:rsid w:val="3BA96003"/>
    <w:rsid w:val="3BC61A51"/>
    <w:rsid w:val="3BDE1F2F"/>
    <w:rsid w:val="3BE14893"/>
    <w:rsid w:val="3BE8265C"/>
    <w:rsid w:val="3BE92A35"/>
    <w:rsid w:val="3BEB460F"/>
    <w:rsid w:val="3BEF1DA2"/>
    <w:rsid w:val="3BF64635"/>
    <w:rsid w:val="3BF956C3"/>
    <w:rsid w:val="3C0E5CDB"/>
    <w:rsid w:val="3C365616"/>
    <w:rsid w:val="3C4D3B02"/>
    <w:rsid w:val="3C5B1D89"/>
    <w:rsid w:val="3C85498F"/>
    <w:rsid w:val="3C8946A5"/>
    <w:rsid w:val="3CA372A1"/>
    <w:rsid w:val="3CA600E0"/>
    <w:rsid w:val="3CB765A9"/>
    <w:rsid w:val="3CBA284F"/>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291A2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7F6724"/>
    <w:rsid w:val="40B16CC2"/>
    <w:rsid w:val="40B81BAD"/>
    <w:rsid w:val="40BB2365"/>
    <w:rsid w:val="40D23962"/>
    <w:rsid w:val="40D61BC8"/>
    <w:rsid w:val="40D66A4D"/>
    <w:rsid w:val="40DC4F1D"/>
    <w:rsid w:val="40DF2097"/>
    <w:rsid w:val="40E71ABD"/>
    <w:rsid w:val="40F5708E"/>
    <w:rsid w:val="41055BC9"/>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91C88"/>
    <w:rsid w:val="422C70F1"/>
    <w:rsid w:val="423C6CFA"/>
    <w:rsid w:val="42442693"/>
    <w:rsid w:val="42625AF1"/>
    <w:rsid w:val="428D1B97"/>
    <w:rsid w:val="42B608A5"/>
    <w:rsid w:val="42BC6C8F"/>
    <w:rsid w:val="42C5446D"/>
    <w:rsid w:val="42D87BE7"/>
    <w:rsid w:val="42E94337"/>
    <w:rsid w:val="43031943"/>
    <w:rsid w:val="430976F7"/>
    <w:rsid w:val="431327F1"/>
    <w:rsid w:val="43182DB2"/>
    <w:rsid w:val="43260DE4"/>
    <w:rsid w:val="435F0033"/>
    <w:rsid w:val="4368794F"/>
    <w:rsid w:val="436D0FB5"/>
    <w:rsid w:val="437518D1"/>
    <w:rsid w:val="437F2728"/>
    <w:rsid w:val="438D1E49"/>
    <w:rsid w:val="43B23B98"/>
    <w:rsid w:val="43C2407B"/>
    <w:rsid w:val="43C80076"/>
    <w:rsid w:val="43D8550E"/>
    <w:rsid w:val="43DC0C7D"/>
    <w:rsid w:val="43DD2FAF"/>
    <w:rsid w:val="43EA69D8"/>
    <w:rsid w:val="44356D2F"/>
    <w:rsid w:val="44390E25"/>
    <w:rsid w:val="44433468"/>
    <w:rsid w:val="44437F9F"/>
    <w:rsid w:val="444F5C68"/>
    <w:rsid w:val="44613E6E"/>
    <w:rsid w:val="446A5324"/>
    <w:rsid w:val="447E7804"/>
    <w:rsid w:val="44943661"/>
    <w:rsid w:val="44A05C5C"/>
    <w:rsid w:val="44A45929"/>
    <w:rsid w:val="44AC7417"/>
    <w:rsid w:val="44AD55CF"/>
    <w:rsid w:val="44B16853"/>
    <w:rsid w:val="450D5FAD"/>
    <w:rsid w:val="45172F07"/>
    <w:rsid w:val="451D5184"/>
    <w:rsid w:val="452F3716"/>
    <w:rsid w:val="453C65FD"/>
    <w:rsid w:val="454B256E"/>
    <w:rsid w:val="455D76E4"/>
    <w:rsid w:val="45646F33"/>
    <w:rsid w:val="45671007"/>
    <w:rsid w:val="456C331B"/>
    <w:rsid w:val="45A26739"/>
    <w:rsid w:val="45B07140"/>
    <w:rsid w:val="45C43431"/>
    <w:rsid w:val="45C5024D"/>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723EEE"/>
    <w:rsid w:val="487758CE"/>
    <w:rsid w:val="48915636"/>
    <w:rsid w:val="48943712"/>
    <w:rsid w:val="48985F31"/>
    <w:rsid w:val="48AC6E35"/>
    <w:rsid w:val="48BD43A0"/>
    <w:rsid w:val="48C96968"/>
    <w:rsid w:val="48F84416"/>
    <w:rsid w:val="4900614D"/>
    <w:rsid w:val="490874C4"/>
    <w:rsid w:val="491A6A98"/>
    <w:rsid w:val="491D4AAF"/>
    <w:rsid w:val="4926292B"/>
    <w:rsid w:val="49371235"/>
    <w:rsid w:val="494324F6"/>
    <w:rsid w:val="49455D20"/>
    <w:rsid w:val="495A2C36"/>
    <w:rsid w:val="497B341F"/>
    <w:rsid w:val="499106D6"/>
    <w:rsid w:val="49B415EE"/>
    <w:rsid w:val="49B569B9"/>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02E54"/>
    <w:rsid w:val="4A9C47ED"/>
    <w:rsid w:val="4AA71D5E"/>
    <w:rsid w:val="4AAA6CA9"/>
    <w:rsid w:val="4AE008D2"/>
    <w:rsid w:val="4AF72E03"/>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07F2B"/>
    <w:rsid w:val="4C270B31"/>
    <w:rsid w:val="4C3202E6"/>
    <w:rsid w:val="4C6370A1"/>
    <w:rsid w:val="4C736886"/>
    <w:rsid w:val="4C7C7A72"/>
    <w:rsid w:val="4C7F7CEF"/>
    <w:rsid w:val="4C821AA7"/>
    <w:rsid w:val="4C991AEB"/>
    <w:rsid w:val="4CA43125"/>
    <w:rsid w:val="4CAC2A11"/>
    <w:rsid w:val="4CB01CB9"/>
    <w:rsid w:val="4CCD33EA"/>
    <w:rsid w:val="4CCF426B"/>
    <w:rsid w:val="4CF907DC"/>
    <w:rsid w:val="4CFE069C"/>
    <w:rsid w:val="4D033F9C"/>
    <w:rsid w:val="4D055E23"/>
    <w:rsid w:val="4D2433AC"/>
    <w:rsid w:val="4D4A4A28"/>
    <w:rsid w:val="4D5D7D7F"/>
    <w:rsid w:val="4D625C01"/>
    <w:rsid w:val="4D8F350E"/>
    <w:rsid w:val="4D924E46"/>
    <w:rsid w:val="4D9877E4"/>
    <w:rsid w:val="4DBD22E7"/>
    <w:rsid w:val="4DBE16AF"/>
    <w:rsid w:val="4DBF1A26"/>
    <w:rsid w:val="4DC73507"/>
    <w:rsid w:val="4DCD52C2"/>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3D16"/>
    <w:rsid w:val="4EA65FD0"/>
    <w:rsid w:val="4EC74E34"/>
    <w:rsid w:val="4ED33DCB"/>
    <w:rsid w:val="4EDC0C29"/>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94C36"/>
    <w:rsid w:val="504B0F0D"/>
    <w:rsid w:val="50527689"/>
    <w:rsid w:val="506633AA"/>
    <w:rsid w:val="507237E3"/>
    <w:rsid w:val="50911DB8"/>
    <w:rsid w:val="50943033"/>
    <w:rsid w:val="509D389C"/>
    <w:rsid w:val="50A642FD"/>
    <w:rsid w:val="50AF647F"/>
    <w:rsid w:val="50BB317D"/>
    <w:rsid w:val="50C10F13"/>
    <w:rsid w:val="50D06E68"/>
    <w:rsid w:val="50D37C72"/>
    <w:rsid w:val="50E466DC"/>
    <w:rsid w:val="50EA1869"/>
    <w:rsid w:val="50FD00F4"/>
    <w:rsid w:val="50FF056E"/>
    <w:rsid w:val="510F2A7F"/>
    <w:rsid w:val="5110096F"/>
    <w:rsid w:val="512746EF"/>
    <w:rsid w:val="51283E4C"/>
    <w:rsid w:val="51291D35"/>
    <w:rsid w:val="512B3A7F"/>
    <w:rsid w:val="5133145B"/>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0F7219"/>
    <w:rsid w:val="531228DF"/>
    <w:rsid w:val="5353575F"/>
    <w:rsid w:val="535B2E70"/>
    <w:rsid w:val="535C4E8B"/>
    <w:rsid w:val="536278AA"/>
    <w:rsid w:val="53673357"/>
    <w:rsid w:val="53676B5F"/>
    <w:rsid w:val="536E21FF"/>
    <w:rsid w:val="5385006E"/>
    <w:rsid w:val="538A4A6D"/>
    <w:rsid w:val="53B45677"/>
    <w:rsid w:val="53CA4C80"/>
    <w:rsid w:val="53DD2466"/>
    <w:rsid w:val="53DE7084"/>
    <w:rsid w:val="53E34323"/>
    <w:rsid w:val="53FC3987"/>
    <w:rsid w:val="5427381E"/>
    <w:rsid w:val="543B788E"/>
    <w:rsid w:val="54447CBB"/>
    <w:rsid w:val="545062A7"/>
    <w:rsid w:val="545C3555"/>
    <w:rsid w:val="54617320"/>
    <w:rsid w:val="547A28DC"/>
    <w:rsid w:val="54827775"/>
    <w:rsid w:val="54AC5134"/>
    <w:rsid w:val="54C26276"/>
    <w:rsid w:val="54DE6078"/>
    <w:rsid w:val="54E86EBD"/>
    <w:rsid w:val="54F2526E"/>
    <w:rsid w:val="55075D9B"/>
    <w:rsid w:val="55184BBF"/>
    <w:rsid w:val="551874CA"/>
    <w:rsid w:val="551E6A56"/>
    <w:rsid w:val="552006D3"/>
    <w:rsid w:val="55301CB3"/>
    <w:rsid w:val="55327054"/>
    <w:rsid w:val="553A26BA"/>
    <w:rsid w:val="5556054C"/>
    <w:rsid w:val="5578513F"/>
    <w:rsid w:val="55862A42"/>
    <w:rsid w:val="55990578"/>
    <w:rsid w:val="55A56891"/>
    <w:rsid w:val="55AC66CB"/>
    <w:rsid w:val="55B94635"/>
    <w:rsid w:val="55C33131"/>
    <w:rsid w:val="55CD7903"/>
    <w:rsid w:val="55E172A0"/>
    <w:rsid w:val="55E24605"/>
    <w:rsid w:val="55F81C60"/>
    <w:rsid w:val="55FA0F14"/>
    <w:rsid w:val="56097F90"/>
    <w:rsid w:val="56133E90"/>
    <w:rsid w:val="562A3DF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64006"/>
    <w:rsid w:val="57DA1A42"/>
    <w:rsid w:val="58002D08"/>
    <w:rsid w:val="58057728"/>
    <w:rsid w:val="581D1F94"/>
    <w:rsid w:val="58207565"/>
    <w:rsid w:val="582872BA"/>
    <w:rsid w:val="5829318A"/>
    <w:rsid w:val="582D7EE9"/>
    <w:rsid w:val="583343BB"/>
    <w:rsid w:val="583439B3"/>
    <w:rsid w:val="583906A4"/>
    <w:rsid w:val="583B5787"/>
    <w:rsid w:val="586759C7"/>
    <w:rsid w:val="589D1A8D"/>
    <w:rsid w:val="58C07CA9"/>
    <w:rsid w:val="58D740C7"/>
    <w:rsid w:val="58DE5A38"/>
    <w:rsid w:val="58FA7B16"/>
    <w:rsid w:val="58FB22A6"/>
    <w:rsid w:val="59003437"/>
    <w:rsid w:val="59182EE7"/>
    <w:rsid w:val="5921212C"/>
    <w:rsid w:val="59395687"/>
    <w:rsid w:val="59444A03"/>
    <w:rsid w:val="59517781"/>
    <w:rsid w:val="59644240"/>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65234E"/>
    <w:rsid w:val="5A772EA3"/>
    <w:rsid w:val="5A7D29E6"/>
    <w:rsid w:val="5A821401"/>
    <w:rsid w:val="5A8A2B4B"/>
    <w:rsid w:val="5A8C5ACF"/>
    <w:rsid w:val="5A9F5080"/>
    <w:rsid w:val="5AAB6618"/>
    <w:rsid w:val="5AC52E1B"/>
    <w:rsid w:val="5AE91049"/>
    <w:rsid w:val="5AEF582B"/>
    <w:rsid w:val="5B0B5334"/>
    <w:rsid w:val="5B0E3A7B"/>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AC159B"/>
    <w:rsid w:val="5BBB1AC4"/>
    <w:rsid w:val="5BE11C63"/>
    <w:rsid w:val="5BF24E07"/>
    <w:rsid w:val="5BFB55EA"/>
    <w:rsid w:val="5C15792E"/>
    <w:rsid w:val="5C1A5869"/>
    <w:rsid w:val="5C2404DB"/>
    <w:rsid w:val="5C290BF2"/>
    <w:rsid w:val="5C4E1E1E"/>
    <w:rsid w:val="5C4F343B"/>
    <w:rsid w:val="5C6A79EB"/>
    <w:rsid w:val="5C912690"/>
    <w:rsid w:val="5C970365"/>
    <w:rsid w:val="5C9F632F"/>
    <w:rsid w:val="5CA44A95"/>
    <w:rsid w:val="5CAD1369"/>
    <w:rsid w:val="5CCB04A2"/>
    <w:rsid w:val="5CCD7E04"/>
    <w:rsid w:val="5CD51F6A"/>
    <w:rsid w:val="5CD6026B"/>
    <w:rsid w:val="5CE319F6"/>
    <w:rsid w:val="5CE42846"/>
    <w:rsid w:val="5CE9406B"/>
    <w:rsid w:val="5D0656E1"/>
    <w:rsid w:val="5D1B0EC1"/>
    <w:rsid w:val="5D566DF5"/>
    <w:rsid w:val="5D5736EC"/>
    <w:rsid w:val="5D592213"/>
    <w:rsid w:val="5D7067ED"/>
    <w:rsid w:val="5D77660D"/>
    <w:rsid w:val="5D7A7C97"/>
    <w:rsid w:val="5D8A240A"/>
    <w:rsid w:val="5D8A4019"/>
    <w:rsid w:val="5D9907FA"/>
    <w:rsid w:val="5D9A56C3"/>
    <w:rsid w:val="5DCD4FAD"/>
    <w:rsid w:val="5DD45E20"/>
    <w:rsid w:val="5DD77F01"/>
    <w:rsid w:val="5DF376B4"/>
    <w:rsid w:val="5DF974C4"/>
    <w:rsid w:val="5E0C5870"/>
    <w:rsid w:val="5E150E16"/>
    <w:rsid w:val="5E156702"/>
    <w:rsid w:val="5E2C3CE8"/>
    <w:rsid w:val="5E480DBB"/>
    <w:rsid w:val="5E532C32"/>
    <w:rsid w:val="5E660B09"/>
    <w:rsid w:val="5E6B78B9"/>
    <w:rsid w:val="5E72530D"/>
    <w:rsid w:val="5E7B3471"/>
    <w:rsid w:val="5E811840"/>
    <w:rsid w:val="5EAC620C"/>
    <w:rsid w:val="5EB56E43"/>
    <w:rsid w:val="5EC85C26"/>
    <w:rsid w:val="5EDB6E5E"/>
    <w:rsid w:val="5EE64F4B"/>
    <w:rsid w:val="5F050603"/>
    <w:rsid w:val="5F0F5BF5"/>
    <w:rsid w:val="5F1070E5"/>
    <w:rsid w:val="5F137093"/>
    <w:rsid w:val="5F475DFB"/>
    <w:rsid w:val="5F4A6912"/>
    <w:rsid w:val="5F897D68"/>
    <w:rsid w:val="5FA342D5"/>
    <w:rsid w:val="5FA40581"/>
    <w:rsid w:val="5FBE3574"/>
    <w:rsid w:val="5FBF418B"/>
    <w:rsid w:val="5FC03F1C"/>
    <w:rsid w:val="5FC128D4"/>
    <w:rsid w:val="5FC577B3"/>
    <w:rsid w:val="5FFB751D"/>
    <w:rsid w:val="5FFC1DCE"/>
    <w:rsid w:val="600F0A34"/>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2B51A7"/>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05B15"/>
    <w:rsid w:val="62510C1A"/>
    <w:rsid w:val="62607DE0"/>
    <w:rsid w:val="62635B76"/>
    <w:rsid w:val="62757089"/>
    <w:rsid w:val="62AE05DB"/>
    <w:rsid w:val="62B60A29"/>
    <w:rsid w:val="62B75646"/>
    <w:rsid w:val="62BA5EE7"/>
    <w:rsid w:val="62F04E93"/>
    <w:rsid w:val="62F14EED"/>
    <w:rsid w:val="62FF3767"/>
    <w:rsid w:val="63074094"/>
    <w:rsid w:val="630E2052"/>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8735ED"/>
    <w:rsid w:val="64A01013"/>
    <w:rsid w:val="64C76164"/>
    <w:rsid w:val="64D3186F"/>
    <w:rsid w:val="64EF2266"/>
    <w:rsid w:val="64F33559"/>
    <w:rsid w:val="64FD2EEA"/>
    <w:rsid w:val="64FF1ABC"/>
    <w:rsid w:val="650E3520"/>
    <w:rsid w:val="650E40A1"/>
    <w:rsid w:val="653E4CDE"/>
    <w:rsid w:val="654069DE"/>
    <w:rsid w:val="65413B3E"/>
    <w:rsid w:val="654B3E81"/>
    <w:rsid w:val="655555A6"/>
    <w:rsid w:val="655F14F0"/>
    <w:rsid w:val="65660277"/>
    <w:rsid w:val="656E6D13"/>
    <w:rsid w:val="65990AED"/>
    <w:rsid w:val="65A63707"/>
    <w:rsid w:val="65A80F59"/>
    <w:rsid w:val="65AA319F"/>
    <w:rsid w:val="65AC5539"/>
    <w:rsid w:val="65B25D21"/>
    <w:rsid w:val="65BB595A"/>
    <w:rsid w:val="65C96D71"/>
    <w:rsid w:val="65F22562"/>
    <w:rsid w:val="65F65692"/>
    <w:rsid w:val="660C7338"/>
    <w:rsid w:val="66285EA3"/>
    <w:rsid w:val="66407FD5"/>
    <w:rsid w:val="665346CA"/>
    <w:rsid w:val="665A551B"/>
    <w:rsid w:val="6661498D"/>
    <w:rsid w:val="666B3926"/>
    <w:rsid w:val="668C5B9C"/>
    <w:rsid w:val="669265A4"/>
    <w:rsid w:val="66A421AD"/>
    <w:rsid w:val="66C77BCC"/>
    <w:rsid w:val="66CF58C8"/>
    <w:rsid w:val="66D00FF0"/>
    <w:rsid w:val="66DB576A"/>
    <w:rsid w:val="66E50A5C"/>
    <w:rsid w:val="66E5305A"/>
    <w:rsid w:val="66FA0A76"/>
    <w:rsid w:val="670314C2"/>
    <w:rsid w:val="670A28DD"/>
    <w:rsid w:val="671F2137"/>
    <w:rsid w:val="67256725"/>
    <w:rsid w:val="672C3BD3"/>
    <w:rsid w:val="673E6826"/>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53D9E"/>
    <w:rsid w:val="685D249D"/>
    <w:rsid w:val="685E03FF"/>
    <w:rsid w:val="68600066"/>
    <w:rsid w:val="6861776A"/>
    <w:rsid w:val="68671568"/>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8C4052"/>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2463D"/>
    <w:rsid w:val="6A777087"/>
    <w:rsid w:val="6A820574"/>
    <w:rsid w:val="6A8A7230"/>
    <w:rsid w:val="6A99048F"/>
    <w:rsid w:val="6AA077DB"/>
    <w:rsid w:val="6AA47C92"/>
    <w:rsid w:val="6AAD0032"/>
    <w:rsid w:val="6AB909BB"/>
    <w:rsid w:val="6ABA0C51"/>
    <w:rsid w:val="6ABD020C"/>
    <w:rsid w:val="6ADD6D64"/>
    <w:rsid w:val="6AE6314B"/>
    <w:rsid w:val="6B0F06C2"/>
    <w:rsid w:val="6B2B6878"/>
    <w:rsid w:val="6B633F4F"/>
    <w:rsid w:val="6B70680D"/>
    <w:rsid w:val="6B816F14"/>
    <w:rsid w:val="6B8A298B"/>
    <w:rsid w:val="6B8A779B"/>
    <w:rsid w:val="6BAD6C20"/>
    <w:rsid w:val="6BB456BB"/>
    <w:rsid w:val="6BB62A44"/>
    <w:rsid w:val="6BC35E60"/>
    <w:rsid w:val="6BD81D0A"/>
    <w:rsid w:val="6BDC1378"/>
    <w:rsid w:val="6BE052CE"/>
    <w:rsid w:val="6BF2692A"/>
    <w:rsid w:val="6BF358A4"/>
    <w:rsid w:val="6BFA7226"/>
    <w:rsid w:val="6C051F4E"/>
    <w:rsid w:val="6C096C12"/>
    <w:rsid w:val="6C1A5960"/>
    <w:rsid w:val="6C417EB8"/>
    <w:rsid w:val="6C541D88"/>
    <w:rsid w:val="6C613F45"/>
    <w:rsid w:val="6C6B33EF"/>
    <w:rsid w:val="6C756221"/>
    <w:rsid w:val="6C771B2F"/>
    <w:rsid w:val="6C7B08BB"/>
    <w:rsid w:val="6C816AF9"/>
    <w:rsid w:val="6C846694"/>
    <w:rsid w:val="6CA841D2"/>
    <w:rsid w:val="6CAF678B"/>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DE50270"/>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26D8F"/>
    <w:rsid w:val="6ED70BA2"/>
    <w:rsid w:val="6EDB7671"/>
    <w:rsid w:val="6EF77260"/>
    <w:rsid w:val="6F2302E3"/>
    <w:rsid w:val="6F314C13"/>
    <w:rsid w:val="6F382FA6"/>
    <w:rsid w:val="6F391F60"/>
    <w:rsid w:val="6F611713"/>
    <w:rsid w:val="6F694006"/>
    <w:rsid w:val="6F6C5490"/>
    <w:rsid w:val="6F761900"/>
    <w:rsid w:val="6F7D546A"/>
    <w:rsid w:val="6FA71AD5"/>
    <w:rsid w:val="6FAF2607"/>
    <w:rsid w:val="6FD47D24"/>
    <w:rsid w:val="6FE17D06"/>
    <w:rsid w:val="6FF103DB"/>
    <w:rsid w:val="6FF356A3"/>
    <w:rsid w:val="6FF536DD"/>
    <w:rsid w:val="6FFD71B3"/>
    <w:rsid w:val="700D2412"/>
    <w:rsid w:val="70112883"/>
    <w:rsid w:val="70243856"/>
    <w:rsid w:val="703F2471"/>
    <w:rsid w:val="704B4131"/>
    <w:rsid w:val="70531ED5"/>
    <w:rsid w:val="705A528C"/>
    <w:rsid w:val="7068062C"/>
    <w:rsid w:val="706F6827"/>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1FD671C"/>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CB6B2F"/>
    <w:rsid w:val="73D20D1A"/>
    <w:rsid w:val="73E168D2"/>
    <w:rsid w:val="73E873C4"/>
    <w:rsid w:val="73F07AA4"/>
    <w:rsid w:val="74010DBC"/>
    <w:rsid w:val="74054701"/>
    <w:rsid w:val="740D2C3F"/>
    <w:rsid w:val="740D46DA"/>
    <w:rsid w:val="74135925"/>
    <w:rsid w:val="74163E96"/>
    <w:rsid w:val="742827DB"/>
    <w:rsid w:val="742D6CA9"/>
    <w:rsid w:val="742E58A2"/>
    <w:rsid w:val="74525628"/>
    <w:rsid w:val="745A3D0B"/>
    <w:rsid w:val="745F06BF"/>
    <w:rsid w:val="746C713B"/>
    <w:rsid w:val="747171AC"/>
    <w:rsid w:val="748D2368"/>
    <w:rsid w:val="749217E0"/>
    <w:rsid w:val="74B22D8C"/>
    <w:rsid w:val="74C26B38"/>
    <w:rsid w:val="74C55FC1"/>
    <w:rsid w:val="74CC7EC1"/>
    <w:rsid w:val="74DA7552"/>
    <w:rsid w:val="74E41FDD"/>
    <w:rsid w:val="74EF6361"/>
    <w:rsid w:val="74F347DF"/>
    <w:rsid w:val="74FA7FE6"/>
    <w:rsid w:val="74FD4A9B"/>
    <w:rsid w:val="750F77FD"/>
    <w:rsid w:val="751D43A6"/>
    <w:rsid w:val="75453AE1"/>
    <w:rsid w:val="75573AC9"/>
    <w:rsid w:val="75595449"/>
    <w:rsid w:val="758B283A"/>
    <w:rsid w:val="75BD313A"/>
    <w:rsid w:val="75BF6D3D"/>
    <w:rsid w:val="75DC1EF4"/>
    <w:rsid w:val="75E50837"/>
    <w:rsid w:val="75EF5520"/>
    <w:rsid w:val="75F63713"/>
    <w:rsid w:val="76143A54"/>
    <w:rsid w:val="761E4FA1"/>
    <w:rsid w:val="7637074A"/>
    <w:rsid w:val="763B63B0"/>
    <w:rsid w:val="764772A3"/>
    <w:rsid w:val="767B7960"/>
    <w:rsid w:val="769A6195"/>
    <w:rsid w:val="76A44430"/>
    <w:rsid w:val="76A71FBB"/>
    <w:rsid w:val="76AA5D81"/>
    <w:rsid w:val="76AB50DC"/>
    <w:rsid w:val="76BB3C83"/>
    <w:rsid w:val="76C80EC7"/>
    <w:rsid w:val="76F6544F"/>
    <w:rsid w:val="76F73D47"/>
    <w:rsid w:val="77006E1F"/>
    <w:rsid w:val="77032A24"/>
    <w:rsid w:val="771670C1"/>
    <w:rsid w:val="772C16E9"/>
    <w:rsid w:val="774F1786"/>
    <w:rsid w:val="77683E14"/>
    <w:rsid w:val="77734EA5"/>
    <w:rsid w:val="77A06542"/>
    <w:rsid w:val="77A922C9"/>
    <w:rsid w:val="77AC049C"/>
    <w:rsid w:val="77B23714"/>
    <w:rsid w:val="77BB772D"/>
    <w:rsid w:val="77D43FD2"/>
    <w:rsid w:val="77F2363E"/>
    <w:rsid w:val="77FA155A"/>
    <w:rsid w:val="781137AD"/>
    <w:rsid w:val="781D13FA"/>
    <w:rsid w:val="78222E99"/>
    <w:rsid w:val="78276900"/>
    <w:rsid w:val="782817E9"/>
    <w:rsid w:val="782B467D"/>
    <w:rsid w:val="78555C26"/>
    <w:rsid w:val="78640057"/>
    <w:rsid w:val="78810787"/>
    <w:rsid w:val="78826969"/>
    <w:rsid w:val="788E3AAC"/>
    <w:rsid w:val="7890703F"/>
    <w:rsid w:val="78B50729"/>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CD5581"/>
    <w:rsid w:val="79E83652"/>
    <w:rsid w:val="79EF6059"/>
    <w:rsid w:val="7A074D7D"/>
    <w:rsid w:val="7A1053E1"/>
    <w:rsid w:val="7A17618B"/>
    <w:rsid w:val="7A1E05C7"/>
    <w:rsid w:val="7A28432B"/>
    <w:rsid w:val="7A3F1ABF"/>
    <w:rsid w:val="7A413A99"/>
    <w:rsid w:val="7A4642A9"/>
    <w:rsid w:val="7A4B6B30"/>
    <w:rsid w:val="7A5D3D51"/>
    <w:rsid w:val="7A5F0CF7"/>
    <w:rsid w:val="7A675EA5"/>
    <w:rsid w:val="7A682796"/>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7E5A90"/>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CFE7672"/>
    <w:rsid w:val="7D09113D"/>
    <w:rsid w:val="7D157A0E"/>
    <w:rsid w:val="7D1658AD"/>
    <w:rsid w:val="7D1D4159"/>
    <w:rsid w:val="7D243099"/>
    <w:rsid w:val="7D4B3993"/>
    <w:rsid w:val="7D5F5E30"/>
    <w:rsid w:val="7D6C208F"/>
    <w:rsid w:val="7D897D56"/>
    <w:rsid w:val="7D9B14E5"/>
    <w:rsid w:val="7DAA42B2"/>
    <w:rsid w:val="7DAA569A"/>
    <w:rsid w:val="7DAB678F"/>
    <w:rsid w:val="7DB1501E"/>
    <w:rsid w:val="7DB676D9"/>
    <w:rsid w:val="7DBE16CF"/>
    <w:rsid w:val="7DC37DE3"/>
    <w:rsid w:val="7DD45912"/>
    <w:rsid w:val="7E0A5DEF"/>
    <w:rsid w:val="7E0D4E8F"/>
    <w:rsid w:val="7E107D04"/>
    <w:rsid w:val="7E202441"/>
    <w:rsid w:val="7E295EFE"/>
    <w:rsid w:val="7E4B691E"/>
    <w:rsid w:val="7E616C7B"/>
    <w:rsid w:val="7E733A70"/>
    <w:rsid w:val="7E8A0780"/>
    <w:rsid w:val="7EA574A2"/>
    <w:rsid w:val="7EBB0DC0"/>
    <w:rsid w:val="7EC42E15"/>
    <w:rsid w:val="7EC50C54"/>
    <w:rsid w:val="7ED11A3C"/>
    <w:rsid w:val="7ED91C72"/>
    <w:rsid w:val="7EEB5BB3"/>
    <w:rsid w:val="7EFB3DBC"/>
    <w:rsid w:val="7F1568D7"/>
    <w:rsid w:val="7F2E0D24"/>
    <w:rsid w:val="7F312E91"/>
    <w:rsid w:val="7F33645C"/>
    <w:rsid w:val="7F4E4DC2"/>
    <w:rsid w:val="7F66205C"/>
    <w:rsid w:val="7FA8327A"/>
    <w:rsid w:val="7FB32EED"/>
    <w:rsid w:val="7FB6358D"/>
    <w:rsid w:val="7FE076F1"/>
    <w:rsid w:val="7FF72E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qFormat/>
    <w:uiPriority w:val="0"/>
    <w:pPr>
      <w:widowControl w:val="0"/>
      <w:spacing w:after="0"/>
      <w:ind w:left="420" w:leftChars="200"/>
      <w:jc w:val="both"/>
    </w:pPr>
    <w:rPr>
      <w:rFonts w:eastAsia="宋体" w:asciiTheme="minorHAnsi" w:hAnsiTheme="minorHAnsi" w:cstheme="minorBidi"/>
      <w:kern w:val="2"/>
      <w:sz w:val="21"/>
      <w:szCs w:val="22"/>
      <w:lang w:val="en-US" w:eastAsia="zh-CN"/>
    </w:r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Body Text Indent"/>
    <w:next w:val="1"/>
    <w:qFormat/>
    <w:uiPriority w:val="99"/>
    <w:pPr>
      <w:widowControl w:val="0"/>
      <w:spacing w:after="120"/>
      <w:ind w:left="420" w:leftChars="200"/>
      <w:jc w:val="both"/>
    </w:pPr>
    <w:rPr>
      <w:rFonts w:eastAsia="宋体" w:asciiTheme="minorHAnsi" w:hAnsiTheme="minorHAnsi" w:cstheme="minorBidi"/>
      <w:kern w:val="2"/>
      <w:sz w:val="21"/>
      <w:szCs w:val="22"/>
      <w:lang w:val="en-US" w:eastAsia="zh-CN"/>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qFormat/>
    <w:uiPriority w:val="22"/>
    <w:rPr>
      <w:b/>
      <w:bCs/>
    </w:rPr>
  </w:style>
  <w:style w:type="table" w:customStyle="1" w:styleId="12">
    <w:name w:val="Table Normal"/>
    <w:unhideWhenUsed/>
    <w:qFormat/>
    <w:uiPriority w:val="0"/>
    <w:tblPr>
      <w:tblCellMar>
        <w:top w:w="0" w:type="dxa"/>
        <w:left w:w="0" w:type="dxa"/>
        <w:bottom w:w="0" w:type="dxa"/>
        <w:right w:w="0" w:type="dxa"/>
      </w:tblCellMar>
    </w:tblPr>
  </w:style>
  <w:style w:type="paragraph" w:customStyle="1" w:styleId="13">
    <w:name w:val="18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 w:type="paragraph" w:styleId="14">
    <w:name w:val="List Paragraph"/>
    <w:unhideWhenUsed/>
    <w:qFormat/>
    <w:uiPriority w:val="34"/>
    <w:pPr>
      <w:widowControl w:val="0"/>
      <w:ind w:firstLine="420" w:firstLineChars="200"/>
      <w:jc w:val="both"/>
    </w:pPr>
    <w:rPr>
      <w:rFonts w:hint="default" w:ascii="Calibri" w:hAnsi="Calibri" w:eastAsia="宋体" w:cs="Times New Roman"/>
      <w:kern w:val="2"/>
      <w:sz w:val="21"/>
      <w:szCs w:val="24"/>
      <w:lang w:val="en-US" w:eastAsia="zh-CN" w:bidi="ar-SA"/>
    </w:rPr>
  </w:style>
  <w:style w:type="paragraph" w:customStyle="1" w:styleId="15">
    <w:name w:val="18"/>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 w:type="paragraph" w:customStyle="1" w:styleId="16">
    <w:name w:val="Default"/>
    <w:qFormat/>
    <w:uiPriority w:val="0"/>
    <w:pPr>
      <w:widowControl w:val="0"/>
      <w:autoSpaceDE w:val="0"/>
      <w:autoSpaceDN w:val="0"/>
      <w:adjustRightInd w:val="0"/>
      <w:jc w:val="left"/>
    </w:pPr>
    <w:rPr>
      <w:rFonts w:ascii="宋体" w:cs="宋体" w:hAnsiTheme="minorHAnsi" w:eastAsiaTheme="minorEastAsia"/>
      <w:color w:val="000000"/>
      <w:kern w:val="0"/>
      <w:sz w:val="24"/>
      <w:szCs w:val="24"/>
      <w:lang w:val="en-US" w:eastAsia="zh-CN" w:bidi="ar-SA"/>
    </w:rPr>
  </w:style>
  <w:style w:type="character" w:customStyle="1" w:styleId="17">
    <w:name w:val="NormalCharacter"/>
    <w:semiHidden/>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11240</Words>
  <Characters>12427</Characters>
  <Lines>0</Lines>
  <Paragraphs>0</Paragraphs>
  <TotalTime>0</TotalTime>
  <ScaleCrop>false</ScaleCrop>
  <LinksUpToDate>false</LinksUpToDate>
  <CharactersWithSpaces>21795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用友新启航-刘白</cp:lastModifiedBy>
  <cp:lastPrinted>2023-05-26T08:11:00Z</cp:lastPrinted>
  <dcterms:modified xsi:type="dcterms:W3CDTF">2024-06-14T14:55:21Z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