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right"/>
        <w:textAlignment w:val="auto"/>
        <w:rPr>
          <w:rFonts w:hint="eastAsia" w:ascii="方正小标宋简体" w:hAnsi="方正小标宋简体" w:eastAsia="方正小标宋简体" w:cs="方正小标宋简体"/>
          <w:b w:val="0"/>
          <w:bCs w:val="0"/>
          <w:color w:val="000000" w:themeColor="text1"/>
          <w:spacing w:val="2"/>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2022年度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整体支出绩效评价基础数据表</w:t>
      </w:r>
    </w:p>
    <w:p>
      <w:pPr>
        <w:spacing w:line="115" w:lineRule="exact"/>
        <w:rPr>
          <w:color w:val="000000" w:themeColor="text1"/>
          <w14:textFill>
            <w14:solidFill>
              <w14:schemeClr w14:val="tx1"/>
            </w14:solidFill>
          </w14:textFill>
        </w:rPr>
      </w:pPr>
    </w:p>
    <w:tbl>
      <w:tblPr>
        <w:tblStyle w:val="13"/>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pPr>
              <w:spacing w:before="33" w:line="198" w:lineRule="auto"/>
              <w:ind w:right="118" w:rightChars="0"/>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预算</w:t>
            </w: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单位</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名称</w:t>
            </w:r>
          </w:p>
        </w:tc>
        <w:tc>
          <w:tcPr>
            <w:tcW w:w="5819" w:type="dxa"/>
            <w:gridSpan w:val="6"/>
            <w:noWrap w:val="0"/>
            <w:vAlign w:val="top"/>
          </w:tcPr>
          <w:p>
            <w:pPr>
              <w:spacing w:before="103" w:line="219" w:lineRule="auto"/>
              <w:ind w:left="708"/>
              <w:rPr>
                <w:rFonts w:hint="eastAsia" w:asciiTheme="majorEastAsia" w:hAnsiTheme="majorEastAsia" w:eastAsiaTheme="majorEastAsia" w:cstheme="majorEastAsia"/>
                <w:color w:val="000000" w:themeColor="text1"/>
                <w:spacing w:val="-2"/>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2"/>
                <w:sz w:val="20"/>
                <w:szCs w:val="20"/>
                <w14:textFill>
                  <w14:solidFill>
                    <w14:schemeClr w14:val="tx1"/>
                  </w14:solidFill>
                </w14:textFill>
              </w:rPr>
              <w:t>岳阳市岳阳楼区金鹗山街道社区卫生服务中心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pPr>
              <w:spacing w:before="262" w:line="219" w:lineRule="auto"/>
              <w:ind w:left="575"/>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财政供养人员情况(人)</w:t>
            </w:r>
          </w:p>
        </w:tc>
        <w:tc>
          <w:tcPr>
            <w:tcW w:w="1815" w:type="dxa"/>
            <w:gridSpan w:val="2"/>
            <w:noWrap w:val="0"/>
            <w:vAlign w:val="top"/>
          </w:tcPr>
          <w:p>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编制数</w:t>
            </w:r>
          </w:p>
        </w:tc>
        <w:tc>
          <w:tcPr>
            <w:tcW w:w="2325" w:type="dxa"/>
            <w:gridSpan w:val="2"/>
            <w:noWrap w:val="0"/>
            <w:vAlign w:val="top"/>
          </w:tcPr>
          <w:p>
            <w:pPr>
              <w:spacing w:before="8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2022年实际在职人数</w:t>
            </w:r>
          </w:p>
        </w:tc>
        <w:tc>
          <w:tcPr>
            <w:tcW w:w="1679" w:type="dxa"/>
            <w:gridSpan w:val="2"/>
            <w:noWrap w:val="0"/>
            <w:vAlign w:val="top"/>
          </w:tcPr>
          <w:p>
            <w:pPr>
              <w:spacing w:before="103" w:line="219" w:lineRule="auto"/>
              <w:ind w:left="708"/>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控制率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815" w:type="dxa"/>
            <w:gridSpan w:val="2"/>
            <w:noWrap w:val="0"/>
            <w:vAlign w:val="top"/>
          </w:tcPr>
          <w:p>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26</w:t>
            </w:r>
          </w:p>
        </w:tc>
        <w:tc>
          <w:tcPr>
            <w:tcW w:w="2325" w:type="dxa"/>
            <w:gridSpan w:val="2"/>
            <w:noWrap w:val="0"/>
            <w:vAlign w:val="top"/>
          </w:tcPr>
          <w:p>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24</w:t>
            </w:r>
          </w:p>
        </w:tc>
        <w:tc>
          <w:tcPr>
            <w:tcW w:w="1679" w:type="dxa"/>
            <w:gridSpan w:val="2"/>
            <w:noWrap w:val="0"/>
            <w:vAlign w:val="top"/>
          </w:tcPr>
          <w:p>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26.92%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pPr>
              <w:spacing w:before="140" w:line="202" w:lineRule="auto"/>
              <w:ind w:left="6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4"/>
                <w:sz w:val="24"/>
                <w:szCs w:val="24"/>
                <w14:textFill>
                  <w14:solidFill>
                    <w14:schemeClr w14:val="tx1"/>
                  </w14:solidFill>
                </w14:textFill>
              </w:rPr>
              <w:t>经费控制情况(万元)</w:t>
            </w:r>
          </w:p>
        </w:tc>
        <w:tc>
          <w:tcPr>
            <w:tcW w:w="1815" w:type="dxa"/>
            <w:gridSpan w:val="2"/>
            <w:noWrap w:val="0"/>
            <w:vAlign w:val="top"/>
          </w:tcPr>
          <w:p>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2021年决算数</w:t>
            </w:r>
          </w:p>
        </w:tc>
        <w:tc>
          <w:tcPr>
            <w:tcW w:w="2325" w:type="dxa"/>
            <w:gridSpan w:val="2"/>
            <w:noWrap w:val="0"/>
            <w:vAlign w:val="top"/>
          </w:tcPr>
          <w:p>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2022年预算数</w:t>
            </w:r>
          </w:p>
        </w:tc>
        <w:tc>
          <w:tcPr>
            <w:tcW w:w="1679" w:type="dxa"/>
            <w:gridSpan w:val="2"/>
            <w:noWrap w:val="0"/>
            <w:vAlign w:val="top"/>
          </w:tcPr>
          <w:p>
            <w:pPr>
              <w:spacing w:before="76" w:line="219" w:lineRule="auto"/>
              <w:jc w:val="center"/>
              <w:rPr>
                <w:rFonts w:hint="eastAsia" w:asciiTheme="majorEastAsia" w:hAnsiTheme="majorEastAsia" w:eastAsiaTheme="majorEastAsia" w:cstheme="majorEastAsia"/>
                <w:b w:val="0"/>
                <w:bCs w:val="0"/>
                <w:color w:val="000000" w:themeColor="text1"/>
                <w:sz w:val="24"/>
                <w:szCs w:val="24"/>
                <w14:textFill>
                  <w14:solidFill>
                    <w14:schemeClr w14:val="tx1"/>
                  </w14:solidFill>
                </w14:textFill>
              </w:rPr>
            </w:pPr>
            <w:r>
              <w:rPr>
                <w:rFonts w:hint="eastAsia" w:asciiTheme="majorEastAsia" w:hAnsiTheme="majorEastAsia" w:eastAsiaTheme="majorEastAsia" w:cstheme="majorEastAsia"/>
                <w:b w:val="0"/>
                <w:bCs w:val="0"/>
                <w:color w:val="000000" w:themeColor="text1"/>
                <w:spacing w:val="-4"/>
                <w:sz w:val="24"/>
                <w:szCs w:val="24"/>
                <w14:textFill>
                  <w14:solidFill>
                    <w14:schemeClr w14:val="tx1"/>
                  </w14:solidFill>
                </w14:textFill>
              </w:rPr>
              <w:t>2022年决算数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pPr>
              <w:spacing w:before="141" w:line="202" w:lineRule="auto"/>
              <w:ind w:left="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三公经费</w:t>
            </w:r>
          </w:p>
        </w:tc>
        <w:tc>
          <w:tcPr>
            <w:tcW w:w="1815" w:type="dxa"/>
            <w:gridSpan w:val="2"/>
            <w:noWrap w:val="0"/>
            <w:vAlign w:val="top"/>
          </w:tcPr>
          <w:p>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2325" w:type="dxa"/>
            <w:gridSpan w:val="2"/>
            <w:noWrap w:val="0"/>
            <w:vAlign w:val="top"/>
          </w:tcPr>
          <w:p>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c>
          <w:tcPr>
            <w:tcW w:w="1679" w:type="dxa"/>
            <w:gridSpan w:val="2"/>
            <w:noWrap w:val="0"/>
            <w:vAlign w:val="top"/>
          </w:tcPr>
          <w:p>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pPr>
              <w:spacing w:before="149" w:line="193" w:lineRule="auto"/>
              <w:ind w:left="4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1、公务用车购置和维护经费</w:t>
            </w:r>
          </w:p>
        </w:tc>
        <w:tc>
          <w:tcPr>
            <w:tcW w:w="1815"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1679"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pPr>
              <w:spacing w:before="81" w:line="219" w:lineRule="auto"/>
              <w:ind w:left="8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其中：公车购置</w:t>
            </w:r>
          </w:p>
        </w:tc>
        <w:tc>
          <w:tcPr>
            <w:tcW w:w="1815" w:type="dxa"/>
            <w:gridSpan w:val="2"/>
            <w:noWrap w:val="0"/>
            <w:vAlign w:val="top"/>
          </w:tcPr>
          <w:p>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1679" w:type="dxa"/>
            <w:gridSpan w:val="2"/>
            <w:noWrap w:val="0"/>
            <w:vAlign w:val="top"/>
          </w:tcPr>
          <w:p>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850" w:type="dxa"/>
            <w:noWrap w:val="0"/>
            <w:vAlign w:val="top"/>
          </w:tcPr>
          <w:p>
            <w:pPr>
              <w:spacing w:before="91" w:line="219" w:lineRule="auto"/>
              <w:ind w:left="142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公车运行维护</w:t>
            </w:r>
          </w:p>
        </w:tc>
        <w:tc>
          <w:tcPr>
            <w:tcW w:w="1815" w:type="dxa"/>
            <w:gridSpan w:val="2"/>
            <w:noWrap w:val="0"/>
            <w:vAlign w:val="top"/>
          </w:tcPr>
          <w:p>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1679" w:type="dxa"/>
            <w:gridSpan w:val="2"/>
            <w:noWrap w:val="0"/>
            <w:vAlign w:val="top"/>
          </w:tcPr>
          <w:p>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pPr>
              <w:spacing w:before="81" w:line="22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2、出国经费</w:t>
            </w:r>
          </w:p>
        </w:tc>
        <w:tc>
          <w:tcPr>
            <w:tcW w:w="1815" w:type="dxa"/>
            <w:gridSpan w:val="2"/>
            <w:noWrap w:val="0"/>
            <w:vAlign w:val="top"/>
          </w:tcPr>
          <w:p>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1679" w:type="dxa"/>
            <w:gridSpan w:val="2"/>
            <w:noWrap w:val="0"/>
            <w:vAlign w:val="top"/>
          </w:tcPr>
          <w:p>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pPr>
              <w:spacing w:before="82" w:line="21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3、公务接待</w:t>
            </w:r>
          </w:p>
        </w:tc>
        <w:tc>
          <w:tcPr>
            <w:tcW w:w="1815" w:type="dxa"/>
            <w:gridSpan w:val="2"/>
            <w:noWrap w:val="0"/>
            <w:vAlign w:val="top"/>
          </w:tcPr>
          <w:p>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1679" w:type="dxa"/>
            <w:gridSpan w:val="2"/>
            <w:noWrap w:val="0"/>
            <w:vAlign w:val="top"/>
          </w:tcPr>
          <w:p>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pPr>
              <w:spacing w:before="143" w:line="200" w:lineRule="auto"/>
              <w:ind w:left="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9"/>
                <w:sz w:val="24"/>
                <w:szCs w:val="24"/>
                <w14:textFill>
                  <w14:solidFill>
                    <w14:schemeClr w14:val="tx1"/>
                  </w14:solidFill>
                </w14:textFill>
              </w:rPr>
              <w:t>项目支出：</w:t>
            </w:r>
          </w:p>
        </w:tc>
        <w:tc>
          <w:tcPr>
            <w:tcW w:w="1815"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1679"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pPr>
              <w:spacing w:before="133" w:line="20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1、业务工作经费</w:t>
            </w:r>
          </w:p>
        </w:tc>
        <w:tc>
          <w:tcPr>
            <w:tcW w:w="1815"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1679"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pPr>
              <w:spacing w:before="85" w:line="220" w:lineRule="auto"/>
              <w:ind w:left="94"/>
              <w:jc w:val="left"/>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公用经费</w:t>
            </w:r>
          </w:p>
        </w:tc>
        <w:tc>
          <w:tcPr>
            <w:tcW w:w="1815"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10.80</w:t>
            </w:r>
          </w:p>
        </w:tc>
        <w:tc>
          <w:tcPr>
            <w:tcW w:w="1679"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245.18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pPr>
              <w:spacing w:before="85" w:line="21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其中：办公经费</w:t>
            </w:r>
          </w:p>
        </w:tc>
        <w:tc>
          <w:tcPr>
            <w:tcW w:w="1815"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5.00</w:t>
            </w:r>
          </w:p>
        </w:tc>
        <w:tc>
          <w:tcPr>
            <w:tcW w:w="1679"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2.71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pPr>
              <w:spacing w:before="135" w:line="198" w:lineRule="auto"/>
              <w:ind w:left="1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水费、电费、差旅费</w:t>
            </w:r>
          </w:p>
        </w:tc>
        <w:tc>
          <w:tcPr>
            <w:tcW w:w="1815"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0.80</w:t>
            </w:r>
          </w:p>
        </w:tc>
        <w:tc>
          <w:tcPr>
            <w:tcW w:w="1679"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5.32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pPr>
              <w:spacing w:before="144" w:line="198" w:lineRule="auto"/>
              <w:ind w:left="1124"/>
              <w:jc w:val="left"/>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会议费、培训费</w:t>
            </w:r>
          </w:p>
        </w:tc>
        <w:tc>
          <w:tcPr>
            <w:tcW w:w="1815"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1.00</w:t>
            </w:r>
          </w:p>
        </w:tc>
        <w:tc>
          <w:tcPr>
            <w:tcW w:w="1679"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pPr>
              <w:spacing w:before="145" w:line="189" w:lineRule="auto"/>
              <w:ind w:left="10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政府采购金额</w:t>
            </w:r>
          </w:p>
        </w:tc>
        <w:tc>
          <w:tcPr>
            <w:tcW w:w="1815"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c>
          <w:tcPr>
            <w:tcW w:w="2325"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9.35</w:t>
            </w:r>
          </w:p>
        </w:tc>
        <w:tc>
          <w:tcPr>
            <w:tcW w:w="1679" w:type="dxa"/>
            <w:gridSpan w:val="2"/>
            <w:noWrap w:val="0"/>
            <w:vAlign w:val="top"/>
          </w:tcPr>
          <w:p>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pPr>
              <w:spacing w:before="145" w:line="198" w:lineRule="auto"/>
              <w:ind w:left="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部门基本支出预算调整</w:t>
            </w:r>
          </w:p>
        </w:tc>
        <w:tc>
          <w:tcPr>
            <w:tcW w:w="1815"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2325"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679" w:type="dxa"/>
            <w:gridSpan w:val="2"/>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pPr>
              <w:spacing w:before="65" w:line="390" w:lineRule="exact"/>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position w:val="14"/>
                <w:sz w:val="24"/>
                <w:szCs w:val="24"/>
                <w14:textFill>
                  <w14:solidFill>
                    <w14:schemeClr w14:val="tx1"/>
                  </w14:solidFill>
                </w14:textFill>
              </w:rPr>
              <w:t>楼堂馆所控制情况</w:t>
            </w:r>
          </w:p>
          <w:p>
            <w:pPr>
              <w:spacing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(2022年完工项目)</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批复规模</w:t>
            </w:r>
          </w:p>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(m²)</w:t>
            </w:r>
          </w:p>
        </w:tc>
        <w:tc>
          <w:tcPr>
            <w:tcW w:w="99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实际规</w:t>
            </w:r>
          </w:p>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模(m²)</w:t>
            </w: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规模控制率</w:t>
            </w:r>
          </w:p>
        </w:tc>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预算投资</w:t>
            </w:r>
          </w:p>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w:t>
            </w:r>
          </w:p>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w:t>
            </w:r>
          </w:p>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6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投资概</w:t>
            </w:r>
          </w:p>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算控制</w:t>
            </w:r>
          </w:p>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825" w:type="dxa"/>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990" w:type="dxa"/>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40" w:type="dxa"/>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85" w:type="dxa"/>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10" w:type="dxa"/>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69" w:type="dxa"/>
            <w:noWrap w:val="0"/>
            <w:vAlign w:val="top"/>
          </w:tcPr>
          <w:p>
            <w:pPr>
              <w:rPr>
                <w:rFonts w:hint="eastAsia" w:asciiTheme="majorEastAsia" w:hAnsiTheme="majorEastAsia" w:eastAsiaTheme="majorEastAsia" w:cstheme="majorEastAsia"/>
                <w:color w:val="000000" w:themeColor="text1"/>
                <w:sz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厉行节约保障措施</w:t>
            </w:r>
          </w:p>
        </w:tc>
        <w:tc>
          <w:tcPr>
            <w:tcW w:w="5819"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ajorEastAsia" w:hAnsiTheme="majorEastAsia" w:eastAsiaTheme="majorEastAsia" w:cstheme="majorEastAsia"/>
                <w:color w:val="000000" w:themeColor="text1"/>
                <w:sz w:val="21"/>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说明：“项目支出”需要填报基本支出以外的所有项目支出情况，“公用经费”填报基本支出中的一般商品和服务支出。</w:t>
      </w:r>
    </w:p>
    <w:p>
      <w:pPr>
        <w:keepNext w:val="0"/>
        <w:keepLines w:val="0"/>
        <w:pageBreakBefore w:val="0"/>
        <w:widowControl w:val="0"/>
        <w:kinsoku/>
        <w:wordWrap/>
        <w:overflowPunct/>
        <w:topLinePunct w:val="0"/>
        <w:autoSpaceDE/>
        <w:autoSpaceDN/>
        <w:bidi w:val="0"/>
        <w:adjustRightInd/>
        <w:snapToGrid/>
        <w:jc w:val="left"/>
        <w:textAlignment w:val="auto"/>
        <w:rPr>
          <w:rFonts w:hint="default"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填表人：孙叶     联系电话：18390953073  单位负责人签字：</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填报日期：</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2023-06-04</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eastAsia="zh-CN"/>
          <w14:textFill>
            <w14:solidFill>
              <w14:schemeClr w14:val="tx1"/>
            </w14:solidFill>
          </w14:textFill>
        </w:rPr>
        <w:sectPr>
          <w:footerReference r:id="rId3" w:type="default"/>
          <w:pgSz w:w="11906" w:h="16838"/>
          <w:pgMar w:top="1134" w:right="1417" w:bottom="1134" w:left="1134" w:header="851" w:footer="992" w:gutter="0"/>
          <w:pgNumType w:fmt="decimal"/>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2</w:t>
      </w: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2022年度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整体支出绩效自评表</w:t>
      </w:r>
    </w:p>
    <w:p>
      <w:pPr>
        <w:spacing w:line="168" w:lineRule="exact"/>
        <w:rPr>
          <w:color w:val="000000" w:themeColor="text1"/>
          <w14:textFill>
            <w14:solidFill>
              <w14:schemeClr w14:val="tx1"/>
            </w14:solidFill>
          </w14:textFill>
        </w:rPr>
      </w:pPr>
    </w:p>
    <w:tbl>
      <w:tblPr>
        <w:tblStyle w:val="13"/>
        <w:tblW w:w="983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1079"/>
        <w:gridCol w:w="1029"/>
        <w:gridCol w:w="1269"/>
        <w:gridCol w:w="1319"/>
        <w:gridCol w:w="1259"/>
        <w:gridCol w:w="719"/>
        <w:gridCol w:w="802"/>
        <w:gridCol w:w="12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84" w:type="dxa"/>
            <w:noWrap w:val="0"/>
            <w:vAlign w:val="top"/>
          </w:tcPr>
          <w:p>
            <w:pPr>
              <w:keepNext w:val="0"/>
              <w:keepLines w:val="0"/>
              <w:pageBreakBefore w:val="0"/>
              <w:widowControl w:val="0"/>
              <w:kinsoku/>
              <w:wordWrap/>
              <w:overflowPunct/>
              <w:topLinePunct w:val="0"/>
              <w:autoSpaceDE/>
              <w:autoSpaceDN/>
              <w:bidi w:val="0"/>
              <w:adjustRightInd/>
              <w:snapToGrid/>
              <w:spacing w:line="198"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预算</w:t>
            </w:r>
            <w:r>
              <w:rPr>
                <w:rFonts w:hint="eastAsia" w:ascii="宋体" w:hAnsi="宋体" w:eastAsia="宋体" w:cs="宋体"/>
                <w:color w:val="000000" w:themeColor="text1"/>
                <w:spacing w:val="2"/>
                <w:sz w:val="21"/>
                <w:szCs w:val="21"/>
                <w:lang w:eastAsia="zh-CN"/>
                <w14:textFill>
                  <w14:solidFill>
                    <w14:schemeClr w14:val="tx1"/>
                  </w14:solidFill>
                </w14:textFill>
              </w:rPr>
              <w:t>单位</w:t>
            </w:r>
            <w:r>
              <w:rPr>
                <w:rFonts w:hint="eastAsia" w:ascii="宋体" w:hAnsi="宋体" w:eastAsia="宋体" w:cs="宋体"/>
                <w:color w:val="000000" w:themeColor="text1"/>
                <w:spacing w:val="2"/>
                <w:sz w:val="21"/>
                <w:szCs w:val="21"/>
                <w:lang w:val="en-US" w:eastAsia="zh-CN"/>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名称</w:t>
            </w:r>
          </w:p>
        </w:tc>
        <w:tc>
          <w:tcPr>
            <w:tcW w:w="8751" w:type="dxa"/>
            <w:gridSpan w:val="8"/>
            <w:noWrap w:val="0"/>
            <w:vAlign w:val="top"/>
          </w:tcPr>
          <w:p>
            <w:pPr>
              <w:jc w:val="center"/>
              <w:rPr>
                <w:rFonts w:ascii="Arial"/>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pacing w:val="-2"/>
                <w:sz w:val="20"/>
                <w:szCs w:val="20"/>
                <w14:textFill>
                  <w14:solidFill>
                    <w14:schemeClr w14:val="tx1"/>
                  </w14:solidFill>
                </w14:textFill>
              </w:rPr>
              <w:t>岳阳市岳阳楼区金鹗山街道社区卫生服务中心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418" w:lineRule="auto"/>
              <w:ind w:left="0" w:right="0" w:firstLine="0"/>
              <w:jc w:val="center"/>
              <w:textAlignment w:val="auto"/>
              <w:rPr>
                <w:rFonts w:ascii="Arial"/>
                <w:color w:val="000000" w:themeColor="text1"/>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position w:val="4"/>
                <w:sz w:val="21"/>
                <w:szCs w:val="21"/>
                <w14:textFill>
                  <w14:solidFill>
                    <w14:schemeClr w14:val="tx1"/>
                  </w14:solidFill>
                </w14:textFill>
              </w:rPr>
              <w:t>年度预</w:t>
            </w:r>
          </w:p>
          <w:p>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算申请</w:t>
            </w:r>
          </w:p>
          <w:p>
            <w:pPr>
              <w:keepNext w:val="0"/>
              <w:keepLines w:val="0"/>
              <w:pageBreakBefore w:val="0"/>
              <w:widowControl w:val="0"/>
              <w:kinsoku/>
              <w:wordWrap/>
              <w:overflowPunct/>
              <w:topLinePunct w:val="0"/>
              <w:autoSpaceDE/>
              <w:autoSpaceDN/>
              <w:bidi w:val="0"/>
              <w:adjustRightInd/>
              <w:snapToGrid/>
              <w:spacing w:line="220"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1"/>
                <w:sz w:val="21"/>
                <w:szCs w:val="21"/>
                <w14:textFill>
                  <w14:solidFill>
                    <w14:schemeClr w14:val="tx1"/>
                  </w14:solidFill>
                </w14:textFill>
              </w:rPr>
              <w:t>(万元)</w:t>
            </w:r>
          </w:p>
        </w:tc>
        <w:tc>
          <w:tcPr>
            <w:tcW w:w="210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ascii="Arial"/>
                <w:color w:val="000000" w:themeColor="text1"/>
                <w:spacing w:val="0"/>
                <w:sz w:val="20"/>
                <w14:textFill>
                  <w14:solidFill>
                    <w14:schemeClr w14:val="tx1"/>
                  </w14:solidFill>
                </w14:textFill>
              </w:rPr>
            </w:pP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年初预算数</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全年预算数</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全年执行数</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分值</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执行率</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210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93"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年度资金总额</w:t>
            </w: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pacing w:val="0"/>
                <w:sz w:val="20"/>
                <w:lang w:val="en-US" w:eastAsia="zh-CN"/>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87.08</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pacing w:val="0"/>
                <w:sz w:val="20"/>
                <w:lang w:val="en-US" w:eastAsia="zh-CN"/>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824.46</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pacing w:val="0"/>
                <w:sz w:val="20"/>
                <w:lang w:val="en-US" w:eastAsia="zh-CN"/>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824.46</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147" w:lineRule="exact"/>
              <w:ind w:left="0"/>
              <w:jc w:val="center"/>
              <w:textAlignment w:val="auto"/>
              <w:rPr>
                <w:rFonts w:ascii="宋体" w:hAnsi="宋体" w:eastAsia="宋体" w:cs="宋体"/>
                <w:color w:val="000000" w:themeColor="text1"/>
                <w:spacing w:val="0"/>
                <w:sz w:val="20"/>
                <w:szCs w:val="20"/>
                <w14:textFill>
                  <w14:solidFill>
                    <w14:schemeClr w14:val="tx1"/>
                  </w14:solidFill>
                </w14:textFill>
              </w:rPr>
            </w:pPr>
            <w:r>
              <w:rPr>
                <w:rFonts w:ascii="宋体" w:hAnsi="宋体" w:eastAsia="宋体" w:cs="宋体"/>
                <w:color w:val="000000" w:themeColor="text1"/>
                <w:spacing w:val="0"/>
                <w:position w:val="-3"/>
                <w:sz w:val="20"/>
                <w:szCs w:val="20"/>
                <w14:textFill>
                  <w14:solidFill>
                    <w14:schemeClr w14:val="tx1"/>
                  </w14:solidFill>
                </w14:textFill>
              </w:rPr>
              <w:t>10</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pacing w:val="0"/>
                <w:sz w:val="20"/>
                <w:lang w:val="en-US" w:eastAsia="zh-CN"/>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100%</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pacing w:val="0"/>
                <w:sz w:val="20"/>
                <w:lang w:val="en-US" w:eastAsia="zh-CN"/>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按收入性质分：</w:t>
            </w:r>
          </w:p>
        </w:tc>
        <w:tc>
          <w:tcPr>
            <w:tcW w:w="405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按支出性质分：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 xml:space="preserve">其中： </w:t>
            </w: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ascii="宋体" w:hAnsi="宋体" w:eastAsia="宋体" w:cs="宋体"/>
                <w:color w:val="000000" w:themeColor="text1"/>
                <w:spacing w:val="0"/>
                <w:sz w:val="21"/>
                <w:szCs w:val="21"/>
                <w14:textFill>
                  <w14:solidFill>
                    <w14:schemeClr w14:val="tx1"/>
                  </w14:solidFill>
                </w14:textFill>
              </w:rPr>
              <w:t>一般公共预算：</w:t>
            </w:r>
            <w:r>
              <w:rPr>
                <w:rFonts w:hint="eastAsia" w:ascii="Arial"/>
                <w:color w:val="000000" w:themeColor="text1"/>
                <w:spacing w:val="0"/>
                <w:sz w:val="20"/>
                <w:lang w:val="en-US" w:eastAsia="zh-CN"/>
                <w14:textFill>
                  <w14:solidFill>
                    <w14:schemeClr w14:val="tx1"/>
                  </w14:solidFill>
                </w14:textFill>
              </w:rPr>
              <w:t>564.38</w:t>
            </w:r>
          </w:p>
        </w:tc>
        <w:tc>
          <w:tcPr>
            <w:tcW w:w="405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194" w:lineRule="auto"/>
              <w:ind w:left="0" w:firstLine="210" w:firstLineChars="1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其中：基本支出：</w:t>
            </w:r>
            <w:r>
              <w:rPr>
                <w:rFonts w:hint="eastAsia" w:ascii="Arial"/>
                <w:color w:val="000000" w:themeColor="text1"/>
                <w:spacing w:val="0"/>
                <w:sz w:val="20"/>
                <w:lang w:val="en-US" w:eastAsia="zh-CN"/>
                <w14:textFill>
                  <w14:solidFill>
                    <w14:schemeClr w14:val="tx1"/>
                  </w14:solidFill>
                </w14:textFill>
              </w:rPr>
              <w:t>824.46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84"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02" w:lineRule="auto"/>
              <w:ind w:left="0" w:firstLine="1050" w:firstLineChars="500"/>
              <w:jc w:val="left"/>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政府性基金拨款：</w:t>
            </w:r>
          </w:p>
        </w:tc>
        <w:tc>
          <w:tcPr>
            <w:tcW w:w="405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01" w:lineRule="auto"/>
              <w:ind w:left="0" w:firstLine="840" w:firstLineChars="4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项目支出：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纳入专户管理的非税收入拨款：</w:t>
            </w:r>
          </w:p>
        </w:tc>
        <w:tc>
          <w:tcPr>
            <w:tcW w:w="405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其他资金：</w:t>
            </w:r>
            <w:r>
              <w:rPr>
                <w:rFonts w:hint="eastAsia" w:ascii="宋体" w:hAnsi="宋体" w:eastAsia="宋体" w:cs="宋体"/>
                <w:color w:val="000000" w:themeColor="text1"/>
                <w:spacing w:val="0"/>
                <w:sz w:val="21"/>
                <w:szCs w:val="21"/>
                <w:lang w:val="en-US" w:eastAsia="zh-CN"/>
                <w14:textFill>
                  <w14:solidFill>
                    <w14:schemeClr w14:val="tx1"/>
                  </w14:solidFill>
                </w14:textFill>
              </w:rPr>
              <w:t>260.08</w:t>
            </w:r>
          </w:p>
        </w:tc>
        <w:tc>
          <w:tcPr>
            <w:tcW w:w="405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7"/>
                <w:sz w:val="21"/>
                <w:szCs w:val="21"/>
                <w14:textFill>
                  <w14:solidFill>
                    <w14:schemeClr w14:val="tx1"/>
                  </w14:solidFill>
                </w14:textFill>
              </w:rPr>
              <w:t>年度总体</w:t>
            </w:r>
            <w:r>
              <w:rPr>
                <w:rFonts w:ascii="宋体" w:hAnsi="宋体" w:eastAsia="宋体" w:cs="宋体"/>
                <w:color w:val="000000" w:themeColor="text1"/>
                <w:spacing w:val="1"/>
                <w:sz w:val="21"/>
                <w:szCs w:val="21"/>
                <w14:textFill>
                  <w14:solidFill>
                    <w14:schemeClr w14:val="tx1"/>
                  </w14:solidFill>
                </w14:textFill>
              </w:rPr>
              <w:t xml:space="preserve"> </w:t>
            </w:r>
            <w:r>
              <w:rPr>
                <w:rFonts w:ascii="宋体" w:hAnsi="宋体" w:eastAsia="宋体" w:cs="宋体"/>
                <w:color w:val="000000" w:themeColor="text1"/>
                <w:spacing w:val="-19"/>
                <w:sz w:val="21"/>
                <w:szCs w:val="21"/>
                <w14:textFill>
                  <w14:solidFill>
                    <w14:schemeClr w14:val="tx1"/>
                  </w14:solidFill>
                </w14:textFill>
              </w:rPr>
              <w:t>目</w:t>
            </w:r>
            <w:r>
              <w:rPr>
                <w:rFonts w:ascii="宋体" w:hAnsi="宋体" w:eastAsia="宋体" w:cs="宋体"/>
                <w:color w:val="000000" w:themeColor="text1"/>
                <w:spacing w:val="-35"/>
                <w:sz w:val="21"/>
                <w:szCs w:val="21"/>
                <w14:textFill>
                  <w14:solidFill>
                    <w14:schemeClr w14:val="tx1"/>
                  </w14:solidFill>
                </w14:textFill>
              </w:rPr>
              <w:t xml:space="preserve"> </w:t>
            </w:r>
            <w:r>
              <w:rPr>
                <w:rFonts w:ascii="宋体" w:hAnsi="宋体" w:eastAsia="宋体" w:cs="宋体"/>
                <w:color w:val="000000" w:themeColor="text1"/>
                <w:spacing w:val="-19"/>
                <w:sz w:val="21"/>
                <w:szCs w:val="21"/>
                <w14:textFill>
                  <w14:solidFill>
                    <w14:schemeClr w14:val="tx1"/>
                  </w14:solidFill>
                </w14:textFill>
              </w:rPr>
              <w:t>标</w:t>
            </w:r>
          </w:p>
        </w:tc>
        <w:tc>
          <w:tcPr>
            <w:tcW w:w="469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191" w:lineRule="auto"/>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预期目标</w:t>
            </w:r>
          </w:p>
        </w:tc>
        <w:tc>
          <w:tcPr>
            <w:tcW w:w="405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191"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0" w:hRule="atLeast"/>
        </w:trPr>
        <w:tc>
          <w:tcPr>
            <w:tcW w:w="1084"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default" w:ascii="Arial" w:eastAsiaTheme="minorEastAsia"/>
                <w:color w:val="000000" w:themeColor="text1"/>
                <w:spacing w:val="0"/>
                <w:sz w:val="20"/>
                <w:lang w:val="en-US" w:eastAsia="zh-CN"/>
                <w14:textFill>
                  <w14:solidFill>
                    <w14:schemeClr w14:val="tx1"/>
                  </w14:solidFill>
                </w14:textFill>
              </w:rPr>
            </w:pPr>
            <w:r>
              <w:rPr>
                <w:rFonts w:hint="eastAsia" w:ascii="Arial"/>
                <w:color w:val="000000" w:themeColor="text1"/>
                <w:spacing w:val="0"/>
                <w:sz w:val="18"/>
                <w:szCs w:val="18"/>
                <w:lang w:val="en-US" w:eastAsia="zh-CN"/>
                <w14:textFill>
                  <w14:solidFill>
                    <w14:schemeClr w14:val="tx1"/>
                  </w14:solidFill>
                </w14:textFill>
              </w:rPr>
              <w:t>1、我院计划接种新冠疫苗1.2万剂次，采集各类人群核酸标本48万人次；2、计划居民电子健康档案建档5.4万份，完成家庭医生签约1.1万份；3、2022年计划接诊门诊人数6000人，完成门诊收入180万元；</w:t>
            </w:r>
          </w:p>
        </w:tc>
        <w:tc>
          <w:tcPr>
            <w:tcW w:w="4055" w:type="dxa"/>
            <w:gridSpan w:val="4"/>
            <w:noWrap w:val="0"/>
            <w:vAlign w:val="center"/>
          </w:tcPr>
          <w:p>
            <w:pPr>
              <w:spacing w:line="240" w:lineRule="auto"/>
              <w:jc w:val="both"/>
              <w:rPr>
                <w:rFonts w:ascii="Arial"/>
                <w:color w:val="000000" w:themeColor="text1"/>
                <w:spacing w:val="0"/>
                <w:sz w:val="20"/>
                <w14:textFill>
                  <w14:solidFill>
                    <w14:schemeClr w14:val="tx1"/>
                  </w14:solidFill>
                </w14:textFill>
              </w:rPr>
            </w:pPr>
            <w:r>
              <w:rPr>
                <w:rFonts w:hint="eastAsia" w:ascii="宋体" w:hAnsi="宋体" w:eastAsia="宋体" w:cs="宋体"/>
                <w:kern w:val="2"/>
                <w:sz w:val="18"/>
                <w:szCs w:val="18"/>
                <w:lang w:val="en-US" w:eastAsia="zh-CN" w:bidi="ar-SA"/>
              </w:rPr>
              <w:t>1、按上级要求贯彻落实常态化疫情防控工作有关决策部署与工作要求，成立工作专班，协助区、街道新冠病毒感染疫情防控指挥部</w:t>
            </w:r>
            <w:r>
              <w:rPr>
                <w:rFonts w:hint="eastAsia" w:ascii="宋体" w:hAnsi="宋体" w:eastAsia="宋体" w:cs="宋体"/>
                <w:sz w:val="18"/>
                <w:szCs w:val="18"/>
                <w:highlight w:val="none"/>
                <w:lang w:val="en-US" w:eastAsia="zh-CN"/>
              </w:rPr>
              <w:t>严格落实好疫情防控各项工作。全年接种新冠疫苗12869剂次，采集各类人群核酸标本共计482900人次，配合街道办事处完成全民核酸数据报送共计521957人次，外环境采样共计1998份。2、中心成立工作领导小组，与办事处及辖区内各居委会年初召开公卫工作部署会，明确责任，落实到人；2022年中心核定人口数55698人，居民健康档案累计建档54604份，建档率98.04%；全年完成老年人体检4025人；新增高血压健康管理患者885人，累计在管3794人，新增糖尿病健康管理患者411人，累计在管1491人；完成电子家庭医生签约11303份。3、</w:t>
            </w:r>
            <w:r>
              <w:rPr>
                <w:rFonts w:hint="eastAsia" w:ascii="宋体" w:hAnsi="宋体" w:eastAsia="宋体" w:cs="宋体"/>
                <w:sz w:val="18"/>
                <w:szCs w:val="18"/>
              </w:rPr>
              <w:t>2022年，</w:t>
            </w:r>
            <w:r>
              <w:rPr>
                <w:rFonts w:hint="eastAsia" w:ascii="宋体" w:hAnsi="宋体" w:eastAsia="宋体" w:cs="宋体"/>
                <w:sz w:val="18"/>
                <w:szCs w:val="18"/>
                <w:lang w:val="en-US" w:eastAsia="zh-CN"/>
              </w:rPr>
              <w:t>中心</w:t>
            </w:r>
            <w:r>
              <w:rPr>
                <w:rFonts w:hint="eastAsia" w:ascii="宋体" w:hAnsi="宋体" w:eastAsia="宋体" w:cs="宋体"/>
                <w:sz w:val="18"/>
                <w:szCs w:val="18"/>
              </w:rPr>
              <w:t>基本医疗科牢固树立以人为本的服务理念，并</w:t>
            </w:r>
            <w:r>
              <w:rPr>
                <w:rFonts w:hint="eastAsia" w:ascii="宋体" w:hAnsi="宋体" w:eastAsia="宋体" w:cs="宋体"/>
                <w:sz w:val="18"/>
                <w:szCs w:val="18"/>
                <w:lang w:val="en-US" w:eastAsia="zh-CN"/>
              </w:rPr>
              <w:t>将该</w:t>
            </w:r>
            <w:r>
              <w:rPr>
                <w:rFonts w:hint="eastAsia" w:ascii="宋体" w:hAnsi="宋体" w:eastAsia="宋体" w:cs="宋体"/>
                <w:sz w:val="18"/>
                <w:szCs w:val="18"/>
                <w:highlight w:val="none"/>
                <w:lang w:val="en-US" w:eastAsia="zh-CN"/>
              </w:rPr>
              <w:t>理念</w:t>
            </w:r>
            <w:r>
              <w:rPr>
                <w:rFonts w:hint="eastAsia" w:ascii="宋体" w:hAnsi="宋体" w:eastAsia="宋体" w:cs="宋体"/>
                <w:sz w:val="18"/>
                <w:szCs w:val="18"/>
              </w:rPr>
              <w:t>引入医疗服务之中。全年门诊量9367人，门诊收入369万元，其中医疗收入123万元，预防接种收入246万元</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与去年相比，同比增长159％。</w:t>
            </w:r>
            <w:r>
              <w:rPr>
                <w:rFonts w:hint="eastAsia" w:ascii="宋体" w:hAnsi="宋体" w:eastAsia="宋体" w:cs="宋体"/>
                <w:sz w:val="18"/>
                <w:szCs w:val="18"/>
              </w:rPr>
              <w:t>中医医疗业务开始起步，中草药</w:t>
            </w:r>
            <w:r>
              <w:rPr>
                <w:rFonts w:hint="eastAsia" w:ascii="宋体" w:hAnsi="宋体" w:eastAsia="宋体" w:cs="宋体"/>
                <w:sz w:val="18"/>
                <w:szCs w:val="18"/>
                <w:lang w:eastAsia="zh-CN"/>
              </w:rPr>
              <w:t>、</w:t>
            </w:r>
            <w:r>
              <w:rPr>
                <w:rFonts w:hint="eastAsia" w:ascii="宋体" w:hAnsi="宋体" w:eastAsia="宋体" w:cs="宋体"/>
                <w:sz w:val="18"/>
                <w:szCs w:val="18"/>
              </w:rPr>
              <w:t>三伏贴</w:t>
            </w:r>
            <w:r>
              <w:rPr>
                <w:rFonts w:hint="eastAsia" w:ascii="宋体" w:hAnsi="宋体" w:eastAsia="宋体" w:cs="宋体"/>
                <w:sz w:val="18"/>
                <w:szCs w:val="18"/>
                <w:lang w:eastAsia="zh-CN"/>
              </w:rPr>
              <w:t>、</w:t>
            </w:r>
            <w:r>
              <w:rPr>
                <w:rFonts w:hint="eastAsia" w:ascii="宋体" w:hAnsi="宋体" w:eastAsia="宋体" w:cs="宋体"/>
                <w:sz w:val="18"/>
                <w:szCs w:val="18"/>
              </w:rPr>
              <w:t>理疗业务初具规模，理疗</w:t>
            </w:r>
            <w:r>
              <w:rPr>
                <w:rFonts w:hint="eastAsia" w:ascii="宋体" w:hAnsi="宋体" w:eastAsia="宋体" w:cs="宋体"/>
                <w:sz w:val="18"/>
                <w:szCs w:val="18"/>
                <w:lang w:eastAsia="zh-CN"/>
              </w:rPr>
              <w:t>、</w:t>
            </w:r>
            <w:r>
              <w:rPr>
                <w:rFonts w:hint="eastAsia" w:ascii="宋体" w:hAnsi="宋体" w:eastAsia="宋体" w:cs="宋体"/>
                <w:sz w:val="18"/>
                <w:szCs w:val="18"/>
              </w:rPr>
              <w:t>中草药</w:t>
            </w:r>
            <w:r>
              <w:rPr>
                <w:rFonts w:hint="eastAsia" w:ascii="宋体" w:hAnsi="宋体" w:eastAsia="宋体" w:cs="宋体"/>
                <w:sz w:val="18"/>
                <w:szCs w:val="18"/>
                <w:lang w:eastAsia="zh-CN"/>
              </w:rPr>
              <w:t>、</w:t>
            </w:r>
            <w:r>
              <w:rPr>
                <w:rFonts w:hint="eastAsia" w:ascii="宋体" w:hAnsi="宋体" w:eastAsia="宋体" w:cs="宋体"/>
                <w:sz w:val="18"/>
                <w:szCs w:val="18"/>
              </w:rPr>
              <w:t>中成药</w:t>
            </w:r>
            <w:r>
              <w:rPr>
                <w:rFonts w:hint="eastAsia" w:ascii="宋体" w:hAnsi="宋体" w:eastAsia="宋体" w:cs="宋体"/>
                <w:sz w:val="18"/>
                <w:szCs w:val="18"/>
                <w:lang w:val="en-US" w:eastAsia="zh-CN"/>
              </w:rPr>
              <w:t>收入均</w:t>
            </w:r>
            <w:r>
              <w:rPr>
                <w:rFonts w:hint="eastAsia" w:ascii="宋体" w:hAnsi="宋体" w:eastAsia="宋体" w:cs="宋体"/>
                <w:sz w:val="18"/>
                <w:szCs w:val="18"/>
              </w:rPr>
              <w:t>超额完成全年目标。狠抓院感和</w:t>
            </w:r>
            <w:r>
              <w:rPr>
                <w:rFonts w:hint="eastAsia" w:ascii="宋体" w:hAnsi="宋体" w:eastAsia="宋体" w:cs="宋体"/>
                <w:sz w:val="18"/>
                <w:szCs w:val="18"/>
                <w:lang w:val="en-US" w:eastAsia="zh-CN"/>
              </w:rPr>
              <w:t>医疗</w:t>
            </w:r>
            <w:r>
              <w:rPr>
                <w:rFonts w:hint="eastAsia" w:ascii="宋体" w:hAnsi="宋体" w:eastAsia="宋体" w:cs="宋体"/>
                <w:sz w:val="18"/>
                <w:szCs w:val="18"/>
              </w:rPr>
              <w:t>安全生产工作，未出现一例院感</w:t>
            </w:r>
            <w:r>
              <w:rPr>
                <w:rFonts w:hint="eastAsia" w:ascii="宋体" w:hAnsi="宋体" w:eastAsia="宋体" w:cs="宋体"/>
                <w:sz w:val="18"/>
                <w:szCs w:val="18"/>
                <w:lang w:eastAsia="zh-CN"/>
              </w:rPr>
              <w:t>、</w:t>
            </w:r>
            <w:r>
              <w:rPr>
                <w:rFonts w:hint="eastAsia" w:ascii="宋体" w:hAnsi="宋体" w:eastAsia="宋体" w:cs="宋体"/>
                <w:sz w:val="18"/>
                <w:szCs w:val="18"/>
              </w:rPr>
              <w:t>医疗差错及医疗责任事故。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84" w:type="dxa"/>
            <w:vMerge w:val="restart"/>
            <w:tcBorders>
              <w:bottom w:val="nil"/>
            </w:tcBorders>
            <w:noWrap w:val="0"/>
            <w:textDirection w:val="tbRlV"/>
            <w:vAlign w:val="top"/>
          </w:tcPr>
          <w:p>
            <w:pPr>
              <w:keepNext w:val="0"/>
              <w:keepLines w:val="0"/>
              <w:pageBreakBefore w:val="0"/>
              <w:widowControl w:val="0"/>
              <w:kinsoku/>
              <w:wordWrap/>
              <w:overflowPunct/>
              <w:topLinePunct w:val="0"/>
              <w:autoSpaceDE/>
              <w:autoSpaceDN/>
              <w:bidi w:val="0"/>
              <w:adjustRightInd/>
              <w:snapToGrid/>
              <w:spacing w:line="367" w:lineRule="auto"/>
              <w:ind w:left="0" w:right="0" w:firstLine="0"/>
              <w:jc w:val="center"/>
              <w:textAlignment w:val="auto"/>
              <w:rPr>
                <w:rFonts w:ascii="Arial"/>
                <w:color w:val="000000" w:themeColor="text1"/>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绩效指标</w:t>
            </w:r>
          </w:p>
        </w:tc>
        <w:tc>
          <w:tcPr>
            <w:tcW w:w="107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一级指标</w:t>
            </w:r>
          </w:p>
        </w:tc>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二级指标</w:t>
            </w: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三级指标</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年度指标值</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实际完成值</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分值</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得分</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11"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偏差原因分析</w:t>
            </w:r>
          </w:p>
          <w:p>
            <w:pPr>
              <w:keepNext w:val="0"/>
              <w:keepLines w:val="0"/>
              <w:pageBreakBefore w:val="0"/>
              <w:widowControl w:val="0"/>
              <w:kinsoku/>
              <w:wordWrap/>
              <w:overflowPunct/>
              <w:topLinePunct w:val="0"/>
              <w:autoSpaceDE/>
              <w:autoSpaceDN/>
              <w:bidi w:val="0"/>
              <w:adjustRightInd/>
              <w:snapToGrid/>
              <w:spacing w:line="190"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及改进措施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restart"/>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21"/>
                <w:lang w:val="en-US" w:eastAsia="zh-CN"/>
                <w14:textFill>
                  <w14:solidFill>
                    <w14:schemeClr w14:val="tx1"/>
                  </w14:solidFill>
                </w14:textFill>
              </w:rPr>
            </w:pPr>
            <w:r>
              <w:rPr>
                <w:rFonts w:hint="eastAsia" w:ascii="Arial"/>
                <w:color w:val="000000" w:themeColor="text1"/>
                <w:sz w:val="21"/>
                <w:lang w:val="en-US" w:eastAsia="zh-CN"/>
                <w14:textFill>
                  <w14:solidFill>
                    <w14:schemeClr w14:val="tx1"/>
                  </w14:solidFill>
                </w14:textFill>
              </w:rPr>
              <w:t>产出指标（50分）</w:t>
            </w:r>
          </w:p>
        </w:tc>
        <w:tc>
          <w:tcPr>
            <w:tcW w:w="1029" w:type="dxa"/>
            <w:vMerge w:val="restart"/>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21"/>
                <w:lang w:val="en-US" w:eastAsia="zh-CN"/>
                <w14:textFill>
                  <w14:solidFill>
                    <w14:schemeClr w14:val="tx1"/>
                  </w14:solidFill>
                </w14:textFill>
              </w:rPr>
            </w:pPr>
            <w:r>
              <w:rPr>
                <w:rFonts w:hint="eastAsia" w:ascii="Arial"/>
                <w:color w:val="000000" w:themeColor="text1"/>
                <w:sz w:val="21"/>
                <w:lang w:val="en-US" w:eastAsia="zh-CN"/>
                <w14:textFill>
                  <w14:solidFill>
                    <w14:schemeClr w14:val="tx1"/>
                  </w14:solidFill>
                </w14:textFill>
              </w:rPr>
              <w:t>数量指标</w:t>
            </w: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ajorEastAsia" w:hAnsiTheme="majorEastAsia" w:eastAsiaTheme="majorEastAsia" w:cstheme="majorEastAsia"/>
                <w:b w:val="0"/>
                <w:bCs w:val="0"/>
                <w:color w:val="000000" w:themeColor="text1"/>
                <w:sz w:val="18"/>
                <w:szCs w:val="18"/>
                <w:lang w:val="en-US"/>
                <w14:textFill>
                  <w14:solidFill>
                    <w14:schemeClr w14:val="tx1"/>
                  </w14:solidFill>
                </w14:textFill>
              </w:rPr>
            </w:pPr>
            <w:r>
              <w:rPr>
                <w:rFonts w:hint="eastAsia" w:ascii="宋体" w:hAnsi="宋体" w:eastAsia="宋体" w:cs="宋体"/>
                <w:b w:val="0"/>
                <w:bCs w:val="0"/>
                <w:kern w:val="2"/>
                <w:sz w:val="18"/>
                <w:szCs w:val="18"/>
                <w:lang w:val="en-US" w:eastAsia="zh-CN" w:bidi="ar-SA"/>
              </w:rPr>
              <w:t>采集各类人群核酸标本人数</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宋体" w:hAnsi="宋体" w:eastAsia="宋体" w:cs="宋体"/>
                <w:b w:val="0"/>
                <w:bCs w:val="0"/>
                <w:color w:val="000000" w:themeColor="text1"/>
                <w:sz w:val="18"/>
                <w:szCs w:val="18"/>
                <w:lang w:val="en-US"/>
                <w14:textFill>
                  <w14:solidFill>
                    <w14:schemeClr w14:val="tx1"/>
                  </w14:solidFill>
                </w14:textFill>
              </w:rPr>
            </w:pPr>
            <w:r>
              <w:rPr>
                <w:rFonts w:hint="eastAsia" w:ascii="宋体" w:hAnsi="宋体" w:eastAsia="宋体" w:cs="宋体"/>
                <w:sz w:val="18"/>
                <w:szCs w:val="18"/>
                <w:lang w:val="en-US" w:eastAsia="zh-CN"/>
              </w:rPr>
              <w:t>48万人</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b w:val="0"/>
                <w:bCs w:val="0"/>
                <w:color w:val="000000" w:themeColor="text1"/>
                <w:sz w:val="18"/>
                <w:szCs w:val="18"/>
                <w:lang w:val="en-US"/>
                <w14:textFill>
                  <w14:solidFill>
                    <w14:schemeClr w14:val="tx1"/>
                  </w14:solidFill>
                </w14:textFill>
              </w:rPr>
            </w:pPr>
            <w:r>
              <w:rPr>
                <w:rFonts w:hint="eastAsia" w:ascii="宋体" w:hAnsi="宋体" w:eastAsia="宋体" w:cs="宋体"/>
                <w:sz w:val="18"/>
                <w:szCs w:val="18"/>
                <w:highlight w:val="none"/>
                <w:lang w:val="en-US" w:eastAsia="zh-CN"/>
              </w:rPr>
              <w:t>48.29万人</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ajorEastAsia" w:hAnsiTheme="majorEastAsia" w:eastAsiaTheme="majorEastAsia" w:cstheme="majorEastAsia"/>
                <w:b w:val="0"/>
                <w:bCs w:val="0"/>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ajorEastAsia" w:hAnsiTheme="majorEastAsia" w:eastAsiaTheme="majorEastAsia" w:cstheme="majorEastAsia"/>
                <w:b w:val="0"/>
                <w:bCs w:val="0"/>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color w:val="000000" w:themeColor="text1"/>
                <w:sz w:val="18"/>
                <w:szCs w:val="18"/>
                <w:lang w:val="en-US"/>
                <w14:textFill>
                  <w14:solidFill>
                    <w14:schemeClr w14:val="tx1"/>
                  </w14:solidFill>
                </w14:textFill>
              </w:rPr>
            </w:pPr>
            <w:r>
              <w:rPr>
                <w:rFonts w:hint="eastAsia" w:ascii="宋体" w:hAnsi="宋体" w:eastAsia="宋体" w:cs="宋体"/>
                <w:b w:val="0"/>
                <w:bCs w:val="0"/>
                <w:sz w:val="18"/>
                <w:szCs w:val="18"/>
                <w:lang w:val="en-US" w:eastAsia="zh-CN"/>
              </w:rPr>
              <w:t>居民健康档案份数</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宋体" w:hAnsi="宋体" w:eastAsia="宋体" w:cs="宋体"/>
                <w:kern w:val="0"/>
                <w:sz w:val="18"/>
                <w:szCs w:val="18"/>
                <w:lang w:val="en-US" w:eastAsia="zh-CN"/>
              </w:rPr>
              <w:t>5.4万份</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color w:val="000000" w:themeColor="text1"/>
                <w:sz w:val="18"/>
                <w:szCs w:val="18"/>
                <w:lang w:val="en-US"/>
                <w14:textFill>
                  <w14:solidFill>
                    <w14:schemeClr w14:val="tx1"/>
                  </w14:solidFill>
                </w14:textFill>
              </w:rPr>
            </w:pPr>
            <w:r>
              <w:rPr>
                <w:rFonts w:hint="eastAsia" w:ascii="宋体" w:hAnsi="宋体" w:eastAsia="宋体" w:cs="宋体"/>
                <w:sz w:val="18"/>
                <w:szCs w:val="18"/>
                <w:highlight w:val="none"/>
                <w:lang w:val="en-US" w:eastAsia="zh-CN"/>
              </w:rPr>
              <w:t>5.46万份</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Arial" w:eastAsiaTheme="minorEastAsia"/>
                <w:color w:val="000000" w:themeColor="text1"/>
                <w:sz w:val="18"/>
                <w:szCs w:val="18"/>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接种新冠疫苗剂次</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1.2万剂次</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12869剂次</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Arial"/>
                <w:color w:val="000000" w:themeColor="text1"/>
                <w:sz w:val="18"/>
                <w:szCs w:val="18"/>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家庭医生签约份数</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1.1万份</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11303份</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Arial"/>
                <w:color w:val="000000" w:themeColor="text1"/>
                <w:sz w:val="18"/>
                <w:szCs w:val="18"/>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门诊量人数</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6000人</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9367人</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Arial"/>
                <w:color w:val="000000" w:themeColor="text1"/>
                <w:sz w:val="18"/>
                <w:szCs w:val="18"/>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质量指标</w:t>
            </w: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Theme="minorEastAsia" w:hAnsiTheme="minorEastAsia" w:eastAsiaTheme="minorEastAsia" w:cstheme="minorEastAsia"/>
                <w:color w:val="000000" w:themeColor="text1"/>
                <w:sz w:val="18"/>
                <w:szCs w:val="18"/>
                <w:lang w:val="en-US" w:eastAsia="zh-CN"/>
                <w14:textFill>
                  <w14:solidFill>
                    <w14:schemeClr w14:val="tx1"/>
                  </w14:solidFill>
                </w14:textFill>
              </w:rPr>
            </w:pPr>
            <w:r>
              <w:rPr>
                <w:rFonts w:hint="eastAsia" w:ascii="宋体" w:hAnsi="宋体" w:eastAsia="宋体" w:cs="宋体"/>
                <w:sz w:val="18"/>
                <w:szCs w:val="18"/>
                <w:lang w:val="en-US" w:eastAsia="zh-CN"/>
              </w:rPr>
              <w:t>门诊收入增长率</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eastAsia="宋体" w:asciiTheme="minorEastAsia" w:hAnsiTheme="minorEastAsia" w:cstheme="minorEastAsia"/>
                <w:color w:val="000000" w:themeColor="text1"/>
                <w:sz w:val="18"/>
                <w:szCs w:val="18"/>
                <w:lang w:val="en-US" w:eastAsia="zh-CN"/>
                <w14:textFill>
                  <w14:solidFill>
                    <w14:schemeClr w14:val="tx1"/>
                  </w14:solidFill>
                </w14:textFill>
              </w:rPr>
            </w:pPr>
            <w:r>
              <w:rPr>
                <w:rFonts w:hint="eastAsia" w:ascii="宋体" w:hAnsi="宋体" w:eastAsia="宋体" w:cs="宋体"/>
                <w:sz w:val="18"/>
                <w:szCs w:val="18"/>
                <w:lang w:val="en-US" w:eastAsia="zh-CN"/>
              </w:rPr>
              <w:t>95%</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Theme="minorEastAsia" w:hAnsiTheme="minorEastAsia" w:eastAsiaTheme="minorEastAsia" w:cstheme="minorEastAsia"/>
                <w:color w:val="000000" w:themeColor="text1"/>
                <w:sz w:val="18"/>
                <w:szCs w:val="18"/>
                <w:lang w:val="en-US"/>
                <w14:textFill>
                  <w14:solidFill>
                    <w14:schemeClr w14:val="tx1"/>
                  </w14:solidFill>
                </w14:textFill>
              </w:rPr>
            </w:pPr>
            <w:r>
              <w:rPr>
                <w:rFonts w:hint="eastAsia" w:asciiTheme="minorEastAsia" w:hAnsiTheme="minorEastAsia" w:cstheme="minorEastAsia"/>
                <w:sz w:val="18"/>
                <w:szCs w:val="18"/>
                <w:lang w:val="en-US" w:eastAsia="zh-CN"/>
              </w:rPr>
              <w:t>157%</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Arial" w:eastAsiaTheme="minorEastAsia"/>
                <w:color w:val="000000" w:themeColor="text1"/>
                <w:sz w:val="18"/>
                <w:szCs w:val="18"/>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sz w:val="18"/>
                <w:szCs w:val="18"/>
                <w:lang w:val="en-US" w:eastAsia="zh-CN"/>
              </w:rPr>
              <w:t>院感发生率</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sz w:val="18"/>
                <w:szCs w:val="18"/>
                <w:lang w:val="en-US" w:eastAsia="zh-CN"/>
              </w:rPr>
              <w:t>0%</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0%</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Arial" w:eastAsiaTheme="minorEastAsia"/>
                <w:color w:val="000000" w:themeColor="text1"/>
                <w:sz w:val="18"/>
                <w:szCs w:val="18"/>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电子居民档案建档率</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大于等于95%</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98.04%</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jc w:val="center"/>
              <w:textAlignment w:val="auto"/>
              <w:rPr>
                <w:rFonts w:hint="eastAsia"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jc w:val="center"/>
              <w:textAlignment w:val="auto"/>
              <w:rPr>
                <w:rFonts w:hint="eastAsia"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jc w:val="center"/>
              <w:textAlignment w:val="auto"/>
              <w:rPr>
                <w:rFonts w:ascii="Arial"/>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时效指标</w:t>
            </w: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每月一次纪律督查</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按月完成</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按月完成</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ascii="Arial"/>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成本指标</w:t>
            </w: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总成本控制</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不超过预算投入</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824.46</w:t>
            </w:r>
            <w:r>
              <w:rPr>
                <w:rFonts w:hint="eastAsia" w:ascii="Arial"/>
                <w:color w:val="000000" w:themeColor="text1"/>
                <w:sz w:val="18"/>
                <w:szCs w:val="18"/>
                <w:lang w:val="en-US" w:eastAsia="zh-CN"/>
                <w14:textFill>
                  <w14:solidFill>
                    <w14:schemeClr w14:val="tx1"/>
                  </w14:solidFill>
                </w14:textFill>
              </w:rPr>
              <w:t>万元</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5</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2</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2022年度才纳入财政预算，预算经费做得不够准确，后续会注意，节约成本，控制各方面经费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ascii="Arial"/>
                <w:color w:val="000000" w:themeColor="text1"/>
                <w:sz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position w:val="21"/>
                <w:sz w:val="21"/>
                <w:szCs w:val="21"/>
                <w14:textFill>
                  <w14:solidFill>
                    <w14:schemeClr w14:val="tx1"/>
                  </w14:solidFill>
                </w14:textFill>
              </w:rPr>
              <w:t>效益指标</w:t>
            </w:r>
          </w:p>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9"/>
                <w:sz w:val="21"/>
                <w:szCs w:val="21"/>
                <w14:textFill>
                  <w14:solidFill>
                    <w14:schemeClr w14:val="tx1"/>
                  </w14:solidFill>
                </w14:textFill>
              </w:rPr>
              <w:t>(</w:t>
            </w:r>
            <w:r>
              <w:rPr>
                <w:rFonts w:hint="eastAsia" w:ascii="宋体" w:hAnsi="宋体" w:eastAsia="宋体" w:cs="宋体"/>
                <w:color w:val="000000" w:themeColor="text1"/>
                <w:spacing w:val="9"/>
                <w:sz w:val="21"/>
                <w:szCs w:val="21"/>
                <w:lang w:val="en-US" w:eastAsia="zh-CN"/>
                <w14:textFill>
                  <w14:solidFill>
                    <w14:schemeClr w14:val="tx1"/>
                  </w14:solidFill>
                </w14:textFill>
              </w:rPr>
              <w:t>3</w:t>
            </w:r>
            <w:r>
              <w:rPr>
                <w:rFonts w:ascii="宋体" w:hAnsi="宋体" w:eastAsia="宋体" w:cs="宋体"/>
                <w:color w:val="000000" w:themeColor="text1"/>
                <w:spacing w:val="9"/>
                <w:sz w:val="21"/>
                <w:szCs w:val="21"/>
                <w14:textFill>
                  <w14:solidFill>
                    <w14:schemeClr w14:val="tx1"/>
                  </w14:solidFill>
                </w14:textFill>
              </w:rPr>
              <w:t>0分)</w:t>
            </w:r>
          </w:p>
        </w:tc>
        <w:tc>
          <w:tcPr>
            <w:tcW w:w="1029"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经济效</w:t>
            </w:r>
          </w:p>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医疗收入</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60万元</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123万元</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6</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6</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Arial" w:eastAsiaTheme="minorEastAsia"/>
                <w:color w:val="000000" w:themeColor="text1"/>
                <w:sz w:val="18"/>
                <w:szCs w:val="18"/>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预防接种收入</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120万元</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246万元</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6</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6</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ascii="Arial"/>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社会效</w:t>
            </w:r>
          </w:p>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ascii="Arial"/>
                <w:color w:val="000000" w:themeColor="text1"/>
                <w:sz w:val="18"/>
                <w:szCs w:val="18"/>
                <w14:textFill>
                  <w14:solidFill>
                    <w14:schemeClr w14:val="tx1"/>
                  </w14:solidFill>
                </w14:textFill>
              </w:rPr>
            </w:pPr>
            <w:r>
              <w:rPr>
                <w:rFonts w:hint="eastAsia" w:ascii="宋体" w:hAnsi="宋体" w:eastAsia="宋体" w:cs="宋体"/>
                <w:b w:val="0"/>
                <w:bCs w:val="0"/>
                <w:sz w:val="18"/>
                <w:szCs w:val="18"/>
                <w:lang w:val="en-US" w:eastAsia="zh-CN"/>
              </w:rPr>
              <w:t>重症精神病患者发病率</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小于等于10%</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default" w:ascii="Arial"/>
                <w:color w:val="000000" w:themeColor="text1"/>
                <w:sz w:val="18"/>
                <w:szCs w:val="18"/>
                <w:lang w:val="en-US"/>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6%</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6</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6</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ascii="Arial"/>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37"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生态效</w:t>
            </w:r>
          </w:p>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ascii="Arial"/>
                <w:color w:val="000000" w:themeColor="text1"/>
                <w:sz w:val="18"/>
                <w:szCs w:val="18"/>
                <w14:textFill>
                  <w14:solidFill>
                    <w14:schemeClr w14:val="tx1"/>
                  </w14:solidFill>
                </w14:textFill>
              </w:rPr>
            </w:pPr>
            <w:r>
              <w:rPr>
                <w:rFonts w:hint="eastAsia" w:ascii="Arial"/>
                <w:color w:val="000000" w:themeColor="text1"/>
                <w:sz w:val="18"/>
                <w:szCs w:val="18"/>
                <w14:textFill>
                  <w14:solidFill>
                    <w14:schemeClr w14:val="tx1"/>
                  </w14:solidFill>
                </w14:textFill>
              </w:rPr>
              <w:t>医废处置率</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全部有效处置</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ascii="Arial"/>
                <w:color w:val="000000" w:themeColor="text1"/>
                <w:sz w:val="18"/>
                <w:szCs w:val="18"/>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全部有效处置</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6</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6</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ascii="Arial"/>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03"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可持续影</w:t>
            </w:r>
          </w:p>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响指标</w:t>
            </w: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ind w:left="0" w:leftChars="0"/>
              <w:jc w:val="center"/>
              <w:textAlignment w:val="auto"/>
              <w:rPr>
                <w:rFonts w:ascii="Arial"/>
                <w:color w:val="000000" w:themeColor="text1"/>
                <w:sz w:val="18"/>
                <w:szCs w:val="18"/>
                <w14:textFill>
                  <w14:solidFill>
                    <w14:schemeClr w14:val="tx1"/>
                  </w14:solidFill>
                </w14:textFill>
              </w:rPr>
            </w:pPr>
            <w:r>
              <w:rPr>
                <w:rFonts w:hint="eastAsia" w:ascii="Arial"/>
                <w:color w:val="000000" w:themeColor="text1"/>
                <w:sz w:val="18"/>
                <w:szCs w:val="18"/>
                <w14:textFill>
                  <w14:solidFill>
                    <w14:schemeClr w14:val="tx1"/>
                  </w14:solidFill>
                </w14:textFill>
              </w:rPr>
              <w:t>人才培训和技能培训</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有提高</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有提高</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6</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6</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18"/>
                <w:szCs w:val="18"/>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1084" w:type="dxa"/>
            <w:vMerge w:val="continue"/>
            <w:tcBorders>
              <w:top w:val="nil"/>
              <w:bottom w:val="nil"/>
            </w:tcBorders>
            <w:noWrap w:val="0"/>
            <w:textDirection w:val="tbRlV"/>
            <w:vAlign w:val="top"/>
          </w:tcPr>
          <w:p>
            <w:pPr>
              <w:rPr>
                <w:rFonts w:ascii="Arial"/>
                <w:color w:val="000000" w:themeColor="text1"/>
                <w:sz w:val="21"/>
                <w14:textFill>
                  <w14:solidFill>
                    <w14:schemeClr w14:val="tx1"/>
                  </w14:solidFill>
                </w14:textFill>
              </w:rPr>
            </w:pPr>
          </w:p>
        </w:tc>
        <w:tc>
          <w:tcPr>
            <w:tcW w:w="1079" w:type="dxa"/>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4"/>
                <w:sz w:val="21"/>
                <w:szCs w:val="21"/>
                <w14:textFill>
                  <w14:solidFill>
                    <w14:schemeClr w14:val="tx1"/>
                  </w14:solidFill>
                </w14:textFill>
              </w:rPr>
              <w:t>满意度</w:t>
            </w:r>
          </w:p>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指标</w:t>
            </w:r>
          </w:p>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9"/>
                <w:sz w:val="21"/>
                <w:szCs w:val="21"/>
                <w14:textFill>
                  <w14:solidFill>
                    <w14:schemeClr w14:val="tx1"/>
                  </w14:solidFill>
                </w14:textFill>
              </w:rPr>
              <w:t>(10分)</w:t>
            </w:r>
          </w:p>
        </w:tc>
        <w:tc>
          <w:tcPr>
            <w:tcW w:w="1029" w:type="dxa"/>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02"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服务对象</w:t>
            </w:r>
          </w:p>
          <w:p>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满意度指</w:t>
            </w:r>
          </w:p>
          <w:p>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标</w:t>
            </w:r>
          </w:p>
        </w:tc>
        <w:tc>
          <w:tcPr>
            <w:tcW w:w="1269"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14:textFill>
                  <w14:solidFill>
                    <w14:schemeClr w14:val="tx1"/>
                  </w14:solidFill>
                </w14:textFill>
              </w:rPr>
              <w:t>人民群众满意</w:t>
            </w:r>
            <w:r>
              <w:rPr>
                <w:rFonts w:hint="eastAsia" w:ascii="Arial"/>
                <w:color w:val="000000" w:themeColor="text1"/>
                <w:sz w:val="18"/>
                <w:szCs w:val="18"/>
                <w:lang w:val="en-US" w:eastAsia="zh-CN"/>
                <w14:textFill>
                  <w14:solidFill>
                    <w14:schemeClr w14:val="tx1"/>
                  </w14:solidFill>
                </w14:textFill>
              </w:rPr>
              <w:t>度</w:t>
            </w:r>
          </w:p>
        </w:tc>
        <w:tc>
          <w:tcPr>
            <w:tcW w:w="1319"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大于等于95%</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100%</w:t>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10</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10</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Arial" w:eastAsiaTheme="minorEastAsia"/>
                <w:color w:val="000000" w:themeColor="text1"/>
                <w:sz w:val="18"/>
                <w:szCs w:val="18"/>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7039"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251" w:lineRule="exact"/>
              <w:ind w:left="0" w:firstLine="3274"/>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297815" cy="158750"/>
                  <wp:effectExtent l="0" t="0" r="6985" b="13335"/>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5"/>
                          <a:stretch>
                            <a:fillRect/>
                          </a:stretch>
                        </pic:blipFill>
                        <pic:spPr>
                          <a:xfrm>
                            <a:off x="0" y="0"/>
                            <a:ext cx="297815" cy="158750"/>
                          </a:xfrm>
                          <a:prstGeom prst="rect">
                            <a:avLst/>
                          </a:prstGeom>
                          <a:noFill/>
                          <a:ln>
                            <a:noFill/>
                          </a:ln>
                        </pic:spPr>
                      </pic:pic>
                    </a:graphicData>
                  </a:graphic>
                </wp:inline>
              </w:drawing>
            </w:r>
          </w:p>
        </w:tc>
        <w:tc>
          <w:tcPr>
            <w:tcW w:w="719" w:type="dxa"/>
            <w:noWrap w:val="0"/>
            <w:vAlign w:val="center"/>
          </w:tcPr>
          <w:p>
            <w:pPr>
              <w:keepNext w:val="0"/>
              <w:keepLines w:val="0"/>
              <w:pageBreakBefore w:val="0"/>
              <w:widowControl w:val="0"/>
              <w:kinsoku/>
              <w:wordWrap/>
              <w:overflowPunct/>
              <w:topLinePunct w:val="0"/>
              <w:autoSpaceDE/>
              <w:autoSpaceDN/>
              <w:bidi w:val="0"/>
              <w:adjustRightInd/>
              <w:snapToGrid/>
              <w:spacing w:line="16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100</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21"/>
                <w:lang w:val="en-US" w:eastAsia="zh-CN"/>
                <w14:textFill>
                  <w14:solidFill>
                    <w14:schemeClr w14:val="tx1"/>
                  </w14:solidFill>
                </w14:textFill>
              </w:rPr>
            </w:pPr>
            <w:r>
              <w:rPr>
                <w:rFonts w:hint="eastAsia" w:ascii="Arial"/>
                <w:color w:val="000000" w:themeColor="text1"/>
                <w:sz w:val="21"/>
                <w:lang w:val="en-US" w:eastAsia="zh-CN"/>
                <w14:textFill>
                  <w14:solidFill>
                    <w14:schemeClr w14:val="tx1"/>
                  </w14:solidFill>
                </w14:textFill>
              </w:rPr>
              <w:t>97</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Arial" w:eastAsiaTheme="minorEastAsia"/>
                <w:color w:val="000000" w:themeColor="text1"/>
                <w:sz w:val="21"/>
                <w:lang w:val="en-US" w:eastAsia="zh-CN"/>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jc w:val="left"/>
        <w:textAlignment w:val="auto"/>
        <w:rPr>
          <w:rFonts w:hint="default"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填表人：孙叶     联系电话：18390953073  单位负责人签字：</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填报日期：</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2023-06-04</w:t>
      </w:r>
    </w:p>
    <w:p>
      <w:pPr>
        <w:keepNext w:val="0"/>
        <w:keepLines w:val="0"/>
        <w:pageBreakBefore w:val="0"/>
        <w:widowControl w:val="0"/>
        <w:kinsoku/>
        <w:wordWrap/>
        <w:overflowPunct/>
        <w:topLinePunct w:val="0"/>
        <w:autoSpaceDE/>
        <w:autoSpaceDN/>
        <w:bidi w:val="0"/>
        <w:adjustRightInd/>
        <w:snapToGrid/>
        <w:jc w:val="left"/>
        <w:textAlignment w:val="auto"/>
        <w:rPr>
          <w:rFonts w:hint="default"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sectPr>
          <w:pgSz w:w="11906" w:h="16838"/>
          <w:pgMar w:top="1134" w:right="1417" w:bottom="1134" w:left="1134" w:header="851" w:footer="992" w:gutter="0"/>
          <w:pgNumType w:fmt="decimal"/>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3</w:t>
      </w: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2022年度</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岳阳市岳阳楼区金鹗山街道社区卫生服务中心</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单位整体支出绩效自评报告</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部门(单位)名称：   ( 盖 章 )</w:t>
      </w:r>
    </w:p>
    <w:p>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2023年 06 月04  日</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2022年度</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岳阳市岳阳楼区金鹗山街道社区卫生服务中心</w:t>
      </w: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单位整体支出绩效自评报告</w:t>
      </w: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pPr>
        <w:keepNext w:val="0"/>
        <w:keepLines w:val="0"/>
        <w:pageBreakBefore w:val="0"/>
        <w:widowControl w:val="0"/>
        <w:numPr>
          <w:ilvl w:val="0"/>
          <w:numId w:val="1"/>
        </w:numPr>
        <w:kinsoku/>
        <w:wordWrap/>
        <w:overflowPunct/>
        <w:topLinePunct w:val="0"/>
        <w:autoSpaceDE/>
        <w:autoSpaceDN/>
        <w:bidi w:val="0"/>
        <w:adjustRightInd/>
        <w:snapToGrid/>
        <w:ind w:left="0" w:firstLine="643" w:firstLineChars="200"/>
        <w:jc w:val="left"/>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单位基本情况</w:t>
      </w:r>
    </w:p>
    <w:p>
      <w:pPr>
        <w:widowControl/>
        <w:spacing w:line="600" w:lineRule="exact"/>
        <w:ind w:firstLine="643" w:firstLineChars="200"/>
        <w:rPr>
          <w:rFonts w:hint="eastAsia" w:ascii="仿宋" w:hAnsi="仿宋" w:eastAsia="仿宋" w:cs="仿宋"/>
          <w:b/>
          <w:bCs/>
          <w:color w:val="auto"/>
          <w:kern w:val="0"/>
          <w:sz w:val="32"/>
          <w:szCs w:val="32"/>
          <w:highlight w:val="none"/>
        </w:rPr>
      </w:pPr>
      <w:r>
        <w:rPr>
          <w:rFonts w:hint="eastAsia" w:ascii="仿宋" w:hAnsi="仿宋" w:eastAsia="仿宋" w:cs="仿宋"/>
          <w:b/>
          <w:bCs/>
          <w:color w:val="auto"/>
          <w:kern w:val="0"/>
          <w:sz w:val="32"/>
          <w:szCs w:val="32"/>
          <w:highlight w:val="none"/>
        </w:rPr>
        <w:t>（一）职能职责</w:t>
      </w:r>
    </w:p>
    <w:p>
      <w:pPr>
        <w:keepNext w:val="0"/>
        <w:keepLines w:val="0"/>
        <w:widowControl w:val="0"/>
        <w:suppressLineNumbers w:val="0"/>
        <w:spacing w:before="0" w:beforeAutospacing="0" w:after="1" w:afterAutospacing="0"/>
        <w:ind w:left="0" w:right="0" w:firstLine="641"/>
        <w:jc w:val="both"/>
        <w:rPr>
          <w:rFonts w:hint="eastAsia" w:ascii="仿宋" w:hAnsi="仿宋" w:eastAsia="仿宋" w:cs="仿宋"/>
          <w:color w:val="auto"/>
          <w:kern w:val="2"/>
          <w:sz w:val="27"/>
          <w:szCs w:val="27"/>
          <w:highlight w:val="none"/>
          <w:lang w:val="en-US" w:eastAsia="zh-CN" w:bidi="ar"/>
        </w:rPr>
      </w:pPr>
      <w:r>
        <w:rPr>
          <w:rFonts w:hint="eastAsia" w:ascii="仿宋" w:hAnsi="仿宋" w:eastAsia="仿宋" w:cs="仿宋"/>
          <w:color w:val="auto"/>
          <w:kern w:val="2"/>
          <w:sz w:val="32"/>
          <w:szCs w:val="32"/>
          <w:highlight w:val="none"/>
          <w:lang w:val="en-US" w:eastAsia="zh-CN" w:bidi="ar"/>
        </w:rPr>
        <w:t>1、根据授权，负责贯彻执行中央和省、市关于城市社区卫生服务工作的方针、政策。</w:t>
      </w:r>
      <w:r>
        <w:rPr>
          <w:rFonts w:hint="eastAsia" w:ascii="仿宋" w:hAnsi="仿宋" w:eastAsia="仿宋" w:cs="仿宋"/>
          <w:color w:val="auto"/>
          <w:kern w:val="2"/>
          <w:sz w:val="27"/>
          <w:szCs w:val="27"/>
          <w:highlight w:val="none"/>
          <w:lang w:val="en-US" w:eastAsia="zh-CN" w:bidi="ar"/>
        </w:rPr>
        <w:t xml:space="preserve"> </w:t>
      </w:r>
    </w:p>
    <w:p>
      <w:pPr>
        <w:keepNext w:val="0"/>
        <w:keepLines w:val="0"/>
        <w:widowControl w:val="0"/>
        <w:suppressLineNumbers w:val="0"/>
        <w:spacing w:before="0" w:beforeAutospacing="0" w:after="1" w:afterAutospacing="0"/>
        <w:ind w:left="0" w:right="0" w:firstLine="641"/>
        <w:jc w:val="both"/>
        <w:rPr>
          <w:rFonts w:hint="eastAsia" w:ascii="仿宋" w:hAnsi="仿宋" w:eastAsia="仿宋" w:cs="仿宋"/>
          <w:color w:val="auto"/>
          <w:kern w:val="2"/>
          <w:sz w:val="27"/>
          <w:szCs w:val="27"/>
          <w:highlight w:val="none"/>
          <w:lang w:val="en-US" w:eastAsia="zh-CN" w:bidi="ar"/>
        </w:rPr>
      </w:pPr>
      <w:r>
        <w:rPr>
          <w:rFonts w:hint="eastAsia" w:ascii="仿宋" w:hAnsi="仿宋" w:eastAsia="仿宋" w:cs="仿宋"/>
          <w:color w:val="auto"/>
          <w:kern w:val="2"/>
          <w:sz w:val="32"/>
          <w:szCs w:val="32"/>
          <w:highlight w:val="none"/>
          <w:lang w:val="en-US" w:eastAsia="zh-CN" w:bidi="ar"/>
        </w:rPr>
        <w:t>2、拟订本街道（乡）、社区（村）范围内关于基层卫生健康服务工作的规章、方案，经批准后组织实施。</w:t>
      </w:r>
      <w:r>
        <w:rPr>
          <w:rFonts w:hint="eastAsia" w:ascii="仿宋" w:hAnsi="仿宋" w:eastAsia="仿宋" w:cs="仿宋"/>
          <w:color w:val="auto"/>
          <w:kern w:val="2"/>
          <w:sz w:val="27"/>
          <w:szCs w:val="27"/>
          <w:highlight w:val="none"/>
          <w:lang w:val="en-US" w:eastAsia="zh-CN" w:bidi="ar"/>
        </w:rPr>
        <w:t xml:space="preserve"> </w:t>
      </w:r>
    </w:p>
    <w:p>
      <w:pPr>
        <w:keepNext w:val="0"/>
        <w:keepLines w:val="0"/>
        <w:widowControl w:val="0"/>
        <w:suppressLineNumbers w:val="0"/>
        <w:spacing w:before="0" w:beforeAutospacing="0" w:after="1" w:afterAutospacing="0"/>
        <w:ind w:left="0" w:right="0" w:firstLine="641"/>
        <w:jc w:val="both"/>
        <w:rPr>
          <w:rFonts w:hint="eastAsia" w:ascii="仿宋" w:hAnsi="仿宋" w:eastAsia="仿宋" w:cs="仿宋"/>
          <w:color w:val="auto"/>
          <w:kern w:val="2"/>
          <w:sz w:val="27"/>
          <w:szCs w:val="27"/>
          <w:highlight w:val="none"/>
          <w:lang w:val="en-US" w:eastAsia="zh-CN" w:bidi="ar"/>
        </w:rPr>
      </w:pPr>
      <w:r>
        <w:rPr>
          <w:rFonts w:hint="eastAsia" w:ascii="仿宋" w:hAnsi="仿宋" w:eastAsia="仿宋" w:cs="仿宋"/>
          <w:color w:val="auto"/>
          <w:kern w:val="2"/>
          <w:sz w:val="32"/>
          <w:szCs w:val="32"/>
          <w:highlight w:val="none"/>
          <w:lang w:val="en-US" w:eastAsia="zh-CN" w:bidi="ar"/>
        </w:rPr>
        <w:t>3、负责指导、管理、考核各街道社区卫生服务站（村卫生室）的相关工作。</w:t>
      </w:r>
      <w:r>
        <w:rPr>
          <w:rFonts w:hint="eastAsia" w:ascii="仿宋" w:hAnsi="仿宋" w:eastAsia="仿宋" w:cs="仿宋"/>
          <w:color w:val="auto"/>
          <w:kern w:val="2"/>
          <w:sz w:val="27"/>
          <w:szCs w:val="27"/>
          <w:highlight w:val="none"/>
          <w:lang w:val="en-US" w:eastAsia="zh-CN" w:bidi="ar"/>
        </w:rPr>
        <w:t xml:space="preserve"> </w:t>
      </w:r>
    </w:p>
    <w:p>
      <w:pPr>
        <w:keepNext w:val="0"/>
        <w:keepLines w:val="0"/>
        <w:widowControl w:val="0"/>
        <w:suppressLineNumbers w:val="0"/>
        <w:spacing w:before="0" w:beforeAutospacing="0" w:after="1" w:afterAutospacing="0"/>
        <w:ind w:left="0" w:right="0" w:firstLine="641"/>
        <w:jc w:val="both"/>
        <w:rPr>
          <w:rFonts w:hint="eastAsia" w:ascii="仿宋" w:hAnsi="仿宋" w:eastAsia="仿宋" w:cs="仿宋"/>
          <w:color w:val="auto"/>
          <w:kern w:val="2"/>
          <w:sz w:val="27"/>
          <w:szCs w:val="27"/>
          <w:highlight w:val="none"/>
          <w:lang w:val="en-US" w:eastAsia="zh-CN" w:bidi="ar"/>
        </w:rPr>
      </w:pPr>
      <w:r>
        <w:rPr>
          <w:rFonts w:hint="eastAsia" w:ascii="仿宋" w:hAnsi="仿宋" w:eastAsia="仿宋" w:cs="仿宋"/>
          <w:color w:val="auto"/>
          <w:kern w:val="2"/>
          <w:sz w:val="32"/>
          <w:szCs w:val="32"/>
          <w:highlight w:val="none"/>
          <w:lang w:val="en-US" w:eastAsia="zh-CN" w:bidi="ar"/>
        </w:rPr>
        <w:t>4、负责社区卫生诊断，传染病疫情报告和监测，预防接种，结核病、艾滋病等重大传染病预防，常见传染病防治，地方病、寄生虫病防治，健康档案管理，爱国卫生指导等。</w:t>
      </w:r>
      <w:r>
        <w:rPr>
          <w:rFonts w:hint="eastAsia" w:ascii="仿宋" w:hAnsi="仿宋" w:eastAsia="仿宋" w:cs="仿宋"/>
          <w:color w:val="auto"/>
          <w:kern w:val="2"/>
          <w:sz w:val="27"/>
          <w:szCs w:val="27"/>
          <w:highlight w:val="none"/>
          <w:lang w:val="en-US" w:eastAsia="zh-CN" w:bidi="ar"/>
        </w:rPr>
        <w:t xml:space="preserve"> </w:t>
      </w:r>
    </w:p>
    <w:p>
      <w:pPr>
        <w:keepNext w:val="0"/>
        <w:keepLines w:val="0"/>
        <w:widowControl w:val="0"/>
        <w:suppressLineNumbers w:val="0"/>
        <w:spacing w:before="0" w:beforeAutospacing="0" w:after="1" w:afterAutospacing="0"/>
        <w:ind w:left="0" w:right="0" w:firstLine="641"/>
        <w:jc w:val="both"/>
        <w:rPr>
          <w:rFonts w:hint="eastAsia" w:ascii="仿宋" w:hAnsi="仿宋" w:eastAsia="仿宋" w:cs="仿宋"/>
          <w:color w:val="auto"/>
          <w:kern w:val="2"/>
          <w:sz w:val="27"/>
          <w:szCs w:val="27"/>
          <w:highlight w:val="none"/>
          <w:lang w:val="en-US" w:eastAsia="zh-CN" w:bidi="ar"/>
        </w:rPr>
      </w:pPr>
      <w:r>
        <w:rPr>
          <w:rFonts w:hint="eastAsia" w:ascii="仿宋" w:hAnsi="仿宋" w:eastAsia="仿宋" w:cs="仿宋"/>
          <w:color w:val="auto"/>
          <w:kern w:val="2"/>
          <w:sz w:val="32"/>
          <w:szCs w:val="32"/>
          <w:highlight w:val="none"/>
          <w:lang w:val="en-US" w:eastAsia="zh-CN" w:bidi="ar"/>
        </w:rPr>
        <w:t>5、负责残疾康复、疾病恢复期康复，家庭和社区康复训练指导等。</w:t>
      </w:r>
      <w:r>
        <w:rPr>
          <w:rFonts w:hint="eastAsia" w:ascii="仿宋" w:hAnsi="仿宋" w:eastAsia="仿宋" w:cs="仿宋"/>
          <w:color w:val="auto"/>
          <w:kern w:val="2"/>
          <w:sz w:val="27"/>
          <w:szCs w:val="27"/>
          <w:highlight w:val="none"/>
          <w:lang w:val="en-US" w:eastAsia="zh-CN" w:bidi="ar"/>
        </w:rPr>
        <w:t xml:space="preserve"> </w:t>
      </w:r>
    </w:p>
    <w:p>
      <w:pPr>
        <w:keepNext w:val="0"/>
        <w:keepLines w:val="0"/>
        <w:widowControl w:val="0"/>
        <w:suppressLineNumbers w:val="0"/>
        <w:spacing w:before="0" w:beforeAutospacing="0" w:after="1" w:afterAutospacing="0"/>
        <w:ind w:left="0" w:right="0" w:firstLine="641"/>
        <w:jc w:val="both"/>
        <w:rPr>
          <w:rFonts w:hint="eastAsia" w:ascii="仿宋" w:hAnsi="仿宋" w:eastAsia="仿宋" w:cs="仿宋"/>
          <w:color w:val="auto"/>
          <w:kern w:val="2"/>
          <w:sz w:val="27"/>
          <w:szCs w:val="27"/>
          <w:highlight w:val="none"/>
          <w:lang w:val="en-US" w:eastAsia="zh-CN" w:bidi="ar"/>
        </w:rPr>
      </w:pPr>
      <w:r>
        <w:rPr>
          <w:rFonts w:hint="eastAsia" w:ascii="仿宋" w:hAnsi="仿宋" w:eastAsia="仿宋" w:cs="仿宋"/>
          <w:color w:val="auto"/>
          <w:kern w:val="2"/>
          <w:sz w:val="32"/>
          <w:szCs w:val="32"/>
          <w:highlight w:val="none"/>
          <w:lang w:val="en-US" w:eastAsia="zh-CN" w:bidi="ar"/>
        </w:rPr>
        <w:t>6、负责卫生知识普及，个体和群体的健康管理，重点人群与重点场所健康教育，宣传健康行为和生活方式等。</w:t>
      </w:r>
      <w:r>
        <w:rPr>
          <w:rFonts w:hint="eastAsia" w:ascii="仿宋" w:hAnsi="仿宋" w:eastAsia="仿宋" w:cs="仿宋"/>
          <w:color w:val="auto"/>
          <w:kern w:val="2"/>
          <w:sz w:val="27"/>
          <w:szCs w:val="27"/>
          <w:highlight w:val="none"/>
          <w:lang w:val="en-US" w:eastAsia="zh-CN" w:bidi="ar"/>
        </w:rPr>
        <w:t xml:space="preserve"> </w:t>
      </w:r>
    </w:p>
    <w:p>
      <w:pPr>
        <w:widowControl/>
        <w:spacing w:line="600" w:lineRule="exact"/>
        <w:ind w:firstLine="643" w:firstLineChars="200"/>
        <w:rPr>
          <w:rFonts w:hint="eastAsia" w:ascii="仿宋" w:hAnsi="仿宋" w:eastAsia="仿宋" w:cs="仿宋"/>
          <w:b/>
          <w:bCs/>
          <w:color w:val="auto"/>
          <w:kern w:val="0"/>
          <w:sz w:val="32"/>
          <w:szCs w:val="32"/>
          <w:highlight w:val="none"/>
        </w:rPr>
      </w:pPr>
      <w:r>
        <w:rPr>
          <w:rFonts w:hint="eastAsia" w:ascii="仿宋" w:hAnsi="仿宋" w:eastAsia="仿宋" w:cs="仿宋"/>
          <w:b/>
          <w:bCs/>
          <w:color w:val="auto"/>
          <w:kern w:val="0"/>
          <w:sz w:val="32"/>
          <w:szCs w:val="32"/>
          <w:highlight w:val="none"/>
        </w:rPr>
        <w:t>（二）机构设置</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sz w:val="32"/>
          <w:szCs w:val="32"/>
          <w:highlight w:val="none"/>
        </w:rPr>
        <w:t>岳阳楼区金鹗山街道社区卫生服务中心公益一类事业单位，为正股级，核定全额拨款事业编制26名，设主任(院长)1名</w:t>
      </w:r>
      <w:r>
        <w:rPr>
          <w:rFonts w:hint="eastAsia" w:ascii="仿宋" w:hAnsi="仿宋" w:eastAsia="仿宋" w:cs="仿宋"/>
          <w:color w:val="auto"/>
          <w:kern w:val="2"/>
          <w:sz w:val="32"/>
          <w:szCs w:val="32"/>
          <w:highlight w:val="none"/>
        </w:rPr>
        <w:t>。内设股室：</w:t>
      </w:r>
      <w:r>
        <w:rPr>
          <w:rFonts w:hint="eastAsia" w:ascii="仿宋" w:hAnsi="仿宋" w:eastAsia="仿宋" w:cs="仿宋"/>
          <w:color w:val="auto"/>
          <w:kern w:val="2"/>
          <w:sz w:val="32"/>
          <w:szCs w:val="32"/>
          <w:highlight w:val="none"/>
          <w:lang w:val="en-US" w:eastAsia="zh-CN"/>
        </w:rPr>
        <w:t>财务室、主任办公室、副主任办公室、综合办公室、收费室、工会办公室、中医诊室、心电图室、B超室、手术室、医生办公室、护理部、药房、会议室等。</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二、一般公共预算支出情况</w:t>
      </w:r>
    </w:p>
    <w:p>
      <w:pPr>
        <w:keepNext w:val="0"/>
        <w:keepLines w:val="0"/>
        <w:pageBreakBefore w:val="0"/>
        <w:widowControl w:val="0"/>
        <w:kinsoku/>
        <w:wordWrap/>
        <w:overflowPunct/>
        <w:topLinePunct w:val="0"/>
        <w:autoSpaceDE/>
        <w:autoSpaceDN/>
        <w:bidi w:val="0"/>
        <w:adjustRightInd/>
        <w:snapToGrid/>
        <w:ind w:left="0" w:firstLine="643" w:firstLineChars="200"/>
        <w:jc w:val="left"/>
        <w:textAlignment w:val="auto"/>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(一)基本支出情况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 w:hAnsi="仿宋" w:eastAsia="仿宋" w:cs="仿宋"/>
          <w:color w:val="auto"/>
          <w:kern w:val="2"/>
          <w:sz w:val="32"/>
          <w:szCs w:val="32"/>
          <w:highlight w:val="none"/>
          <w:u w:val="none"/>
          <w:lang w:val="en-US" w:eastAsia="zh-CN"/>
        </w:rPr>
      </w:pPr>
      <w:r>
        <w:rPr>
          <w:rFonts w:hint="eastAsia" w:ascii="仿宋" w:hAnsi="仿宋" w:eastAsia="仿宋" w:cs="仿宋"/>
          <w:color w:val="auto"/>
          <w:kern w:val="2"/>
          <w:sz w:val="32"/>
          <w:szCs w:val="32"/>
          <w:highlight w:val="none"/>
          <w:u w:val="none"/>
          <w:lang w:val="en-US" w:eastAsia="zh-CN"/>
        </w:rPr>
        <w:t>2022年我单位基本支出是564.38万元，其中：人员经费：319.20万元，占基本支出的56.56%，主要是包括基本工资、绩效工资、机关事业单位养老保险缴费、职业年金缴费、职工基本医疗保险缴费、其他社会保险缴费、住房公积金；公用经费：245.18万元，占基本支出的43.44%，主要包括办公费、印刷费、水费、电费、邮电费、维修（护）费、专用材料费、委托业务费、其他商品和服务支出。</w:t>
      </w:r>
    </w:p>
    <w:p>
      <w:pPr>
        <w:keepNext w:val="0"/>
        <w:keepLines w:val="0"/>
        <w:pageBreakBefore w:val="0"/>
        <w:widowControl w:val="0"/>
        <w:numPr>
          <w:ilvl w:val="0"/>
          <w:numId w:val="2"/>
        </w:numPr>
        <w:kinsoku/>
        <w:wordWrap/>
        <w:overflowPunct/>
        <w:topLinePunct w:val="0"/>
        <w:autoSpaceDE/>
        <w:autoSpaceDN/>
        <w:bidi w:val="0"/>
        <w:adjustRightInd/>
        <w:snapToGrid/>
        <w:ind w:left="0" w:firstLine="643" w:firstLineChars="200"/>
        <w:jc w:val="left"/>
        <w:textAlignment w:val="auto"/>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项目支出情况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lang w:val="en-US" w:eastAsia="zh-CN"/>
        </w:rPr>
      </w:pPr>
      <w:r>
        <w:rPr>
          <w:rFonts w:hint="eastAsia" w:ascii="仿宋" w:hAnsi="仿宋" w:eastAsia="仿宋" w:cs="仿宋"/>
          <w:color w:val="auto"/>
          <w:kern w:val="2"/>
          <w:sz w:val="32"/>
          <w:szCs w:val="32"/>
          <w:highlight w:val="none"/>
          <w:u w:val="none"/>
          <w:lang w:val="en-US" w:eastAsia="zh-CN"/>
        </w:rPr>
        <w:t>我单位2022年度无项目支出。</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三、政府性基金预算支出情况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 w:hAnsi="仿宋" w:eastAsia="仿宋" w:cs="仿宋"/>
          <w:color w:val="auto"/>
          <w:kern w:val="2"/>
          <w:sz w:val="32"/>
          <w:szCs w:val="32"/>
          <w:highlight w:val="none"/>
          <w:u w:val="none"/>
          <w:lang w:val="en-US" w:eastAsia="zh-CN"/>
        </w:rPr>
      </w:pPr>
      <w:r>
        <w:rPr>
          <w:rFonts w:hint="eastAsia" w:ascii="仿宋" w:hAnsi="仿宋" w:eastAsia="仿宋" w:cs="仿宋"/>
          <w:color w:val="auto"/>
          <w:kern w:val="2"/>
          <w:sz w:val="32"/>
          <w:szCs w:val="32"/>
          <w:highlight w:val="none"/>
          <w:u w:val="none"/>
          <w:lang w:val="en-US" w:eastAsia="zh-CN"/>
        </w:rPr>
        <w:t>我单位2022年度无政府性基金预算。</w:t>
      </w:r>
    </w:p>
    <w:p>
      <w:pPr>
        <w:keepNext w:val="0"/>
        <w:keepLines w:val="0"/>
        <w:pageBreakBefore w:val="0"/>
        <w:widowControl w:val="0"/>
        <w:numPr>
          <w:ilvl w:val="0"/>
          <w:numId w:val="3"/>
        </w:numPr>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国有资本经营预算支出情况</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320" w:firstLineChars="1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auto"/>
          <w:kern w:val="2"/>
          <w:sz w:val="32"/>
          <w:szCs w:val="32"/>
          <w:highlight w:val="none"/>
          <w:u w:val="none"/>
          <w:lang w:val="en-US" w:eastAsia="zh-CN"/>
        </w:rPr>
        <w:t>我单位2022年度无国有资本经营预算。</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社会保险基金预算支出情况</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320" w:firstLineChars="1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auto"/>
          <w:kern w:val="2"/>
          <w:sz w:val="32"/>
          <w:szCs w:val="32"/>
          <w:highlight w:val="none"/>
          <w:u w:val="none"/>
          <w:lang w:val="en-US" w:eastAsia="zh-CN"/>
        </w:rPr>
        <w:t>我单位2022年度无社会保险基金预算。</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六、部门整体支出绩效情况</w:t>
      </w:r>
    </w:p>
    <w:p>
      <w:pPr>
        <w:ind w:firstLine="640" w:firstLineChars="200"/>
        <w:jc w:val="both"/>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（一）新冠病毒感染疫情防控工作</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2"/>
          <w:sz w:val="32"/>
          <w:szCs w:val="32"/>
          <w:lang w:val="en-US" w:eastAsia="zh-CN" w:bidi="ar-SA"/>
        </w:rPr>
        <w:t>按上级要求贯彻落实常态化疫情防控工作有关决策部署与工作要求，成立工作专班，协助区、街道新冠病毒感染疫情防控指挥部</w:t>
      </w:r>
      <w:r>
        <w:rPr>
          <w:rFonts w:hint="eastAsia" w:ascii="仿宋_GB2312" w:hAnsi="仿宋_GB2312" w:eastAsia="仿宋_GB2312" w:cs="仿宋_GB2312"/>
          <w:sz w:val="32"/>
          <w:szCs w:val="32"/>
          <w:highlight w:val="none"/>
          <w:lang w:val="en-US" w:eastAsia="zh-CN"/>
        </w:rPr>
        <w:t>严格落实好疫情防控各项工作。全年接种新冠疫苗12869剂次，采集各类人群核酸标本共计482900人次，配合街道办事处完成全民核酸数据报送共计521957人次，外环境采样共计1998份。</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随着优化疫情防控“新十条”政策的落地，为了方便发热患者就诊，中心设立了“发热诊疗便民点”，为居民们发放“健康爱心防疫包”，开启便民医疗新模式。对于行动不便的老人及特殊家庭，家庭医生提供上门诊疗及送药服务，合计发放650份。</w:t>
      </w:r>
    </w:p>
    <w:p>
      <w:pPr>
        <w:ind w:firstLine="640" w:firstLineChars="200"/>
        <w:jc w:val="both"/>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（二）基本公共卫生服务工作</w:t>
      </w:r>
    </w:p>
    <w:p>
      <w:pPr>
        <w:ind w:firstLine="640" w:firstLineChars="200"/>
        <w:jc w:val="both"/>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中心成立工作领导小组，与办事处及辖区内各居委会年初召开公卫工作部署会，明确责任，落实到人；</w:t>
      </w:r>
      <w:r>
        <w:rPr>
          <w:rFonts w:hint="default" w:ascii="仿宋_GB2312" w:hAnsi="仿宋_GB2312" w:eastAsia="仿宋_GB2312" w:cs="仿宋_GB2312"/>
          <w:sz w:val="32"/>
          <w:szCs w:val="32"/>
          <w:highlight w:val="none"/>
          <w:lang w:val="en-US" w:eastAsia="zh-CN"/>
        </w:rPr>
        <w:t>2022年中心核定人口数55698人，居民健康档案累计建档54604份，建档率98.04%；全年完成老年人体检4025人；新增高血压健康管理患者885人，累计在管3794人，新增糖尿病健康管理患者411人，累计在管1491人；完成电子家庭医生签约11303份；管理孕产妇368人，早孕建卡368人；一类疫苗2728针次，二类疫苗7850针次，接种流感疫苗3495人次；辖区内6岁以下儿童2662人，在管人数2609人次，健康管理率98%，共筛查高危体弱儿78例，血红蛋白门诊合计检测 257人次，幼儿园</w:t>
      </w:r>
      <w:r>
        <w:rPr>
          <w:rFonts w:hint="eastAsia" w:ascii="仿宋_GB2312" w:hAnsi="仿宋_GB2312" w:eastAsia="仿宋_GB2312" w:cs="仿宋_GB2312"/>
          <w:sz w:val="32"/>
          <w:szCs w:val="32"/>
          <w:highlight w:val="none"/>
          <w:lang w:val="en-US" w:eastAsia="zh-CN"/>
        </w:rPr>
        <w:t>体检</w:t>
      </w:r>
      <w:r>
        <w:rPr>
          <w:rFonts w:hint="default" w:ascii="仿宋_GB2312" w:hAnsi="仿宋_GB2312" w:eastAsia="仿宋_GB2312" w:cs="仿宋_GB2312"/>
          <w:sz w:val="32"/>
          <w:szCs w:val="32"/>
          <w:highlight w:val="none"/>
          <w:lang w:val="en-US" w:eastAsia="zh-CN"/>
        </w:rPr>
        <w:t>1728人，体检辖区内5岁以下儿童死亡0人；老年人中医保健服务开展3617人次，儿童中医保健服务开展693人次。</w:t>
      </w:r>
    </w:p>
    <w:p>
      <w:pPr>
        <w:ind w:firstLine="640" w:firstLineChars="200"/>
        <w:jc w:val="both"/>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（三）基本医疗工作</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基本医疗科牢固树立以人为本的服务理念，并</w:t>
      </w:r>
      <w:r>
        <w:rPr>
          <w:rFonts w:hint="eastAsia" w:ascii="仿宋_GB2312" w:hAnsi="仿宋_GB2312" w:eastAsia="仿宋_GB2312" w:cs="仿宋_GB2312"/>
          <w:sz w:val="32"/>
          <w:szCs w:val="32"/>
          <w:lang w:val="en-US" w:eastAsia="zh-CN"/>
        </w:rPr>
        <w:t>将该</w:t>
      </w:r>
      <w:r>
        <w:rPr>
          <w:rFonts w:hint="eastAsia" w:ascii="仿宋_GB2312" w:hAnsi="仿宋_GB2312" w:eastAsia="仿宋_GB2312" w:cs="仿宋_GB2312"/>
          <w:sz w:val="32"/>
          <w:szCs w:val="32"/>
          <w:highlight w:val="none"/>
          <w:lang w:val="en-US" w:eastAsia="zh-CN"/>
        </w:rPr>
        <w:t>理念</w:t>
      </w:r>
      <w:r>
        <w:rPr>
          <w:rFonts w:hint="eastAsia" w:ascii="仿宋_GB2312" w:hAnsi="仿宋_GB2312" w:eastAsia="仿宋_GB2312" w:cs="仿宋_GB2312"/>
          <w:sz w:val="32"/>
          <w:szCs w:val="32"/>
        </w:rPr>
        <w:t>引入医疗服务之中。全年门诊量9367人，门诊收入369万元，其中医疗收入123万元，预防接种收入246万元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与去年相比，同比增长159％。</w:t>
      </w:r>
      <w:r>
        <w:rPr>
          <w:rFonts w:hint="eastAsia" w:ascii="仿宋_GB2312" w:hAnsi="仿宋_GB2312" w:eastAsia="仿宋_GB2312" w:cs="仿宋_GB2312"/>
          <w:sz w:val="32"/>
          <w:szCs w:val="32"/>
        </w:rPr>
        <w:t>中医医疗业务开始起步，中草药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三伏贴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理疗业务初具规模，理疗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中草药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中成药</w:t>
      </w:r>
      <w:r>
        <w:rPr>
          <w:rFonts w:hint="eastAsia" w:ascii="仿宋_GB2312" w:hAnsi="仿宋_GB2312" w:eastAsia="仿宋_GB2312" w:cs="仿宋_GB2312"/>
          <w:sz w:val="32"/>
          <w:szCs w:val="32"/>
          <w:lang w:val="en-US" w:eastAsia="zh-CN"/>
        </w:rPr>
        <w:t>收入均</w:t>
      </w:r>
      <w:r>
        <w:rPr>
          <w:rFonts w:hint="eastAsia" w:ascii="仿宋_GB2312" w:hAnsi="仿宋_GB2312" w:eastAsia="仿宋_GB2312" w:cs="仿宋_GB2312"/>
          <w:sz w:val="32"/>
          <w:szCs w:val="32"/>
        </w:rPr>
        <w:t>超额完成全年目标。狠抓院感和</w:t>
      </w:r>
      <w:r>
        <w:rPr>
          <w:rFonts w:hint="eastAsia" w:ascii="仿宋_GB2312" w:hAnsi="仿宋_GB2312" w:eastAsia="仿宋_GB2312" w:cs="仿宋_GB2312"/>
          <w:sz w:val="32"/>
          <w:szCs w:val="32"/>
          <w:lang w:val="en-US" w:eastAsia="zh-CN"/>
        </w:rPr>
        <w:t>医疗</w:t>
      </w:r>
      <w:r>
        <w:rPr>
          <w:rFonts w:hint="eastAsia" w:ascii="仿宋_GB2312" w:hAnsi="仿宋_GB2312" w:eastAsia="仿宋_GB2312" w:cs="仿宋_GB2312"/>
          <w:sz w:val="32"/>
          <w:szCs w:val="32"/>
        </w:rPr>
        <w:t>安全生产工作，未出现一例院感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医疗差错及医疗责任事故。</w:t>
      </w:r>
    </w:p>
    <w:p>
      <w:pPr>
        <w:numPr>
          <w:ilvl w:val="0"/>
          <w:numId w:val="4"/>
        </w:numPr>
        <w:ind w:firstLine="640" w:firstLineChars="200"/>
        <w:jc w:val="both"/>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党风廉政建设工作</w:t>
      </w:r>
    </w:p>
    <w:p>
      <w:p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要求完成局纪检联络室下达的工作任务，年初邀请局联点领导参加中心党风廉政建设研究部署工作会议，制定落实党风廉政建设主体责任年度任务安排，明确责任分工和完成时限；按要求每年2次分级对中心所有人员进行廉政谈话；扎实开展工作纪律和作风建设工作，每月进行一次纪律督查，并及时通报，要求大家举一反三、引以为戒，做好中心作风建设工作；定期召开“清廉医院”建设专题研究会议，围绕创建标准出台“清廉医院”建设方案，并根据上级要求不定期进行完善。</w:t>
      </w:r>
    </w:p>
    <w:p>
      <w:pPr>
        <w:numPr>
          <w:ilvl w:val="0"/>
          <w:numId w:val="4"/>
        </w:numPr>
        <w:ind w:firstLine="640" w:firstLineChars="200"/>
        <w:jc w:val="both"/>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意识形态工作</w:t>
      </w:r>
    </w:p>
    <w:p>
      <w:p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中心</w:t>
      </w:r>
      <w:r>
        <w:rPr>
          <w:rFonts w:hint="default" w:ascii="仿宋_GB2312" w:hAnsi="仿宋_GB2312" w:eastAsia="仿宋_GB2312" w:cs="仿宋_GB2312"/>
          <w:sz w:val="32"/>
          <w:szCs w:val="32"/>
          <w:lang w:val="en-US" w:eastAsia="zh-CN"/>
        </w:rPr>
        <w:t>坚持以习近平新时代中国特色社会主义思想为基本遵循，严守政治纪律</w:t>
      </w:r>
      <w:r>
        <w:rPr>
          <w:rFonts w:hint="eastAsia" w:ascii="仿宋_GB2312" w:hAnsi="仿宋_GB2312" w:eastAsia="仿宋_GB2312" w:cs="仿宋_GB2312"/>
          <w:sz w:val="32"/>
          <w:szCs w:val="32"/>
          <w:lang w:val="en-US" w:eastAsia="zh-CN"/>
        </w:rPr>
        <w:t>和</w:t>
      </w:r>
      <w:r>
        <w:rPr>
          <w:rFonts w:hint="default" w:ascii="仿宋_GB2312" w:hAnsi="仿宋_GB2312" w:eastAsia="仿宋_GB2312" w:cs="仿宋_GB2312"/>
          <w:sz w:val="32"/>
          <w:szCs w:val="32"/>
          <w:lang w:val="en-US" w:eastAsia="zh-CN"/>
        </w:rPr>
        <w:t>组织纪律。班子成</w:t>
      </w:r>
      <w:r>
        <w:rPr>
          <w:rFonts w:hint="eastAsia" w:ascii="仿宋_GB2312" w:hAnsi="仿宋_GB2312" w:eastAsia="仿宋_GB2312" w:cs="仿宋_GB2312"/>
          <w:sz w:val="32"/>
          <w:szCs w:val="32"/>
          <w:lang w:val="en-US" w:eastAsia="zh-CN"/>
        </w:rPr>
        <w:t>员</w:t>
      </w:r>
      <w:r>
        <w:rPr>
          <w:rFonts w:hint="default" w:ascii="仿宋_GB2312" w:hAnsi="仿宋_GB2312" w:eastAsia="仿宋_GB2312" w:cs="仿宋_GB2312"/>
          <w:sz w:val="32"/>
          <w:szCs w:val="32"/>
          <w:lang w:val="en-US" w:eastAsia="zh-CN"/>
        </w:rPr>
        <w:t>切实担负起“一岗双责”职责，自觉把意识形态工作要求融入各项工作当中，落实到思想上、行动上，带头批评错误观点和错误倾向。建立健全意识形态工作责任制，层层传导压力，级级明确责任，严格督查考核，严格责任追究。</w:t>
      </w:r>
    </w:p>
    <w:p>
      <w:pPr>
        <w:ind w:firstLine="640" w:firstLineChars="200"/>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将习近平新时代中国特色社会主义思想和社会主义核心价值观作为思想建设的重要内容</w:t>
      </w:r>
      <w:r>
        <w:rPr>
          <w:rFonts w:hint="eastAsia" w:ascii="仿宋_GB2312" w:hAnsi="仿宋_GB2312" w:eastAsia="仿宋_GB2312" w:cs="仿宋_GB2312"/>
          <w:sz w:val="32"/>
          <w:szCs w:val="32"/>
          <w:lang w:val="en-US" w:eastAsia="zh-CN"/>
        </w:rPr>
        <w:t>，牢固树立</w:t>
      </w:r>
      <w:r>
        <w:rPr>
          <w:rFonts w:hint="default" w:ascii="仿宋_GB2312" w:hAnsi="仿宋_GB2312" w:eastAsia="仿宋_GB2312" w:cs="仿宋_GB2312"/>
          <w:sz w:val="32"/>
          <w:szCs w:val="32"/>
          <w:lang w:val="en-US" w:eastAsia="zh-CN"/>
        </w:rPr>
        <w:t>“四个</w:t>
      </w:r>
      <w:r>
        <w:rPr>
          <w:rFonts w:hint="eastAsia" w:ascii="仿宋_GB2312" w:hAnsi="仿宋_GB2312" w:eastAsia="仿宋_GB2312" w:cs="仿宋_GB2312"/>
          <w:sz w:val="32"/>
          <w:szCs w:val="32"/>
          <w:lang w:val="en-US" w:eastAsia="zh-CN"/>
        </w:rPr>
        <w:t>意识</w:t>
      </w:r>
      <w:r>
        <w:rPr>
          <w:rFonts w:hint="default" w:ascii="仿宋_GB2312" w:hAnsi="仿宋_GB2312" w:eastAsia="仿宋_GB2312" w:cs="仿宋_GB2312"/>
          <w:sz w:val="32"/>
          <w:szCs w:val="32"/>
          <w:lang w:val="en-US" w:eastAsia="zh-CN"/>
        </w:rPr>
        <w:t>”，自觉增强“四个自信”，努力打造一支信念坚定</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为民服务</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敢于担当、清正廉洁的</w:t>
      </w:r>
      <w:r>
        <w:rPr>
          <w:rFonts w:hint="eastAsia" w:ascii="仿宋_GB2312" w:hAnsi="仿宋_GB2312" w:eastAsia="仿宋_GB2312" w:cs="仿宋_GB2312"/>
          <w:sz w:val="32"/>
          <w:szCs w:val="32"/>
          <w:lang w:val="en-US" w:eastAsia="zh-CN"/>
        </w:rPr>
        <w:t>队伍</w:t>
      </w:r>
      <w:r>
        <w:rPr>
          <w:rFonts w:hint="default" w:ascii="仿宋_GB2312" w:hAnsi="仿宋_GB2312" w:eastAsia="仿宋_GB2312" w:cs="仿宋_GB2312"/>
          <w:sz w:val="32"/>
          <w:szCs w:val="32"/>
          <w:lang w:val="en-US" w:eastAsia="zh-CN"/>
        </w:rPr>
        <w:t>。对作风不实，</w:t>
      </w:r>
      <w:r>
        <w:rPr>
          <w:rFonts w:hint="eastAsia" w:ascii="仿宋_GB2312" w:hAnsi="仿宋_GB2312" w:eastAsia="仿宋_GB2312" w:cs="仿宋_GB2312"/>
          <w:sz w:val="32"/>
          <w:szCs w:val="32"/>
          <w:lang w:val="en-US" w:eastAsia="zh-CN"/>
        </w:rPr>
        <w:t>履职</w:t>
      </w:r>
      <w:r>
        <w:rPr>
          <w:rFonts w:hint="default" w:ascii="仿宋_GB2312" w:hAnsi="仿宋_GB2312" w:eastAsia="仿宋_GB2312" w:cs="仿宋_GB2312"/>
          <w:sz w:val="32"/>
          <w:szCs w:val="32"/>
          <w:lang w:val="en-US" w:eastAsia="zh-CN"/>
        </w:rPr>
        <w:t>不到位，工作成效不高，以及在意识形态领域出现苗头性问题的职工，进行倒查问责。</w:t>
      </w:r>
      <w:r>
        <w:rPr>
          <w:rFonts w:hint="eastAsia" w:ascii="仿宋_GB2312" w:hAnsi="仿宋_GB2312" w:eastAsia="仿宋_GB2312" w:cs="仿宋_GB2312"/>
          <w:sz w:val="32"/>
          <w:szCs w:val="32"/>
          <w:lang w:val="en-US" w:eastAsia="zh-CN"/>
        </w:rPr>
        <w:t>全年</w:t>
      </w:r>
      <w:r>
        <w:rPr>
          <w:rFonts w:hint="default" w:ascii="仿宋_GB2312" w:hAnsi="仿宋_GB2312" w:eastAsia="仿宋_GB2312" w:cs="仿宋_GB2312"/>
          <w:sz w:val="32"/>
          <w:szCs w:val="32"/>
          <w:lang w:val="en-US" w:eastAsia="zh-CN"/>
        </w:rPr>
        <w:t>共开展明查暗访</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次，观看警示教育片2次，开展集体廉政谈话2次，始终坚持把纪律和规矩挺在前面，努力营造风清气正的良好</w:t>
      </w:r>
      <w:r>
        <w:rPr>
          <w:rFonts w:hint="eastAsia" w:ascii="仿宋_GB2312" w:hAnsi="仿宋_GB2312" w:eastAsia="仿宋_GB2312" w:cs="仿宋_GB2312"/>
          <w:sz w:val="32"/>
          <w:szCs w:val="32"/>
          <w:lang w:val="en-US" w:eastAsia="zh-CN"/>
        </w:rPr>
        <w:t>工作</w:t>
      </w:r>
      <w:r>
        <w:rPr>
          <w:rFonts w:hint="default" w:ascii="仿宋_GB2312" w:hAnsi="仿宋_GB2312" w:eastAsia="仿宋_GB2312" w:cs="仿宋_GB2312"/>
          <w:sz w:val="32"/>
          <w:szCs w:val="32"/>
          <w:lang w:val="en-US" w:eastAsia="zh-CN"/>
        </w:rPr>
        <w:t>氛围。</w:t>
      </w:r>
    </w:p>
    <w:p>
      <w:pPr>
        <w:numPr>
          <w:ilvl w:val="0"/>
          <w:numId w:val="4"/>
        </w:numPr>
        <w:ind w:firstLine="640" w:firstLineChars="200"/>
        <w:jc w:val="both"/>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安全生产工作</w:t>
      </w:r>
    </w:p>
    <w:p>
      <w:p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心认真落实医疗安全、消防安全等安全生产工作，每月中心向练群主任及分管安全生产工作戴乐进主任定期对消防设备、消防设施通道、公共设施、重要设备进行安全排查，发现问题及时整改。组织消防知识培训、消防演练合计2次。</w:t>
      </w:r>
    </w:p>
    <w:p>
      <w:p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前期在区卫健局组织的消防大排查中，发现我中心存在重大消防安全隐患，主要是消防栓未接通消防用水、未设立消防通道、室内未安装烟感器、应急灯、防火门等问题。中心于今年6月份请专业人士实地查看中心消防设施，发现中心确实存在严重的消防安全隐患，建议立即整改。此项工作属于项目建设后续工作，已呈报上级，待批复后启动建设。</w:t>
      </w:r>
    </w:p>
    <w:p>
      <w:pPr>
        <w:numPr>
          <w:ilvl w:val="0"/>
          <w:numId w:val="4"/>
        </w:numPr>
        <w:ind w:firstLine="640" w:firstLineChars="200"/>
        <w:jc w:val="both"/>
        <w:rPr>
          <w:rFonts w:hint="default"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项目建设工作</w:t>
      </w:r>
    </w:p>
    <w:p>
      <w:pPr>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中心服务大楼共五层，一层、二层、三层、四层及五层西侧均为业务用房，五层东侧为办公用房，服务对象以老年人、儿童为主。随着中心业务的不断发展，就诊人数快速增长，中心未安装电梯给就诊居民带来不便的问题日显突出，尤以老年患者上下楼困难问题较为明显，且有居民多次反应，我中心就诊不便捷的问题。中心已呈报电梯安装申请报告至上级，预计2023年初施工建设。</w:t>
      </w:r>
    </w:p>
    <w:p>
      <w:pPr>
        <w:numPr>
          <w:ilvl w:val="0"/>
          <w:numId w:val="4"/>
        </w:numPr>
        <w:ind w:firstLine="640" w:firstLineChars="200"/>
        <w:jc w:val="both"/>
        <w:rPr>
          <w:rFonts w:hint="default"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民生实事工作</w:t>
      </w:r>
    </w:p>
    <w:p>
      <w:pPr>
        <w:ind w:firstLine="640" w:firstLineChars="200"/>
        <w:jc w:val="both"/>
        <w:rPr>
          <w:rFonts w:hint="eastAsia" w:ascii="仿宋_GB2312" w:hAnsi="仿宋_GB2312" w:eastAsia="仿宋_GB2312" w:cs="仿宋_GB2312"/>
          <w:color w:val="0000FF"/>
          <w:sz w:val="32"/>
          <w:szCs w:val="32"/>
          <w:lang w:val="en-US" w:eastAsia="zh-CN"/>
        </w:rPr>
      </w:pPr>
      <w:r>
        <w:rPr>
          <w:rFonts w:hint="eastAsia" w:ascii="仿宋_GB2312" w:hAnsi="仿宋_GB2312" w:eastAsia="仿宋_GB2312" w:cs="仿宋_GB2312"/>
          <w:sz w:val="32"/>
          <w:szCs w:val="32"/>
          <w:lang w:val="en-US" w:eastAsia="zh-CN"/>
        </w:rPr>
        <w:t>中心积极推进各项民生实事工作实施，家庭医生服务团队定期不定期下社区为行动不便的老年人等重点人群进行健康体检合计2082人次，上门为行动不便的老年人接种新冠疫苗1153人次，下社区义诊50次。</w:t>
      </w:r>
    </w:p>
    <w:p>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七、存在的问题及原因分析</w:t>
      </w:r>
    </w:p>
    <w:p>
      <w:pPr>
        <w:numPr>
          <w:ilvl w:val="0"/>
          <w:numId w:val="5"/>
        </w:numPr>
        <w:spacing w:line="560" w:lineRule="exact"/>
        <w:ind w:left="-430" w:leftChars="0" w:firstLine="640" w:firstLineChars="0"/>
        <w:rPr>
          <w:rFonts w:ascii="仿宋_GB2312" w:hAnsi="仿宋_GB2312" w:eastAsia="仿宋_GB2312" w:cs="Times New Roman"/>
          <w:bCs/>
          <w:sz w:val="30"/>
          <w:szCs w:val="30"/>
        </w:rPr>
      </w:pPr>
      <w:r>
        <w:rPr>
          <w:rFonts w:hint="eastAsia" w:ascii="仿宋_GB2312" w:hAnsi="仿宋_GB2312" w:eastAsia="仿宋_GB2312" w:cs="Times New Roman"/>
          <w:bCs/>
          <w:sz w:val="32"/>
          <w:szCs w:val="32"/>
          <w:lang w:val="en-US" w:eastAsia="zh-CN"/>
        </w:rPr>
        <w:t>人民群众对我中心</w:t>
      </w:r>
      <w:r>
        <w:rPr>
          <w:rFonts w:hint="eastAsia" w:ascii="仿宋_GB2312" w:hAnsi="仿宋_GB2312" w:eastAsia="仿宋_GB2312" w:cs="仿宋_GB2312"/>
          <w:b w:val="0"/>
          <w:bCs w:val="0"/>
          <w:color w:val="auto"/>
          <w:sz w:val="32"/>
          <w:szCs w:val="32"/>
          <w:highlight w:val="none"/>
          <w:lang w:val="en-US" w:eastAsia="zh-CN"/>
        </w:rPr>
        <w:t>的知晓度不够高</w:t>
      </w:r>
      <w:r>
        <w:rPr>
          <w:rFonts w:hint="eastAsia" w:ascii="仿宋_GB2312" w:hAnsi="仿宋_GB2312" w:eastAsia="仿宋_GB2312" w:cs="Times New Roman"/>
          <w:bCs/>
          <w:sz w:val="28"/>
          <w:szCs w:val="28"/>
        </w:rPr>
        <w:t>。</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pPr>
      <w:r>
        <w:rPr>
          <w:rFonts w:hint="eastAsia" w:ascii="仿宋_GB2312" w:hAnsi="仿宋_GB2312" w:eastAsia="仿宋_GB2312" w:cs="Times New Roman"/>
          <w:bCs/>
          <w:sz w:val="32"/>
          <w:szCs w:val="32"/>
          <w:lang w:val="en-US" w:eastAsia="zh-CN"/>
        </w:rPr>
        <w:t>多数居民对我中心了解有限，以为是办低保、养老之类的社区机构。最常听到的话就是：这个机构是打疫苗的地方。即使了解也不太认可，认为其规模小、设备差甚至没有、药品不全，对医生的技术不放心。    </w:t>
      </w:r>
    </w:p>
    <w:p>
      <w:pPr>
        <w:numPr>
          <w:ilvl w:val="0"/>
          <w:numId w:val="0"/>
        </w:numPr>
        <w:spacing w:line="560" w:lineRule="exact"/>
        <w:rPr>
          <w:rFonts w:hint="eastAsia" w:ascii="仿宋_GB2312" w:hAnsi="仿宋_GB2312" w:eastAsia="仿宋_GB2312" w:cs="Times New Roman"/>
          <w:bCs/>
          <w:sz w:val="32"/>
          <w:szCs w:val="32"/>
        </w:rPr>
      </w:pPr>
      <w:r>
        <w:rPr>
          <w:rFonts w:hint="eastAsia" w:ascii="仿宋_GB2312" w:hAnsi="仿宋_GB2312" w:eastAsia="仿宋_GB2312" w:cs="Times New Roman"/>
          <w:bCs/>
          <w:sz w:val="32"/>
          <w:szCs w:val="32"/>
          <w:lang w:eastAsia="zh-CN"/>
        </w:rPr>
        <w:t>（</w:t>
      </w:r>
      <w:r>
        <w:rPr>
          <w:rFonts w:hint="eastAsia" w:ascii="仿宋_GB2312" w:hAnsi="仿宋_GB2312" w:eastAsia="仿宋_GB2312" w:cs="Times New Roman"/>
          <w:bCs/>
          <w:sz w:val="32"/>
          <w:szCs w:val="32"/>
          <w:lang w:val="en-US" w:eastAsia="zh-CN"/>
        </w:rPr>
        <w:t>二</w:t>
      </w:r>
      <w:r>
        <w:rPr>
          <w:rFonts w:hint="eastAsia" w:ascii="仿宋_GB2312" w:hAnsi="仿宋_GB2312" w:eastAsia="仿宋_GB2312" w:cs="Times New Roman"/>
          <w:bCs/>
          <w:sz w:val="32"/>
          <w:szCs w:val="32"/>
          <w:lang w:eastAsia="zh-CN"/>
        </w:rPr>
        <w:t>）</w:t>
      </w:r>
      <w:r>
        <w:rPr>
          <w:rFonts w:hint="eastAsia" w:ascii="仿宋_GB2312" w:hAnsi="仿宋_GB2312" w:eastAsia="仿宋_GB2312" w:cs="Times New Roman"/>
          <w:bCs/>
          <w:sz w:val="32"/>
          <w:szCs w:val="32"/>
        </w:rPr>
        <w:t>社区居民健康档案建立不全面、不准确、不能共享</w:t>
      </w:r>
    </w:p>
    <w:p>
      <w:pPr>
        <w:numPr>
          <w:ilvl w:val="0"/>
          <w:numId w:val="0"/>
        </w:numPr>
        <w:spacing w:line="560" w:lineRule="exact"/>
        <w:ind w:firstLine="640" w:firstLineChars="200"/>
        <w:rPr>
          <w:rFonts w:hint="eastAsia" w:ascii="仿宋_GB2312" w:hAnsi="仿宋_GB2312" w:eastAsia="仿宋_GB2312" w:cs="Times New Roman"/>
          <w:bCs/>
          <w:sz w:val="32"/>
          <w:szCs w:val="32"/>
        </w:rPr>
      </w:pPr>
      <w:r>
        <w:rPr>
          <w:rFonts w:hint="eastAsia" w:ascii="仿宋_GB2312" w:hAnsi="仿宋_GB2312" w:eastAsia="仿宋_GB2312" w:cs="Times New Roman"/>
          <w:bCs/>
          <w:sz w:val="32"/>
          <w:szCs w:val="32"/>
          <w:lang w:val="en-US" w:eastAsia="zh-CN"/>
        </w:rPr>
        <w:t>我中心</w:t>
      </w:r>
      <w:r>
        <w:rPr>
          <w:rFonts w:hint="eastAsia" w:ascii="仿宋_GB2312" w:hAnsi="仿宋_GB2312" w:eastAsia="仿宋_GB2312" w:cs="Times New Roman"/>
          <w:bCs/>
          <w:sz w:val="32"/>
          <w:szCs w:val="32"/>
        </w:rPr>
        <w:t>虽然按照要求通过走访的形式建立了以户为单位的健康档案资料，但对信息的准确性、及时更新性，存在疑虑。未能实现健康资料所有医疗机构共享，不利于双向转诊工作的开展。在建立健康档案时。存在居民不配合现象，对工作人员以不开门、不回答等回避态度拒之。档案资料多是病人自己提供了病史，而未进行体检，没有相关的数据，可靠性不高。</w:t>
      </w:r>
    </w:p>
    <w:p>
      <w:pPr>
        <w:numPr>
          <w:ilvl w:val="0"/>
          <w:numId w:val="0"/>
        </w:numPr>
        <w:spacing w:line="560" w:lineRule="exact"/>
        <w:rPr>
          <w:rFonts w:hint="eastAsia" w:ascii="仿宋_GB2312" w:hAnsi="仿宋_GB2312" w:eastAsia="仿宋_GB2312" w:cs="Times New Roman"/>
          <w:bCs/>
          <w:sz w:val="32"/>
          <w:szCs w:val="32"/>
        </w:rPr>
      </w:pPr>
      <w:r>
        <w:rPr>
          <w:rFonts w:hint="eastAsia" w:ascii="仿宋_GB2312" w:hAnsi="仿宋_GB2312" w:eastAsia="仿宋_GB2312" w:cs="Times New Roman"/>
          <w:bCs/>
          <w:sz w:val="32"/>
          <w:szCs w:val="32"/>
          <w:lang w:eastAsia="zh-CN"/>
        </w:rPr>
        <w:t>（</w:t>
      </w:r>
      <w:r>
        <w:rPr>
          <w:rFonts w:hint="eastAsia" w:ascii="仿宋_GB2312" w:hAnsi="仿宋_GB2312" w:eastAsia="仿宋_GB2312" w:cs="Times New Roman"/>
          <w:bCs/>
          <w:sz w:val="32"/>
          <w:szCs w:val="32"/>
          <w:lang w:val="en-US" w:eastAsia="zh-CN"/>
        </w:rPr>
        <w:t>三</w:t>
      </w:r>
      <w:r>
        <w:rPr>
          <w:rFonts w:hint="eastAsia" w:ascii="仿宋_GB2312" w:hAnsi="仿宋_GB2312" w:eastAsia="仿宋_GB2312" w:cs="Times New Roman"/>
          <w:bCs/>
          <w:sz w:val="32"/>
          <w:szCs w:val="32"/>
          <w:lang w:eastAsia="zh-CN"/>
        </w:rPr>
        <w:t>）</w:t>
      </w:r>
      <w:r>
        <w:rPr>
          <w:rFonts w:hint="eastAsia" w:ascii="仿宋_GB2312" w:hAnsi="仿宋_GB2312" w:eastAsia="仿宋_GB2312" w:cs="Times New Roman"/>
          <w:bCs/>
          <w:sz w:val="32"/>
          <w:szCs w:val="32"/>
        </w:rPr>
        <w:t>缺乏全科医生等相应的医务人员</w:t>
      </w:r>
    </w:p>
    <w:p>
      <w:pPr>
        <w:numPr>
          <w:ilvl w:val="0"/>
          <w:numId w:val="0"/>
        </w:numPr>
        <w:spacing w:line="560" w:lineRule="exact"/>
        <w:ind w:firstLine="640" w:firstLineChars="200"/>
        <w:rPr>
          <w:rFonts w:hint="eastAsia" w:ascii="仿宋_GB2312" w:hAnsi="仿宋_GB2312" w:eastAsia="仿宋_GB2312" w:cs="Times New Roman"/>
          <w:bCs/>
          <w:sz w:val="32"/>
          <w:szCs w:val="32"/>
          <w:lang w:eastAsia="zh-CN"/>
        </w:rPr>
      </w:pPr>
      <w:r>
        <w:rPr>
          <w:rFonts w:hint="eastAsia" w:ascii="仿宋_GB2312" w:hAnsi="仿宋_GB2312" w:eastAsia="仿宋_GB2312" w:cs="Times New Roman"/>
          <w:bCs/>
          <w:sz w:val="32"/>
          <w:szCs w:val="32"/>
          <w:lang w:val="en-US" w:eastAsia="zh-CN"/>
        </w:rPr>
        <w:t>我中心</w:t>
      </w:r>
      <w:r>
        <w:rPr>
          <w:rFonts w:hint="eastAsia" w:ascii="仿宋_GB2312" w:hAnsi="仿宋_GB2312" w:eastAsia="仿宋_GB2312" w:cs="Times New Roman"/>
          <w:bCs/>
          <w:sz w:val="32"/>
          <w:szCs w:val="32"/>
        </w:rPr>
        <w:t>现有医护人员主要</w:t>
      </w:r>
      <w:r>
        <w:rPr>
          <w:rFonts w:hint="eastAsia" w:ascii="仿宋_GB2312" w:hAnsi="仿宋_GB2312" w:eastAsia="仿宋_GB2312" w:cs="Times New Roman"/>
          <w:bCs/>
          <w:sz w:val="32"/>
          <w:szCs w:val="32"/>
          <w:lang w:val="en-US" w:eastAsia="zh-CN"/>
        </w:rPr>
        <w:t>都</w:t>
      </w:r>
      <w:r>
        <w:rPr>
          <w:rFonts w:hint="eastAsia" w:ascii="仿宋_GB2312" w:hAnsi="仿宋_GB2312" w:eastAsia="仿宋_GB2312" w:cs="Times New Roman"/>
          <w:bCs/>
          <w:sz w:val="32"/>
          <w:szCs w:val="32"/>
        </w:rPr>
        <w:t>是学历层次较低的专科医生。只局限在专科诊疗水平上。缺乏全科医生、社区护士。人员素质低，在数量和质量上远不能满足社区居民多层次、全方位的综合医疗保健服务需求，因此社区居民对社区卫生服务缺乏信任感，从而影响社区卫生服务顺利开展。</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八、下一步改进措施</w:t>
      </w:r>
    </w:p>
    <w:p>
      <w:pPr>
        <w:numPr>
          <w:ilvl w:val="0"/>
          <w:numId w:val="0"/>
        </w:numPr>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将慢病、老年保健与全科、中医康复门诊、儿童保健与儿保门诊、妇女孕产妇保健与妇科门诊有机结合，以全科医师、慢病管理专干为主组成团队，按社区打桩定位，分片管理，通过家庭医师签约方式，做实、做强老年人、慢性病、0-6岁儿童及适龄妇女、孕产妇管理工作。</w:t>
      </w:r>
    </w:p>
    <w:p>
      <w:pPr>
        <w:numPr>
          <w:ilvl w:val="0"/>
          <w:numId w:val="0"/>
        </w:numPr>
        <w:ind w:firstLine="640" w:firstLineChars="200"/>
        <w:jc w:val="both"/>
        <w:rPr>
          <w:rFonts w:hint="default" w:ascii="楷体_GB2312" w:hAnsi="楷体_GB2312" w:eastAsia="楷体_GB2312" w:cs="楷体_GB2312"/>
          <w:b w:val="0"/>
          <w:bCs w:val="0"/>
          <w:sz w:val="32"/>
          <w:szCs w:val="32"/>
          <w:lang w:val="en-US" w:eastAsia="zh-CN"/>
        </w:rPr>
      </w:pPr>
      <w:r>
        <w:rPr>
          <w:rFonts w:hint="eastAsia" w:ascii="仿宋_GB2312" w:hAnsi="仿宋_GB2312" w:eastAsia="仿宋_GB2312" w:cs="仿宋_GB2312"/>
          <w:b w:val="0"/>
          <w:bCs w:val="0"/>
          <w:color w:val="auto"/>
          <w:sz w:val="32"/>
          <w:szCs w:val="32"/>
          <w:highlight w:val="none"/>
          <w:lang w:val="en-US" w:eastAsia="zh-CN"/>
        </w:rPr>
        <w:t>2.加大宣传力度，提高居民对国家基本公共卫生项目的知晓度。加强业务培训学习，提高服务水平，增加居民对专干管理依从性及认可性。</w:t>
      </w:r>
    </w:p>
    <w:p>
      <w:pPr>
        <w:widowControl w:val="0"/>
        <w:numPr>
          <w:ilvl w:val="0"/>
          <w:numId w:val="0"/>
        </w:numPr>
        <w:ind w:firstLine="640" w:firstLineChars="200"/>
        <w:jc w:val="both"/>
        <w:rPr>
          <w:rFonts w:hint="eastAsia" w:ascii="仿宋_GB2312" w:hAnsi="仿宋_GB2312" w:eastAsia="仿宋_GB2312" w:cs="仿宋_GB2312"/>
          <w:sz w:val="32"/>
          <w:szCs w:val="40"/>
          <w:highlight w:val="none"/>
          <w:lang w:val="en-US" w:eastAsia="zh-CN"/>
        </w:rPr>
      </w:pPr>
      <w:r>
        <w:rPr>
          <w:rFonts w:hint="eastAsia" w:ascii="仿宋_GB2312" w:hAnsi="仿宋" w:eastAsia="仿宋_GB2312" w:cs="仿宋"/>
          <w:sz w:val="32"/>
          <w:szCs w:val="32"/>
          <w:highlight w:val="none"/>
          <w:lang w:val="en-US" w:eastAsia="zh-CN"/>
        </w:rPr>
        <w:t>3.中心将按照上级要求继续抓实党风廉政建设、意识形态、安全生产，民生事实等重点工作，</w:t>
      </w:r>
      <w:r>
        <w:rPr>
          <w:rFonts w:hint="eastAsia" w:ascii="仿宋_GB2312" w:hAnsi="仿宋_GB2312" w:eastAsia="仿宋_GB2312" w:cs="仿宋_GB2312"/>
          <w:sz w:val="32"/>
          <w:szCs w:val="40"/>
          <w:highlight w:val="none"/>
          <w:lang w:val="en-US" w:eastAsia="zh-CN"/>
        </w:rPr>
        <w:t>细化各项工作措施，</w:t>
      </w:r>
      <w:r>
        <w:rPr>
          <w:rFonts w:hint="eastAsia" w:ascii="仿宋_GB2312" w:hAnsi="仿宋" w:eastAsia="仿宋_GB2312" w:cs="仿宋"/>
          <w:sz w:val="32"/>
          <w:szCs w:val="32"/>
          <w:highlight w:val="none"/>
          <w:lang w:val="en-US" w:eastAsia="zh-CN"/>
        </w:rPr>
        <w:t>提高安全工作意识，定期开展工作自查自纠，</w:t>
      </w:r>
      <w:r>
        <w:rPr>
          <w:rFonts w:hint="eastAsia" w:ascii="仿宋_GB2312" w:hAnsi="仿宋_GB2312" w:eastAsia="仿宋_GB2312" w:cs="仿宋_GB2312"/>
          <w:sz w:val="32"/>
          <w:szCs w:val="40"/>
          <w:highlight w:val="none"/>
          <w:lang w:val="en-US" w:eastAsia="zh-CN"/>
        </w:rPr>
        <w:t>并建立长效机制。</w:t>
      </w:r>
    </w:p>
    <w:p>
      <w:pPr>
        <w:rPr>
          <w:rFonts w:hint="eastAsia"/>
          <w:lang w:eastAsia="zh-CN"/>
        </w:rPr>
      </w:pP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九、部门整体支出绩效自评结果拟应用和公开情况</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无其他需要说明的情况</w:t>
      </w: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pPr>
        <w:spacing w:before="169" w:line="776" w:lineRule="exact"/>
        <w:rPr>
          <w:rFonts w:hint="eastAsia" w:ascii="宋体" w:hAnsi="宋体" w:eastAsia="宋体" w:cs="宋体"/>
          <w:b/>
          <w:bCs/>
          <w:color w:val="000000" w:themeColor="text1"/>
          <w:spacing w:val="19"/>
          <w:position w:val="17"/>
          <w:sz w:val="36"/>
          <w:szCs w:val="36"/>
          <w:lang w:eastAsia="zh-CN"/>
          <w14:textFill>
            <w14:solidFill>
              <w14:schemeClr w14:val="tx1"/>
            </w14:solidFill>
          </w14:textFill>
        </w:rPr>
        <w:sectPr>
          <w:pgSz w:w="11906" w:h="16838"/>
          <w:pgMar w:top="1701" w:right="1701" w:bottom="1701" w:left="1701" w:header="851" w:footer="992" w:gutter="0"/>
          <w:pgNumType w:fmt="decimal"/>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附件4</w:t>
      </w:r>
    </w:p>
    <w:p>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2022年度项目支出绩效自评表</w:t>
      </w:r>
    </w:p>
    <w:tbl>
      <w:tblPr>
        <w:tblStyle w:val="13"/>
        <w:tblW w:w="95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5"/>
        <w:gridCol w:w="1080"/>
        <w:gridCol w:w="1080"/>
        <w:gridCol w:w="1229"/>
        <w:gridCol w:w="1131"/>
        <w:gridCol w:w="1140"/>
        <w:gridCol w:w="685"/>
        <w:gridCol w:w="795"/>
        <w:gridCol w:w="13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1075"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项目支出</w:t>
            </w:r>
          </w:p>
          <w:p>
            <w:pPr>
              <w:keepNext w:val="0"/>
              <w:keepLines w:val="0"/>
              <w:pageBreakBefore w:val="0"/>
              <w:widowControl w:val="0"/>
              <w:kinsoku/>
              <w:wordWrap/>
              <w:overflowPunct/>
              <w:topLinePunct w:val="0"/>
              <w:autoSpaceDE/>
              <w:autoSpaceDN/>
              <w:bidi w:val="0"/>
              <w:adjustRightInd/>
              <w:snapToGrid/>
              <w:spacing w:line="226"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名称</w:t>
            </w:r>
          </w:p>
        </w:tc>
        <w:tc>
          <w:tcPr>
            <w:tcW w:w="8505" w:type="dxa"/>
            <w:gridSpan w:val="8"/>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eastAsia"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75" w:type="dxa"/>
            <w:noWrap w:val="0"/>
            <w:vAlign w:val="center"/>
          </w:tcPr>
          <w:p>
            <w:pPr>
              <w:keepNext w:val="0"/>
              <w:keepLines w:val="0"/>
              <w:pageBreakBefore w:val="0"/>
              <w:widowControl w:val="0"/>
              <w:kinsoku/>
              <w:wordWrap/>
              <w:overflowPunct/>
              <w:topLinePunct w:val="0"/>
              <w:autoSpaceDE/>
              <w:autoSpaceDN/>
              <w:bidi w:val="0"/>
              <w:adjustRightInd/>
              <w:snapToGrid/>
              <w:spacing w:line="202"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主管部门</w:t>
            </w:r>
          </w:p>
        </w:tc>
        <w:tc>
          <w:tcPr>
            <w:tcW w:w="4520" w:type="dxa"/>
            <w:gridSpan w:val="4"/>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eastAsia"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w:t>
            </w: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01"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实施单位</w:t>
            </w:r>
          </w:p>
        </w:tc>
        <w:tc>
          <w:tcPr>
            <w:tcW w:w="2845" w:type="dxa"/>
            <w:gridSpan w:val="3"/>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eastAsia"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1075"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54"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55"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项目资金</w:t>
            </w:r>
          </w:p>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(万元)</w:t>
            </w: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年初</w:t>
            </w:r>
          </w:p>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预算数</w:t>
            </w: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全年</w:t>
            </w:r>
          </w:p>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预算数</w:t>
            </w: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全年</w:t>
            </w:r>
          </w:p>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执行数</w:t>
            </w: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分值</w:t>
            </w: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执行率</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075"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01"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年度资金总额</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default"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0.00</w:t>
            </w: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default"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0.00</w:t>
            </w: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default"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0.00</w:t>
            </w:r>
            <w:bookmarkStart w:id="0" w:name="_GoBack"/>
            <w:bookmarkEnd w:id="0"/>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165"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position w:val="-2"/>
                <w:sz w:val="21"/>
                <w:szCs w:val="21"/>
                <w14:textFill>
                  <w14:solidFill>
                    <w14:schemeClr w14:val="tx1"/>
                  </w14:solidFill>
                </w14:textFill>
              </w:rPr>
              <w:t>10</w:t>
            </w: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eastAsia"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eastAsia"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075"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01"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其中：当年财政拨款</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075"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01"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ascii="宋体" w:hAnsi="宋体" w:eastAsia="宋体" w:cs="宋体"/>
                <w:color w:val="000000" w:themeColor="text1"/>
                <w:spacing w:val="0"/>
                <w:sz w:val="21"/>
                <w:szCs w:val="21"/>
                <w14:textFill>
                  <w14:solidFill>
                    <w14:schemeClr w14:val="tx1"/>
                  </w14:solidFill>
                </w14:textFill>
              </w:rPr>
              <w:t>上年结转资金</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075"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21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0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ascii="宋体" w:hAnsi="宋体" w:eastAsia="宋体" w:cs="宋体"/>
                <w:color w:val="000000" w:themeColor="text1"/>
                <w:spacing w:val="0"/>
                <w:sz w:val="21"/>
                <w:szCs w:val="21"/>
                <w14:textFill>
                  <w14:solidFill>
                    <w14:schemeClr w14:val="tx1"/>
                  </w14:solidFill>
                </w14:textFill>
              </w:rPr>
              <w:t>其他资金</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075"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06" w:lineRule="auto"/>
              <w:ind w:left="0" w:right="0" w:hanging="209"/>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年度总体</w:t>
            </w:r>
          </w:p>
          <w:p>
            <w:pPr>
              <w:keepNext w:val="0"/>
              <w:keepLines w:val="0"/>
              <w:pageBreakBefore w:val="0"/>
              <w:widowControl w:val="0"/>
              <w:kinsoku/>
              <w:wordWrap/>
              <w:overflowPunct/>
              <w:topLinePunct w:val="0"/>
              <w:autoSpaceDE/>
              <w:autoSpaceDN/>
              <w:bidi w:val="0"/>
              <w:adjustRightInd/>
              <w:snapToGrid/>
              <w:spacing w:line="206" w:lineRule="auto"/>
              <w:ind w:left="0" w:right="0" w:hanging="209"/>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目标</w:t>
            </w:r>
          </w:p>
        </w:tc>
        <w:tc>
          <w:tcPr>
            <w:tcW w:w="452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0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预期目标</w:t>
            </w:r>
          </w:p>
        </w:tc>
        <w:tc>
          <w:tcPr>
            <w:tcW w:w="398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01"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075"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452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398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1075" w:type="dxa"/>
            <w:vMerge w:val="restart"/>
            <w:tcBorders>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17"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绩</w:t>
            </w: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ascii="宋体" w:hAnsi="宋体" w:eastAsia="宋体" w:cs="宋体"/>
                <w:color w:val="000000" w:themeColor="text1"/>
                <w:spacing w:val="0"/>
                <w:sz w:val="21"/>
                <w:szCs w:val="21"/>
                <w14:textFill>
                  <w14:solidFill>
                    <w14:schemeClr w14:val="tx1"/>
                  </w14:solidFill>
                </w14:textFill>
              </w:rPr>
              <w:t>效</w:t>
            </w: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ascii="宋体" w:hAnsi="宋体" w:eastAsia="宋体" w:cs="宋体"/>
                <w:color w:val="000000" w:themeColor="text1"/>
                <w:spacing w:val="0"/>
                <w:sz w:val="21"/>
                <w:szCs w:val="21"/>
                <w14:textFill>
                  <w14:solidFill>
                    <w14:schemeClr w14:val="tx1"/>
                  </w14:solidFill>
                </w14:textFill>
              </w:rPr>
              <w:t>指</w:t>
            </w: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ascii="宋体" w:hAnsi="宋体" w:eastAsia="宋体" w:cs="宋体"/>
                <w:color w:val="000000" w:themeColor="text1"/>
                <w:spacing w:val="0"/>
                <w:sz w:val="21"/>
                <w:szCs w:val="21"/>
                <w14:textFill>
                  <w14:solidFill>
                    <w14:schemeClr w14:val="tx1"/>
                  </w14:solidFill>
                </w14:textFill>
              </w:rPr>
              <w:t>标</w:t>
            </w:r>
          </w:p>
        </w:tc>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一级指标</w:t>
            </w:r>
          </w:p>
        </w:tc>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二级指标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三级指标</w:t>
            </w: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年度</w:t>
            </w:r>
          </w:p>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指标值</w:t>
            </w: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实际</w:t>
            </w:r>
          </w:p>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完成值</w:t>
            </w: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分值</w:t>
            </w: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得分</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hanging="99"/>
              <w:jc w:val="center"/>
              <w:textAlignment w:val="auto"/>
              <w:rPr>
                <w:rFonts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ascii="宋体" w:hAnsi="宋体" w:eastAsia="宋体" w:cs="宋体"/>
                <w:color w:val="000000" w:themeColor="text1"/>
                <w:spacing w:val="0"/>
                <w:sz w:val="21"/>
                <w:szCs w:val="21"/>
                <w14:textFill>
                  <w14:solidFill>
                    <w14:schemeClr w14:val="tx1"/>
                  </w14:solidFill>
                </w14:textFill>
              </w:rPr>
              <w:t>偏差原因分析 及改进措施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56"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57"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57"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57"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position w:val="22"/>
                <w:sz w:val="21"/>
                <w:szCs w:val="21"/>
                <w14:textFill>
                  <w14:solidFill>
                    <w14:schemeClr w14:val="tx1"/>
                  </w14:solidFill>
                </w14:textFill>
              </w:rPr>
              <w:t>产出指标</w:t>
            </w:r>
          </w:p>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(50分)</w:t>
            </w: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19"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数量指标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19"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质量指标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时效指标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19"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成本指标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1"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01" w:lineRule="auto"/>
              <w:ind w:left="0" w:right="0"/>
              <w:jc w:val="center"/>
              <w:textAlignment w:val="auto"/>
              <w:rPr>
                <w:rFonts w:ascii="Arial"/>
                <w:color w:val="000000" w:themeColor="text1"/>
                <w:spacing w:val="0"/>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9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position w:val="21"/>
                <w:sz w:val="21"/>
                <w:szCs w:val="21"/>
                <w14:textFill>
                  <w14:solidFill>
                    <w14:schemeClr w14:val="tx1"/>
                  </w14:solidFill>
                </w14:textFill>
              </w:rPr>
              <w:t>效益指标</w:t>
            </w:r>
          </w:p>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(30分)</w:t>
            </w: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position w:val="4"/>
                <w:sz w:val="21"/>
                <w:szCs w:val="21"/>
                <w14:textFill>
                  <w14:solidFill>
                    <w14:schemeClr w14:val="tx1"/>
                  </w14:solidFill>
                </w14:textFill>
              </w:rPr>
              <w:t>经济效</w:t>
            </w:r>
          </w:p>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益指标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21"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社会效</w:t>
            </w:r>
          </w:p>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益指标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9"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37"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生态效</w:t>
            </w:r>
          </w:p>
          <w:p>
            <w:pPr>
              <w:keepNext w:val="0"/>
              <w:keepLines w:val="0"/>
              <w:pageBreakBefore w:val="0"/>
              <w:widowControl w:val="0"/>
              <w:kinsoku/>
              <w:wordWrap/>
              <w:overflowPunct/>
              <w:topLinePunct w:val="0"/>
              <w:autoSpaceDE/>
              <w:autoSpaceDN/>
              <w:bidi w:val="0"/>
              <w:adjustRightInd/>
              <w:snapToGrid/>
              <w:spacing w:line="220" w:lineRule="auto"/>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益指标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16" w:lineRule="auto"/>
              <w:ind w:left="0" w:right="0" w:hanging="99"/>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可持续</w:t>
            </w:r>
          </w:p>
          <w:p>
            <w:pPr>
              <w:keepNext w:val="0"/>
              <w:keepLines w:val="0"/>
              <w:pageBreakBefore w:val="0"/>
              <w:widowControl w:val="0"/>
              <w:kinsoku/>
              <w:wordWrap/>
              <w:overflowPunct/>
              <w:topLinePunct w:val="0"/>
              <w:autoSpaceDE/>
              <w:autoSpaceDN/>
              <w:bidi w:val="0"/>
              <w:adjustRightInd/>
              <w:snapToGrid/>
              <w:spacing w:line="216" w:lineRule="auto"/>
              <w:ind w:left="0" w:right="0" w:hanging="99"/>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影响指标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满意度</w:t>
            </w:r>
          </w:p>
          <w:p>
            <w:pPr>
              <w:keepNext w:val="0"/>
              <w:keepLines w:val="0"/>
              <w:pageBreakBefore w:val="0"/>
              <w:widowControl w:val="0"/>
              <w:kinsoku/>
              <w:wordWrap/>
              <w:overflowPunct/>
              <w:topLinePunct w:val="0"/>
              <w:autoSpaceDE/>
              <w:autoSpaceDN/>
              <w:bidi w:val="0"/>
              <w:adjustRightInd/>
              <w:snapToGrid/>
              <w:spacing w:line="28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指标</w:t>
            </w:r>
          </w:p>
          <w:p>
            <w:pPr>
              <w:keepNext w:val="0"/>
              <w:keepLines w:val="0"/>
              <w:pageBreakBefore w:val="0"/>
              <w:widowControl w:val="0"/>
              <w:kinsoku/>
              <w:wordWrap/>
              <w:overflowPunct/>
              <w:topLinePunct w:val="0"/>
              <w:autoSpaceDE/>
              <w:autoSpaceDN/>
              <w:bidi w:val="0"/>
              <w:adjustRightInd/>
              <w:snapToGrid/>
              <w:spacing w:line="28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(10分)</w:t>
            </w:r>
          </w:p>
        </w:tc>
        <w:tc>
          <w:tcPr>
            <w:tcW w:w="1080" w:type="dxa"/>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服务对象</w:t>
            </w:r>
          </w:p>
          <w:p>
            <w:pPr>
              <w:keepNext w:val="0"/>
              <w:keepLines w:val="0"/>
              <w:pageBreakBefore w:val="0"/>
              <w:widowControl w:val="0"/>
              <w:kinsoku/>
              <w:wordWrap/>
              <w:overflowPunct/>
              <w:topLinePunct w:val="0"/>
              <w:autoSpaceDE/>
              <w:autoSpaceDN/>
              <w:bidi w:val="0"/>
              <w:adjustRightInd/>
              <w:snapToGrid/>
              <w:spacing w:line="28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满意度</w:t>
            </w:r>
          </w:p>
          <w:p>
            <w:pPr>
              <w:keepNext w:val="0"/>
              <w:keepLines w:val="0"/>
              <w:pageBreakBefore w:val="0"/>
              <w:widowControl w:val="0"/>
              <w:kinsoku/>
              <w:wordWrap/>
              <w:overflowPunct/>
              <w:topLinePunct w:val="0"/>
              <w:autoSpaceDE/>
              <w:autoSpaceDN/>
              <w:bidi w:val="0"/>
              <w:adjustRightInd/>
              <w:snapToGrid/>
              <w:spacing w:line="280" w:lineRule="exact"/>
              <w:ind w:left="0" w:righ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指标</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trPr>
        <w:tc>
          <w:tcPr>
            <w:tcW w:w="1075" w:type="dxa"/>
            <w:vMerge w:val="continue"/>
            <w:tcBorders>
              <w:top w:val="nil"/>
              <w:bottom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230" w:lineRule="exact"/>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075" w:type="dxa"/>
            <w:vMerge w:val="continue"/>
            <w:tcBorders>
              <w:top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08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131"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140"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735"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0" w:right="0" w:firstLine="3145"/>
              <w:jc w:val="center"/>
              <w:textAlignment w:val="auto"/>
              <w:rPr>
                <w:rFonts w:hint="eastAsia" w:eastAsiaTheme="minorEastAsia"/>
                <w:color w:val="000000" w:themeColor="text1"/>
                <w:spacing w:val="0"/>
                <w:sz w:val="21"/>
                <w:szCs w:val="21"/>
                <w:lang w:eastAsia="zh-CN"/>
                <w14:textFill>
                  <w14:solidFill>
                    <w14:schemeClr w14:val="tx1"/>
                  </w14:solidFill>
                </w14:textFill>
              </w:rPr>
            </w:pPr>
            <w:r>
              <w:rPr>
                <w:rFonts w:hint="eastAsia"/>
                <w:color w:val="000000" w:themeColor="text1"/>
                <w:spacing w:val="0"/>
                <w:sz w:val="21"/>
                <w:szCs w:val="21"/>
                <w:lang w:eastAsia="zh-CN"/>
                <w14:textFill>
                  <w14:solidFill>
                    <w14:schemeClr w14:val="tx1"/>
                  </w14:solidFill>
                </w14:textFill>
              </w:rPr>
              <w:t>总分</w:t>
            </w:r>
          </w:p>
        </w:tc>
        <w:tc>
          <w:tcPr>
            <w:tcW w:w="685" w:type="dxa"/>
            <w:noWrap w:val="0"/>
            <w:vAlign w:val="center"/>
          </w:tcPr>
          <w:p>
            <w:pPr>
              <w:keepNext w:val="0"/>
              <w:keepLines w:val="0"/>
              <w:pageBreakBefore w:val="0"/>
              <w:widowControl w:val="0"/>
              <w:kinsoku/>
              <w:wordWrap/>
              <w:overflowPunct/>
              <w:topLinePunct w:val="0"/>
              <w:autoSpaceDE/>
              <w:autoSpaceDN/>
              <w:bidi w:val="0"/>
              <w:adjustRightInd/>
              <w:snapToGrid/>
              <w:spacing w:line="161" w:lineRule="auto"/>
              <w:ind w:left="0" w:right="0"/>
              <w:jc w:val="center"/>
              <w:textAlignment w:val="auto"/>
              <w:rPr>
                <w:rFonts w:hint="eastAsia" w:ascii="宋体" w:hAnsi="宋体" w:eastAsia="宋体" w:cs="宋体"/>
                <w:color w:val="000000" w:themeColor="text1"/>
                <w:spacing w:val="0"/>
                <w:sz w:val="21"/>
                <w:szCs w:val="21"/>
                <w:lang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w:t>
            </w:r>
          </w:p>
        </w:tc>
        <w:tc>
          <w:tcPr>
            <w:tcW w:w="79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hint="eastAsia"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rPr>
                <w:rFonts w:ascii="Arial"/>
                <w:color w:val="000000" w:themeColor="text1"/>
                <w:spacing w:val="0"/>
                <w:sz w:val="21"/>
                <w:szCs w:val="21"/>
                <w14:textFill>
                  <w14:solidFill>
                    <w14:schemeClr w14:val="tx1"/>
                  </w14:solidFill>
                </w14:textFill>
              </w:rPr>
            </w:pPr>
          </w:p>
        </w:tc>
      </w:tr>
    </w:tbl>
    <w:p>
      <w:pPr>
        <w:spacing w:line="252" w:lineRule="auto"/>
        <w:rPr>
          <w:rFonts w:ascii="Arial"/>
          <w:color w:val="000000" w:themeColor="text1"/>
          <w:sz w:val="21"/>
          <w14:textFill>
            <w14:solidFill>
              <w14:schemeClr w14:val="tx1"/>
            </w14:solidFill>
          </w14:textFill>
        </w:rPr>
      </w:pPr>
    </w:p>
    <w:p>
      <w:pPr>
        <w:spacing w:before="75" w:line="230" w:lineRule="auto"/>
        <w:rPr>
          <w:rFonts w:hint="default" w:ascii="仿宋_GB2312" w:hAnsi="仿宋_GB2312" w:eastAsia="仿宋_GB2312" w:cs="仿宋_GB2312"/>
          <w:color w:val="000000" w:themeColor="text1"/>
          <w:spacing w:val="0"/>
          <w:position w:val="0"/>
          <w:sz w:val="32"/>
          <w:szCs w:val="32"/>
          <w:lang w:val="en-US" w:eastAsia="zh-CN"/>
          <w14:textFill>
            <w14:solidFill>
              <w14:schemeClr w14:val="tx1"/>
            </w14:solidFill>
          </w14:textFill>
        </w:rPr>
        <w:sectPr>
          <w:pgSz w:w="11906" w:h="16838"/>
          <w:pgMar w:top="1417" w:right="1417" w:bottom="1417" w:left="1417" w:header="851" w:footer="992" w:gutter="0"/>
          <w:pgNumType w:fmt="decimal"/>
          <w:cols w:space="0" w:num="1"/>
          <w:rtlGutter w:val="0"/>
          <w:docGrid w:type="lines" w:linePitch="312" w:charSpace="0"/>
        </w:sectPr>
      </w:pPr>
      <w:r>
        <w:rPr>
          <w:rFonts w:ascii="仿宋" w:hAnsi="仿宋" w:eastAsia="仿宋" w:cs="仿宋"/>
          <w:color w:val="000000" w:themeColor="text1"/>
          <w:spacing w:val="-26"/>
          <w:sz w:val="23"/>
          <w:szCs w:val="23"/>
          <w14:textFill>
            <w14:solidFill>
              <w14:schemeClr w14:val="tx1"/>
            </w14:solidFill>
          </w14:textFill>
        </w:rPr>
        <w:t>填表人：</w:t>
      </w:r>
      <w:r>
        <w:rPr>
          <w:rFonts w:ascii="仿宋" w:hAnsi="仿宋" w:eastAsia="仿宋" w:cs="仿宋"/>
          <w:color w:val="000000" w:themeColor="text1"/>
          <w:spacing w:val="15"/>
          <w:sz w:val="23"/>
          <w:szCs w:val="23"/>
          <w14:textFill>
            <w14:solidFill>
              <w14:schemeClr w14:val="tx1"/>
            </w14:solidFill>
          </w14:textFill>
        </w:rPr>
        <w:t xml:space="preserve">  </w:t>
      </w:r>
      <w:r>
        <w:rPr>
          <w:rFonts w:ascii="仿宋" w:hAnsi="仿宋" w:eastAsia="仿宋" w:cs="仿宋"/>
          <w:color w:val="000000" w:themeColor="text1"/>
          <w:spacing w:val="4"/>
          <w:sz w:val="23"/>
          <w:szCs w:val="23"/>
          <w14:textFill>
            <w14:solidFill>
              <w14:schemeClr w14:val="tx1"/>
            </w14:solidFill>
          </w14:textFill>
        </w:rPr>
        <w:t xml:space="preserve">         </w:t>
      </w:r>
      <w:r>
        <w:rPr>
          <w:rFonts w:ascii="仿宋" w:hAnsi="仿宋" w:eastAsia="仿宋" w:cs="仿宋"/>
          <w:color w:val="000000" w:themeColor="text1"/>
          <w:spacing w:val="-26"/>
          <w:sz w:val="23"/>
          <w:szCs w:val="23"/>
          <w14:textFill>
            <w14:solidFill>
              <w14:schemeClr w14:val="tx1"/>
            </w14:solidFill>
          </w14:textFill>
        </w:rPr>
        <w:t>联系电话：</w:t>
      </w:r>
      <w:r>
        <w:rPr>
          <w:rFonts w:ascii="仿宋" w:hAnsi="仿宋" w:eastAsia="仿宋" w:cs="仿宋"/>
          <w:color w:val="000000" w:themeColor="text1"/>
          <w:spacing w:val="3"/>
          <w:sz w:val="23"/>
          <w:szCs w:val="23"/>
          <w14:textFill>
            <w14:solidFill>
              <w14:schemeClr w14:val="tx1"/>
            </w14:solidFill>
          </w14:textFill>
        </w:rPr>
        <w:t xml:space="preserve">            </w:t>
      </w:r>
      <w:r>
        <w:rPr>
          <w:rFonts w:ascii="仿宋" w:hAnsi="仿宋" w:eastAsia="仿宋" w:cs="仿宋"/>
          <w:color w:val="000000" w:themeColor="text1"/>
          <w:spacing w:val="-26"/>
          <w:sz w:val="23"/>
          <w:szCs w:val="23"/>
          <w14:textFill>
            <w14:solidFill>
              <w14:schemeClr w14:val="tx1"/>
            </w14:solidFill>
          </w14:textFill>
        </w:rPr>
        <w:t>单位负责人签字：</w:t>
      </w:r>
      <w:r>
        <w:rPr>
          <w:rFonts w:hint="eastAsia" w:ascii="仿宋" w:hAnsi="仿宋" w:eastAsia="仿宋" w:cs="仿宋"/>
          <w:color w:val="000000" w:themeColor="text1"/>
          <w:spacing w:val="-26"/>
          <w:sz w:val="23"/>
          <w:szCs w:val="23"/>
          <w:lang w:val="en-US" w:eastAsia="zh-CN"/>
          <w14:textFill>
            <w14:solidFill>
              <w14:schemeClr w14:val="tx1"/>
            </w14:solidFill>
          </w14:textFill>
        </w:rPr>
        <w:t xml:space="preserve">                 </w:t>
      </w:r>
      <w:r>
        <w:rPr>
          <w:rFonts w:ascii="仿宋" w:hAnsi="仿宋" w:eastAsia="仿宋" w:cs="仿宋"/>
          <w:color w:val="000000" w:themeColor="text1"/>
          <w:spacing w:val="15"/>
          <w:sz w:val="23"/>
          <w:szCs w:val="23"/>
          <w14:textFill>
            <w14:solidFill>
              <w14:schemeClr w14:val="tx1"/>
            </w14:solidFill>
          </w14:textFill>
        </w:rPr>
        <w:t xml:space="preserve"> </w:t>
      </w:r>
      <w:r>
        <w:rPr>
          <w:rFonts w:ascii="仿宋" w:hAnsi="仿宋" w:eastAsia="仿宋" w:cs="仿宋"/>
          <w:color w:val="000000" w:themeColor="text1"/>
          <w:spacing w:val="-26"/>
          <w:sz w:val="23"/>
          <w:szCs w:val="23"/>
          <w14:textFill>
            <w14:solidFill>
              <w14:schemeClr w14:val="tx1"/>
            </w14:solidFill>
          </w14:textFill>
        </w:rPr>
        <w:t>填报日期：</w:t>
      </w:r>
      <w:r>
        <w:rPr>
          <w:rFonts w:ascii="仿宋" w:hAnsi="仿宋" w:eastAsia="仿宋" w:cs="仿宋"/>
          <w:color w:val="000000" w:themeColor="text1"/>
          <w:spacing w:val="4"/>
          <w:sz w:val="23"/>
          <w:szCs w:val="23"/>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附件5</w:t>
      </w:r>
    </w:p>
    <w:p>
      <w:pPr>
        <w:ind w:firstLine="1440" w:firstLineChars="400"/>
        <w:jc w:val="both"/>
        <w:rPr>
          <w:rFonts w:hint="eastAsia" w:eastAsia="方正小标宋简体"/>
          <w:sz w:val="36"/>
          <w:szCs w:val="36"/>
          <w:lang w:eastAsia="zh-CN"/>
        </w:rPr>
      </w:pPr>
    </w:p>
    <w:p>
      <w:pPr>
        <w:ind w:firstLine="1440" w:firstLineChars="400"/>
        <w:jc w:val="both"/>
        <w:rPr>
          <w:rFonts w:eastAsia="方正小标宋简体"/>
          <w:spacing w:val="-6"/>
          <w:sz w:val="36"/>
          <w:szCs w:val="36"/>
        </w:rPr>
      </w:pPr>
      <w:r>
        <w:rPr>
          <w:rFonts w:hint="eastAsia" w:eastAsia="方正小标宋简体"/>
          <w:sz w:val="36"/>
          <w:szCs w:val="36"/>
          <w:lang w:eastAsia="zh-CN"/>
        </w:rPr>
        <w:t>区级</w:t>
      </w:r>
      <w:r>
        <w:rPr>
          <w:rFonts w:eastAsia="方正小标宋简体"/>
          <w:sz w:val="36"/>
          <w:szCs w:val="36"/>
        </w:rPr>
        <w:t>预算</w:t>
      </w:r>
      <w:r>
        <w:rPr>
          <w:rFonts w:hint="eastAsia" w:eastAsia="方正小标宋简体"/>
          <w:sz w:val="36"/>
          <w:szCs w:val="36"/>
          <w:lang w:eastAsia="zh-CN"/>
        </w:rPr>
        <w:t>单位</w:t>
      </w:r>
      <w:r>
        <w:rPr>
          <w:rFonts w:eastAsia="方正小标宋简体"/>
          <w:spacing w:val="-6"/>
          <w:sz w:val="36"/>
          <w:szCs w:val="36"/>
        </w:rPr>
        <w:t>绩效自评工作考核评分表</w:t>
      </w:r>
    </w:p>
    <w:tbl>
      <w:tblPr>
        <w:tblStyle w:val="9"/>
        <w:tblW w:w="9510" w:type="dxa"/>
        <w:jc w:val="center"/>
        <w:tblLayout w:type="fixed"/>
        <w:tblCellMar>
          <w:top w:w="0" w:type="dxa"/>
          <w:left w:w="108" w:type="dxa"/>
          <w:bottom w:w="0" w:type="dxa"/>
          <w:right w:w="108" w:type="dxa"/>
        </w:tblCellMar>
      </w:tblPr>
      <w:tblGrid>
        <w:gridCol w:w="774"/>
        <w:gridCol w:w="1501"/>
        <w:gridCol w:w="6482"/>
        <w:gridCol w:w="753"/>
      </w:tblGrid>
      <w:tr>
        <w:tblPrEx>
          <w:tblCellMar>
            <w:top w:w="0" w:type="dxa"/>
            <w:left w:w="108" w:type="dxa"/>
            <w:bottom w:w="0" w:type="dxa"/>
            <w:right w:w="108" w:type="dxa"/>
          </w:tblCellMar>
        </w:tblPrEx>
        <w:trPr>
          <w:trHeight w:val="630" w:hRule="atLeast"/>
          <w:tblHeader/>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eastAsia="黑体"/>
                <w:szCs w:val="21"/>
              </w:rPr>
            </w:pPr>
            <w:r>
              <w:rPr>
                <w:rFonts w:eastAsia="黑体"/>
                <w:szCs w:val="21"/>
              </w:rPr>
              <w:t>一级指标</w:t>
            </w:r>
          </w:p>
        </w:tc>
        <w:tc>
          <w:tcPr>
            <w:tcW w:w="1501"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eastAsia="黑体"/>
                <w:szCs w:val="21"/>
              </w:rPr>
            </w:pPr>
            <w:r>
              <w:rPr>
                <w:rFonts w:eastAsia="黑体"/>
                <w:szCs w:val="21"/>
              </w:rPr>
              <w:t>二级指标</w:t>
            </w:r>
          </w:p>
        </w:tc>
        <w:tc>
          <w:tcPr>
            <w:tcW w:w="6482"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eastAsia="黑体"/>
                <w:szCs w:val="21"/>
              </w:rPr>
            </w:pPr>
            <w:r>
              <w:rPr>
                <w:rFonts w:eastAsia="黑体"/>
                <w:szCs w:val="21"/>
              </w:rPr>
              <w:t>评分标准</w:t>
            </w:r>
          </w:p>
        </w:tc>
        <w:tc>
          <w:tcPr>
            <w:tcW w:w="753"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eastAsia="黑体"/>
                <w:szCs w:val="21"/>
              </w:rPr>
            </w:pPr>
            <w:r>
              <w:rPr>
                <w:rFonts w:eastAsia="黑体"/>
                <w:szCs w:val="21"/>
              </w:rPr>
              <w:t>评分</w:t>
            </w:r>
          </w:p>
        </w:tc>
      </w:tr>
      <w:tr>
        <w:tblPrEx>
          <w:tblCellMar>
            <w:top w:w="0" w:type="dxa"/>
            <w:left w:w="108" w:type="dxa"/>
            <w:bottom w:w="0" w:type="dxa"/>
            <w:right w:w="108" w:type="dxa"/>
          </w:tblCellMar>
        </w:tblPrEx>
        <w:trPr>
          <w:trHeight w:val="1234" w:hRule="atLeast"/>
          <w:jc w:val="center"/>
        </w:trPr>
        <w:tc>
          <w:tcPr>
            <w:tcW w:w="77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实施评价</w:t>
            </w:r>
          </w:p>
          <w:p>
            <w:pPr>
              <w:spacing w:line="320" w:lineRule="exact"/>
              <w:jc w:val="center"/>
              <w:rPr>
                <w:rFonts w:hint="eastAsia" w:asciiTheme="majorEastAsia" w:hAnsiTheme="majorEastAsia" w:eastAsiaTheme="majorEastAsia" w:cstheme="majorEastAsia"/>
                <w:szCs w:val="21"/>
              </w:rPr>
            </w:pPr>
          </w:p>
          <w:p>
            <w:pPr>
              <w:spacing w:line="32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30分</w:t>
            </w:r>
          </w:p>
        </w:tc>
        <w:tc>
          <w:tcPr>
            <w:tcW w:w="1501"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单位自查</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（20分）</w:t>
            </w:r>
          </w:p>
        </w:tc>
        <w:tc>
          <w:tcPr>
            <w:tcW w:w="6482" w:type="dxa"/>
            <w:tcBorders>
              <w:top w:val="single" w:color="auto" w:sz="4" w:space="0"/>
              <w:left w:val="nil"/>
              <w:bottom w:val="single" w:color="auto" w:sz="4" w:space="0"/>
              <w:right w:val="single" w:color="auto" w:sz="4" w:space="0"/>
            </w:tcBorders>
            <w:noWrap w:val="0"/>
            <w:vAlign w:val="center"/>
          </w:tcPr>
          <w:p>
            <w:pPr>
              <w:spacing w:line="240" w:lineRule="exact"/>
              <w:ind w:firstLine="210" w:firstLineChars="1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区</w:t>
            </w:r>
            <w:r>
              <w:rPr>
                <w:rFonts w:hint="eastAsia" w:asciiTheme="majorEastAsia" w:hAnsiTheme="majorEastAsia" w:eastAsiaTheme="majorEastAsia" w:cstheme="majorEastAsia"/>
                <w:sz w:val="21"/>
                <w:szCs w:val="21"/>
              </w:rPr>
              <w:t>级预算单位都要开展绩效自查，转移支付项目单位都要开展绩效自查，区级主管部门都要汇总本区域转移支付情况；以上各项每发现一个单位没有做相应工作的，扣1分，最多扣20分。</w:t>
            </w:r>
          </w:p>
        </w:tc>
        <w:tc>
          <w:tcPr>
            <w:tcW w:w="753" w:type="dxa"/>
            <w:tcBorders>
              <w:top w:val="single" w:color="auto" w:sz="4" w:space="0"/>
              <w:left w:val="nil"/>
              <w:bottom w:val="single" w:color="auto" w:sz="4" w:space="0"/>
              <w:right w:val="single" w:color="auto" w:sz="4" w:space="0"/>
            </w:tcBorders>
            <w:noWrap w:val="0"/>
            <w:vAlign w:val="center"/>
          </w:tcPr>
          <w:p>
            <w:pPr>
              <w:spacing w:line="240" w:lineRule="exact"/>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　</w:t>
            </w:r>
            <w:r>
              <w:rPr>
                <w:rFonts w:hint="eastAsia" w:asciiTheme="majorEastAsia" w:hAnsiTheme="majorEastAsia" w:eastAsiaTheme="majorEastAsia" w:cstheme="majorEastAsia"/>
                <w:szCs w:val="21"/>
                <w:lang w:val="en-US" w:eastAsia="zh-CN"/>
              </w:rPr>
              <w:t>20</w:t>
            </w:r>
          </w:p>
        </w:tc>
      </w:tr>
      <w:tr>
        <w:tblPrEx>
          <w:tblCellMar>
            <w:top w:w="0" w:type="dxa"/>
            <w:left w:w="108" w:type="dxa"/>
            <w:bottom w:w="0" w:type="dxa"/>
            <w:right w:w="108" w:type="dxa"/>
          </w:tblCellMar>
        </w:tblPrEx>
        <w:trPr>
          <w:trHeight w:val="682" w:hRule="atLeast"/>
          <w:jc w:val="center"/>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heme="majorEastAsia" w:hAnsiTheme="majorEastAsia" w:eastAsiaTheme="majorEastAsia" w:cstheme="majorEastAsia"/>
                <w:szCs w:val="21"/>
              </w:rPr>
            </w:pPr>
          </w:p>
        </w:tc>
        <w:tc>
          <w:tcPr>
            <w:tcW w:w="1501" w:type="dxa"/>
            <w:tcBorders>
              <w:top w:val="nil"/>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提交报告</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（10分）</w:t>
            </w:r>
          </w:p>
        </w:tc>
        <w:tc>
          <w:tcPr>
            <w:tcW w:w="6482" w:type="dxa"/>
            <w:tcBorders>
              <w:top w:val="nil"/>
              <w:left w:val="nil"/>
              <w:bottom w:val="single" w:color="auto" w:sz="4" w:space="0"/>
              <w:right w:val="single" w:color="auto" w:sz="4" w:space="0"/>
            </w:tcBorders>
            <w:noWrap w:val="0"/>
            <w:vAlign w:val="center"/>
          </w:tcPr>
          <w:p>
            <w:pPr>
              <w:spacing w:line="240" w:lineRule="exact"/>
              <w:ind w:firstLine="210" w:firstLineChars="1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按时向</w:t>
            </w:r>
            <w:r>
              <w:rPr>
                <w:rFonts w:hint="eastAsia" w:asciiTheme="majorEastAsia" w:hAnsiTheme="majorEastAsia" w:eastAsiaTheme="majorEastAsia" w:cstheme="majorEastAsia"/>
                <w:sz w:val="21"/>
                <w:szCs w:val="21"/>
                <w:lang w:eastAsia="zh-CN"/>
              </w:rPr>
              <w:t>区</w:t>
            </w:r>
            <w:r>
              <w:rPr>
                <w:rFonts w:hint="eastAsia" w:asciiTheme="majorEastAsia" w:hAnsiTheme="majorEastAsia" w:eastAsiaTheme="majorEastAsia" w:cstheme="majorEastAsia"/>
                <w:sz w:val="21"/>
                <w:szCs w:val="21"/>
              </w:rPr>
              <w:t>财政局报送报告的得10分；每推迟一天报送报告的扣1分，最多扣10分。</w:t>
            </w:r>
          </w:p>
        </w:tc>
        <w:tc>
          <w:tcPr>
            <w:tcW w:w="753" w:type="dxa"/>
            <w:tcBorders>
              <w:top w:val="nil"/>
              <w:left w:val="nil"/>
              <w:bottom w:val="single" w:color="auto" w:sz="4" w:space="0"/>
              <w:right w:val="single" w:color="auto" w:sz="4" w:space="0"/>
            </w:tcBorders>
            <w:noWrap w:val="0"/>
            <w:vAlign w:val="center"/>
          </w:tcPr>
          <w:p>
            <w:pPr>
              <w:spacing w:line="240" w:lineRule="exact"/>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lang w:val="en-US" w:eastAsia="zh-CN"/>
              </w:rPr>
              <w:t>10</w:t>
            </w:r>
          </w:p>
        </w:tc>
      </w:tr>
      <w:tr>
        <w:tblPrEx>
          <w:tblCellMar>
            <w:top w:w="0" w:type="dxa"/>
            <w:left w:w="108" w:type="dxa"/>
            <w:bottom w:w="0" w:type="dxa"/>
            <w:right w:w="108" w:type="dxa"/>
          </w:tblCellMar>
        </w:tblPrEx>
        <w:trPr>
          <w:trHeight w:val="1408" w:hRule="atLeast"/>
          <w:jc w:val="center"/>
        </w:trPr>
        <w:tc>
          <w:tcPr>
            <w:tcW w:w="77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自评报告</w:t>
            </w:r>
          </w:p>
          <w:p>
            <w:pPr>
              <w:spacing w:line="240" w:lineRule="exact"/>
              <w:jc w:val="center"/>
              <w:rPr>
                <w:rFonts w:hint="eastAsia" w:asciiTheme="majorEastAsia" w:hAnsiTheme="majorEastAsia" w:eastAsiaTheme="majorEastAsia" w:cstheme="majorEastAsia"/>
                <w:szCs w:val="21"/>
              </w:rPr>
            </w:pPr>
          </w:p>
          <w:p>
            <w:pPr>
              <w:spacing w:line="24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70</w:t>
            </w:r>
            <w:r>
              <w:rPr>
                <w:rFonts w:hint="eastAsia" w:asciiTheme="majorEastAsia" w:hAnsiTheme="majorEastAsia" w:eastAsiaTheme="majorEastAsia" w:cstheme="majorEastAsia"/>
                <w:szCs w:val="21"/>
              </w:rPr>
              <w:t>分</w:t>
            </w:r>
          </w:p>
        </w:tc>
        <w:tc>
          <w:tcPr>
            <w:tcW w:w="1501"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自评报告</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的完整性</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（15分）</w:t>
            </w:r>
          </w:p>
        </w:tc>
        <w:tc>
          <w:tcPr>
            <w:tcW w:w="6482" w:type="dxa"/>
            <w:tcBorders>
              <w:top w:val="single" w:color="auto" w:sz="4" w:space="0"/>
              <w:left w:val="nil"/>
              <w:bottom w:val="single" w:color="auto" w:sz="4" w:space="0"/>
              <w:right w:val="single" w:color="auto" w:sz="4" w:space="0"/>
            </w:tcBorders>
            <w:noWrap w:val="0"/>
            <w:vAlign w:val="center"/>
          </w:tcPr>
          <w:p>
            <w:pPr>
              <w:spacing w:line="240" w:lineRule="exact"/>
              <w:ind w:firstLine="210" w:firstLineChars="1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1.绩效自评报告正文部分内容齐全的，得8分；否则每少一个部分扣2分，最多扣8分。</w:t>
            </w:r>
          </w:p>
          <w:p>
            <w:pPr>
              <w:spacing w:line="240" w:lineRule="exact"/>
              <w:ind w:firstLine="210" w:firstLineChars="1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2.绩效自评报告附件部分内容齐全的，得7分；否则每少一个部分扣2分，最多扣7分。</w:t>
            </w:r>
          </w:p>
        </w:tc>
        <w:tc>
          <w:tcPr>
            <w:tcW w:w="753"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15</w:t>
            </w:r>
            <w:r>
              <w:rPr>
                <w:rFonts w:hint="eastAsia" w:asciiTheme="majorEastAsia" w:hAnsiTheme="majorEastAsia" w:eastAsiaTheme="majorEastAsia" w:cstheme="majorEastAsia"/>
                <w:szCs w:val="21"/>
              </w:rPr>
              <w:t>　</w:t>
            </w:r>
          </w:p>
        </w:tc>
      </w:tr>
      <w:tr>
        <w:tblPrEx>
          <w:tblCellMar>
            <w:top w:w="0" w:type="dxa"/>
            <w:left w:w="108" w:type="dxa"/>
            <w:bottom w:w="0" w:type="dxa"/>
            <w:right w:w="108" w:type="dxa"/>
          </w:tblCellMar>
        </w:tblPrEx>
        <w:trPr>
          <w:trHeight w:val="3405" w:hRule="atLeast"/>
          <w:jc w:val="center"/>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heme="majorEastAsia" w:hAnsiTheme="majorEastAsia" w:eastAsiaTheme="majorEastAsia" w:cstheme="majorEastAsia"/>
                <w:szCs w:val="21"/>
              </w:rPr>
            </w:pPr>
          </w:p>
        </w:tc>
        <w:tc>
          <w:tcPr>
            <w:tcW w:w="1501" w:type="dxa"/>
            <w:tcBorders>
              <w:top w:val="single" w:color="auto" w:sz="4" w:space="0"/>
              <w:left w:val="nil"/>
              <w:bottom w:val="nil"/>
              <w:right w:val="single" w:color="auto" w:sz="4" w:space="0"/>
            </w:tcBorders>
            <w:noWrap w:val="0"/>
            <w:vAlign w:val="center"/>
          </w:tcPr>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绩效自评表</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w:t>
            </w:r>
            <w:r>
              <w:rPr>
                <w:rFonts w:hint="eastAsia" w:asciiTheme="majorEastAsia" w:hAnsiTheme="majorEastAsia" w:eastAsiaTheme="majorEastAsia" w:cstheme="majorEastAsia"/>
                <w:sz w:val="21"/>
                <w:szCs w:val="21"/>
                <w:lang w:val="en-US" w:eastAsia="zh-CN"/>
              </w:rPr>
              <w:t>20</w:t>
            </w:r>
            <w:r>
              <w:rPr>
                <w:rFonts w:hint="eastAsia" w:asciiTheme="majorEastAsia" w:hAnsiTheme="majorEastAsia" w:eastAsiaTheme="majorEastAsia" w:cstheme="majorEastAsia"/>
                <w:sz w:val="21"/>
                <w:szCs w:val="21"/>
              </w:rPr>
              <w:t>分）</w:t>
            </w:r>
          </w:p>
        </w:tc>
        <w:tc>
          <w:tcPr>
            <w:tcW w:w="6482"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1.部门整体支出和项目支出绩效指标反映产出、效益、服务对象满意度方面的指标和预算执行率的权重符合</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岳阳市市级预算部门绩效自评操作规程</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的，得</w:t>
            </w:r>
            <w:r>
              <w:rPr>
                <w:rFonts w:hint="eastAsia" w:asciiTheme="majorEastAsia" w:hAnsiTheme="majorEastAsia" w:eastAsiaTheme="majorEastAsia" w:cstheme="majorEastAsia"/>
                <w:sz w:val="21"/>
                <w:szCs w:val="21"/>
                <w:lang w:val="en-US" w:eastAsia="zh-CN"/>
              </w:rPr>
              <w:t>5</w:t>
            </w:r>
            <w:r>
              <w:rPr>
                <w:rFonts w:hint="eastAsia" w:asciiTheme="majorEastAsia" w:hAnsiTheme="majorEastAsia" w:eastAsiaTheme="majorEastAsia" w:cstheme="majorEastAsia"/>
                <w:sz w:val="21"/>
                <w:szCs w:val="21"/>
              </w:rPr>
              <w:t>分，否则按比例扣除相应的分数。</w:t>
            </w:r>
          </w:p>
          <w:p>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2.部门整体支出和项目支出绩效指标全部细化到三级指标的，得</w:t>
            </w:r>
            <w:r>
              <w:rPr>
                <w:rFonts w:hint="eastAsia" w:asciiTheme="majorEastAsia" w:hAnsiTheme="majorEastAsia" w:eastAsiaTheme="majorEastAsia" w:cstheme="majorEastAsia"/>
                <w:sz w:val="21"/>
                <w:szCs w:val="21"/>
                <w:lang w:val="en-US" w:eastAsia="zh-CN"/>
              </w:rPr>
              <w:t>5</w:t>
            </w:r>
            <w:r>
              <w:rPr>
                <w:rFonts w:hint="eastAsia" w:asciiTheme="majorEastAsia" w:hAnsiTheme="majorEastAsia" w:eastAsiaTheme="majorEastAsia" w:cstheme="majorEastAsia"/>
                <w:sz w:val="21"/>
                <w:szCs w:val="21"/>
              </w:rPr>
              <w:t>分；部分细化的，酌情扣分；没有细化的，不得分。</w:t>
            </w:r>
          </w:p>
          <w:p>
            <w:pPr>
              <w:keepNext w:val="0"/>
              <w:keepLines w:val="0"/>
              <w:pageBreakBefore w:val="0"/>
              <w:widowControl w:val="0"/>
              <w:kinsoku/>
              <w:wordWrap/>
              <w:overflowPunct/>
              <w:topLinePunct w:val="0"/>
              <w:autoSpaceDE/>
              <w:autoSpaceDN/>
              <w:bidi w:val="0"/>
              <w:spacing w:line="240" w:lineRule="auto"/>
              <w:ind w:firstLine="420" w:firstLineChars="200"/>
              <w:jc w:val="left"/>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3.部门整体支出和项目支出三级绩效指标内涵明确、具体、可衡量的得5分；突出核心指标，精简实用的得3分；指标与部门整体支出和项目支出密切相关，全面反映产出和效益的得2分；否则每项酌情扣分，最多扣10分。</w:t>
            </w:r>
          </w:p>
        </w:tc>
        <w:tc>
          <w:tcPr>
            <w:tcW w:w="753"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18</w:t>
            </w:r>
            <w:r>
              <w:rPr>
                <w:rFonts w:hint="eastAsia" w:asciiTheme="majorEastAsia" w:hAnsiTheme="majorEastAsia" w:eastAsiaTheme="majorEastAsia" w:cstheme="majorEastAsia"/>
                <w:szCs w:val="21"/>
              </w:rPr>
              <w:t>　</w:t>
            </w:r>
          </w:p>
        </w:tc>
      </w:tr>
      <w:tr>
        <w:tblPrEx>
          <w:tblCellMar>
            <w:top w:w="0" w:type="dxa"/>
            <w:left w:w="108" w:type="dxa"/>
            <w:bottom w:w="0" w:type="dxa"/>
            <w:right w:w="108" w:type="dxa"/>
          </w:tblCellMar>
        </w:tblPrEx>
        <w:trPr>
          <w:trHeight w:val="1640" w:hRule="atLeast"/>
          <w:jc w:val="center"/>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heme="majorEastAsia" w:hAnsiTheme="majorEastAsia" w:eastAsiaTheme="majorEastAsia" w:cstheme="majorEastAsia"/>
                <w:szCs w:val="21"/>
              </w:rPr>
            </w:pPr>
          </w:p>
        </w:tc>
        <w:tc>
          <w:tcPr>
            <w:tcW w:w="1501"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绩效评价</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报告反映</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问题情况</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w:t>
            </w:r>
            <w:r>
              <w:rPr>
                <w:rFonts w:hint="eastAsia" w:asciiTheme="majorEastAsia" w:hAnsiTheme="majorEastAsia" w:eastAsiaTheme="majorEastAsia" w:cstheme="majorEastAsia"/>
                <w:sz w:val="21"/>
                <w:szCs w:val="21"/>
                <w:lang w:val="en-US" w:eastAsia="zh-CN"/>
              </w:rPr>
              <w:t>20</w:t>
            </w:r>
            <w:r>
              <w:rPr>
                <w:rFonts w:hint="eastAsia" w:asciiTheme="majorEastAsia" w:hAnsiTheme="majorEastAsia" w:eastAsiaTheme="majorEastAsia" w:cstheme="majorEastAsia"/>
                <w:sz w:val="21"/>
                <w:szCs w:val="21"/>
              </w:rPr>
              <w:t>分）</w:t>
            </w:r>
          </w:p>
        </w:tc>
        <w:tc>
          <w:tcPr>
            <w:tcW w:w="6482" w:type="dxa"/>
            <w:tcBorders>
              <w:top w:val="single" w:color="auto" w:sz="4" w:space="0"/>
              <w:left w:val="nil"/>
              <w:bottom w:val="single" w:color="auto" w:sz="4" w:space="0"/>
              <w:right w:val="single" w:color="auto" w:sz="4" w:space="0"/>
            </w:tcBorders>
            <w:noWrap w:val="0"/>
            <w:vAlign w:val="center"/>
          </w:tcPr>
          <w:p>
            <w:pPr>
              <w:spacing w:line="240" w:lineRule="exact"/>
              <w:ind w:firstLine="230" w:firstLineChars="1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pacing w:val="10"/>
                <w:sz w:val="21"/>
                <w:szCs w:val="21"/>
              </w:rPr>
              <w:t>从预算和预算绩效管理，部门履职效能，资金分</w:t>
            </w:r>
            <w:r>
              <w:rPr>
                <w:rFonts w:hint="eastAsia" w:asciiTheme="majorEastAsia" w:hAnsiTheme="majorEastAsia" w:eastAsiaTheme="majorEastAsia" w:cstheme="majorEastAsia"/>
                <w:spacing w:val="9"/>
                <w:sz w:val="21"/>
                <w:szCs w:val="21"/>
              </w:rPr>
              <w:t>配、使用和管理，资产和财务管理，政府</w:t>
            </w:r>
            <w:r>
              <w:rPr>
                <w:rFonts w:hint="eastAsia" w:asciiTheme="majorEastAsia" w:hAnsiTheme="majorEastAsia" w:eastAsiaTheme="majorEastAsia" w:cstheme="majorEastAsia"/>
                <w:sz w:val="21"/>
                <w:szCs w:val="21"/>
              </w:rPr>
              <w:t xml:space="preserve">  </w:t>
            </w:r>
            <w:r>
              <w:rPr>
                <w:rFonts w:hint="eastAsia" w:asciiTheme="majorEastAsia" w:hAnsiTheme="majorEastAsia" w:eastAsiaTheme="majorEastAsia" w:cstheme="majorEastAsia"/>
                <w:spacing w:val="7"/>
                <w:sz w:val="21"/>
                <w:szCs w:val="21"/>
              </w:rPr>
              <w:t>采购等方面归纳问题、分析原因全面的，得20分；反映问题、分析原因较</w:t>
            </w:r>
            <w:r>
              <w:rPr>
                <w:rFonts w:hint="eastAsia" w:asciiTheme="majorEastAsia" w:hAnsiTheme="majorEastAsia" w:eastAsiaTheme="majorEastAsia" w:cstheme="majorEastAsia"/>
                <w:spacing w:val="6"/>
                <w:sz w:val="21"/>
                <w:szCs w:val="21"/>
              </w:rPr>
              <w:t>全面的，得16—</w:t>
            </w:r>
            <w:r>
              <w:rPr>
                <w:rFonts w:hint="eastAsia" w:asciiTheme="majorEastAsia" w:hAnsiTheme="majorEastAsia" w:eastAsiaTheme="majorEastAsia" w:cstheme="majorEastAsia"/>
                <w:spacing w:val="-73"/>
                <w:sz w:val="21"/>
                <w:szCs w:val="21"/>
              </w:rPr>
              <w:t xml:space="preserve"> </w:t>
            </w:r>
            <w:r>
              <w:rPr>
                <w:rFonts w:hint="eastAsia" w:asciiTheme="majorEastAsia" w:hAnsiTheme="majorEastAsia" w:eastAsiaTheme="majorEastAsia" w:cstheme="majorEastAsia"/>
                <w:spacing w:val="6"/>
                <w:sz w:val="21"/>
                <w:szCs w:val="21"/>
              </w:rPr>
              <w:t>18</w:t>
            </w:r>
            <w:r>
              <w:rPr>
                <w:rFonts w:hint="eastAsia" w:asciiTheme="majorEastAsia" w:hAnsiTheme="majorEastAsia" w:eastAsiaTheme="majorEastAsia" w:cstheme="majorEastAsia"/>
                <w:sz w:val="21"/>
                <w:szCs w:val="21"/>
              </w:rPr>
              <w:t xml:space="preserve"> </w:t>
            </w:r>
            <w:r>
              <w:rPr>
                <w:rFonts w:hint="eastAsia" w:asciiTheme="majorEastAsia" w:hAnsiTheme="majorEastAsia" w:eastAsiaTheme="majorEastAsia" w:cstheme="majorEastAsia"/>
                <w:spacing w:val="12"/>
                <w:sz w:val="21"/>
                <w:szCs w:val="21"/>
              </w:rPr>
              <w:t>分；反映问题、分析原因不全面的，得13—</w:t>
            </w:r>
            <w:r>
              <w:rPr>
                <w:rFonts w:hint="eastAsia" w:asciiTheme="majorEastAsia" w:hAnsiTheme="majorEastAsia" w:eastAsiaTheme="majorEastAsia" w:cstheme="majorEastAsia"/>
                <w:spacing w:val="-68"/>
                <w:sz w:val="21"/>
                <w:szCs w:val="21"/>
              </w:rPr>
              <w:t xml:space="preserve"> </w:t>
            </w:r>
            <w:r>
              <w:rPr>
                <w:rFonts w:hint="eastAsia" w:asciiTheme="majorEastAsia" w:hAnsiTheme="majorEastAsia" w:eastAsiaTheme="majorEastAsia" w:cstheme="majorEastAsia"/>
                <w:spacing w:val="12"/>
                <w:sz w:val="21"/>
                <w:szCs w:val="21"/>
              </w:rPr>
              <w:t>15分；问题未归纳</w:t>
            </w:r>
            <w:r>
              <w:rPr>
                <w:rFonts w:hint="eastAsia" w:asciiTheme="majorEastAsia" w:hAnsiTheme="majorEastAsia" w:eastAsiaTheme="majorEastAsia" w:cstheme="majorEastAsia"/>
                <w:spacing w:val="11"/>
                <w:sz w:val="21"/>
                <w:szCs w:val="21"/>
              </w:rPr>
              <w:t>且过于简单的，得10—</w:t>
            </w:r>
            <w:r>
              <w:rPr>
                <w:rFonts w:hint="eastAsia" w:asciiTheme="majorEastAsia" w:hAnsiTheme="majorEastAsia" w:eastAsiaTheme="majorEastAsia" w:cstheme="majorEastAsia"/>
                <w:spacing w:val="-68"/>
                <w:sz w:val="21"/>
                <w:szCs w:val="21"/>
              </w:rPr>
              <w:t xml:space="preserve"> </w:t>
            </w:r>
            <w:r>
              <w:rPr>
                <w:rFonts w:hint="eastAsia" w:asciiTheme="majorEastAsia" w:hAnsiTheme="majorEastAsia" w:eastAsiaTheme="majorEastAsia" w:cstheme="majorEastAsia"/>
                <w:spacing w:val="11"/>
                <w:sz w:val="21"/>
                <w:szCs w:val="21"/>
              </w:rPr>
              <w:t>12</w:t>
            </w:r>
            <w:r>
              <w:rPr>
                <w:rFonts w:hint="eastAsia" w:asciiTheme="majorEastAsia" w:hAnsiTheme="majorEastAsia" w:eastAsiaTheme="majorEastAsia" w:cstheme="majorEastAsia"/>
                <w:sz w:val="21"/>
                <w:szCs w:val="21"/>
              </w:rPr>
              <w:t xml:space="preserve">  </w:t>
            </w:r>
            <w:r>
              <w:rPr>
                <w:rFonts w:hint="eastAsia" w:asciiTheme="majorEastAsia" w:hAnsiTheme="majorEastAsia" w:eastAsiaTheme="majorEastAsia" w:cstheme="majorEastAsia"/>
                <w:spacing w:val="13"/>
                <w:sz w:val="21"/>
                <w:szCs w:val="21"/>
              </w:rPr>
              <w:t>分；只提出资金不足问题的不得分；其他情况酌情扣分，</w:t>
            </w:r>
          </w:p>
        </w:tc>
        <w:tc>
          <w:tcPr>
            <w:tcW w:w="753"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19</w:t>
            </w:r>
            <w:r>
              <w:rPr>
                <w:rFonts w:hint="eastAsia" w:asciiTheme="majorEastAsia" w:hAnsiTheme="majorEastAsia" w:eastAsiaTheme="majorEastAsia" w:cstheme="majorEastAsia"/>
                <w:szCs w:val="21"/>
              </w:rPr>
              <w:t>　</w:t>
            </w:r>
          </w:p>
        </w:tc>
      </w:tr>
      <w:tr>
        <w:tblPrEx>
          <w:tblCellMar>
            <w:top w:w="0" w:type="dxa"/>
            <w:left w:w="108" w:type="dxa"/>
            <w:bottom w:w="0" w:type="dxa"/>
            <w:right w:w="108" w:type="dxa"/>
          </w:tblCellMar>
        </w:tblPrEx>
        <w:trPr>
          <w:trHeight w:val="1313" w:hRule="atLeast"/>
          <w:jc w:val="center"/>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Theme="majorEastAsia" w:hAnsiTheme="majorEastAsia" w:eastAsiaTheme="majorEastAsia" w:cstheme="majorEastAsia"/>
                <w:szCs w:val="21"/>
              </w:rPr>
            </w:pPr>
          </w:p>
        </w:tc>
        <w:tc>
          <w:tcPr>
            <w:tcW w:w="1501"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针对问题</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提出可行性建议的情况</w:t>
            </w:r>
          </w:p>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（15分）</w:t>
            </w:r>
          </w:p>
        </w:tc>
        <w:tc>
          <w:tcPr>
            <w:tcW w:w="6482" w:type="dxa"/>
            <w:tcBorders>
              <w:top w:val="single" w:color="auto" w:sz="4" w:space="0"/>
              <w:left w:val="nil"/>
              <w:bottom w:val="single" w:color="auto" w:sz="4" w:space="0"/>
              <w:right w:val="single" w:color="auto" w:sz="4" w:space="0"/>
            </w:tcBorders>
            <w:noWrap w:val="0"/>
            <w:vAlign w:val="center"/>
          </w:tcPr>
          <w:p>
            <w:pPr>
              <w:spacing w:line="240" w:lineRule="exact"/>
              <w:ind w:firstLine="216" w:firstLineChars="10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pacing w:val="3"/>
                <w:sz w:val="21"/>
                <w:szCs w:val="21"/>
              </w:rPr>
              <w:t>建议与问题对应且全面的得15分，建议比较全面的得12—</w:t>
            </w:r>
            <w:r>
              <w:rPr>
                <w:rFonts w:hint="eastAsia" w:asciiTheme="majorEastAsia" w:hAnsiTheme="majorEastAsia" w:eastAsiaTheme="majorEastAsia" w:cstheme="majorEastAsia"/>
                <w:spacing w:val="-55"/>
                <w:sz w:val="21"/>
                <w:szCs w:val="21"/>
              </w:rPr>
              <w:t xml:space="preserve"> </w:t>
            </w:r>
            <w:r>
              <w:rPr>
                <w:rFonts w:hint="eastAsia" w:asciiTheme="majorEastAsia" w:hAnsiTheme="majorEastAsia" w:eastAsiaTheme="majorEastAsia" w:cstheme="majorEastAsia"/>
                <w:spacing w:val="3"/>
                <w:sz w:val="21"/>
                <w:szCs w:val="21"/>
              </w:rPr>
              <w:t>14分，建议不全面的得9—</w:t>
            </w:r>
            <w:r>
              <w:rPr>
                <w:rFonts w:hint="eastAsia" w:asciiTheme="majorEastAsia" w:hAnsiTheme="majorEastAsia" w:eastAsiaTheme="majorEastAsia" w:cstheme="majorEastAsia"/>
                <w:spacing w:val="-72"/>
                <w:sz w:val="21"/>
                <w:szCs w:val="21"/>
              </w:rPr>
              <w:t xml:space="preserve"> </w:t>
            </w:r>
            <w:r>
              <w:rPr>
                <w:rFonts w:hint="eastAsia" w:asciiTheme="majorEastAsia" w:hAnsiTheme="majorEastAsia" w:eastAsiaTheme="majorEastAsia" w:cstheme="majorEastAsia"/>
                <w:spacing w:val="3"/>
                <w:sz w:val="21"/>
                <w:szCs w:val="21"/>
              </w:rPr>
              <w:t>11</w:t>
            </w:r>
            <w:r>
              <w:rPr>
                <w:rFonts w:hint="eastAsia" w:asciiTheme="majorEastAsia" w:hAnsiTheme="majorEastAsia" w:eastAsiaTheme="majorEastAsia" w:cstheme="majorEastAsia"/>
                <w:sz w:val="21"/>
                <w:szCs w:val="21"/>
              </w:rPr>
              <w:t xml:space="preserve">   </w:t>
            </w:r>
            <w:r>
              <w:rPr>
                <w:rFonts w:hint="eastAsia" w:asciiTheme="majorEastAsia" w:hAnsiTheme="majorEastAsia" w:eastAsiaTheme="majorEastAsia" w:cstheme="majorEastAsia"/>
                <w:spacing w:val="2"/>
                <w:sz w:val="21"/>
                <w:szCs w:val="21"/>
              </w:rPr>
              <w:t>分，建议过于简单的得6—8分，只提出加大资金投入建议的不得分；其他情况酌情扣分</w:t>
            </w:r>
          </w:p>
        </w:tc>
        <w:tc>
          <w:tcPr>
            <w:tcW w:w="753"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15</w:t>
            </w:r>
            <w:r>
              <w:rPr>
                <w:rFonts w:hint="eastAsia" w:asciiTheme="majorEastAsia" w:hAnsiTheme="majorEastAsia" w:eastAsiaTheme="majorEastAsia" w:cstheme="majorEastAsia"/>
                <w:szCs w:val="21"/>
              </w:rPr>
              <w:t>　</w:t>
            </w:r>
          </w:p>
        </w:tc>
      </w:tr>
      <w:tr>
        <w:tblPrEx>
          <w:tblCellMar>
            <w:top w:w="0" w:type="dxa"/>
            <w:left w:w="108" w:type="dxa"/>
            <w:bottom w:w="0" w:type="dxa"/>
            <w:right w:w="108" w:type="dxa"/>
          </w:tblCellMar>
        </w:tblPrEx>
        <w:trPr>
          <w:trHeight w:val="540"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合计</w:t>
            </w:r>
          </w:p>
        </w:tc>
        <w:tc>
          <w:tcPr>
            <w:tcW w:w="150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100分</w:t>
            </w:r>
          </w:p>
        </w:tc>
        <w:tc>
          <w:tcPr>
            <w:tcW w:w="648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hint="eastAsia" w:asciiTheme="majorEastAsia" w:hAnsiTheme="majorEastAsia" w:eastAsiaTheme="majorEastAsia" w:cstheme="majorEastAsia"/>
                <w:sz w:val="21"/>
                <w:szCs w:val="21"/>
              </w:rPr>
            </w:pPr>
          </w:p>
        </w:tc>
        <w:tc>
          <w:tcPr>
            <w:tcW w:w="75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　</w:t>
            </w:r>
            <w:r>
              <w:rPr>
                <w:rFonts w:hint="eastAsia" w:asciiTheme="majorEastAsia" w:hAnsiTheme="majorEastAsia" w:eastAsiaTheme="majorEastAsia" w:cstheme="majorEastAsia"/>
                <w:szCs w:val="21"/>
                <w:lang w:val="en-US" w:eastAsia="zh-CN"/>
              </w:rPr>
              <w:t>97</w:t>
            </w:r>
          </w:p>
        </w:tc>
      </w:tr>
    </w:tbl>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sectPr>
      <w:pgSz w:w="11906" w:h="16838"/>
      <w:pgMar w:top="1701" w:right="1701" w:bottom="170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0000600000000000000"/>
    <w:charset w:val="86"/>
    <w:family w:val="auto"/>
    <w:pitch w:val="default"/>
    <w:sig w:usb0="00000000" w:usb1="00000000" w:usb2="00000012" w:usb3="00000000" w:csb0="00160001" w:csb1="1203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21C3E"/>
    <w:multiLevelType w:val="singleLevel"/>
    <w:tmpl w:val="8E321C3E"/>
    <w:lvl w:ilvl="0" w:tentative="0">
      <w:start w:val="1"/>
      <w:numFmt w:val="chineseCounting"/>
      <w:suff w:val="nothing"/>
      <w:lvlText w:val="%1、"/>
      <w:lvlJc w:val="left"/>
      <w:rPr>
        <w:rFonts w:hint="eastAsia"/>
      </w:rPr>
    </w:lvl>
  </w:abstractNum>
  <w:abstractNum w:abstractNumId="1">
    <w:nsid w:val="D2D24CA6"/>
    <w:multiLevelType w:val="singleLevel"/>
    <w:tmpl w:val="D2D24CA6"/>
    <w:lvl w:ilvl="0" w:tentative="0">
      <w:start w:val="1"/>
      <w:numFmt w:val="chineseCounting"/>
      <w:suff w:val="nothing"/>
      <w:lvlText w:val="（%1）"/>
      <w:lvlJc w:val="left"/>
      <w:pPr>
        <w:ind w:left="-430"/>
      </w:pPr>
      <w:rPr>
        <w:rFonts w:hint="eastAsia"/>
      </w:rPr>
    </w:lvl>
  </w:abstractNum>
  <w:abstractNum w:abstractNumId="2">
    <w:nsid w:val="E4A2E93D"/>
    <w:multiLevelType w:val="singleLevel"/>
    <w:tmpl w:val="E4A2E93D"/>
    <w:lvl w:ilvl="0" w:tentative="0">
      <w:start w:val="2"/>
      <w:numFmt w:val="chineseCounting"/>
      <w:lvlText w:val="(%1)"/>
      <w:lvlJc w:val="left"/>
      <w:pPr>
        <w:tabs>
          <w:tab w:val="left" w:pos="312"/>
        </w:tabs>
      </w:pPr>
      <w:rPr>
        <w:rFonts w:hint="eastAsia"/>
      </w:rPr>
    </w:lvl>
  </w:abstractNum>
  <w:abstractNum w:abstractNumId="3">
    <w:nsid w:val="0F0BB7E7"/>
    <w:multiLevelType w:val="singleLevel"/>
    <w:tmpl w:val="0F0BB7E7"/>
    <w:lvl w:ilvl="0" w:tentative="0">
      <w:start w:val="4"/>
      <w:numFmt w:val="chineseCounting"/>
      <w:suff w:val="nothing"/>
      <w:lvlText w:val="%1、"/>
      <w:lvlJc w:val="left"/>
      <w:rPr>
        <w:rFonts w:hint="eastAsia"/>
      </w:rPr>
    </w:lvl>
  </w:abstractNum>
  <w:abstractNum w:abstractNumId="4">
    <w:nsid w:val="274B1365"/>
    <w:multiLevelType w:val="singleLevel"/>
    <w:tmpl w:val="274B1365"/>
    <w:lvl w:ilvl="0" w:tentative="0">
      <w:start w:val="4"/>
      <w:numFmt w:val="chineseCounting"/>
      <w:suff w:val="nothing"/>
      <w:lvlText w:val="（%1）"/>
      <w:lvlJc w:val="left"/>
      <w:rPr>
        <w:rFonts w:hint="eastAsia"/>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2Yjk5NzBlNjIxNDhmODM4OGU0YzM5ZWM3YTY4OTAifQ=="/>
  </w:docVars>
  <w:rsids>
    <w:rsidRoot w:val="53FC3987"/>
    <w:rsid w:val="000A3765"/>
    <w:rsid w:val="001D7282"/>
    <w:rsid w:val="0039081D"/>
    <w:rsid w:val="005E6ECB"/>
    <w:rsid w:val="00742F6F"/>
    <w:rsid w:val="00744EA1"/>
    <w:rsid w:val="009419CA"/>
    <w:rsid w:val="00955854"/>
    <w:rsid w:val="009C7330"/>
    <w:rsid w:val="00A00FBB"/>
    <w:rsid w:val="00BF0721"/>
    <w:rsid w:val="00C03795"/>
    <w:rsid w:val="00CE3756"/>
    <w:rsid w:val="00D27A74"/>
    <w:rsid w:val="00E831C8"/>
    <w:rsid w:val="00EF287A"/>
    <w:rsid w:val="01057CDE"/>
    <w:rsid w:val="010B4A82"/>
    <w:rsid w:val="01192786"/>
    <w:rsid w:val="01201E6A"/>
    <w:rsid w:val="012D1BC7"/>
    <w:rsid w:val="012D57C0"/>
    <w:rsid w:val="013160B5"/>
    <w:rsid w:val="01457029"/>
    <w:rsid w:val="014900E3"/>
    <w:rsid w:val="014F5749"/>
    <w:rsid w:val="01521E95"/>
    <w:rsid w:val="01727F7E"/>
    <w:rsid w:val="01764DBE"/>
    <w:rsid w:val="01806F8C"/>
    <w:rsid w:val="0182483A"/>
    <w:rsid w:val="018356BA"/>
    <w:rsid w:val="01863406"/>
    <w:rsid w:val="018D011E"/>
    <w:rsid w:val="019614B0"/>
    <w:rsid w:val="019C71AC"/>
    <w:rsid w:val="01BF03AA"/>
    <w:rsid w:val="01C33E74"/>
    <w:rsid w:val="01D447A3"/>
    <w:rsid w:val="01DF3C26"/>
    <w:rsid w:val="01EE0A2C"/>
    <w:rsid w:val="0200044D"/>
    <w:rsid w:val="020654E4"/>
    <w:rsid w:val="020C72F8"/>
    <w:rsid w:val="02121B7C"/>
    <w:rsid w:val="021813DE"/>
    <w:rsid w:val="021B6B30"/>
    <w:rsid w:val="02363BD8"/>
    <w:rsid w:val="023809F7"/>
    <w:rsid w:val="02431066"/>
    <w:rsid w:val="02595CF1"/>
    <w:rsid w:val="025C47D6"/>
    <w:rsid w:val="0263675C"/>
    <w:rsid w:val="02656E75"/>
    <w:rsid w:val="027431E5"/>
    <w:rsid w:val="02B544DB"/>
    <w:rsid w:val="02CB5D99"/>
    <w:rsid w:val="02F61D91"/>
    <w:rsid w:val="02FC4679"/>
    <w:rsid w:val="02FE5E0A"/>
    <w:rsid w:val="03201783"/>
    <w:rsid w:val="0347190C"/>
    <w:rsid w:val="034760CE"/>
    <w:rsid w:val="03487959"/>
    <w:rsid w:val="03505BE1"/>
    <w:rsid w:val="036D41A2"/>
    <w:rsid w:val="037F229C"/>
    <w:rsid w:val="03911277"/>
    <w:rsid w:val="03992A2D"/>
    <w:rsid w:val="039A540B"/>
    <w:rsid w:val="03BD010E"/>
    <w:rsid w:val="03E2685C"/>
    <w:rsid w:val="03E66326"/>
    <w:rsid w:val="03FF6E0F"/>
    <w:rsid w:val="0404259A"/>
    <w:rsid w:val="04051601"/>
    <w:rsid w:val="04150B3B"/>
    <w:rsid w:val="04327F62"/>
    <w:rsid w:val="04344800"/>
    <w:rsid w:val="044C7A61"/>
    <w:rsid w:val="045F666C"/>
    <w:rsid w:val="0460075C"/>
    <w:rsid w:val="04613BEE"/>
    <w:rsid w:val="0462054D"/>
    <w:rsid w:val="04675C34"/>
    <w:rsid w:val="046C0B29"/>
    <w:rsid w:val="04816E5C"/>
    <w:rsid w:val="048924DD"/>
    <w:rsid w:val="04914D95"/>
    <w:rsid w:val="0495144B"/>
    <w:rsid w:val="04967331"/>
    <w:rsid w:val="04AC07A1"/>
    <w:rsid w:val="04B91614"/>
    <w:rsid w:val="04C60A3C"/>
    <w:rsid w:val="04C63115"/>
    <w:rsid w:val="04CF5236"/>
    <w:rsid w:val="04CF5AF0"/>
    <w:rsid w:val="04D24FF1"/>
    <w:rsid w:val="04DE1BAB"/>
    <w:rsid w:val="04E411E4"/>
    <w:rsid w:val="04F37BBA"/>
    <w:rsid w:val="05085366"/>
    <w:rsid w:val="05145F64"/>
    <w:rsid w:val="05241004"/>
    <w:rsid w:val="054037EF"/>
    <w:rsid w:val="054E7FFF"/>
    <w:rsid w:val="05621117"/>
    <w:rsid w:val="058C5045"/>
    <w:rsid w:val="059C7C89"/>
    <w:rsid w:val="05A50C70"/>
    <w:rsid w:val="05B525CA"/>
    <w:rsid w:val="05C4448F"/>
    <w:rsid w:val="05E616EC"/>
    <w:rsid w:val="06146BAF"/>
    <w:rsid w:val="06286BB6"/>
    <w:rsid w:val="06405E9C"/>
    <w:rsid w:val="064D5380"/>
    <w:rsid w:val="064E0F6B"/>
    <w:rsid w:val="06617309"/>
    <w:rsid w:val="06650E6A"/>
    <w:rsid w:val="06854A05"/>
    <w:rsid w:val="068B5259"/>
    <w:rsid w:val="06986D10"/>
    <w:rsid w:val="06A14716"/>
    <w:rsid w:val="06C90184"/>
    <w:rsid w:val="06C9437B"/>
    <w:rsid w:val="06ED564C"/>
    <w:rsid w:val="06F22A7B"/>
    <w:rsid w:val="06F66BC9"/>
    <w:rsid w:val="07023424"/>
    <w:rsid w:val="07032B0D"/>
    <w:rsid w:val="07043735"/>
    <w:rsid w:val="0725074E"/>
    <w:rsid w:val="07313C60"/>
    <w:rsid w:val="07331F0A"/>
    <w:rsid w:val="076971BD"/>
    <w:rsid w:val="076D43AE"/>
    <w:rsid w:val="077323CA"/>
    <w:rsid w:val="0775145F"/>
    <w:rsid w:val="07967DE0"/>
    <w:rsid w:val="07970994"/>
    <w:rsid w:val="079D625C"/>
    <w:rsid w:val="07B913B4"/>
    <w:rsid w:val="07BA1C6A"/>
    <w:rsid w:val="07BD44A3"/>
    <w:rsid w:val="07C02856"/>
    <w:rsid w:val="07CE6155"/>
    <w:rsid w:val="07E11DA2"/>
    <w:rsid w:val="07E23B26"/>
    <w:rsid w:val="07E31891"/>
    <w:rsid w:val="07E40515"/>
    <w:rsid w:val="07EE6091"/>
    <w:rsid w:val="08017E70"/>
    <w:rsid w:val="0805190B"/>
    <w:rsid w:val="080C52E3"/>
    <w:rsid w:val="082A5F7E"/>
    <w:rsid w:val="08391F38"/>
    <w:rsid w:val="083A18D9"/>
    <w:rsid w:val="0848472A"/>
    <w:rsid w:val="084D20E7"/>
    <w:rsid w:val="08674899"/>
    <w:rsid w:val="08754155"/>
    <w:rsid w:val="087B77E7"/>
    <w:rsid w:val="087D3D34"/>
    <w:rsid w:val="0889236C"/>
    <w:rsid w:val="088E051E"/>
    <w:rsid w:val="08935A7B"/>
    <w:rsid w:val="08A91E6C"/>
    <w:rsid w:val="08BA1B19"/>
    <w:rsid w:val="08D059DD"/>
    <w:rsid w:val="08D7088E"/>
    <w:rsid w:val="08DC08E7"/>
    <w:rsid w:val="092D1C9E"/>
    <w:rsid w:val="09377E5E"/>
    <w:rsid w:val="09383E9F"/>
    <w:rsid w:val="0939426E"/>
    <w:rsid w:val="09504F8C"/>
    <w:rsid w:val="09616470"/>
    <w:rsid w:val="096C1F5A"/>
    <w:rsid w:val="096C76C1"/>
    <w:rsid w:val="09906B28"/>
    <w:rsid w:val="09912E95"/>
    <w:rsid w:val="099C1A23"/>
    <w:rsid w:val="09A948AF"/>
    <w:rsid w:val="09AC2A76"/>
    <w:rsid w:val="09B04837"/>
    <w:rsid w:val="09C95891"/>
    <w:rsid w:val="09CD698F"/>
    <w:rsid w:val="09D8005F"/>
    <w:rsid w:val="0A002E0D"/>
    <w:rsid w:val="0A1221D7"/>
    <w:rsid w:val="0A140987"/>
    <w:rsid w:val="0A241A5C"/>
    <w:rsid w:val="0A2E3566"/>
    <w:rsid w:val="0A393280"/>
    <w:rsid w:val="0A5F2F6C"/>
    <w:rsid w:val="0A670B4E"/>
    <w:rsid w:val="0A851E03"/>
    <w:rsid w:val="0A985A6F"/>
    <w:rsid w:val="0AA808AF"/>
    <w:rsid w:val="0ABD142C"/>
    <w:rsid w:val="0AC644AE"/>
    <w:rsid w:val="0ACB61B4"/>
    <w:rsid w:val="0ACD4157"/>
    <w:rsid w:val="0AE73347"/>
    <w:rsid w:val="0AE964B0"/>
    <w:rsid w:val="0B163034"/>
    <w:rsid w:val="0B1F5B6D"/>
    <w:rsid w:val="0B292074"/>
    <w:rsid w:val="0B2F4AF7"/>
    <w:rsid w:val="0B3312B6"/>
    <w:rsid w:val="0B4064B3"/>
    <w:rsid w:val="0B4106DE"/>
    <w:rsid w:val="0B640DAA"/>
    <w:rsid w:val="0B6E529C"/>
    <w:rsid w:val="0B701D27"/>
    <w:rsid w:val="0B7245CE"/>
    <w:rsid w:val="0B943886"/>
    <w:rsid w:val="0B9C3CD1"/>
    <w:rsid w:val="0BA2526C"/>
    <w:rsid w:val="0BB324D8"/>
    <w:rsid w:val="0BB447B1"/>
    <w:rsid w:val="0BB672C7"/>
    <w:rsid w:val="0BC07BBF"/>
    <w:rsid w:val="0BC429EF"/>
    <w:rsid w:val="0BCE65D1"/>
    <w:rsid w:val="0BD27A8E"/>
    <w:rsid w:val="0BD60937"/>
    <w:rsid w:val="0BD912A4"/>
    <w:rsid w:val="0BE135FA"/>
    <w:rsid w:val="0BEE4F6B"/>
    <w:rsid w:val="0C03261E"/>
    <w:rsid w:val="0C0439FA"/>
    <w:rsid w:val="0C0B17DF"/>
    <w:rsid w:val="0C0F382B"/>
    <w:rsid w:val="0C160980"/>
    <w:rsid w:val="0C1B4EF7"/>
    <w:rsid w:val="0C1C297E"/>
    <w:rsid w:val="0C1D4988"/>
    <w:rsid w:val="0C263DA4"/>
    <w:rsid w:val="0C297E69"/>
    <w:rsid w:val="0C55038F"/>
    <w:rsid w:val="0C6B7DF9"/>
    <w:rsid w:val="0C6E2A56"/>
    <w:rsid w:val="0C7A708D"/>
    <w:rsid w:val="0C8E09E9"/>
    <w:rsid w:val="0CCA7495"/>
    <w:rsid w:val="0CD16BA2"/>
    <w:rsid w:val="0CD745A0"/>
    <w:rsid w:val="0CDE4E30"/>
    <w:rsid w:val="0D012A51"/>
    <w:rsid w:val="0D094F84"/>
    <w:rsid w:val="0D280615"/>
    <w:rsid w:val="0D2C07EB"/>
    <w:rsid w:val="0D2F57DE"/>
    <w:rsid w:val="0D353632"/>
    <w:rsid w:val="0D392C4E"/>
    <w:rsid w:val="0D482FA9"/>
    <w:rsid w:val="0D4A4299"/>
    <w:rsid w:val="0D564ED5"/>
    <w:rsid w:val="0D5F1E28"/>
    <w:rsid w:val="0D671080"/>
    <w:rsid w:val="0D783B34"/>
    <w:rsid w:val="0D81754C"/>
    <w:rsid w:val="0DBE6AB7"/>
    <w:rsid w:val="0DBF116A"/>
    <w:rsid w:val="0DC00E38"/>
    <w:rsid w:val="0DC8400B"/>
    <w:rsid w:val="0DD34552"/>
    <w:rsid w:val="0DDF6EFF"/>
    <w:rsid w:val="0DE03EAA"/>
    <w:rsid w:val="0DE12394"/>
    <w:rsid w:val="0DF36262"/>
    <w:rsid w:val="0E0E69D0"/>
    <w:rsid w:val="0E1C3D4F"/>
    <w:rsid w:val="0E1E619E"/>
    <w:rsid w:val="0E267F81"/>
    <w:rsid w:val="0E3455DB"/>
    <w:rsid w:val="0E365DE9"/>
    <w:rsid w:val="0E3E4633"/>
    <w:rsid w:val="0E463344"/>
    <w:rsid w:val="0E4822EE"/>
    <w:rsid w:val="0E4E185D"/>
    <w:rsid w:val="0E522FBE"/>
    <w:rsid w:val="0E5D141B"/>
    <w:rsid w:val="0E8648D6"/>
    <w:rsid w:val="0E8C08DC"/>
    <w:rsid w:val="0E8E43C0"/>
    <w:rsid w:val="0E964CBE"/>
    <w:rsid w:val="0EB05323"/>
    <w:rsid w:val="0EBE40CB"/>
    <w:rsid w:val="0EC36A56"/>
    <w:rsid w:val="0EC62499"/>
    <w:rsid w:val="0ECE4E6F"/>
    <w:rsid w:val="0EDA5C56"/>
    <w:rsid w:val="0EFE4287"/>
    <w:rsid w:val="0F0D525E"/>
    <w:rsid w:val="0F2A2A37"/>
    <w:rsid w:val="0F2E6C95"/>
    <w:rsid w:val="0F4675CA"/>
    <w:rsid w:val="0F471A79"/>
    <w:rsid w:val="0F500384"/>
    <w:rsid w:val="0F5B4015"/>
    <w:rsid w:val="0F6071C8"/>
    <w:rsid w:val="0F7B0394"/>
    <w:rsid w:val="0FA00CB6"/>
    <w:rsid w:val="0FA434D3"/>
    <w:rsid w:val="0FB471F7"/>
    <w:rsid w:val="0FB87AA7"/>
    <w:rsid w:val="0FC95C51"/>
    <w:rsid w:val="0FC965F5"/>
    <w:rsid w:val="0FCD6B4B"/>
    <w:rsid w:val="0FCF7138"/>
    <w:rsid w:val="0FD35AB6"/>
    <w:rsid w:val="0FD552AF"/>
    <w:rsid w:val="0FE017B9"/>
    <w:rsid w:val="0FE04B17"/>
    <w:rsid w:val="0FEC2891"/>
    <w:rsid w:val="0FF71EB7"/>
    <w:rsid w:val="10225AB2"/>
    <w:rsid w:val="102D74F0"/>
    <w:rsid w:val="103C47DA"/>
    <w:rsid w:val="103D5CB0"/>
    <w:rsid w:val="1043497A"/>
    <w:rsid w:val="104B6B58"/>
    <w:rsid w:val="105552F6"/>
    <w:rsid w:val="108449FF"/>
    <w:rsid w:val="108B34B0"/>
    <w:rsid w:val="109E2943"/>
    <w:rsid w:val="10C8346E"/>
    <w:rsid w:val="10FE6AB1"/>
    <w:rsid w:val="1112624E"/>
    <w:rsid w:val="11153798"/>
    <w:rsid w:val="11297158"/>
    <w:rsid w:val="114B2C9B"/>
    <w:rsid w:val="115D78BB"/>
    <w:rsid w:val="116001E2"/>
    <w:rsid w:val="11641C95"/>
    <w:rsid w:val="11793618"/>
    <w:rsid w:val="11813452"/>
    <w:rsid w:val="118447F4"/>
    <w:rsid w:val="11913DD4"/>
    <w:rsid w:val="11961E43"/>
    <w:rsid w:val="11987ED2"/>
    <w:rsid w:val="119969A0"/>
    <w:rsid w:val="11A91B68"/>
    <w:rsid w:val="11B76464"/>
    <w:rsid w:val="11BC2DF3"/>
    <w:rsid w:val="11C43676"/>
    <w:rsid w:val="11EA3CA0"/>
    <w:rsid w:val="11F403BB"/>
    <w:rsid w:val="11FA6A1C"/>
    <w:rsid w:val="120B6973"/>
    <w:rsid w:val="12155876"/>
    <w:rsid w:val="12183A1B"/>
    <w:rsid w:val="122A11A6"/>
    <w:rsid w:val="123D1BD2"/>
    <w:rsid w:val="123E6D4D"/>
    <w:rsid w:val="125406B2"/>
    <w:rsid w:val="125613C2"/>
    <w:rsid w:val="125D4EF7"/>
    <w:rsid w:val="12637C4E"/>
    <w:rsid w:val="127021AD"/>
    <w:rsid w:val="127030C8"/>
    <w:rsid w:val="12A15E33"/>
    <w:rsid w:val="12B310FA"/>
    <w:rsid w:val="12B7582D"/>
    <w:rsid w:val="12C621E8"/>
    <w:rsid w:val="12CF0716"/>
    <w:rsid w:val="12D95227"/>
    <w:rsid w:val="12E33197"/>
    <w:rsid w:val="12EE1C9C"/>
    <w:rsid w:val="12F863E6"/>
    <w:rsid w:val="13094CA6"/>
    <w:rsid w:val="132156D8"/>
    <w:rsid w:val="132911E2"/>
    <w:rsid w:val="133868AE"/>
    <w:rsid w:val="135133AE"/>
    <w:rsid w:val="13914897"/>
    <w:rsid w:val="13A55CD5"/>
    <w:rsid w:val="13B654E3"/>
    <w:rsid w:val="13B819E6"/>
    <w:rsid w:val="13BC4189"/>
    <w:rsid w:val="13C169EC"/>
    <w:rsid w:val="13CA717D"/>
    <w:rsid w:val="13CE022A"/>
    <w:rsid w:val="13DF25B8"/>
    <w:rsid w:val="13E2403C"/>
    <w:rsid w:val="14047D3B"/>
    <w:rsid w:val="141A00EA"/>
    <w:rsid w:val="143A1FCF"/>
    <w:rsid w:val="14430D66"/>
    <w:rsid w:val="14477E65"/>
    <w:rsid w:val="14710CBF"/>
    <w:rsid w:val="14791934"/>
    <w:rsid w:val="147D213D"/>
    <w:rsid w:val="14862BCB"/>
    <w:rsid w:val="14A04833"/>
    <w:rsid w:val="14B0163C"/>
    <w:rsid w:val="14B12779"/>
    <w:rsid w:val="14B37576"/>
    <w:rsid w:val="14F4219E"/>
    <w:rsid w:val="150135C1"/>
    <w:rsid w:val="151C632A"/>
    <w:rsid w:val="152E4EB1"/>
    <w:rsid w:val="153E3566"/>
    <w:rsid w:val="154034C3"/>
    <w:rsid w:val="156B6CDB"/>
    <w:rsid w:val="15726626"/>
    <w:rsid w:val="15820278"/>
    <w:rsid w:val="158D1367"/>
    <w:rsid w:val="15914EE6"/>
    <w:rsid w:val="15A42FA4"/>
    <w:rsid w:val="15A6418F"/>
    <w:rsid w:val="15AA091B"/>
    <w:rsid w:val="15BC6BD3"/>
    <w:rsid w:val="15CF095E"/>
    <w:rsid w:val="15D35BCA"/>
    <w:rsid w:val="15DA1440"/>
    <w:rsid w:val="15DA784E"/>
    <w:rsid w:val="15DB017B"/>
    <w:rsid w:val="15E6370B"/>
    <w:rsid w:val="15E835FB"/>
    <w:rsid w:val="15E84717"/>
    <w:rsid w:val="160F0091"/>
    <w:rsid w:val="16144614"/>
    <w:rsid w:val="163E3AB2"/>
    <w:rsid w:val="165E3F72"/>
    <w:rsid w:val="166D0110"/>
    <w:rsid w:val="167050F1"/>
    <w:rsid w:val="16713DA7"/>
    <w:rsid w:val="16797776"/>
    <w:rsid w:val="16952546"/>
    <w:rsid w:val="16A30A62"/>
    <w:rsid w:val="16AB3FBF"/>
    <w:rsid w:val="16AC1654"/>
    <w:rsid w:val="16B12C6E"/>
    <w:rsid w:val="16BF0789"/>
    <w:rsid w:val="16CD5BA2"/>
    <w:rsid w:val="16D42F73"/>
    <w:rsid w:val="16DA34D2"/>
    <w:rsid w:val="16DA4E41"/>
    <w:rsid w:val="16F042AC"/>
    <w:rsid w:val="16F626B5"/>
    <w:rsid w:val="16FB005D"/>
    <w:rsid w:val="16FC4F3B"/>
    <w:rsid w:val="17105BFE"/>
    <w:rsid w:val="171630EB"/>
    <w:rsid w:val="17435DB3"/>
    <w:rsid w:val="174849B3"/>
    <w:rsid w:val="175075E0"/>
    <w:rsid w:val="175D3461"/>
    <w:rsid w:val="175F4C67"/>
    <w:rsid w:val="175F580B"/>
    <w:rsid w:val="17665207"/>
    <w:rsid w:val="176E31A1"/>
    <w:rsid w:val="17794395"/>
    <w:rsid w:val="17856EC1"/>
    <w:rsid w:val="178D50A9"/>
    <w:rsid w:val="178F0FE3"/>
    <w:rsid w:val="17906752"/>
    <w:rsid w:val="17B85018"/>
    <w:rsid w:val="17E339CC"/>
    <w:rsid w:val="17F33C57"/>
    <w:rsid w:val="181D4FAC"/>
    <w:rsid w:val="182B38C1"/>
    <w:rsid w:val="18325E1A"/>
    <w:rsid w:val="18351597"/>
    <w:rsid w:val="18353961"/>
    <w:rsid w:val="183B1CB5"/>
    <w:rsid w:val="18474510"/>
    <w:rsid w:val="184F1D16"/>
    <w:rsid w:val="1852374B"/>
    <w:rsid w:val="185629F1"/>
    <w:rsid w:val="18685D91"/>
    <w:rsid w:val="188F0DAB"/>
    <w:rsid w:val="18905464"/>
    <w:rsid w:val="18910B5C"/>
    <w:rsid w:val="18A62960"/>
    <w:rsid w:val="18BD3DC4"/>
    <w:rsid w:val="18C149F3"/>
    <w:rsid w:val="18D233DB"/>
    <w:rsid w:val="18DC433F"/>
    <w:rsid w:val="18DC5635"/>
    <w:rsid w:val="18DD0C18"/>
    <w:rsid w:val="18DE4BF6"/>
    <w:rsid w:val="18EC1CA5"/>
    <w:rsid w:val="18F23C9D"/>
    <w:rsid w:val="18F554AB"/>
    <w:rsid w:val="18FE49D5"/>
    <w:rsid w:val="190F3527"/>
    <w:rsid w:val="19100497"/>
    <w:rsid w:val="19183CAC"/>
    <w:rsid w:val="19241D0A"/>
    <w:rsid w:val="193964B7"/>
    <w:rsid w:val="19521C94"/>
    <w:rsid w:val="195657BB"/>
    <w:rsid w:val="196B19EB"/>
    <w:rsid w:val="19717C66"/>
    <w:rsid w:val="198E7C2B"/>
    <w:rsid w:val="199945D5"/>
    <w:rsid w:val="199B5065"/>
    <w:rsid w:val="19A30E80"/>
    <w:rsid w:val="19D37D58"/>
    <w:rsid w:val="19D61256"/>
    <w:rsid w:val="19DD0438"/>
    <w:rsid w:val="19EB665F"/>
    <w:rsid w:val="1A0A04E6"/>
    <w:rsid w:val="1A187AC0"/>
    <w:rsid w:val="1A213466"/>
    <w:rsid w:val="1A3F3F76"/>
    <w:rsid w:val="1A4B4BAE"/>
    <w:rsid w:val="1A5F35C0"/>
    <w:rsid w:val="1A8006B2"/>
    <w:rsid w:val="1A8D640E"/>
    <w:rsid w:val="1A974192"/>
    <w:rsid w:val="1ACA62AD"/>
    <w:rsid w:val="1ADA675E"/>
    <w:rsid w:val="1AE11CDA"/>
    <w:rsid w:val="1AFA553B"/>
    <w:rsid w:val="1B113A6D"/>
    <w:rsid w:val="1B144B8D"/>
    <w:rsid w:val="1B17013D"/>
    <w:rsid w:val="1B1B14D3"/>
    <w:rsid w:val="1B1F6AF1"/>
    <w:rsid w:val="1B250DAE"/>
    <w:rsid w:val="1B26261F"/>
    <w:rsid w:val="1B2A34EB"/>
    <w:rsid w:val="1B2B0F4C"/>
    <w:rsid w:val="1B2D2734"/>
    <w:rsid w:val="1B324C1D"/>
    <w:rsid w:val="1B3860E1"/>
    <w:rsid w:val="1B3F36F6"/>
    <w:rsid w:val="1B422830"/>
    <w:rsid w:val="1B4B369E"/>
    <w:rsid w:val="1B5271D4"/>
    <w:rsid w:val="1B6D7C0D"/>
    <w:rsid w:val="1B84594F"/>
    <w:rsid w:val="1B884364"/>
    <w:rsid w:val="1BA912AB"/>
    <w:rsid w:val="1BB34398"/>
    <w:rsid w:val="1BC74329"/>
    <w:rsid w:val="1BC90A36"/>
    <w:rsid w:val="1BD0347B"/>
    <w:rsid w:val="1BD40AF3"/>
    <w:rsid w:val="1BD802A4"/>
    <w:rsid w:val="1BDF236A"/>
    <w:rsid w:val="1C0435DD"/>
    <w:rsid w:val="1C044A22"/>
    <w:rsid w:val="1C0500B1"/>
    <w:rsid w:val="1C165874"/>
    <w:rsid w:val="1C1D4C3D"/>
    <w:rsid w:val="1C212C7F"/>
    <w:rsid w:val="1C4C28F3"/>
    <w:rsid w:val="1C71314E"/>
    <w:rsid w:val="1C82672C"/>
    <w:rsid w:val="1C89138D"/>
    <w:rsid w:val="1C8E76D2"/>
    <w:rsid w:val="1C937172"/>
    <w:rsid w:val="1C9542D8"/>
    <w:rsid w:val="1C975C4B"/>
    <w:rsid w:val="1CA27BB1"/>
    <w:rsid w:val="1CAF7DCF"/>
    <w:rsid w:val="1CB07D7A"/>
    <w:rsid w:val="1CDA4D56"/>
    <w:rsid w:val="1CF810AC"/>
    <w:rsid w:val="1D0B3755"/>
    <w:rsid w:val="1D124C24"/>
    <w:rsid w:val="1D2C6C65"/>
    <w:rsid w:val="1D402518"/>
    <w:rsid w:val="1D4E7169"/>
    <w:rsid w:val="1D554265"/>
    <w:rsid w:val="1D660B43"/>
    <w:rsid w:val="1D69344A"/>
    <w:rsid w:val="1D6B31E8"/>
    <w:rsid w:val="1D6B7F83"/>
    <w:rsid w:val="1D776C3D"/>
    <w:rsid w:val="1D807C8E"/>
    <w:rsid w:val="1D95321A"/>
    <w:rsid w:val="1DB85E5C"/>
    <w:rsid w:val="1DC46662"/>
    <w:rsid w:val="1DCA5E3A"/>
    <w:rsid w:val="1DCF5405"/>
    <w:rsid w:val="1DD75183"/>
    <w:rsid w:val="1DDE2626"/>
    <w:rsid w:val="1DFD7C50"/>
    <w:rsid w:val="1E080AB5"/>
    <w:rsid w:val="1E0E0D58"/>
    <w:rsid w:val="1E157818"/>
    <w:rsid w:val="1E2A197B"/>
    <w:rsid w:val="1E35255F"/>
    <w:rsid w:val="1E3C5A5F"/>
    <w:rsid w:val="1E475D36"/>
    <w:rsid w:val="1E4E24A0"/>
    <w:rsid w:val="1E502588"/>
    <w:rsid w:val="1E53413D"/>
    <w:rsid w:val="1E550992"/>
    <w:rsid w:val="1E5A7A32"/>
    <w:rsid w:val="1E671817"/>
    <w:rsid w:val="1E6C3B44"/>
    <w:rsid w:val="1E71779F"/>
    <w:rsid w:val="1E7A4122"/>
    <w:rsid w:val="1E8879EE"/>
    <w:rsid w:val="1EB95D76"/>
    <w:rsid w:val="1EC54236"/>
    <w:rsid w:val="1ED464CA"/>
    <w:rsid w:val="1EDA5DF7"/>
    <w:rsid w:val="1EED4A44"/>
    <w:rsid w:val="1EFA39EA"/>
    <w:rsid w:val="1F00206F"/>
    <w:rsid w:val="1F0177DA"/>
    <w:rsid w:val="1F18467A"/>
    <w:rsid w:val="1F232A42"/>
    <w:rsid w:val="1F2645A8"/>
    <w:rsid w:val="1F4B71B8"/>
    <w:rsid w:val="1F4C39A9"/>
    <w:rsid w:val="1F5009C3"/>
    <w:rsid w:val="1F5665AD"/>
    <w:rsid w:val="1F692382"/>
    <w:rsid w:val="1F8815CD"/>
    <w:rsid w:val="1F8D1995"/>
    <w:rsid w:val="1F935BDD"/>
    <w:rsid w:val="1F9730E6"/>
    <w:rsid w:val="1FA470FB"/>
    <w:rsid w:val="1FDE0273"/>
    <w:rsid w:val="1FEF73C9"/>
    <w:rsid w:val="1FFA024A"/>
    <w:rsid w:val="20020491"/>
    <w:rsid w:val="20303E66"/>
    <w:rsid w:val="203640A2"/>
    <w:rsid w:val="203A1A3B"/>
    <w:rsid w:val="203C7C11"/>
    <w:rsid w:val="20421AEB"/>
    <w:rsid w:val="20471AED"/>
    <w:rsid w:val="20487E48"/>
    <w:rsid w:val="20666EBF"/>
    <w:rsid w:val="206F239E"/>
    <w:rsid w:val="2086258B"/>
    <w:rsid w:val="20A45C99"/>
    <w:rsid w:val="20AD18F5"/>
    <w:rsid w:val="20B77D0F"/>
    <w:rsid w:val="20BB288C"/>
    <w:rsid w:val="20D06EB4"/>
    <w:rsid w:val="20E40557"/>
    <w:rsid w:val="20EF04D3"/>
    <w:rsid w:val="210C69CF"/>
    <w:rsid w:val="21107C1A"/>
    <w:rsid w:val="213018E1"/>
    <w:rsid w:val="21392BC1"/>
    <w:rsid w:val="21431802"/>
    <w:rsid w:val="21463D2C"/>
    <w:rsid w:val="2151198F"/>
    <w:rsid w:val="21657B00"/>
    <w:rsid w:val="2172070D"/>
    <w:rsid w:val="217B2C80"/>
    <w:rsid w:val="217D2EA2"/>
    <w:rsid w:val="21851E83"/>
    <w:rsid w:val="21861507"/>
    <w:rsid w:val="219020E3"/>
    <w:rsid w:val="21916EE8"/>
    <w:rsid w:val="219A308D"/>
    <w:rsid w:val="219F5834"/>
    <w:rsid w:val="21A35D48"/>
    <w:rsid w:val="21C12688"/>
    <w:rsid w:val="21CC4855"/>
    <w:rsid w:val="21E233A3"/>
    <w:rsid w:val="21E23F6C"/>
    <w:rsid w:val="21E345FD"/>
    <w:rsid w:val="22171E1E"/>
    <w:rsid w:val="22383B4D"/>
    <w:rsid w:val="22466CD3"/>
    <w:rsid w:val="225D1D49"/>
    <w:rsid w:val="225D33C8"/>
    <w:rsid w:val="226239FE"/>
    <w:rsid w:val="22626562"/>
    <w:rsid w:val="226A76AE"/>
    <w:rsid w:val="22733EB6"/>
    <w:rsid w:val="22906578"/>
    <w:rsid w:val="22973E77"/>
    <w:rsid w:val="22AB58F3"/>
    <w:rsid w:val="22C13FD4"/>
    <w:rsid w:val="22C24771"/>
    <w:rsid w:val="22CB0895"/>
    <w:rsid w:val="230A01C2"/>
    <w:rsid w:val="231527D7"/>
    <w:rsid w:val="23185AD8"/>
    <w:rsid w:val="23336451"/>
    <w:rsid w:val="23474320"/>
    <w:rsid w:val="23492735"/>
    <w:rsid w:val="235B5F37"/>
    <w:rsid w:val="235C3EA6"/>
    <w:rsid w:val="23604810"/>
    <w:rsid w:val="23796902"/>
    <w:rsid w:val="237A7609"/>
    <w:rsid w:val="23BE4330"/>
    <w:rsid w:val="23BF0A62"/>
    <w:rsid w:val="23C263BB"/>
    <w:rsid w:val="23CB14F2"/>
    <w:rsid w:val="23D04F68"/>
    <w:rsid w:val="23D50A64"/>
    <w:rsid w:val="23FA7D8F"/>
    <w:rsid w:val="23FC0268"/>
    <w:rsid w:val="240B4621"/>
    <w:rsid w:val="241061D3"/>
    <w:rsid w:val="24114322"/>
    <w:rsid w:val="24122F3C"/>
    <w:rsid w:val="24181A61"/>
    <w:rsid w:val="241A4D23"/>
    <w:rsid w:val="244328F6"/>
    <w:rsid w:val="245032E9"/>
    <w:rsid w:val="24536196"/>
    <w:rsid w:val="24626203"/>
    <w:rsid w:val="247573F6"/>
    <w:rsid w:val="247A4BE7"/>
    <w:rsid w:val="24806762"/>
    <w:rsid w:val="24814D5C"/>
    <w:rsid w:val="24831C33"/>
    <w:rsid w:val="248601CB"/>
    <w:rsid w:val="24917BA8"/>
    <w:rsid w:val="24981483"/>
    <w:rsid w:val="249B0370"/>
    <w:rsid w:val="24A24AC6"/>
    <w:rsid w:val="24B93055"/>
    <w:rsid w:val="24C252E5"/>
    <w:rsid w:val="24C93BB5"/>
    <w:rsid w:val="24D02E03"/>
    <w:rsid w:val="24F86BC7"/>
    <w:rsid w:val="250F44FD"/>
    <w:rsid w:val="2514288A"/>
    <w:rsid w:val="253B3382"/>
    <w:rsid w:val="256609A5"/>
    <w:rsid w:val="25781237"/>
    <w:rsid w:val="257A6914"/>
    <w:rsid w:val="2588530F"/>
    <w:rsid w:val="25963C8A"/>
    <w:rsid w:val="25AB3731"/>
    <w:rsid w:val="25B464A2"/>
    <w:rsid w:val="25BA0209"/>
    <w:rsid w:val="25BB4BF0"/>
    <w:rsid w:val="25E62DA9"/>
    <w:rsid w:val="25EC489E"/>
    <w:rsid w:val="25F465E7"/>
    <w:rsid w:val="25F6641C"/>
    <w:rsid w:val="25F74FA1"/>
    <w:rsid w:val="25FC3091"/>
    <w:rsid w:val="25FD11FA"/>
    <w:rsid w:val="25FF3210"/>
    <w:rsid w:val="2610789E"/>
    <w:rsid w:val="2611098A"/>
    <w:rsid w:val="264221C6"/>
    <w:rsid w:val="265D3370"/>
    <w:rsid w:val="26666555"/>
    <w:rsid w:val="26677154"/>
    <w:rsid w:val="266E1AF0"/>
    <w:rsid w:val="268B7C99"/>
    <w:rsid w:val="268C4A4A"/>
    <w:rsid w:val="268F259F"/>
    <w:rsid w:val="269A7501"/>
    <w:rsid w:val="26A10AA6"/>
    <w:rsid w:val="26A3584F"/>
    <w:rsid w:val="26A66B0A"/>
    <w:rsid w:val="26A73989"/>
    <w:rsid w:val="26A86D42"/>
    <w:rsid w:val="26C30557"/>
    <w:rsid w:val="26CB2EBC"/>
    <w:rsid w:val="26CB4B73"/>
    <w:rsid w:val="26E34A7B"/>
    <w:rsid w:val="26E9756C"/>
    <w:rsid w:val="26FA4570"/>
    <w:rsid w:val="27217FF0"/>
    <w:rsid w:val="27242893"/>
    <w:rsid w:val="273612F4"/>
    <w:rsid w:val="27445146"/>
    <w:rsid w:val="275C112F"/>
    <w:rsid w:val="277602F5"/>
    <w:rsid w:val="278038CA"/>
    <w:rsid w:val="27C33BB0"/>
    <w:rsid w:val="27C55F98"/>
    <w:rsid w:val="27CC0CD0"/>
    <w:rsid w:val="27D071BC"/>
    <w:rsid w:val="27D4538F"/>
    <w:rsid w:val="27D668C5"/>
    <w:rsid w:val="27DE15AE"/>
    <w:rsid w:val="27E03A2F"/>
    <w:rsid w:val="28064A27"/>
    <w:rsid w:val="280D297A"/>
    <w:rsid w:val="281440EE"/>
    <w:rsid w:val="28276A98"/>
    <w:rsid w:val="285710C8"/>
    <w:rsid w:val="285C4BAF"/>
    <w:rsid w:val="285D0F42"/>
    <w:rsid w:val="28703320"/>
    <w:rsid w:val="289539A5"/>
    <w:rsid w:val="289F019A"/>
    <w:rsid w:val="28B556D0"/>
    <w:rsid w:val="28CC6ED5"/>
    <w:rsid w:val="28F010D9"/>
    <w:rsid w:val="28F05C88"/>
    <w:rsid w:val="29045F7F"/>
    <w:rsid w:val="29082E70"/>
    <w:rsid w:val="291343EF"/>
    <w:rsid w:val="29166F16"/>
    <w:rsid w:val="294D5371"/>
    <w:rsid w:val="295A5964"/>
    <w:rsid w:val="29626133"/>
    <w:rsid w:val="29702C6A"/>
    <w:rsid w:val="298756CC"/>
    <w:rsid w:val="29944785"/>
    <w:rsid w:val="29A81FA5"/>
    <w:rsid w:val="29AB297C"/>
    <w:rsid w:val="29C535D7"/>
    <w:rsid w:val="29C65905"/>
    <w:rsid w:val="29DA5777"/>
    <w:rsid w:val="29DF2425"/>
    <w:rsid w:val="2A0E6FDD"/>
    <w:rsid w:val="2A142C99"/>
    <w:rsid w:val="2A1E4871"/>
    <w:rsid w:val="2A214539"/>
    <w:rsid w:val="2A367BB2"/>
    <w:rsid w:val="2A3D54FD"/>
    <w:rsid w:val="2A410FE5"/>
    <w:rsid w:val="2A4173A1"/>
    <w:rsid w:val="2A596631"/>
    <w:rsid w:val="2A5A05BF"/>
    <w:rsid w:val="2A5F2983"/>
    <w:rsid w:val="2A601F6F"/>
    <w:rsid w:val="2A602297"/>
    <w:rsid w:val="2A7A07C0"/>
    <w:rsid w:val="2AB17620"/>
    <w:rsid w:val="2AB30FEA"/>
    <w:rsid w:val="2AB657B1"/>
    <w:rsid w:val="2AE07913"/>
    <w:rsid w:val="2AEA3FC0"/>
    <w:rsid w:val="2AEA4AC4"/>
    <w:rsid w:val="2AF876BF"/>
    <w:rsid w:val="2B0E64B5"/>
    <w:rsid w:val="2B166BF6"/>
    <w:rsid w:val="2B2B0DE1"/>
    <w:rsid w:val="2B3E1E16"/>
    <w:rsid w:val="2B5D0E3B"/>
    <w:rsid w:val="2B5E2134"/>
    <w:rsid w:val="2B6F3EEE"/>
    <w:rsid w:val="2B70774D"/>
    <w:rsid w:val="2B7D446F"/>
    <w:rsid w:val="2B8D4A3E"/>
    <w:rsid w:val="2BCC1BD6"/>
    <w:rsid w:val="2BDF0CFB"/>
    <w:rsid w:val="2BE234F2"/>
    <w:rsid w:val="2BE33AA6"/>
    <w:rsid w:val="2BE40B44"/>
    <w:rsid w:val="2BEF68A7"/>
    <w:rsid w:val="2BF22DBE"/>
    <w:rsid w:val="2BF73785"/>
    <w:rsid w:val="2BF963F1"/>
    <w:rsid w:val="2C0F30B3"/>
    <w:rsid w:val="2C1235EB"/>
    <w:rsid w:val="2C162BEC"/>
    <w:rsid w:val="2C2F0BC4"/>
    <w:rsid w:val="2C391765"/>
    <w:rsid w:val="2C3C2B6A"/>
    <w:rsid w:val="2C3D18DD"/>
    <w:rsid w:val="2C3D5EB9"/>
    <w:rsid w:val="2C4C0F0A"/>
    <w:rsid w:val="2C5254C3"/>
    <w:rsid w:val="2C532EF2"/>
    <w:rsid w:val="2C5C500F"/>
    <w:rsid w:val="2C6E3526"/>
    <w:rsid w:val="2C6F1E54"/>
    <w:rsid w:val="2C993631"/>
    <w:rsid w:val="2C9B7E11"/>
    <w:rsid w:val="2CAF1058"/>
    <w:rsid w:val="2CB32C99"/>
    <w:rsid w:val="2CBC36F5"/>
    <w:rsid w:val="2CC907F0"/>
    <w:rsid w:val="2CCC5126"/>
    <w:rsid w:val="2CF756B7"/>
    <w:rsid w:val="2CF9252D"/>
    <w:rsid w:val="2CF94F11"/>
    <w:rsid w:val="2CF97782"/>
    <w:rsid w:val="2D053ED4"/>
    <w:rsid w:val="2D107154"/>
    <w:rsid w:val="2D143281"/>
    <w:rsid w:val="2D1C79F8"/>
    <w:rsid w:val="2D324177"/>
    <w:rsid w:val="2D3A0EFB"/>
    <w:rsid w:val="2D5A7835"/>
    <w:rsid w:val="2D6578A0"/>
    <w:rsid w:val="2D7343C9"/>
    <w:rsid w:val="2DE44256"/>
    <w:rsid w:val="2DE557EB"/>
    <w:rsid w:val="2DEE74F1"/>
    <w:rsid w:val="2E020414"/>
    <w:rsid w:val="2E0E6D42"/>
    <w:rsid w:val="2E0F4249"/>
    <w:rsid w:val="2E2F0A58"/>
    <w:rsid w:val="2E447583"/>
    <w:rsid w:val="2E4B4467"/>
    <w:rsid w:val="2E5520B9"/>
    <w:rsid w:val="2E5E0013"/>
    <w:rsid w:val="2E63548C"/>
    <w:rsid w:val="2E640C1C"/>
    <w:rsid w:val="2E6B523D"/>
    <w:rsid w:val="2E7A08F9"/>
    <w:rsid w:val="2E7B33BD"/>
    <w:rsid w:val="2E836803"/>
    <w:rsid w:val="2E8B21B7"/>
    <w:rsid w:val="2E96363C"/>
    <w:rsid w:val="2EB0190E"/>
    <w:rsid w:val="2EB86707"/>
    <w:rsid w:val="2EC92184"/>
    <w:rsid w:val="2ECD27F6"/>
    <w:rsid w:val="2F0228B0"/>
    <w:rsid w:val="2F0E1C14"/>
    <w:rsid w:val="2F2B3F2B"/>
    <w:rsid w:val="2F366FC1"/>
    <w:rsid w:val="2F5034C7"/>
    <w:rsid w:val="2F866106"/>
    <w:rsid w:val="2FA3249D"/>
    <w:rsid w:val="2FC05B92"/>
    <w:rsid w:val="2FDE3BE4"/>
    <w:rsid w:val="2FEC1413"/>
    <w:rsid w:val="2FEF5C51"/>
    <w:rsid w:val="301F1E0F"/>
    <w:rsid w:val="302E6295"/>
    <w:rsid w:val="303329F0"/>
    <w:rsid w:val="303818E5"/>
    <w:rsid w:val="303B4884"/>
    <w:rsid w:val="303F1851"/>
    <w:rsid w:val="303F79AD"/>
    <w:rsid w:val="30492212"/>
    <w:rsid w:val="304C3A2B"/>
    <w:rsid w:val="30596318"/>
    <w:rsid w:val="306F339C"/>
    <w:rsid w:val="30762710"/>
    <w:rsid w:val="30814CF1"/>
    <w:rsid w:val="308E4163"/>
    <w:rsid w:val="309D4327"/>
    <w:rsid w:val="30A71077"/>
    <w:rsid w:val="30C20BA4"/>
    <w:rsid w:val="30C478ED"/>
    <w:rsid w:val="30EC01FB"/>
    <w:rsid w:val="30F54D00"/>
    <w:rsid w:val="31026564"/>
    <w:rsid w:val="310A5122"/>
    <w:rsid w:val="312107CD"/>
    <w:rsid w:val="31210CA8"/>
    <w:rsid w:val="31215285"/>
    <w:rsid w:val="312D0344"/>
    <w:rsid w:val="31346C1B"/>
    <w:rsid w:val="314A407E"/>
    <w:rsid w:val="314E2EDF"/>
    <w:rsid w:val="317038BB"/>
    <w:rsid w:val="317958D0"/>
    <w:rsid w:val="318D218C"/>
    <w:rsid w:val="31964319"/>
    <w:rsid w:val="319A32FE"/>
    <w:rsid w:val="31A53AB7"/>
    <w:rsid w:val="31A801F9"/>
    <w:rsid w:val="31C57FB2"/>
    <w:rsid w:val="31C932E2"/>
    <w:rsid w:val="31F61F62"/>
    <w:rsid w:val="320358D0"/>
    <w:rsid w:val="32052FE4"/>
    <w:rsid w:val="320B77FD"/>
    <w:rsid w:val="321976B1"/>
    <w:rsid w:val="321D6876"/>
    <w:rsid w:val="3220390C"/>
    <w:rsid w:val="322B51BC"/>
    <w:rsid w:val="322F26BF"/>
    <w:rsid w:val="32313F22"/>
    <w:rsid w:val="32643522"/>
    <w:rsid w:val="326470BA"/>
    <w:rsid w:val="32744A8B"/>
    <w:rsid w:val="32753DA5"/>
    <w:rsid w:val="32821314"/>
    <w:rsid w:val="32886DB3"/>
    <w:rsid w:val="32895C45"/>
    <w:rsid w:val="32A43D99"/>
    <w:rsid w:val="32B141E0"/>
    <w:rsid w:val="32B44D2D"/>
    <w:rsid w:val="32B45C4C"/>
    <w:rsid w:val="32C90A49"/>
    <w:rsid w:val="32FA2D7F"/>
    <w:rsid w:val="32FC6C4E"/>
    <w:rsid w:val="32FF5D3B"/>
    <w:rsid w:val="33085CC5"/>
    <w:rsid w:val="33095683"/>
    <w:rsid w:val="33262CBA"/>
    <w:rsid w:val="332B323C"/>
    <w:rsid w:val="332E3189"/>
    <w:rsid w:val="334E650C"/>
    <w:rsid w:val="335B62EC"/>
    <w:rsid w:val="335E79BA"/>
    <w:rsid w:val="3360061D"/>
    <w:rsid w:val="336549AB"/>
    <w:rsid w:val="33782709"/>
    <w:rsid w:val="338A259F"/>
    <w:rsid w:val="3392025F"/>
    <w:rsid w:val="33A8285D"/>
    <w:rsid w:val="33AC1E29"/>
    <w:rsid w:val="33B17041"/>
    <w:rsid w:val="33B202F3"/>
    <w:rsid w:val="33B20F64"/>
    <w:rsid w:val="33E35D08"/>
    <w:rsid w:val="33EE53FA"/>
    <w:rsid w:val="33FD7485"/>
    <w:rsid w:val="34012F1B"/>
    <w:rsid w:val="34467089"/>
    <w:rsid w:val="34523AB5"/>
    <w:rsid w:val="346B4B47"/>
    <w:rsid w:val="346E4F77"/>
    <w:rsid w:val="34762AAC"/>
    <w:rsid w:val="348402A8"/>
    <w:rsid w:val="34B510BB"/>
    <w:rsid w:val="34BB2714"/>
    <w:rsid w:val="34BD790F"/>
    <w:rsid w:val="34C25EF7"/>
    <w:rsid w:val="34D20F28"/>
    <w:rsid w:val="34E22DC0"/>
    <w:rsid w:val="350233D4"/>
    <w:rsid w:val="35195F01"/>
    <w:rsid w:val="35313A72"/>
    <w:rsid w:val="35493C91"/>
    <w:rsid w:val="355C0228"/>
    <w:rsid w:val="357800DF"/>
    <w:rsid w:val="358527FB"/>
    <w:rsid w:val="358B5BCF"/>
    <w:rsid w:val="359A77E8"/>
    <w:rsid w:val="35A1790B"/>
    <w:rsid w:val="35A45B99"/>
    <w:rsid w:val="35B01090"/>
    <w:rsid w:val="35B41C29"/>
    <w:rsid w:val="35DD2073"/>
    <w:rsid w:val="35DF75FB"/>
    <w:rsid w:val="35EB21A5"/>
    <w:rsid w:val="35EC7269"/>
    <w:rsid w:val="35F52D00"/>
    <w:rsid w:val="35FF153A"/>
    <w:rsid w:val="3606622C"/>
    <w:rsid w:val="36077316"/>
    <w:rsid w:val="3613278E"/>
    <w:rsid w:val="36356D4F"/>
    <w:rsid w:val="36405687"/>
    <w:rsid w:val="36414112"/>
    <w:rsid w:val="365F3D60"/>
    <w:rsid w:val="36645530"/>
    <w:rsid w:val="367851C1"/>
    <w:rsid w:val="369510BC"/>
    <w:rsid w:val="36973632"/>
    <w:rsid w:val="369F3680"/>
    <w:rsid w:val="36A30194"/>
    <w:rsid w:val="36D21A02"/>
    <w:rsid w:val="36DF7544"/>
    <w:rsid w:val="37104DEB"/>
    <w:rsid w:val="372D0977"/>
    <w:rsid w:val="37337382"/>
    <w:rsid w:val="3736112E"/>
    <w:rsid w:val="374D5647"/>
    <w:rsid w:val="374F42A7"/>
    <w:rsid w:val="37506DBE"/>
    <w:rsid w:val="3759338C"/>
    <w:rsid w:val="37654002"/>
    <w:rsid w:val="378E3E66"/>
    <w:rsid w:val="37C244FC"/>
    <w:rsid w:val="37D95C79"/>
    <w:rsid w:val="37DD4C41"/>
    <w:rsid w:val="37E81F7B"/>
    <w:rsid w:val="38026A1B"/>
    <w:rsid w:val="38197832"/>
    <w:rsid w:val="383903C6"/>
    <w:rsid w:val="383C423B"/>
    <w:rsid w:val="38415136"/>
    <w:rsid w:val="38504C90"/>
    <w:rsid w:val="386C1D38"/>
    <w:rsid w:val="387A25A5"/>
    <w:rsid w:val="38963295"/>
    <w:rsid w:val="389D2F53"/>
    <w:rsid w:val="38A945B7"/>
    <w:rsid w:val="38CC2A09"/>
    <w:rsid w:val="38D677A2"/>
    <w:rsid w:val="38D770AE"/>
    <w:rsid w:val="38F06EDE"/>
    <w:rsid w:val="38F70050"/>
    <w:rsid w:val="38FC33FC"/>
    <w:rsid w:val="38FD0E84"/>
    <w:rsid w:val="38FF1B5B"/>
    <w:rsid w:val="390273B1"/>
    <w:rsid w:val="39153767"/>
    <w:rsid w:val="39225CA9"/>
    <w:rsid w:val="3923070B"/>
    <w:rsid w:val="392C49BB"/>
    <w:rsid w:val="39381E2B"/>
    <w:rsid w:val="3942282F"/>
    <w:rsid w:val="3953338B"/>
    <w:rsid w:val="395A11C2"/>
    <w:rsid w:val="396B7002"/>
    <w:rsid w:val="396C2A15"/>
    <w:rsid w:val="39AC01F9"/>
    <w:rsid w:val="39B73BAC"/>
    <w:rsid w:val="39B7517F"/>
    <w:rsid w:val="39BA3B51"/>
    <w:rsid w:val="39C20795"/>
    <w:rsid w:val="39E77318"/>
    <w:rsid w:val="39E90E2B"/>
    <w:rsid w:val="39E94D86"/>
    <w:rsid w:val="39F1638E"/>
    <w:rsid w:val="3A001C79"/>
    <w:rsid w:val="3A1513BA"/>
    <w:rsid w:val="3A2E618D"/>
    <w:rsid w:val="3A4109A1"/>
    <w:rsid w:val="3A5042B3"/>
    <w:rsid w:val="3A742C8C"/>
    <w:rsid w:val="3A7B2702"/>
    <w:rsid w:val="3A896EEE"/>
    <w:rsid w:val="3AAA2893"/>
    <w:rsid w:val="3ABB15C7"/>
    <w:rsid w:val="3ABE79AB"/>
    <w:rsid w:val="3AD8279E"/>
    <w:rsid w:val="3AE73EDB"/>
    <w:rsid w:val="3B08641D"/>
    <w:rsid w:val="3B1C7A19"/>
    <w:rsid w:val="3B2B5582"/>
    <w:rsid w:val="3B4234D4"/>
    <w:rsid w:val="3B5068F7"/>
    <w:rsid w:val="3B7622BA"/>
    <w:rsid w:val="3B7C1C88"/>
    <w:rsid w:val="3B8107C8"/>
    <w:rsid w:val="3B8972AA"/>
    <w:rsid w:val="3BA219B8"/>
    <w:rsid w:val="3BA96003"/>
    <w:rsid w:val="3BC61A51"/>
    <w:rsid w:val="3BE14893"/>
    <w:rsid w:val="3BE8265C"/>
    <w:rsid w:val="3BE92A35"/>
    <w:rsid w:val="3BEB460F"/>
    <w:rsid w:val="3BEF1DA2"/>
    <w:rsid w:val="3BF27899"/>
    <w:rsid w:val="3BF64635"/>
    <w:rsid w:val="3BF956C3"/>
    <w:rsid w:val="3C072F5F"/>
    <w:rsid w:val="3C0E5CDB"/>
    <w:rsid w:val="3C4D3B02"/>
    <w:rsid w:val="3C5B1D89"/>
    <w:rsid w:val="3C85498F"/>
    <w:rsid w:val="3C8946A5"/>
    <w:rsid w:val="3CA372A1"/>
    <w:rsid w:val="3CA600E0"/>
    <w:rsid w:val="3CB765A9"/>
    <w:rsid w:val="3CBA4326"/>
    <w:rsid w:val="3CBC0BE3"/>
    <w:rsid w:val="3CC614DA"/>
    <w:rsid w:val="3CD01DA9"/>
    <w:rsid w:val="3CDA38F5"/>
    <w:rsid w:val="3CDD517D"/>
    <w:rsid w:val="3CE33FC3"/>
    <w:rsid w:val="3CEA3B31"/>
    <w:rsid w:val="3CF9401E"/>
    <w:rsid w:val="3CFC6325"/>
    <w:rsid w:val="3D093C71"/>
    <w:rsid w:val="3D1A22C0"/>
    <w:rsid w:val="3D294B1B"/>
    <w:rsid w:val="3D2B034D"/>
    <w:rsid w:val="3D5A60CA"/>
    <w:rsid w:val="3D9F4364"/>
    <w:rsid w:val="3DA702BF"/>
    <w:rsid w:val="3DB02E6B"/>
    <w:rsid w:val="3DB86D41"/>
    <w:rsid w:val="3DB92106"/>
    <w:rsid w:val="3DCF457D"/>
    <w:rsid w:val="3DF169A7"/>
    <w:rsid w:val="3DF2399F"/>
    <w:rsid w:val="3DF40FE4"/>
    <w:rsid w:val="3E0519AD"/>
    <w:rsid w:val="3E0A667E"/>
    <w:rsid w:val="3E4A1D40"/>
    <w:rsid w:val="3E4C287B"/>
    <w:rsid w:val="3E633FD2"/>
    <w:rsid w:val="3E6F32D2"/>
    <w:rsid w:val="3E742C66"/>
    <w:rsid w:val="3E7E19E7"/>
    <w:rsid w:val="3E8572BF"/>
    <w:rsid w:val="3E917B82"/>
    <w:rsid w:val="3E9656A5"/>
    <w:rsid w:val="3E997463"/>
    <w:rsid w:val="3E9F7600"/>
    <w:rsid w:val="3ECD5479"/>
    <w:rsid w:val="3ED62B90"/>
    <w:rsid w:val="3EE34DD3"/>
    <w:rsid w:val="3EF434CC"/>
    <w:rsid w:val="3EFB6FF7"/>
    <w:rsid w:val="3EFF0A75"/>
    <w:rsid w:val="3F1054CE"/>
    <w:rsid w:val="3F2534F3"/>
    <w:rsid w:val="3F3A1B65"/>
    <w:rsid w:val="3F3A5EB9"/>
    <w:rsid w:val="3F522210"/>
    <w:rsid w:val="3F544AF6"/>
    <w:rsid w:val="3F5C361D"/>
    <w:rsid w:val="3F5E64F5"/>
    <w:rsid w:val="3F656E2C"/>
    <w:rsid w:val="3F6D5029"/>
    <w:rsid w:val="3F92376D"/>
    <w:rsid w:val="3F9C1CD6"/>
    <w:rsid w:val="3FB035B9"/>
    <w:rsid w:val="3FC45A80"/>
    <w:rsid w:val="3FC57677"/>
    <w:rsid w:val="3FDE13B9"/>
    <w:rsid w:val="3FE029F1"/>
    <w:rsid w:val="3FE457AE"/>
    <w:rsid w:val="3FE57701"/>
    <w:rsid w:val="400C4E03"/>
    <w:rsid w:val="40126EBB"/>
    <w:rsid w:val="401A4D54"/>
    <w:rsid w:val="40262C07"/>
    <w:rsid w:val="404209E3"/>
    <w:rsid w:val="40451C67"/>
    <w:rsid w:val="404A1B2B"/>
    <w:rsid w:val="404A601E"/>
    <w:rsid w:val="404C52F4"/>
    <w:rsid w:val="40510EE6"/>
    <w:rsid w:val="405C0FC1"/>
    <w:rsid w:val="40733CBA"/>
    <w:rsid w:val="407A4DF7"/>
    <w:rsid w:val="40904156"/>
    <w:rsid w:val="40B16CC2"/>
    <w:rsid w:val="40B81BAD"/>
    <w:rsid w:val="40BB2365"/>
    <w:rsid w:val="40BD6EF0"/>
    <w:rsid w:val="40D23962"/>
    <w:rsid w:val="40D61BC8"/>
    <w:rsid w:val="40DC4F1D"/>
    <w:rsid w:val="40DF2097"/>
    <w:rsid w:val="40E71ABD"/>
    <w:rsid w:val="40F52C8A"/>
    <w:rsid w:val="413C11C7"/>
    <w:rsid w:val="41447F0E"/>
    <w:rsid w:val="414733E0"/>
    <w:rsid w:val="41566753"/>
    <w:rsid w:val="41641DE4"/>
    <w:rsid w:val="416A21FA"/>
    <w:rsid w:val="416B09D7"/>
    <w:rsid w:val="417D1E08"/>
    <w:rsid w:val="417D5552"/>
    <w:rsid w:val="4188208C"/>
    <w:rsid w:val="419B51EE"/>
    <w:rsid w:val="41B11897"/>
    <w:rsid w:val="41C57D35"/>
    <w:rsid w:val="41F34606"/>
    <w:rsid w:val="4200399D"/>
    <w:rsid w:val="420E20BD"/>
    <w:rsid w:val="421647B9"/>
    <w:rsid w:val="421C6401"/>
    <w:rsid w:val="42263E3B"/>
    <w:rsid w:val="42291C88"/>
    <w:rsid w:val="422C70F1"/>
    <w:rsid w:val="423C6CFA"/>
    <w:rsid w:val="42442693"/>
    <w:rsid w:val="428D1B97"/>
    <w:rsid w:val="42B608A5"/>
    <w:rsid w:val="42BC6C8F"/>
    <w:rsid w:val="42C5446D"/>
    <w:rsid w:val="42E94337"/>
    <w:rsid w:val="43031943"/>
    <w:rsid w:val="430567FD"/>
    <w:rsid w:val="431327F1"/>
    <w:rsid w:val="43182DB2"/>
    <w:rsid w:val="4368794F"/>
    <w:rsid w:val="436D0FB5"/>
    <w:rsid w:val="437518D1"/>
    <w:rsid w:val="438D1E49"/>
    <w:rsid w:val="43A0784E"/>
    <w:rsid w:val="43B23B98"/>
    <w:rsid w:val="43C80076"/>
    <w:rsid w:val="43D8550E"/>
    <w:rsid w:val="43DC0C7D"/>
    <w:rsid w:val="43EA69D8"/>
    <w:rsid w:val="44356D2F"/>
    <w:rsid w:val="44390E25"/>
    <w:rsid w:val="44433468"/>
    <w:rsid w:val="44437F9F"/>
    <w:rsid w:val="444F5C68"/>
    <w:rsid w:val="44613E6E"/>
    <w:rsid w:val="446A5324"/>
    <w:rsid w:val="447E7804"/>
    <w:rsid w:val="44943661"/>
    <w:rsid w:val="44A05C5C"/>
    <w:rsid w:val="44AC7417"/>
    <w:rsid w:val="44B16853"/>
    <w:rsid w:val="450D5FAD"/>
    <w:rsid w:val="45172F07"/>
    <w:rsid w:val="451D5184"/>
    <w:rsid w:val="452F3716"/>
    <w:rsid w:val="453C65FD"/>
    <w:rsid w:val="454B256E"/>
    <w:rsid w:val="455D76E4"/>
    <w:rsid w:val="45646F33"/>
    <w:rsid w:val="45671007"/>
    <w:rsid w:val="456C331B"/>
    <w:rsid w:val="45A26739"/>
    <w:rsid w:val="45B07140"/>
    <w:rsid w:val="45C43431"/>
    <w:rsid w:val="45EE3358"/>
    <w:rsid w:val="46066722"/>
    <w:rsid w:val="461976C3"/>
    <w:rsid w:val="461C0664"/>
    <w:rsid w:val="463D42BA"/>
    <w:rsid w:val="46521A41"/>
    <w:rsid w:val="465D50F1"/>
    <w:rsid w:val="46771C91"/>
    <w:rsid w:val="467F06A4"/>
    <w:rsid w:val="46936EA4"/>
    <w:rsid w:val="4694259D"/>
    <w:rsid w:val="46A64B43"/>
    <w:rsid w:val="46AA5A85"/>
    <w:rsid w:val="46AC6264"/>
    <w:rsid w:val="46C01696"/>
    <w:rsid w:val="46C52BE0"/>
    <w:rsid w:val="46D118AB"/>
    <w:rsid w:val="46EE37D3"/>
    <w:rsid w:val="46F30AEE"/>
    <w:rsid w:val="47123940"/>
    <w:rsid w:val="47204C1C"/>
    <w:rsid w:val="4726595C"/>
    <w:rsid w:val="472B687C"/>
    <w:rsid w:val="4759257B"/>
    <w:rsid w:val="47600773"/>
    <w:rsid w:val="47661F26"/>
    <w:rsid w:val="476E25F3"/>
    <w:rsid w:val="47783B12"/>
    <w:rsid w:val="477D5156"/>
    <w:rsid w:val="477F2265"/>
    <w:rsid w:val="47890AD6"/>
    <w:rsid w:val="478D2FF6"/>
    <w:rsid w:val="478F6037"/>
    <w:rsid w:val="47981ED8"/>
    <w:rsid w:val="4798720D"/>
    <w:rsid w:val="47BF7C9C"/>
    <w:rsid w:val="47C2246C"/>
    <w:rsid w:val="47CA5F05"/>
    <w:rsid w:val="47DA1720"/>
    <w:rsid w:val="47E11737"/>
    <w:rsid w:val="47E77D53"/>
    <w:rsid w:val="47EE48C0"/>
    <w:rsid w:val="47F35E3E"/>
    <w:rsid w:val="47FB766F"/>
    <w:rsid w:val="48064E6E"/>
    <w:rsid w:val="4808575C"/>
    <w:rsid w:val="480B439D"/>
    <w:rsid w:val="482F10F4"/>
    <w:rsid w:val="48606A0B"/>
    <w:rsid w:val="486D78BB"/>
    <w:rsid w:val="48723EEE"/>
    <w:rsid w:val="48915636"/>
    <w:rsid w:val="48985F31"/>
    <w:rsid w:val="48AC6E35"/>
    <w:rsid w:val="48BD43A0"/>
    <w:rsid w:val="48C417A6"/>
    <w:rsid w:val="48C96968"/>
    <w:rsid w:val="48F51F3E"/>
    <w:rsid w:val="48F84416"/>
    <w:rsid w:val="4900614D"/>
    <w:rsid w:val="4902013C"/>
    <w:rsid w:val="490874C4"/>
    <w:rsid w:val="491A6A98"/>
    <w:rsid w:val="491D4AAF"/>
    <w:rsid w:val="4926292B"/>
    <w:rsid w:val="492E4D8E"/>
    <w:rsid w:val="49371235"/>
    <w:rsid w:val="494324F6"/>
    <w:rsid w:val="49455D20"/>
    <w:rsid w:val="497B341F"/>
    <w:rsid w:val="49B415EE"/>
    <w:rsid w:val="49B569B9"/>
    <w:rsid w:val="49B63FD6"/>
    <w:rsid w:val="49BF4D00"/>
    <w:rsid w:val="49D1562B"/>
    <w:rsid w:val="49DE1EF5"/>
    <w:rsid w:val="49E579C4"/>
    <w:rsid w:val="49EA2381"/>
    <w:rsid w:val="49F43753"/>
    <w:rsid w:val="49F54A10"/>
    <w:rsid w:val="49F94CE9"/>
    <w:rsid w:val="49FE0E45"/>
    <w:rsid w:val="4A040938"/>
    <w:rsid w:val="4A11169A"/>
    <w:rsid w:val="4A212635"/>
    <w:rsid w:val="4A2175B6"/>
    <w:rsid w:val="4A2F4915"/>
    <w:rsid w:val="4A4260CB"/>
    <w:rsid w:val="4A611E1A"/>
    <w:rsid w:val="4A7055A6"/>
    <w:rsid w:val="4A9C47ED"/>
    <w:rsid w:val="4AA71D5E"/>
    <w:rsid w:val="4AAA6CA9"/>
    <w:rsid w:val="4AC43FFA"/>
    <w:rsid w:val="4AE008D2"/>
    <w:rsid w:val="4B0B3617"/>
    <w:rsid w:val="4B2815DF"/>
    <w:rsid w:val="4B282734"/>
    <w:rsid w:val="4B473F5E"/>
    <w:rsid w:val="4B49191E"/>
    <w:rsid w:val="4B507FB2"/>
    <w:rsid w:val="4B647620"/>
    <w:rsid w:val="4B695935"/>
    <w:rsid w:val="4B7A55E6"/>
    <w:rsid w:val="4B82653E"/>
    <w:rsid w:val="4B894031"/>
    <w:rsid w:val="4B8C1A83"/>
    <w:rsid w:val="4B946154"/>
    <w:rsid w:val="4BB12731"/>
    <w:rsid w:val="4BE10A59"/>
    <w:rsid w:val="4BE123D1"/>
    <w:rsid w:val="4C0A534C"/>
    <w:rsid w:val="4C0F01F9"/>
    <w:rsid w:val="4C270B31"/>
    <w:rsid w:val="4C3202E6"/>
    <w:rsid w:val="4C6370A1"/>
    <w:rsid w:val="4C736886"/>
    <w:rsid w:val="4C7F7CEF"/>
    <w:rsid w:val="4C821AA7"/>
    <w:rsid w:val="4C991AEB"/>
    <w:rsid w:val="4CA43125"/>
    <w:rsid w:val="4CAC2A11"/>
    <w:rsid w:val="4CB01CB9"/>
    <w:rsid w:val="4CCD33EA"/>
    <w:rsid w:val="4CCF426B"/>
    <w:rsid w:val="4CF907DC"/>
    <w:rsid w:val="4CFE069C"/>
    <w:rsid w:val="4D033F9C"/>
    <w:rsid w:val="4D055E23"/>
    <w:rsid w:val="4D0B0483"/>
    <w:rsid w:val="4D2433AC"/>
    <w:rsid w:val="4D4A4A28"/>
    <w:rsid w:val="4D5D7D7F"/>
    <w:rsid w:val="4D625C01"/>
    <w:rsid w:val="4D8F350E"/>
    <w:rsid w:val="4D924E46"/>
    <w:rsid w:val="4D9877E4"/>
    <w:rsid w:val="4DBD22E7"/>
    <w:rsid w:val="4DC341A4"/>
    <w:rsid w:val="4DC73507"/>
    <w:rsid w:val="4DDA6A5F"/>
    <w:rsid w:val="4DDB7205"/>
    <w:rsid w:val="4DDF772B"/>
    <w:rsid w:val="4DEB15AD"/>
    <w:rsid w:val="4DF8520A"/>
    <w:rsid w:val="4DF87443"/>
    <w:rsid w:val="4E370600"/>
    <w:rsid w:val="4E435024"/>
    <w:rsid w:val="4E4E7E80"/>
    <w:rsid w:val="4E534A5B"/>
    <w:rsid w:val="4E565AC1"/>
    <w:rsid w:val="4E5C5562"/>
    <w:rsid w:val="4E5F69A8"/>
    <w:rsid w:val="4E655726"/>
    <w:rsid w:val="4E754A02"/>
    <w:rsid w:val="4E95725E"/>
    <w:rsid w:val="4E9A6CF9"/>
    <w:rsid w:val="4EA63D16"/>
    <w:rsid w:val="4EA65FD0"/>
    <w:rsid w:val="4ED33DCB"/>
    <w:rsid w:val="4ED47D84"/>
    <w:rsid w:val="4EE34782"/>
    <w:rsid w:val="4EE63F4F"/>
    <w:rsid w:val="4EF63225"/>
    <w:rsid w:val="4F007E65"/>
    <w:rsid w:val="4F0A1AF8"/>
    <w:rsid w:val="4F203D73"/>
    <w:rsid w:val="4F27252E"/>
    <w:rsid w:val="4F323E26"/>
    <w:rsid w:val="4F3913E8"/>
    <w:rsid w:val="4F501419"/>
    <w:rsid w:val="4F594DAC"/>
    <w:rsid w:val="4F5C5A7F"/>
    <w:rsid w:val="4F6C3F07"/>
    <w:rsid w:val="4F830574"/>
    <w:rsid w:val="4F8D5FB6"/>
    <w:rsid w:val="4F9753D7"/>
    <w:rsid w:val="4FA54804"/>
    <w:rsid w:val="4FBF34BA"/>
    <w:rsid w:val="4FCA2B98"/>
    <w:rsid w:val="4FCB218A"/>
    <w:rsid w:val="4FCE7BAE"/>
    <w:rsid w:val="4FFE4A87"/>
    <w:rsid w:val="500344EA"/>
    <w:rsid w:val="500B7B4C"/>
    <w:rsid w:val="503C3296"/>
    <w:rsid w:val="50494C36"/>
    <w:rsid w:val="504B0F0D"/>
    <w:rsid w:val="50527689"/>
    <w:rsid w:val="506633AA"/>
    <w:rsid w:val="507237E3"/>
    <w:rsid w:val="50911DB8"/>
    <w:rsid w:val="50943033"/>
    <w:rsid w:val="509D389C"/>
    <w:rsid w:val="50A642FD"/>
    <w:rsid w:val="50AF647F"/>
    <w:rsid w:val="50BB317D"/>
    <w:rsid w:val="50D06E68"/>
    <w:rsid w:val="50D37C72"/>
    <w:rsid w:val="50E466DC"/>
    <w:rsid w:val="50EA1869"/>
    <w:rsid w:val="50FD00F4"/>
    <w:rsid w:val="50FF056E"/>
    <w:rsid w:val="510F2A7F"/>
    <w:rsid w:val="512746EF"/>
    <w:rsid w:val="51283E4C"/>
    <w:rsid w:val="51291D35"/>
    <w:rsid w:val="512B3A7F"/>
    <w:rsid w:val="51414399"/>
    <w:rsid w:val="515D5FD6"/>
    <w:rsid w:val="516A7012"/>
    <w:rsid w:val="51721A38"/>
    <w:rsid w:val="517D016D"/>
    <w:rsid w:val="51A45867"/>
    <w:rsid w:val="51AD7250"/>
    <w:rsid w:val="51CF1465"/>
    <w:rsid w:val="51D1247D"/>
    <w:rsid w:val="51EC4955"/>
    <w:rsid w:val="51F067B7"/>
    <w:rsid w:val="52077D46"/>
    <w:rsid w:val="52187D0D"/>
    <w:rsid w:val="52361B9C"/>
    <w:rsid w:val="52362A26"/>
    <w:rsid w:val="523B0BAD"/>
    <w:rsid w:val="524B7169"/>
    <w:rsid w:val="5250515D"/>
    <w:rsid w:val="526921DD"/>
    <w:rsid w:val="5297132B"/>
    <w:rsid w:val="529F28D8"/>
    <w:rsid w:val="529F6FBB"/>
    <w:rsid w:val="52C076EC"/>
    <w:rsid w:val="52C25708"/>
    <w:rsid w:val="52C315CC"/>
    <w:rsid w:val="52CD10CA"/>
    <w:rsid w:val="52EB6F11"/>
    <w:rsid w:val="52F0249E"/>
    <w:rsid w:val="531228DF"/>
    <w:rsid w:val="5353575F"/>
    <w:rsid w:val="535B2E70"/>
    <w:rsid w:val="535C4E8B"/>
    <w:rsid w:val="536278AA"/>
    <w:rsid w:val="53673357"/>
    <w:rsid w:val="53676B5F"/>
    <w:rsid w:val="536E21FF"/>
    <w:rsid w:val="5385006E"/>
    <w:rsid w:val="538A4A6D"/>
    <w:rsid w:val="53B45677"/>
    <w:rsid w:val="53DD2466"/>
    <w:rsid w:val="53E34323"/>
    <w:rsid w:val="53F35F85"/>
    <w:rsid w:val="53FC3987"/>
    <w:rsid w:val="5427381E"/>
    <w:rsid w:val="543B788E"/>
    <w:rsid w:val="54447CBB"/>
    <w:rsid w:val="544D0F50"/>
    <w:rsid w:val="545062A7"/>
    <w:rsid w:val="545C3555"/>
    <w:rsid w:val="54617320"/>
    <w:rsid w:val="547A28DC"/>
    <w:rsid w:val="54827775"/>
    <w:rsid w:val="548F46E6"/>
    <w:rsid w:val="54AC5134"/>
    <w:rsid w:val="54DE6078"/>
    <w:rsid w:val="54E86EBD"/>
    <w:rsid w:val="54F2526E"/>
    <w:rsid w:val="55075D9B"/>
    <w:rsid w:val="55184BBF"/>
    <w:rsid w:val="551874CA"/>
    <w:rsid w:val="551E6A56"/>
    <w:rsid w:val="552006D3"/>
    <w:rsid w:val="552438BC"/>
    <w:rsid w:val="55301CB3"/>
    <w:rsid w:val="55327054"/>
    <w:rsid w:val="553A26BA"/>
    <w:rsid w:val="5556054C"/>
    <w:rsid w:val="55862A42"/>
    <w:rsid w:val="55990578"/>
    <w:rsid w:val="55A56891"/>
    <w:rsid w:val="55AC66CB"/>
    <w:rsid w:val="55B94635"/>
    <w:rsid w:val="55C33131"/>
    <w:rsid w:val="55C70BF3"/>
    <w:rsid w:val="55CD7903"/>
    <w:rsid w:val="55E172A0"/>
    <w:rsid w:val="55E24605"/>
    <w:rsid w:val="55F81C60"/>
    <w:rsid w:val="55FA0F14"/>
    <w:rsid w:val="56097F90"/>
    <w:rsid w:val="56133E90"/>
    <w:rsid w:val="5620190B"/>
    <w:rsid w:val="56474D43"/>
    <w:rsid w:val="564C1D1D"/>
    <w:rsid w:val="565F1E2E"/>
    <w:rsid w:val="56670F45"/>
    <w:rsid w:val="566F1BE2"/>
    <w:rsid w:val="567B004B"/>
    <w:rsid w:val="56825178"/>
    <w:rsid w:val="568F784B"/>
    <w:rsid w:val="569C0124"/>
    <w:rsid w:val="56A17AE8"/>
    <w:rsid w:val="56C9634D"/>
    <w:rsid w:val="56D41BE8"/>
    <w:rsid w:val="56EC7A5D"/>
    <w:rsid w:val="56F4599D"/>
    <w:rsid w:val="570D0322"/>
    <w:rsid w:val="57180ACE"/>
    <w:rsid w:val="571B61B6"/>
    <w:rsid w:val="57213E7D"/>
    <w:rsid w:val="5723561B"/>
    <w:rsid w:val="572362C9"/>
    <w:rsid w:val="572F19CA"/>
    <w:rsid w:val="572F37C6"/>
    <w:rsid w:val="5736629C"/>
    <w:rsid w:val="57540996"/>
    <w:rsid w:val="57802A35"/>
    <w:rsid w:val="578C3658"/>
    <w:rsid w:val="57B66918"/>
    <w:rsid w:val="57BD6FCE"/>
    <w:rsid w:val="57D214D2"/>
    <w:rsid w:val="57DA1A42"/>
    <w:rsid w:val="58002D08"/>
    <w:rsid w:val="58057728"/>
    <w:rsid w:val="581D1F94"/>
    <w:rsid w:val="582872BA"/>
    <w:rsid w:val="5829318A"/>
    <w:rsid w:val="582D7EE9"/>
    <w:rsid w:val="583343BB"/>
    <w:rsid w:val="583439B3"/>
    <w:rsid w:val="583B5787"/>
    <w:rsid w:val="586759C7"/>
    <w:rsid w:val="58C07CA9"/>
    <w:rsid w:val="58CD6275"/>
    <w:rsid w:val="58DE5A38"/>
    <w:rsid w:val="58FA7B16"/>
    <w:rsid w:val="58FB22A6"/>
    <w:rsid w:val="59003437"/>
    <w:rsid w:val="59182EE7"/>
    <w:rsid w:val="5921212C"/>
    <w:rsid w:val="59395687"/>
    <w:rsid w:val="59517781"/>
    <w:rsid w:val="59546D37"/>
    <w:rsid w:val="596F472F"/>
    <w:rsid w:val="5974345D"/>
    <w:rsid w:val="597534AA"/>
    <w:rsid w:val="59951C91"/>
    <w:rsid w:val="59982867"/>
    <w:rsid w:val="59A11ED6"/>
    <w:rsid w:val="59AB0DFC"/>
    <w:rsid w:val="59C1557F"/>
    <w:rsid w:val="59C8615E"/>
    <w:rsid w:val="59E771C2"/>
    <w:rsid w:val="59E84659"/>
    <w:rsid w:val="59FF2575"/>
    <w:rsid w:val="5A0545F3"/>
    <w:rsid w:val="5A344FB0"/>
    <w:rsid w:val="5A360707"/>
    <w:rsid w:val="5A482568"/>
    <w:rsid w:val="5A5755C9"/>
    <w:rsid w:val="5A5A13C0"/>
    <w:rsid w:val="5A65234E"/>
    <w:rsid w:val="5A772EA3"/>
    <w:rsid w:val="5A7D29E6"/>
    <w:rsid w:val="5A821401"/>
    <w:rsid w:val="5A8A2B4B"/>
    <w:rsid w:val="5A8C5ACF"/>
    <w:rsid w:val="5A96158A"/>
    <w:rsid w:val="5A9F5080"/>
    <w:rsid w:val="5AAB6618"/>
    <w:rsid w:val="5AC52E1B"/>
    <w:rsid w:val="5AE91049"/>
    <w:rsid w:val="5AEF582B"/>
    <w:rsid w:val="5B0B5334"/>
    <w:rsid w:val="5B0E3A7B"/>
    <w:rsid w:val="5B1B7ACD"/>
    <w:rsid w:val="5B247C71"/>
    <w:rsid w:val="5B2A406A"/>
    <w:rsid w:val="5B2B06FA"/>
    <w:rsid w:val="5B392BD6"/>
    <w:rsid w:val="5B561D67"/>
    <w:rsid w:val="5B774FD6"/>
    <w:rsid w:val="5B814790"/>
    <w:rsid w:val="5B82237F"/>
    <w:rsid w:val="5B824855"/>
    <w:rsid w:val="5B856A19"/>
    <w:rsid w:val="5B88245B"/>
    <w:rsid w:val="5B8A0D7A"/>
    <w:rsid w:val="5B8B0F7C"/>
    <w:rsid w:val="5B9E05AD"/>
    <w:rsid w:val="5BA34FBC"/>
    <w:rsid w:val="5BBB1AC4"/>
    <w:rsid w:val="5BE11C63"/>
    <w:rsid w:val="5BF24E07"/>
    <w:rsid w:val="5BFB55EA"/>
    <w:rsid w:val="5C15792E"/>
    <w:rsid w:val="5C1A5869"/>
    <w:rsid w:val="5C2404DB"/>
    <w:rsid w:val="5C290BF2"/>
    <w:rsid w:val="5C4E1E1E"/>
    <w:rsid w:val="5C4F343B"/>
    <w:rsid w:val="5C6A79EB"/>
    <w:rsid w:val="5C905D20"/>
    <w:rsid w:val="5C912690"/>
    <w:rsid w:val="5C970365"/>
    <w:rsid w:val="5C9F632F"/>
    <w:rsid w:val="5CCB04A2"/>
    <w:rsid w:val="5CCD7E04"/>
    <w:rsid w:val="5CD36B26"/>
    <w:rsid w:val="5CD51F6A"/>
    <w:rsid w:val="5CD6026B"/>
    <w:rsid w:val="5CE319F6"/>
    <w:rsid w:val="5CE42846"/>
    <w:rsid w:val="5CE9406B"/>
    <w:rsid w:val="5D0656E1"/>
    <w:rsid w:val="5D566DF5"/>
    <w:rsid w:val="5D5736EC"/>
    <w:rsid w:val="5D592213"/>
    <w:rsid w:val="5D7067ED"/>
    <w:rsid w:val="5D7531C5"/>
    <w:rsid w:val="5D77660D"/>
    <w:rsid w:val="5D7A7C97"/>
    <w:rsid w:val="5D8A240A"/>
    <w:rsid w:val="5D8A4019"/>
    <w:rsid w:val="5D9907FA"/>
    <w:rsid w:val="5D9A56C3"/>
    <w:rsid w:val="5DCD4FAD"/>
    <w:rsid w:val="5DD45E20"/>
    <w:rsid w:val="5DD77F01"/>
    <w:rsid w:val="5DF376B4"/>
    <w:rsid w:val="5DF974C4"/>
    <w:rsid w:val="5E150E16"/>
    <w:rsid w:val="5E156702"/>
    <w:rsid w:val="5E2C3CE8"/>
    <w:rsid w:val="5E3E0745"/>
    <w:rsid w:val="5E480DBB"/>
    <w:rsid w:val="5E532C32"/>
    <w:rsid w:val="5E6B78B9"/>
    <w:rsid w:val="5E72530D"/>
    <w:rsid w:val="5E7B3471"/>
    <w:rsid w:val="5E811840"/>
    <w:rsid w:val="5EAC620C"/>
    <w:rsid w:val="5EB56E43"/>
    <w:rsid w:val="5EDB6E5E"/>
    <w:rsid w:val="5EE64F4B"/>
    <w:rsid w:val="5EEC0A1B"/>
    <w:rsid w:val="5F050603"/>
    <w:rsid w:val="5F0F5BF5"/>
    <w:rsid w:val="5F1070E5"/>
    <w:rsid w:val="5F137093"/>
    <w:rsid w:val="5F475DFB"/>
    <w:rsid w:val="5F4A6912"/>
    <w:rsid w:val="5F517FEB"/>
    <w:rsid w:val="5F7A1C50"/>
    <w:rsid w:val="5F897D68"/>
    <w:rsid w:val="5FA342D5"/>
    <w:rsid w:val="5FA40581"/>
    <w:rsid w:val="5FB42B98"/>
    <w:rsid w:val="5FBB4DAC"/>
    <w:rsid w:val="5FBF418B"/>
    <w:rsid w:val="5FC03F1C"/>
    <w:rsid w:val="5FC128D4"/>
    <w:rsid w:val="5FC577B3"/>
    <w:rsid w:val="5FDB0323"/>
    <w:rsid w:val="5FFB751D"/>
    <w:rsid w:val="5FFC1DCE"/>
    <w:rsid w:val="600B078E"/>
    <w:rsid w:val="600F0A34"/>
    <w:rsid w:val="602423C7"/>
    <w:rsid w:val="603F2394"/>
    <w:rsid w:val="604407B5"/>
    <w:rsid w:val="60487E62"/>
    <w:rsid w:val="605A5C34"/>
    <w:rsid w:val="60630B92"/>
    <w:rsid w:val="606E4C0D"/>
    <w:rsid w:val="60935B47"/>
    <w:rsid w:val="60C76F62"/>
    <w:rsid w:val="60CE1254"/>
    <w:rsid w:val="60D07D7A"/>
    <w:rsid w:val="60D321CB"/>
    <w:rsid w:val="60D467A9"/>
    <w:rsid w:val="60EA12BA"/>
    <w:rsid w:val="60EB3CE8"/>
    <w:rsid w:val="61034470"/>
    <w:rsid w:val="61041400"/>
    <w:rsid w:val="6108421E"/>
    <w:rsid w:val="610C08D6"/>
    <w:rsid w:val="611504BF"/>
    <w:rsid w:val="61233B56"/>
    <w:rsid w:val="6129287D"/>
    <w:rsid w:val="6132559A"/>
    <w:rsid w:val="61535DEE"/>
    <w:rsid w:val="61606FAA"/>
    <w:rsid w:val="6166167A"/>
    <w:rsid w:val="617020C2"/>
    <w:rsid w:val="61755B39"/>
    <w:rsid w:val="617A0C46"/>
    <w:rsid w:val="618B1EF3"/>
    <w:rsid w:val="618C1600"/>
    <w:rsid w:val="61A33787"/>
    <w:rsid w:val="61A66AB4"/>
    <w:rsid w:val="61BC38FA"/>
    <w:rsid w:val="61BE0E4F"/>
    <w:rsid w:val="61C85E7F"/>
    <w:rsid w:val="61CD78CF"/>
    <w:rsid w:val="61DA14FE"/>
    <w:rsid w:val="61E53D34"/>
    <w:rsid w:val="61E73697"/>
    <w:rsid w:val="61EE3162"/>
    <w:rsid w:val="61F62056"/>
    <w:rsid w:val="61F8337A"/>
    <w:rsid w:val="620208E6"/>
    <w:rsid w:val="620E46C5"/>
    <w:rsid w:val="620F37AC"/>
    <w:rsid w:val="621536B2"/>
    <w:rsid w:val="621C707C"/>
    <w:rsid w:val="621E0130"/>
    <w:rsid w:val="62271A32"/>
    <w:rsid w:val="6245212D"/>
    <w:rsid w:val="624B2E9D"/>
    <w:rsid w:val="62504ABA"/>
    <w:rsid w:val="62510C1A"/>
    <w:rsid w:val="62607DE0"/>
    <w:rsid w:val="62757089"/>
    <w:rsid w:val="62AE05DB"/>
    <w:rsid w:val="62B60A29"/>
    <w:rsid w:val="62B75646"/>
    <w:rsid w:val="62BA5EE7"/>
    <w:rsid w:val="62F04E93"/>
    <w:rsid w:val="62F14EED"/>
    <w:rsid w:val="62FF3767"/>
    <w:rsid w:val="63074094"/>
    <w:rsid w:val="63256E52"/>
    <w:rsid w:val="6337684E"/>
    <w:rsid w:val="63403C73"/>
    <w:rsid w:val="6351410B"/>
    <w:rsid w:val="635D4427"/>
    <w:rsid w:val="635F082F"/>
    <w:rsid w:val="63641CE9"/>
    <w:rsid w:val="63710CD7"/>
    <w:rsid w:val="639A0C81"/>
    <w:rsid w:val="63A00543"/>
    <w:rsid w:val="63BE2991"/>
    <w:rsid w:val="63D672A4"/>
    <w:rsid w:val="63E900E8"/>
    <w:rsid w:val="63F105D2"/>
    <w:rsid w:val="64003000"/>
    <w:rsid w:val="64020FD8"/>
    <w:rsid w:val="640B49C1"/>
    <w:rsid w:val="64156CD8"/>
    <w:rsid w:val="64413D22"/>
    <w:rsid w:val="64470699"/>
    <w:rsid w:val="644B6CD5"/>
    <w:rsid w:val="646253D3"/>
    <w:rsid w:val="64627D01"/>
    <w:rsid w:val="6473435B"/>
    <w:rsid w:val="64864D44"/>
    <w:rsid w:val="64A01013"/>
    <w:rsid w:val="64C76164"/>
    <w:rsid w:val="64D3186F"/>
    <w:rsid w:val="64EF2266"/>
    <w:rsid w:val="64F33559"/>
    <w:rsid w:val="64FD2EEA"/>
    <w:rsid w:val="64FF1ABC"/>
    <w:rsid w:val="650E3520"/>
    <w:rsid w:val="65230BB9"/>
    <w:rsid w:val="653E4CDE"/>
    <w:rsid w:val="654069DE"/>
    <w:rsid w:val="65413B3E"/>
    <w:rsid w:val="654B3E81"/>
    <w:rsid w:val="655555A6"/>
    <w:rsid w:val="655F14F0"/>
    <w:rsid w:val="65660277"/>
    <w:rsid w:val="656E6D13"/>
    <w:rsid w:val="65990AED"/>
    <w:rsid w:val="65A63707"/>
    <w:rsid w:val="65A80F59"/>
    <w:rsid w:val="65AA319F"/>
    <w:rsid w:val="65AC5539"/>
    <w:rsid w:val="65BB595A"/>
    <w:rsid w:val="65E81215"/>
    <w:rsid w:val="65F22562"/>
    <w:rsid w:val="65F65692"/>
    <w:rsid w:val="660C7338"/>
    <w:rsid w:val="66407FD5"/>
    <w:rsid w:val="665346CA"/>
    <w:rsid w:val="6661498D"/>
    <w:rsid w:val="666B3926"/>
    <w:rsid w:val="668C5B9C"/>
    <w:rsid w:val="669265A4"/>
    <w:rsid w:val="66A421AD"/>
    <w:rsid w:val="66A814C4"/>
    <w:rsid w:val="66C77BCC"/>
    <w:rsid w:val="66CF58C8"/>
    <w:rsid w:val="66D00FF0"/>
    <w:rsid w:val="66E300DB"/>
    <w:rsid w:val="66E50A5C"/>
    <w:rsid w:val="66E5305A"/>
    <w:rsid w:val="66FA0A76"/>
    <w:rsid w:val="670314C2"/>
    <w:rsid w:val="670A28DD"/>
    <w:rsid w:val="671F2137"/>
    <w:rsid w:val="67256725"/>
    <w:rsid w:val="672C3BD3"/>
    <w:rsid w:val="673565AD"/>
    <w:rsid w:val="673E6826"/>
    <w:rsid w:val="67441F0C"/>
    <w:rsid w:val="674465E9"/>
    <w:rsid w:val="67517E0F"/>
    <w:rsid w:val="67594618"/>
    <w:rsid w:val="675B3954"/>
    <w:rsid w:val="676B6466"/>
    <w:rsid w:val="676C69DE"/>
    <w:rsid w:val="67707325"/>
    <w:rsid w:val="67954429"/>
    <w:rsid w:val="679F36C0"/>
    <w:rsid w:val="67C47F84"/>
    <w:rsid w:val="67D85572"/>
    <w:rsid w:val="67DD10E7"/>
    <w:rsid w:val="67E51A4F"/>
    <w:rsid w:val="67E81C89"/>
    <w:rsid w:val="67F16AAB"/>
    <w:rsid w:val="67FC2A34"/>
    <w:rsid w:val="68022928"/>
    <w:rsid w:val="68163291"/>
    <w:rsid w:val="68244FDF"/>
    <w:rsid w:val="682634A6"/>
    <w:rsid w:val="68335612"/>
    <w:rsid w:val="683D75EE"/>
    <w:rsid w:val="683F6341"/>
    <w:rsid w:val="68413BF7"/>
    <w:rsid w:val="684A3899"/>
    <w:rsid w:val="68516552"/>
    <w:rsid w:val="68553D9E"/>
    <w:rsid w:val="685D249D"/>
    <w:rsid w:val="685E03FF"/>
    <w:rsid w:val="68600066"/>
    <w:rsid w:val="6861776A"/>
    <w:rsid w:val="687222C2"/>
    <w:rsid w:val="6879445C"/>
    <w:rsid w:val="687A5897"/>
    <w:rsid w:val="687D194E"/>
    <w:rsid w:val="68945561"/>
    <w:rsid w:val="689D6C87"/>
    <w:rsid w:val="68A05E34"/>
    <w:rsid w:val="68A4599C"/>
    <w:rsid w:val="68AD0074"/>
    <w:rsid w:val="68D4182F"/>
    <w:rsid w:val="68DA458B"/>
    <w:rsid w:val="68E565D8"/>
    <w:rsid w:val="68ED4DA7"/>
    <w:rsid w:val="68FC5EBD"/>
    <w:rsid w:val="69122538"/>
    <w:rsid w:val="69194FE8"/>
    <w:rsid w:val="691E2683"/>
    <w:rsid w:val="691F4315"/>
    <w:rsid w:val="692C7B17"/>
    <w:rsid w:val="69544350"/>
    <w:rsid w:val="695675C2"/>
    <w:rsid w:val="69703FA0"/>
    <w:rsid w:val="69997B9C"/>
    <w:rsid w:val="69A84304"/>
    <w:rsid w:val="69B52A42"/>
    <w:rsid w:val="69B67148"/>
    <w:rsid w:val="69BE4DB3"/>
    <w:rsid w:val="69CF0E91"/>
    <w:rsid w:val="69CF0ED8"/>
    <w:rsid w:val="69D52B56"/>
    <w:rsid w:val="69D54DDD"/>
    <w:rsid w:val="69E028D2"/>
    <w:rsid w:val="69E874BD"/>
    <w:rsid w:val="69F54308"/>
    <w:rsid w:val="69F778AA"/>
    <w:rsid w:val="6A0A7A54"/>
    <w:rsid w:val="6A2622A1"/>
    <w:rsid w:val="6A35577F"/>
    <w:rsid w:val="6A3A22EA"/>
    <w:rsid w:val="6A3F2D1D"/>
    <w:rsid w:val="6A592054"/>
    <w:rsid w:val="6A6C07F5"/>
    <w:rsid w:val="6A777087"/>
    <w:rsid w:val="6A820574"/>
    <w:rsid w:val="6A8A7230"/>
    <w:rsid w:val="6A99048F"/>
    <w:rsid w:val="6AA077DB"/>
    <w:rsid w:val="6AA47C92"/>
    <w:rsid w:val="6AB909BB"/>
    <w:rsid w:val="6ABA0C51"/>
    <w:rsid w:val="6ABD020C"/>
    <w:rsid w:val="6AC575C4"/>
    <w:rsid w:val="6ADD6D64"/>
    <w:rsid w:val="6AEA4351"/>
    <w:rsid w:val="6AEB4794"/>
    <w:rsid w:val="6B0F06C2"/>
    <w:rsid w:val="6B2B6878"/>
    <w:rsid w:val="6B633F4F"/>
    <w:rsid w:val="6B70680D"/>
    <w:rsid w:val="6B816F14"/>
    <w:rsid w:val="6B8A298B"/>
    <w:rsid w:val="6B8A779B"/>
    <w:rsid w:val="6BAD6C20"/>
    <w:rsid w:val="6BB456BB"/>
    <w:rsid w:val="6BB62A44"/>
    <w:rsid w:val="6BD81D0A"/>
    <w:rsid w:val="6BDC1378"/>
    <w:rsid w:val="6BE052CE"/>
    <w:rsid w:val="6BF2692A"/>
    <w:rsid w:val="6BF358A4"/>
    <w:rsid w:val="6C051F4E"/>
    <w:rsid w:val="6C096C12"/>
    <w:rsid w:val="6C1A5960"/>
    <w:rsid w:val="6C417EB8"/>
    <w:rsid w:val="6C541D88"/>
    <w:rsid w:val="6C613F45"/>
    <w:rsid w:val="6C756221"/>
    <w:rsid w:val="6C7B08BB"/>
    <w:rsid w:val="6C816AF9"/>
    <w:rsid w:val="6C846694"/>
    <w:rsid w:val="6C9205D9"/>
    <w:rsid w:val="6CA841D2"/>
    <w:rsid w:val="6CB10385"/>
    <w:rsid w:val="6CDF0F3A"/>
    <w:rsid w:val="6CE47854"/>
    <w:rsid w:val="6D010747"/>
    <w:rsid w:val="6D0D25B8"/>
    <w:rsid w:val="6D490A6B"/>
    <w:rsid w:val="6D582A6D"/>
    <w:rsid w:val="6D604FD1"/>
    <w:rsid w:val="6D635FBA"/>
    <w:rsid w:val="6D6534EB"/>
    <w:rsid w:val="6D6C0EA8"/>
    <w:rsid w:val="6D732F9C"/>
    <w:rsid w:val="6D9239A2"/>
    <w:rsid w:val="6DB664EE"/>
    <w:rsid w:val="6DBC6250"/>
    <w:rsid w:val="6DC64BAC"/>
    <w:rsid w:val="6E037AD7"/>
    <w:rsid w:val="6E056523"/>
    <w:rsid w:val="6E074EC9"/>
    <w:rsid w:val="6E160E52"/>
    <w:rsid w:val="6E2E569B"/>
    <w:rsid w:val="6E4064F1"/>
    <w:rsid w:val="6E4E39FC"/>
    <w:rsid w:val="6E5545BD"/>
    <w:rsid w:val="6E5D1964"/>
    <w:rsid w:val="6E614B19"/>
    <w:rsid w:val="6E616F13"/>
    <w:rsid w:val="6E7369B5"/>
    <w:rsid w:val="6E7B5CAB"/>
    <w:rsid w:val="6EAA56FE"/>
    <w:rsid w:val="6EB37B5B"/>
    <w:rsid w:val="6EBE6FBB"/>
    <w:rsid w:val="6ED26D8F"/>
    <w:rsid w:val="6ED70BA2"/>
    <w:rsid w:val="6EDB7671"/>
    <w:rsid w:val="6EF77260"/>
    <w:rsid w:val="6F2302E3"/>
    <w:rsid w:val="6F314C13"/>
    <w:rsid w:val="6F382FA6"/>
    <w:rsid w:val="6F391F60"/>
    <w:rsid w:val="6F694006"/>
    <w:rsid w:val="6F6C5490"/>
    <w:rsid w:val="6F761900"/>
    <w:rsid w:val="6FA71AD5"/>
    <w:rsid w:val="6FAF2607"/>
    <w:rsid w:val="6FD47D24"/>
    <w:rsid w:val="6FE17D06"/>
    <w:rsid w:val="6FF536DD"/>
    <w:rsid w:val="6FFD71B3"/>
    <w:rsid w:val="700A492A"/>
    <w:rsid w:val="700D2412"/>
    <w:rsid w:val="70112883"/>
    <w:rsid w:val="70243856"/>
    <w:rsid w:val="703F2471"/>
    <w:rsid w:val="704B4131"/>
    <w:rsid w:val="70531ED5"/>
    <w:rsid w:val="705A528C"/>
    <w:rsid w:val="7068062C"/>
    <w:rsid w:val="707F47B3"/>
    <w:rsid w:val="70954F53"/>
    <w:rsid w:val="70A94A40"/>
    <w:rsid w:val="70D80F32"/>
    <w:rsid w:val="70D97C76"/>
    <w:rsid w:val="70EF6CF2"/>
    <w:rsid w:val="70F055D4"/>
    <w:rsid w:val="70F76E40"/>
    <w:rsid w:val="711337D0"/>
    <w:rsid w:val="713173E8"/>
    <w:rsid w:val="71420658"/>
    <w:rsid w:val="7143472C"/>
    <w:rsid w:val="71440341"/>
    <w:rsid w:val="714541A9"/>
    <w:rsid w:val="71531561"/>
    <w:rsid w:val="71597148"/>
    <w:rsid w:val="716D089C"/>
    <w:rsid w:val="71715206"/>
    <w:rsid w:val="71743A1D"/>
    <w:rsid w:val="71774D56"/>
    <w:rsid w:val="71901CEF"/>
    <w:rsid w:val="71924BD7"/>
    <w:rsid w:val="719438F4"/>
    <w:rsid w:val="719D7F3F"/>
    <w:rsid w:val="71B55DFD"/>
    <w:rsid w:val="71B834E8"/>
    <w:rsid w:val="71D0750E"/>
    <w:rsid w:val="71D803D1"/>
    <w:rsid w:val="71E501C6"/>
    <w:rsid w:val="71F40A44"/>
    <w:rsid w:val="71FD671C"/>
    <w:rsid w:val="7202163F"/>
    <w:rsid w:val="723B04C8"/>
    <w:rsid w:val="724E6817"/>
    <w:rsid w:val="72600D68"/>
    <w:rsid w:val="72604620"/>
    <w:rsid w:val="726B02C1"/>
    <w:rsid w:val="726D2C67"/>
    <w:rsid w:val="7289227E"/>
    <w:rsid w:val="729A0F74"/>
    <w:rsid w:val="72F03574"/>
    <w:rsid w:val="72F77CB6"/>
    <w:rsid w:val="730B1A61"/>
    <w:rsid w:val="731438BD"/>
    <w:rsid w:val="733155C8"/>
    <w:rsid w:val="73422D3C"/>
    <w:rsid w:val="73625723"/>
    <w:rsid w:val="737007D9"/>
    <w:rsid w:val="738B5B50"/>
    <w:rsid w:val="73AA53A0"/>
    <w:rsid w:val="73B04F6B"/>
    <w:rsid w:val="73D20D1A"/>
    <w:rsid w:val="73D378C0"/>
    <w:rsid w:val="73E168D2"/>
    <w:rsid w:val="73E873C4"/>
    <w:rsid w:val="73F07AA4"/>
    <w:rsid w:val="74010DBC"/>
    <w:rsid w:val="74054701"/>
    <w:rsid w:val="740D2C3F"/>
    <w:rsid w:val="74135925"/>
    <w:rsid w:val="74163E96"/>
    <w:rsid w:val="7420296E"/>
    <w:rsid w:val="742827DB"/>
    <w:rsid w:val="742D6CA9"/>
    <w:rsid w:val="742E58A2"/>
    <w:rsid w:val="743D52CE"/>
    <w:rsid w:val="74525628"/>
    <w:rsid w:val="745A3D0B"/>
    <w:rsid w:val="745F06BF"/>
    <w:rsid w:val="746C713B"/>
    <w:rsid w:val="748D2368"/>
    <w:rsid w:val="749217E0"/>
    <w:rsid w:val="74B22D8C"/>
    <w:rsid w:val="74C26B38"/>
    <w:rsid w:val="74C55FC1"/>
    <w:rsid w:val="74CC7EC1"/>
    <w:rsid w:val="74DA7552"/>
    <w:rsid w:val="74E41FDD"/>
    <w:rsid w:val="74EF6361"/>
    <w:rsid w:val="74F347DF"/>
    <w:rsid w:val="74FA7FE6"/>
    <w:rsid w:val="74FD4A9B"/>
    <w:rsid w:val="751D43A6"/>
    <w:rsid w:val="75304259"/>
    <w:rsid w:val="75453AE1"/>
    <w:rsid w:val="75573AC9"/>
    <w:rsid w:val="75595449"/>
    <w:rsid w:val="758B283A"/>
    <w:rsid w:val="75BD313A"/>
    <w:rsid w:val="75BF6D3D"/>
    <w:rsid w:val="75D065B6"/>
    <w:rsid w:val="75D354BE"/>
    <w:rsid w:val="75DC1EF4"/>
    <w:rsid w:val="75E50837"/>
    <w:rsid w:val="75EF5520"/>
    <w:rsid w:val="75F63713"/>
    <w:rsid w:val="76143A54"/>
    <w:rsid w:val="76310DA3"/>
    <w:rsid w:val="7637074A"/>
    <w:rsid w:val="763B63B0"/>
    <w:rsid w:val="764772A3"/>
    <w:rsid w:val="767B7960"/>
    <w:rsid w:val="769A6195"/>
    <w:rsid w:val="76A44430"/>
    <w:rsid w:val="76A71FBB"/>
    <w:rsid w:val="76AA5D81"/>
    <w:rsid w:val="76AB50DC"/>
    <w:rsid w:val="76B52AFE"/>
    <w:rsid w:val="76BB3C83"/>
    <w:rsid w:val="76C80EC7"/>
    <w:rsid w:val="76CF09B6"/>
    <w:rsid w:val="76D016A8"/>
    <w:rsid w:val="76F73D47"/>
    <w:rsid w:val="77006E1F"/>
    <w:rsid w:val="77032A24"/>
    <w:rsid w:val="771670C1"/>
    <w:rsid w:val="772C16E9"/>
    <w:rsid w:val="77683E14"/>
    <w:rsid w:val="77734EA5"/>
    <w:rsid w:val="77A06542"/>
    <w:rsid w:val="77A922C9"/>
    <w:rsid w:val="77AC049C"/>
    <w:rsid w:val="77B23714"/>
    <w:rsid w:val="77B55363"/>
    <w:rsid w:val="77BB772D"/>
    <w:rsid w:val="77D43FD2"/>
    <w:rsid w:val="77FA155A"/>
    <w:rsid w:val="781137AD"/>
    <w:rsid w:val="781D13FA"/>
    <w:rsid w:val="782817E9"/>
    <w:rsid w:val="78555C26"/>
    <w:rsid w:val="78640057"/>
    <w:rsid w:val="78810787"/>
    <w:rsid w:val="78826969"/>
    <w:rsid w:val="788E3AAC"/>
    <w:rsid w:val="7890703F"/>
    <w:rsid w:val="789B3777"/>
    <w:rsid w:val="78A55DFF"/>
    <w:rsid w:val="78B515B5"/>
    <w:rsid w:val="78C21620"/>
    <w:rsid w:val="78CE2D76"/>
    <w:rsid w:val="78EE2375"/>
    <w:rsid w:val="78FA244C"/>
    <w:rsid w:val="78FE1B78"/>
    <w:rsid w:val="79024116"/>
    <w:rsid w:val="790B5E4F"/>
    <w:rsid w:val="790D572F"/>
    <w:rsid w:val="79233654"/>
    <w:rsid w:val="79455569"/>
    <w:rsid w:val="79470AE2"/>
    <w:rsid w:val="795123A8"/>
    <w:rsid w:val="79535AC3"/>
    <w:rsid w:val="79620961"/>
    <w:rsid w:val="798A04DB"/>
    <w:rsid w:val="79987ED2"/>
    <w:rsid w:val="79AE1AE3"/>
    <w:rsid w:val="79AE77FB"/>
    <w:rsid w:val="79B85AA8"/>
    <w:rsid w:val="79C25732"/>
    <w:rsid w:val="79C342A8"/>
    <w:rsid w:val="79C34F9F"/>
    <w:rsid w:val="79C81B6A"/>
    <w:rsid w:val="79E83652"/>
    <w:rsid w:val="79EF6059"/>
    <w:rsid w:val="79FD0A32"/>
    <w:rsid w:val="7A074D7D"/>
    <w:rsid w:val="7A1053E1"/>
    <w:rsid w:val="7A17618B"/>
    <w:rsid w:val="7A1E05C7"/>
    <w:rsid w:val="7A3F1ABF"/>
    <w:rsid w:val="7A413A99"/>
    <w:rsid w:val="7A4642A9"/>
    <w:rsid w:val="7A4B6B30"/>
    <w:rsid w:val="7A5D3D51"/>
    <w:rsid w:val="7A5F0CF7"/>
    <w:rsid w:val="7A675EA5"/>
    <w:rsid w:val="7A6B3865"/>
    <w:rsid w:val="7A7041ED"/>
    <w:rsid w:val="7A832390"/>
    <w:rsid w:val="7A922E92"/>
    <w:rsid w:val="7A92679C"/>
    <w:rsid w:val="7A955810"/>
    <w:rsid w:val="7A985E92"/>
    <w:rsid w:val="7A9C2E47"/>
    <w:rsid w:val="7A9E009C"/>
    <w:rsid w:val="7AB55D4B"/>
    <w:rsid w:val="7AC019FF"/>
    <w:rsid w:val="7ACA6FB9"/>
    <w:rsid w:val="7AF46C5F"/>
    <w:rsid w:val="7AF91BCC"/>
    <w:rsid w:val="7B0C5BAE"/>
    <w:rsid w:val="7B2374FE"/>
    <w:rsid w:val="7B34342A"/>
    <w:rsid w:val="7B3873CB"/>
    <w:rsid w:val="7B496993"/>
    <w:rsid w:val="7B783675"/>
    <w:rsid w:val="7B796807"/>
    <w:rsid w:val="7BAC2D3A"/>
    <w:rsid w:val="7BAE3C97"/>
    <w:rsid w:val="7BB16076"/>
    <w:rsid w:val="7BB46DB9"/>
    <w:rsid w:val="7BC02341"/>
    <w:rsid w:val="7BD74454"/>
    <w:rsid w:val="7BE96DEC"/>
    <w:rsid w:val="7C021A51"/>
    <w:rsid w:val="7C033C13"/>
    <w:rsid w:val="7C041A0F"/>
    <w:rsid w:val="7C110306"/>
    <w:rsid w:val="7C212B8A"/>
    <w:rsid w:val="7C4E5B9F"/>
    <w:rsid w:val="7C8464A1"/>
    <w:rsid w:val="7C9D2D7B"/>
    <w:rsid w:val="7CA26867"/>
    <w:rsid w:val="7CB43A8E"/>
    <w:rsid w:val="7CC106AB"/>
    <w:rsid w:val="7CDF4250"/>
    <w:rsid w:val="7D09113D"/>
    <w:rsid w:val="7D157A0E"/>
    <w:rsid w:val="7D1658AD"/>
    <w:rsid w:val="7D1D4159"/>
    <w:rsid w:val="7D243099"/>
    <w:rsid w:val="7D4B3993"/>
    <w:rsid w:val="7D5F5E30"/>
    <w:rsid w:val="7D6C208F"/>
    <w:rsid w:val="7D897D56"/>
    <w:rsid w:val="7D9B14E5"/>
    <w:rsid w:val="7DAA42B2"/>
    <w:rsid w:val="7DAA569A"/>
    <w:rsid w:val="7DB1501E"/>
    <w:rsid w:val="7DB676D9"/>
    <w:rsid w:val="7DBE16CF"/>
    <w:rsid w:val="7DC37DE3"/>
    <w:rsid w:val="7DC97BD3"/>
    <w:rsid w:val="7DD45912"/>
    <w:rsid w:val="7E0D4E8F"/>
    <w:rsid w:val="7E107D04"/>
    <w:rsid w:val="7E202441"/>
    <w:rsid w:val="7E455935"/>
    <w:rsid w:val="7E4B691E"/>
    <w:rsid w:val="7E616C7B"/>
    <w:rsid w:val="7E733A70"/>
    <w:rsid w:val="7E8A0780"/>
    <w:rsid w:val="7EA574A2"/>
    <w:rsid w:val="7EBB0DC0"/>
    <w:rsid w:val="7EC42E15"/>
    <w:rsid w:val="7EC50C54"/>
    <w:rsid w:val="7ED11A3C"/>
    <w:rsid w:val="7ED91C72"/>
    <w:rsid w:val="7EEB5BB3"/>
    <w:rsid w:val="7F1568D7"/>
    <w:rsid w:val="7F2E0D24"/>
    <w:rsid w:val="7F312E91"/>
    <w:rsid w:val="7F33645C"/>
    <w:rsid w:val="7F4E4DC2"/>
    <w:rsid w:val="7F66205C"/>
    <w:rsid w:val="7FA8327A"/>
    <w:rsid w:val="7FB32EED"/>
    <w:rsid w:val="7FB34208"/>
    <w:rsid w:val="7FB6358D"/>
    <w:rsid w:val="7FE076F1"/>
    <w:rsid w:val="7FEE6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unhideWhenUsed/>
    <w:qFormat/>
    <w:uiPriority w:val="99"/>
    <w:pPr>
      <w:widowControl w:val="0"/>
      <w:spacing w:after="120"/>
      <w:jc w:val="both"/>
    </w:pPr>
    <w:rPr>
      <w:rFonts w:asciiTheme="minorHAnsi" w:hAnsiTheme="minorHAnsi" w:eastAsiaTheme="minorEastAsia" w:cstheme="minorBidi"/>
      <w:kern w:val="2"/>
      <w:sz w:val="21"/>
      <w:szCs w:val="24"/>
      <w:lang w:val="en-US" w:eastAsia="zh-CN" w:bidi="ar-SA"/>
    </w:rPr>
  </w:style>
  <w:style w:type="paragraph" w:styleId="4">
    <w:name w:val="Body Text Indent"/>
    <w:next w:val="1"/>
    <w:qFormat/>
    <w:uiPriority w:val="99"/>
    <w:pPr>
      <w:widowControl w:val="0"/>
      <w:spacing w:after="120"/>
      <w:ind w:left="420" w:leftChars="200"/>
      <w:jc w:val="both"/>
    </w:pPr>
    <w:rPr>
      <w:rFonts w:asciiTheme="minorHAnsi" w:hAnsiTheme="minorHAnsi" w:eastAsiaTheme="minorEastAsia" w:cstheme="minorBidi"/>
      <w:kern w:val="2"/>
      <w:sz w:val="21"/>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qFormat/>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paragraph" w:styleId="8">
    <w:name w:val="Body Text First Indent 2"/>
    <w:qFormat/>
    <w:uiPriority w:val="0"/>
    <w:pPr>
      <w:widowControl w:val="0"/>
      <w:spacing w:after="0"/>
      <w:ind w:left="420" w:leftChars="200"/>
      <w:jc w:val="both"/>
    </w:pPr>
    <w:rPr>
      <w:rFonts w:asciiTheme="minorHAnsi" w:hAnsiTheme="minorHAnsi" w:eastAsiaTheme="minorEastAsia" w:cstheme="minorBidi"/>
      <w:kern w:val="2"/>
      <w:sz w:val="21"/>
      <w:szCs w:val="24"/>
      <w:lang w:val="en-US" w:eastAsia="zh-CN"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22"/>
    <w:rPr>
      <w:b/>
      <w:bCs/>
    </w:rPr>
  </w:style>
  <w:style w:type="table" w:customStyle="1" w:styleId="13">
    <w:name w:val="Table Normal"/>
    <w:unhideWhenUsed/>
    <w:qFormat/>
    <w:uiPriority w:val="0"/>
    <w:tblPr>
      <w:tblCellMar>
        <w:top w:w="0" w:type="dxa"/>
        <w:left w:w="0" w:type="dxa"/>
        <w:bottom w:w="0" w:type="dxa"/>
        <w:right w:w="0" w:type="dxa"/>
      </w:tblCellMar>
    </w:tblPr>
  </w:style>
  <w:style w:type="paragraph" w:customStyle="1" w:styleId="14">
    <w:name w:val="181"/>
    <w:qFormat/>
    <w:uiPriority w:val="0"/>
    <w:pPr>
      <w:keepNext w:val="0"/>
      <w:keepLines w:val="0"/>
      <w:widowControl w:val="0"/>
      <w:suppressLineNumbers w:val="0"/>
      <w:spacing w:before="0" w:beforeAutospacing="0" w:after="0" w:afterAutospacing="0"/>
      <w:ind w:left="0" w:right="0"/>
      <w:jc w:val="both"/>
    </w:pPr>
    <w:rPr>
      <w:rFonts w:hint="eastAsia" w:ascii="等线" w:hAnsi="等线" w:eastAsia="等线" w:cs="Times New Roman"/>
      <w:kern w:val="2"/>
      <w:sz w:val="21"/>
      <w:szCs w:val="21"/>
      <w:lang w:val="en-US" w:eastAsia="zh-CN" w:bidi="ar"/>
    </w:rPr>
  </w:style>
  <w:style w:type="paragraph" w:customStyle="1" w:styleId="15">
    <w:name w:val="18"/>
    <w:qFormat/>
    <w:uiPriority w:val="0"/>
    <w:pPr>
      <w:keepNext w:val="0"/>
      <w:keepLines w:val="0"/>
      <w:widowControl w:val="0"/>
      <w:suppressLineNumbers w:val="0"/>
      <w:spacing w:before="0" w:beforeAutospacing="0" w:after="0" w:afterAutospacing="0"/>
      <w:ind w:left="0" w:right="0"/>
      <w:jc w:val="both"/>
    </w:pPr>
    <w:rPr>
      <w:rFonts w:hint="eastAsia" w:ascii="等线" w:hAnsi="等线" w:eastAsia="等线" w:cs="Times New Roman"/>
      <w:kern w:val="2"/>
      <w:sz w:val="21"/>
      <w:szCs w:val="22"/>
      <w:lang w:val="en-US" w:eastAsia="zh-CN" w:bidi="ar"/>
    </w:rPr>
  </w:style>
  <w:style w:type="character" w:customStyle="1" w:styleId="16">
    <w:name w:val="NormalCharacter"/>
    <w:semiHidde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5940</Words>
  <Characters>6534</Characters>
  <Lines>0</Lines>
  <Paragraphs>0</Paragraphs>
  <TotalTime>6</TotalTime>
  <ScaleCrop>false</ScaleCrop>
  <LinksUpToDate>false</LinksUpToDate>
  <CharactersWithSpaces>6664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2023-04-23T08:56:00Z</dcterms:created>
  <dc:creator>新一天</dc:creator>
  <cp:lastModifiedBy>王小纯</cp:lastModifiedBy>
  <cp:lastPrinted>2023-05-26T08:11:00Z</cp:lastPrinted>
  <dcterms:modified xsi:type="dcterms:W3CDTF">2024-06-18T06:15:29Z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50306CC149C84F98BF850919EA3E5AFB_13</vt:lpwstr>
  </property>
</Properties>
</file>