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pPr>
      <w:r>
        <w:rPr>
          <w:rFonts w:hint="eastAsia" w:ascii="黑体" w:hAnsi="黑体" w:eastAsia="黑体" w:cs="黑体"/>
          <w:b w:val="0"/>
          <w:bCs w:val="0"/>
          <w:color w:val="000000" w:themeColor="text1"/>
          <w:spacing w:val="10"/>
          <w:sz w:val="32"/>
          <w:szCs w:val="32"/>
          <w:lang w:eastAsia="zh-CN"/>
          <w14:textFill>
            <w14:solidFill>
              <w14:schemeClr w14:val="tx1"/>
            </w14:solidFill>
          </w14:textFill>
        </w:rPr>
        <w:t>附件</w:t>
      </w:r>
      <w:r>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t>1</w:t>
      </w:r>
    </w:p>
    <w:p>
      <w:pPr>
        <w:keepNext w:val="0"/>
        <w:keepLines w:val="0"/>
        <w:pageBreakBefore w:val="0"/>
        <w:widowControl w:val="0"/>
        <w:kinsoku/>
        <w:wordWrap/>
        <w:overflowPunct/>
        <w:topLinePunct w:val="0"/>
        <w:autoSpaceDE/>
        <w:autoSpaceDN/>
        <w:bidi w:val="0"/>
        <w:adjustRightInd/>
        <w:snapToGrid/>
        <w:spacing w:line="700" w:lineRule="exact"/>
        <w:ind w:firstLine="0" w:firstLineChars="0"/>
        <w:jc w:val="right"/>
        <w:textAlignment w:val="auto"/>
        <w:rPr>
          <w:rFonts w:hint="eastAsia" w:ascii="方正小标宋简体" w:hAnsi="方正小标宋简体" w:eastAsia="方正小标宋简体" w:cs="方正小标宋简体"/>
          <w:b w:val="0"/>
          <w:bCs w:val="0"/>
          <w:color w:val="000000" w:themeColor="text1"/>
          <w:spacing w:val="2"/>
          <w:sz w:val="44"/>
          <w:szCs w:val="44"/>
          <w14:textFill>
            <w14:solidFill>
              <w14:schemeClr w14:val="tx1"/>
            </w14:solidFill>
          </w14:textFill>
        </w:rPr>
      </w:pPr>
      <w:r>
        <w:rPr>
          <w:rFonts w:hint="eastAsia" w:ascii="方正小标宋简体" w:hAnsi="方正小标宋简体" w:eastAsia="方正小标宋简体" w:cs="方正小标宋简体"/>
          <w:b w:val="0"/>
          <w:bCs w:val="0"/>
          <w:color w:val="000000" w:themeColor="text1"/>
          <w:spacing w:val="2"/>
          <w:sz w:val="42"/>
          <w:szCs w:val="42"/>
          <w14:textFill>
            <w14:solidFill>
              <w14:schemeClr w14:val="tx1"/>
            </w14:solidFill>
          </w14:textFill>
        </w:rPr>
        <w:t>2022年度</w:t>
      </w:r>
      <w:r>
        <w:rPr>
          <w:rFonts w:hint="eastAsia" w:ascii="方正小标宋简体" w:hAnsi="方正小标宋简体" w:eastAsia="方正小标宋简体" w:cs="方正小标宋简体"/>
          <w:b w:val="0"/>
          <w:bCs w:val="0"/>
          <w:color w:val="000000" w:themeColor="text1"/>
          <w:spacing w:val="2"/>
          <w:sz w:val="42"/>
          <w:szCs w:val="42"/>
          <w:lang w:eastAsia="zh-CN"/>
          <w14:textFill>
            <w14:solidFill>
              <w14:schemeClr w14:val="tx1"/>
            </w14:solidFill>
          </w14:textFill>
        </w:rPr>
        <w:t>预算单位</w:t>
      </w:r>
      <w:r>
        <w:rPr>
          <w:rFonts w:hint="eastAsia" w:ascii="方正小标宋简体" w:hAnsi="方正小标宋简体" w:eastAsia="方正小标宋简体" w:cs="方正小标宋简体"/>
          <w:b w:val="0"/>
          <w:bCs w:val="0"/>
          <w:color w:val="000000" w:themeColor="text1"/>
          <w:spacing w:val="2"/>
          <w:sz w:val="42"/>
          <w:szCs w:val="42"/>
          <w14:textFill>
            <w14:solidFill>
              <w14:schemeClr w14:val="tx1"/>
            </w14:solidFill>
          </w14:textFill>
        </w:rPr>
        <w:t>整体支出绩效评价基础数据表</w:t>
      </w:r>
    </w:p>
    <w:p>
      <w:pPr>
        <w:spacing w:line="115" w:lineRule="exact"/>
        <w:rPr>
          <w:color w:val="000000" w:themeColor="text1"/>
          <w14:textFill>
            <w14:solidFill>
              <w14:schemeClr w14:val="tx1"/>
            </w14:solidFill>
          </w14:textFill>
        </w:rPr>
      </w:pPr>
    </w:p>
    <w:tbl>
      <w:tblPr>
        <w:tblStyle w:val="15"/>
        <w:tblW w:w="9669"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3850"/>
        <w:gridCol w:w="825"/>
        <w:gridCol w:w="990"/>
        <w:gridCol w:w="1140"/>
        <w:gridCol w:w="1185"/>
        <w:gridCol w:w="810"/>
        <w:gridCol w:w="869"/>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05" w:hRule="atLeast"/>
        </w:trPr>
        <w:tc>
          <w:tcPr>
            <w:tcW w:w="3850" w:type="dxa"/>
            <w:tcBorders>
              <w:bottom w:val="nil"/>
            </w:tcBorders>
            <w:noWrap w:val="0"/>
            <w:vAlign w:val="center"/>
          </w:tcPr>
          <w:p>
            <w:pPr>
              <w:spacing w:before="33" w:line="198" w:lineRule="auto"/>
              <w:ind w:right="118" w:rightChars="0"/>
              <w:jc w:val="center"/>
              <w:rPr>
                <w:rFonts w:hint="eastAsia" w:asciiTheme="majorEastAsia" w:hAnsiTheme="majorEastAsia" w:eastAsiaTheme="majorEastAsia" w:cstheme="majorEastAsia"/>
                <w:color w:val="000000" w:themeColor="text1"/>
                <w:spacing w:val="2"/>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预算</w:t>
            </w:r>
            <w:r>
              <w:rPr>
                <w:rFonts w:hint="eastAsia" w:asciiTheme="majorEastAsia" w:hAnsiTheme="majorEastAsia" w:eastAsiaTheme="majorEastAsia" w:cstheme="majorEastAsia"/>
                <w:color w:val="000000" w:themeColor="text1"/>
                <w:spacing w:val="2"/>
                <w:sz w:val="24"/>
                <w:szCs w:val="24"/>
                <w:lang w:eastAsia="zh-CN"/>
                <w14:textFill>
                  <w14:solidFill>
                    <w14:schemeClr w14:val="tx1"/>
                  </w14:solidFill>
                </w14:textFill>
              </w:rPr>
              <w:t>单位</w:t>
            </w: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名称</w:t>
            </w:r>
          </w:p>
        </w:tc>
        <w:tc>
          <w:tcPr>
            <w:tcW w:w="5819" w:type="dxa"/>
            <w:gridSpan w:val="6"/>
            <w:noWrap w:val="0"/>
            <w:vAlign w:val="top"/>
          </w:tcPr>
          <w:p>
            <w:pPr>
              <w:spacing w:before="103" w:line="219" w:lineRule="auto"/>
              <w:ind w:left="708"/>
              <w:rPr>
                <w:rFonts w:hint="eastAsia" w:asciiTheme="majorEastAsia" w:hAnsiTheme="majorEastAsia" w:eastAsiaTheme="majorEastAsia" w:cstheme="majorEastAsia"/>
                <w:color w:val="000000" w:themeColor="text1"/>
                <w:spacing w:val="-2"/>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2"/>
                <w:sz w:val="20"/>
                <w:szCs w:val="20"/>
                <w14:textFill>
                  <w14:solidFill>
                    <w14:schemeClr w14:val="tx1"/>
                  </w14:solidFill>
                </w14:textFill>
              </w:rPr>
              <w:t>岳阳市岳阳楼区奇家岭街道社区卫生服务中心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5" w:hRule="atLeast"/>
        </w:trPr>
        <w:tc>
          <w:tcPr>
            <w:tcW w:w="3850" w:type="dxa"/>
            <w:vMerge w:val="restart"/>
            <w:tcBorders>
              <w:bottom w:val="nil"/>
            </w:tcBorders>
            <w:noWrap w:val="0"/>
            <w:vAlign w:val="top"/>
          </w:tcPr>
          <w:p>
            <w:pPr>
              <w:spacing w:before="262" w:line="219" w:lineRule="auto"/>
              <w:ind w:left="575"/>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3"/>
                <w:sz w:val="24"/>
                <w:szCs w:val="24"/>
                <w14:textFill>
                  <w14:solidFill>
                    <w14:schemeClr w14:val="tx1"/>
                  </w14:solidFill>
                </w14:textFill>
              </w:rPr>
              <w:t>财政供养人员情况(人)</w:t>
            </w:r>
          </w:p>
        </w:tc>
        <w:tc>
          <w:tcPr>
            <w:tcW w:w="1815" w:type="dxa"/>
            <w:gridSpan w:val="2"/>
            <w:noWrap w:val="0"/>
            <w:vAlign w:val="top"/>
          </w:tcPr>
          <w:p>
            <w:pPr>
              <w:spacing w:before="103" w:line="219" w:lineRule="auto"/>
              <w:jc w:val="center"/>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3"/>
                <w:sz w:val="24"/>
                <w:szCs w:val="24"/>
                <w14:textFill>
                  <w14:solidFill>
                    <w14:schemeClr w14:val="tx1"/>
                  </w14:solidFill>
                </w14:textFill>
              </w:rPr>
              <w:t>编制数</w:t>
            </w:r>
          </w:p>
        </w:tc>
        <w:tc>
          <w:tcPr>
            <w:tcW w:w="2325" w:type="dxa"/>
            <w:gridSpan w:val="2"/>
            <w:noWrap w:val="0"/>
            <w:vAlign w:val="top"/>
          </w:tcPr>
          <w:p>
            <w:pPr>
              <w:spacing w:before="83" w:line="219" w:lineRule="auto"/>
              <w:jc w:val="center"/>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2022年实际在职人数</w:t>
            </w:r>
          </w:p>
        </w:tc>
        <w:tc>
          <w:tcPr>
            <w:tcW w:w="1679" w:type="dxa"/>
            <w:gridSpan w:val="2"/>
            <w:noWrap w:val="0"/>
            <w:vAlign w:val="top"/>
          </w:tcPr>
          <w:p>
            <w:pPr>
              <w:spacing w:before="103" w:line="219" w:lineRule="auto"/>
              <w:ind w:left="708"/>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控制率</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vMerge w:val="continue"/>
            <w:tcBorders>
              <w:top w:val="nil"/>
            </w:tcBorders>
            <w:noWrap w:val="0"/>
            <w:vAlign w:val="top"/>
          </w:tcPr>
          <w:p>
            <w:pPr>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p>
        </w:tc>
        <w:tc>
          <w:tcPr>
            <w:tcW w:w="1815" w:type="dxa"/>
            <w:gridSpan w:val="2"/>
            <w:noWrap w:val="0"/>
            <w:vAlign w:val="top"/>
          </w:tcPr>
          <w:p>
            <w:pPr>
              <w:jc w:val="center"/>
              <w:rPr>
                <w:rFonts w:hint="default" w:asciiTheme="majorEastAsia" w:hAnsiTheme="majorEastAsia" w:eastAsiaTheme="majorEastAsia" w:cstheme="majorEastAsia"/>
                <w:color w:val="000000" w:themeColor="text1"/>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12</w:t>
            </w:r>
          </w:p>
        </w:tc>
        <w:tc>
          <w:tcPr>
            <w:tcW w:w="2325" w:type="dxa"/>
            <w:gridSpan w:val="2"/>
            <w:noWrap w:val="0"/>
            <w:vAlign w:val="top"/>
          </w:tcPr>
          <w:p>
            <w:pPr>
              <w:jc w:val="center"/>
              <w:rPr>
                <w:rFonts w:hint="default" w:asciiTheme="majorEastAsia" w:hAnsiTheme="majorEastAsia" w:eastAsiaTheme="majorEastAsia" w:cstheme="majorEastAsia"/>
                <w:color w:val="000000" w:themeColor="text1"/>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7</w:t>
            </w:r>
          </w:p>
        </w:tc>
        <w:tc>
          <w:tcPr>
            <w:tcW w:w="1679" w:type="dxa"/>
            <w:gridSpan w:val="2"/>
            <w:noWrap w:val="0"/>
            <w:vAlign w:val="top"/>
          </w:tcPr>
          <w:p>
            <w:pPr>
              <w:rPr>
                <w:rFonts w:hint="default" w:asciiTheme="majorEastAsia" w:hAnsiTheme="majorEastAsia" w:eastAsiaTheme="majorEastAsia" w:cstheme="majorEastAsia"/>
                <w:color w:val="000000" w:themeColor="text1"/>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58.33%</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97" w:hRule="atLeast"/>
        </w:trPr>
        <w:tc>
          <w:tcPr>
            <w:tcW w:w="3850" w:type="dxa"/>
            <w:noWrap w:val="0"/>
            <w:vAlign w:val="top"/>
          </w:tcPr>
          <w:p>
            <w:pPr>
              <w:spacing w:before="140" w:line="202" w:lineRule="auto"/>
              <w:ind w:left="68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4"/>
                <w:sz w:val="24"/>
                <w:szCs w:val="24"/>
                <w14:textFill>
                  <w14:solidFill>
                    <w14:schemeClr w14:val="tx1"/>
                  </w14:solidFill>
                </w14:textFill>
              </w:rPr>
              <w:t>经费控制情况(万元)</w:t>
            </w:r>
          </w:p>
        </w:tc>
        <w:tc>
          <w:tcPr>
            <w:tcW w:w="1815" w:type="dxa"/>
            <w:gridSpan w:val="2"/>
            <w:noWrap w:val="0"/>
            <w:vAlign w:val="top"/>
          </w:tcPr>
          <w:p>
            <w:pPr>
              <w:spacing w:before="119" w:line="219" w:lineRule="auto"/>
              <w:jc w:val="center"/>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2021年决算数</w:t>
            </w:r>
          </w:p>
        </w:tc>
        <w:tc>
          <w:tcPr>
            <w:tcW w:w="2325" w:type="dxa"/>
            <w:gridSpan w:val="2"/>
            <w:noWrap w:val="0"/>
            <w:vAlign w:val="top"/>
          </w:tcPr>
          <w:p>
            <w:pPr>
              <w:spacing w:before="119" w:line="219" w:lineRule="auto"/>
              <w:jc w:val="center"/>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2022年预算数</w:t>
            </w:r>
          </w:p>
        </w:tc>
        <w:tc>
          <w:tcPr>
            <w:tcW w:w="1679" w:type="dxa"/>
            <w:gridSpan w:val="2"/>
            <w:noWrap w:val="0"/>
            <w:vAlign w:val="top"/>
          </w:tcPr>
          <w:p>
            <w:pPr>
              <w:spacing w:before="76" w:line="219" w:lineRule="auto"/>
              <w:jc w:val="center"/>
              <w:rPr>
                <w:rFonts w:hint="eastAsia" w:asciiTheme="majorEastAsia" w:hAnsiTheme="majorEastAsia" w:eastAsiaTheme="majorEastAsia" w:cstheme="majorEastAsia"/>
                <w:b w:val="0"/>
                <w:bCs w:val="0"/>
                <w:color w:val="000000" w:themeColor="text1"/>
                <w:sz w:val="24"/>
                <w:szCs w:val="24"/>
                <w14:textFill>
                  <w14:solidFill>
                    <w14:schemeClr w14:val="tx1"/>
                  </w14:solidFill>
                </w14:textFill>
              </w:rPr>
            </w:pPr>
            <w:r>
              <w:rPr>
                <w:rFonts w:hint="eastAsia" w:asciiTheme="majorEastAsia" w:hAnsiTheme="majorEastAsia" w:eastAsiaTheme="majorEastAsia" w:cstheme="majorEastAsia"/>
                <w:b w:val="0"/>
                <w:bCs w:val="0"/>
                <w:color w:val="000000" w:themeColor="text1"/>
                <w:spacing w:val="-4"/>
                <w:sz w:val="24"/>
                <w:szCs w:val="24"/>
                <w14:textFill>
                  <w14:solidFill>
                    <w14:schemeClr w14:val="tx1"/>
                  </w14:solidFill>
                </w14:textFill>
              </w:rPr>
              <w:t>2022年决算数</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pPr>
              <w:spacing w:before="141" w:line="202" w:lineRule="auto"/>
              <w:ind w:left="11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3"/>
                <w:sz w:val="24"/>
                <w:szCs w:val="24"/>
                <w14:textFill>
                  <w14:solidFill>
                    <w14:schemeClr w14:val="tx1"/>
                  </w14:solidFill>
                </w14:textFill>
              </w:rPr>
              <w:t>三公经费</w:t>
            </w:r>
          </w:p>
        </w:tc>
        <w:tc>
          <w:tcPr>
            <w:tcW w:w="1815" w:type="dxa"/>
            <w:gridSpan w:val="2"/>
            <w:noWrap w:val="0"/>
            <w:vAlign w:val="top"/>
          </w:tcPr>
          <w:p>
            <w:pPr>
              <w:rPr>
                <w:rFonts w:hint="default" w:asciiTheme="majorEastAsia" w:hAnsiTheme="majorEastAsia" w:eastAsiaTheme="majorEastAsia" w:cstheme="majorEastAsia"/>
                <w:color w:val="000000" w:themeColor="text1"/>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0.00</w:t>
            </w:r>
          </w:p>
        </w:tc>
        <w:tc>
          <w:tcPr>
            <w:tcW w:w="2325" w:type="dxa"/>
            <w:gridSpan w:val="2"/>
            <w:noWrap w:val="0"/>
            <w:vAlign w:val="top"/>
          </w:tcPr>
          <w:p>
            <w:pPr>
              <w:rPr>
                <w:rFonts w:hint="default" w:asciiTheme="majorEastAsia" w:hAnsiTheme="majorEastAsia" w:eastAsiaTheme="majorEastAsia" w:cstheme="majorEastAsia"/>
                <w:color w:val="000000" w:themeColor="text1"/>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0.00</w:t>
            </w:r>
          </w:p>
        </w:tc>
        <w:tc>
          <w:tcPr>
            <w:tcW w:w="1679" w:type="dxa"/>
            <w:gridSpan w:val="2"/>
            <w:noWrap w:val="0"/>
            <w:vAlign w:val="top"/>
          </w:tcPr>
          <w:p>
            <w:pPr>
              <w:rPr>
                <w:rFonts w:hint="default" w:asciiTheme="majorEastAsia" w:hAnsiTheme="majorEastAsia" w:eastAsiaTheme="majorEastAsia" w:cstheme="majorEastAsia"/>
                <w:color w:val="000000" w:themeColor="text1"/>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t>0.00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noWrap w:val="0"/>
            <w:vAlign w:val="top"/>
          </w:tcPr>
          <w:p>
            <w:pPr>
              <w:spacing w:before="149" w:line="193" w:lineRule="auto"/>
              <w:ind w:left="41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z w:val="24"/>
                <w:szCs w:val="24"/>
                <w14:textFill>
                  <w14:solidFill>
                    <w14:schemeClr w14:val="tx1"/>
                  </w14:solidFill>
                </w14:textFill>
              </w:rPr>
              <w:t>1、公务用车购置和维护经费</w:t>
            </w:r>
          </w:p>
        </w:tc>
        <w:tc>
          <w:tcPr>
            <w:tcW w:w="1815" w:type="dxa"/>
            <w:gridSpan w:val="2"/>
            <w:noWrap w:val="0"/>
            <w:vAlign w:val="top"/>
          </w:tcPr>
          <w:p>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0.00</w:t>
            </w:r>
          </w:p>
        </w:tc>
        <w:tc>
          <w:tcPr>
            <w:tcW w:w="2325" w:type="dxa"/>
            <w:gridSpan w:val="2"/>
            <w:noWrap w:val="0"/>
            <w:vAlign w:val="top"/>
          </w:tcPr>
          <w:p>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0.00</w:t>
            </w:r>
          </w:p>
        </w:tc>
        <w:tc>
          <w:tcPr>
            <w:tcW w:w="1679" w:type="dxa"/>
            <w:gridSpan w:val="2"/>
            <w:noWrap w:val="0"/>
            <w:vAlign w:val="top"/>
          </w:tcPr>
          <w:p>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0.00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pPr>
              <w:spacing w:before="81" w:line="219" w:lineRule="auto"/>
              <w:ind w:left="81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其中：公车购置</w:t>
            </w:r>
          </w:p>
        </w:tc>
        <w:tc>
          <w:tcPr>
            <w:tcW w:w="1815" w:type="dxa"/>
            <w:gridSpan w:val="2"/>
            <w:noWrap w:val="0"/>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0.00</w:t>
            </w:r>
          </w:p>
        </w:tc>
        <w:tc>
          <w:tcPr>
            <w:tcW w:w="2325" w:type="dxa"/>
            <w:gridSpan w:val="2"/>
            <w:noWrap w:val="0"/>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0.00</w:t>
            </w:r>
          </w:p>
        </w:tc>
        <w:tc>
          <w:tcPr>
            <w:tcW w:w="1679" w:type="dxa"/>
            <w:gridSpan w:val="2"/>
            <w:noWrap w:val="0"/>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0.00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70" w:hRule="atLeast"/>
        </w:trPr>
        <w:tc>
          <w:tcPr>
            <w:tcW w:w="3850" w:type="dxa"/>
            <w:noWrap w:val="0"/>
            <w:vAlign w:val="top"/>
          </w:tcPr>
          <w:p>
            <w:pPr>
              <w:spacing w:before="91" w:line="219" w:lineRule="auto"/>
              <w:ind w:left="142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公车运行维护</w:t>
            </w:r>
          </w:p>
        </w:tc>
        <w:tc>
          <w:tcPr>
            <w:tcW w:w="1815" w:type="dxa"/>
            <w:gridSpan w:val="2"/>
            <w:noWrap w:val="0"/>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0.00</w:t>
            </w:r>
          </w:p>
        </w:tc>
        <w:tc>
          <w:tcPr>
            <w:tcW w:w="2325" w:type="dxa"/>
            <w:gridSpan w:val="2"/>
            <w:noWrap w:val="0"/>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0.00</w:t>
            </w:r>
          </w:p>
        </w:tc>
        <w:tc>
          <w:tcPr>
            <w:tcW w:w="1679" w:type="dxa"/>
            <w:gridSpan w:val="2"/>
            <w:noWrap w:val="0"/>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0.00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9" w:hRule="atLeast"/>
        </w:trPr>
        <w:tc>
          <w:tcPr>
            <w:tcW w:w="3850" w:type="dxa"/>
            <w:noWrap w:val="0"/>
            <w:vAlign w:val="top"/>
          </w:tcPr>
          <w:p>
            <w:pPr>
              <w:spacing w:before="81" w:line="220" w:lineRule="auto"/>
              <w:ind w:left="38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2"/>
                <w:sz w:val="24"/>
                <w:szCs w:val="24"/>
                <w14:textFill>
                  <w14:solidFill>
                    <w14:schemeClr w14:val="tx1"/>
                  </w14:solidFill>
                </w14:textFill>
              </w:rPr>
              <w:t>2、出国经费</w:t>
            </w:r>
          </w:p>
        </w:tc>
        <w:tc>
          <w:tcPr>
            <w:tcW w:w="1815" w:type="dxa"/>
            <w:gridSpan w:val="2"/>
            <w:noWrap w:val="0"/>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0.00</w:t>
            </w:r>
          </w:p>
        </w:tc>
        <w:tc>
          <w:tcPr>
            <w:tcW w:w="2325" w:type="dxa"/>
            <w:gridSpan w:val="2"/>
            <w:noWrap w:val="0"/>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0.00</w:t>
            </w:r>
          </w:p>
        </w:tc>
        <w:tc>
          <w:tcPr>
            <w:tcW w:w="1679" w:type="dxa"/>
            <w:gridSpan w:val="2"/>
            <w:noWrap w:val="0"/>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0.00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noWrap w:val="0"/>
            <w:vAlign w:val="top"/>
          </w:tcPr>
          <w:p>
            <w:pPr>
              <w:spacing w:before="82" w:line="219" w:lineRule="auto"/>
              <w:ind w:left="38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3、公务接待</w:t>
            </w:r>
          </w:p>
        </w:tc>
        <w:tc>
          <w:tcPr>
            <w:tcW w:w="1815" w:type="dxa"/>
            <w:gridSpan w:val="2"/>
            <w:noWrap w:val="0"/>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0.00</w:t>
            </w:r>
          </w:p>
        </w:tc>
        <w:tc>
          <w:tcPr>
            <w:tcW w:w="2325" w:type="dxa"/>
            <w:gridSpan w:val="2"/>
            <w:noWrap w:val="0"/>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0.00</w:t>
            </w:r>
          </w:p>
        </w:tc>
        <w:tc>
          <w:tcPr>
            <w:tcW w:w="1679" w:type="dxa"/>
            <w:gridSpan w:val="2"/>
            <w:noWrap w:val="0"/>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0.00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pPr>
              <w:spacing w:before="143" w:line="200" w:lineRule="auto"/>
              <w:ind w:left="8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9"/>
                <w:sz w:val="24"/>
                <w:szCs w:val="24"/>
                <w14:textFill>
                  <w14:solidFill>
                    <w14:schemeClr w14:val="tx1"/>
                  </w14:solidFill>
                </w14:textFill>
              </w:rPr>
              <w:t>项目支出：</w:t>
            </w:r>
          </w:p>
        </w:tc>
        <w:tc>
          <w:tcPr>
            <w:tcW w:w="1815" w:type="dxa"/>
            <w:gridSpan w:val="2"/>
            <w:noWrap w:val="0"/>
            <w:vAlign w:val="top"/>
          </w:tcPr>
          <w:p>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0.00</w:t>
            </w:r>
          </w:p>
        </w:tc>
        <w:tc>
          <w:tcPr>
            <w:tcW w:w="2325" w:type="dxa"/>
            <w:gridSpan w:val="2"/>
            <w:noWrap w:val="0"/>
            <w:vAlign w:val="top"/>
          </w:tcPr>
          <w:p>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0.00</w:t>
            </w:r>
          </w:p>
        </w:tc>
        <w:tc>
          <w:tcPr>
            <w:tcW w:w="1679" w:type="dxa"/>
            <w:gridSpan w:val="2"/>
            <w:noWrap w:val="0"/>
            <w:vAlign w:val="top"/>
          </w:tcPr>
          <w:p>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0.00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850" w:type="dxa"/>
            <w:noWrap w:val="0"/>
            <w:vAlign w:val="top"/>
          </w:tcPr>
          <w:p>
            <w:pPr>
              <w:spacing w:before="133" w:line="200" w:lineRule="auto"/>
              <w:ind w:left="38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1、</w:t>
            </w:r>
            <w:r>
              <w:rPr>
                <w:rFonts w:hint="eastAsia" w:asciiTheme="majorEastAsia" w:hAnsiTheme="majorEastAsia" w:eastAsiaTheme="majorEastAsia" w:cstheme="majorEastAsia"/>
                <w:color w:val="000000" w:themeColor="text1"/>
                <w:spacing w:val="1"/>
                <w:sz w:val="24"/>
                <w:szCs w:val="24"/>
                <w:lang w:val="en-US" w:eastAsia="zh-CN"/>
                <w14:textFill>
                  <w14:solidFill>
                    <w14:schemeClr w14:val="tx1"/>
                  </w14:solidFill>
                </w14:textFill>
              </w:rPr>
              <w:t>运行维护</w:t>
            </w: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经费</w:t>
            </w:r>
          </w:p>
        </w:tc>
        <w:tc>
          <w:tcPr>
            <w:tcW w:w="1815" w:type="dxa"/>
            <w:gridSpan w:val="2"/>
            <w:noWrap w:val="0"/>
            <w:vAlign w:val="top"/>
          </w:tcPr>
          <w:p>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0.00</w:t>
            </w:r>
          </w:p>
        </w:tc>
        <w:tc>
          <w:tcPr>
            <w:tcW w:w="2325" w:type="dxa"/>
            <w:gridSpan w:val="2"/>
            <w:noWrap w:val="0"/>
            <w:vAlign w:val="top"/>
          </w:tcPr>
          <w:p>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0.00</w:t>
            </w:r>
          </w:p>
        </w:tc>
        <w:tc>
          <w:tcPr>
            <w:tcW w:w="1679" w:type="dxa"/>
            <w:gridSpan w:val="2"/>
            <w:noWrap w:val="0"/>
            <w:vAlign w:val="top"/>
          </w:tcPr>
          <w:p>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0.00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850" w:type="dxa"/>
            <w:noWrap w:val="0"/>
            <w:vAlign w:val="top"/>
          </w:tcPr>
          <w:p>
            <w:pPr>
              <w:spacing w:before="85" w:line="220" w:lineRule="auto"/>
              <w:ind w:left="94"/>
              <w:jc w:val="left"/>
              <w:rPr>
                <w:rFonts w:hint="eastAsia" w:asciiTheme="majorEastAsia" w:hAnsiTheme="majorEastAsia" w:eastAsiaTheme="majorEastAsia" w:cstheme="majorEastAsia"/>
                <w:color w:val="000000" w:themeColor="text1"/>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pacing w:val="3"/>
                <w:sz w:val="24"/>
                <w:szCs w:val="24"/>
                <w14:textFill>
                  <w14:solidFill>
                    <w14:schemeClr w14:val="tx1"/>
                  </w14:solidFill>
                </w14:textFill>
              </w:rPr>
              <w:t>公用经费</w:t>
            </w:r>
          </w:p>
        </w:tc>
        <w:tc>
          <w:tcPr>
            <w:tcW w:w="1815" w:type="dxa"/>
            <w:gridSpan w:val="2"/>
            <w:noWrap w:val="0"/>
            <w:vAlign w:val="top"/>
          </w:tcPr>
          <w:p>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0.00</w:t>
            </w:r>
          </w:p>
        </w:tc>
        <w:tc>
          <w:tcPr>
            <w:tcW w:w="2325" w:type="dxa"/>
            <w:gridSpan w:val="2"/>
            <w:noWrap w:val="0"/>
            <w:vAlign w:val="top"/>
          </w:tcPr>
          <w:p>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12.60</w:t>
            </w:r>
          </w:p>
        </w:tc>
        <w:tc>
          <w:tcPr>
            <w:tcW w:w="1679" w:type="dxa"/>
            <w:gridSpan w:val="2"/>
            <w:noWrap w:val="0"/>
            <w:vAlign w:val="top"/>
          </w:tcPr>
          <w:p>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178.04</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9" w:hRule="atLeast"/>
        </w:trPr>
        <w:tc>
          <w:tcPr>
            <w:tcW w:w="3850" w:type="dxa"/>
            <w:noWrap w:val="0"/>
            <w:vAlign w:val="top"/>
          </w:tcPr>
          <w:p>
            <w:pPr>
              <w:spacing w:before="85" w:line="219" w:lineRule="auto"/>
              <w:ind w:left="38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其中：办公经费</w:t>
            </w:r>
          </w:p>
        </w:tc>
        <w:tc>
          <w:tcPr>
            <w:tcW w:w="1815" w:type="dxa"/>
            <w:gridSpan w:val="2"/>
            <w:noWrap w:val="0"/>
            <w:vAlign w:val="top"/>
          </w:tcPr>
          <w:p>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0.00</w:t>
            </w:r>
          </w:p>
        </w:tc>
        <w:tc>
          <w:tcPr>
            <w:tcW w:w="2325" w:type="dxa"/>
            <w:gridSpan w:val="2"/>
            <w:noWrap w:val="0"/>
            <w:vAlign w:val="top"/>
          </w:tcPr>
          <w:p>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5.00</w:t>
            </w:r>
          </w:p>
        </w:tc>
        <w:tc>
          <w:tcPr>
            <w:tcW w:w="1679" w:type="dxa"/>
            <w:gridSpan w:val="2"/>
            <w:noWrap w:val="0"/>
            <w:vAlign w:val="top"/>
          </w:tcPr>
          <w:p>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1.84</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pPr>
              <w:spacing w:before="135" w:line="198" w:lineRule="auto"/>
              <w:ind w:left="111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水费、电费、差旅费</w:t>
            </w:r>
          </w:p>
        </w:tc>
        <w:tc>
          <w:tcPr>
            <w:tcW w:w="1815" w:type="dxa"/>
            <w:gridSpan w:val="2"/>
            <w:noWrap w:val="0"/>
            <w:vAlign w:val="top"/>
          </w:tcPr>
          <w:p>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0.00</w:t>
            </w:r>
          </w:p>
        </w:tc>
        <w:tc>
          <w:tcPr>
            <w:tcW w:w="2325" w:type="dxa"/>
            <w:gridSpan w:val="2"/>
            <w:noWrap w:val="0"/>
            <w:vAlign w:val="top"/>
          </w:tcPr>
          <w:p>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2.60</w:t>
            </w:r>
          </w:p>
        </w:tc>
        <w:tc>
          <w:tcPr>
            <w:tcW w:w="1679" w:type="dxa"/>
            <w:gridSpan w:val="2"/>
            <w:noWrap w:val="0"/>
            <w:vAlign w:val="top"/>
          </w:tcPr>
          <w:p>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6.52</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noWrap w:val="0"/>
            <w:vAlign w:val="top"/>
          </w:tcPr>
          <w:p>
            <w:pPr>
              <w:spacing w:before="144" w:line="198" w:lineRule="auto"/>
              <w:ind w:left="1124"/>
              <w:jc w:val="left"/>
              <w:rPr>
                <w:rFonts w:hint="eastAsia" w:asciiTheme="majorEastAsia" w:hAnsiTheme="majorEastAsia" w:eastAsiaTheme="majorEastAsia" w:cstheme="majorEastAsia"/>
                <w:color w:val="000000" w:themeColor="text1"/>
                <w:spacing w:val="3"/>
                <w:sz w:val="24"/>
                <w:szCs w:val="24"/>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会议费、培训费</w:t>
            </w:r>
          </w:p>
        </w:tc>
        <w:tc>
          <w:tcPr>
            <w:tcW w:w="1815" w:type="dxa"/>
            <w:gridSpan w:val="2"/>
            <w:noWrap w:val="0"/>
            <w:vAlign w:val="top"/>
          </w:tcPr>
          <w:p>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0.00</w:t>
            </w:r>
          </w:p>
        </w:tc>
        <w:tc>
          <w:tcPr>
            <w:tcW w:w="2325" w:type="dxa"/>
            <w:gridSpan w:val="2"/>
            <w:noWrap w:val="0"/>
            <w:vAlign w:val="top"/>
          </w:tcPr>
          <w:p>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0.00</w:t>
            </w:r>
          </w:p>
        </w:tc>
        <w:tc>
          <w:tcPr>
            <w:tcW w:w="1679" w:type="dxa"/>
            <w:gridSpan w:val="2"/>
            <w:noWrap w:val="0"/>
            <w:vAlign w:val="top"/>
          </w:tcPr>
          <w:p>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0.00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9" w:hRule="atLeast"/>
        </w:trPr>
        <w:tc>
          <w:tcPr>
            <w:tcW w:w="3850" w:type="dxa"/>
            <w:noWrap w:val="0"/>
            <w:vAlign w:val="top"/>
          </w:tcPr>
          <w:p>
            <w:pPr>
              <w:spacing w:before="145" w:line="189" w:lineRule="auto"/>
              <w:ind w:left="10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政府采购金额</w:t>
            </w:r>
          </w:p>
        </w:tc>
        <w:tc>
          <w:tcPr>
            <w:tcW w:w="1815" w:type="dxa"/>
            <w:gridSpan w:val="2"/>
            <w:noWrap w:val="0"/>
            <w:vAlign w:val="top"/>
          </w:tcPr>
          <w:p>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0.00</w:t>
            </w:r>
          </w:p>
        </w:tc>
        <w:tc>
          <w:tcPr>
            <w:tcW w:w="2325" w:type="dxa"/>
            <w:gridSpan w:val="2"/>
            <w:noWrap w:val="0"/>
            <w:vAlign w:val="top"/>
          </w:tcPr>
          <w:p>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11.80</w:t>
            </w:r>
          </w:p>
        </w:tc>
        <w:tc>
          <w:tcPr>
            <w:tcW w:w="1679" w:type="dxa"/>
            <w:gridSpan w:val="2"/>
            <w:noWrap w:val="0"/>
            <w:vAlign w:val="top"/>
          </w:tcPr>
          <w:p>
            <w:pPr>
              <w:rPr>
                <w:rFonts w:hint="default" w:asciiTheme="majorEastAsia" w:hAnsiTheme="majorEastAsia" w:eastAsiaTheme="majorEastAsia" w:cstheme="majorEastAsia"/>
                <w:color w:val="000000" w:themeColor="text1"/>
                <w:sz w:val="21"/>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z w:val="21"/>
                <w:lang w:val="en-US" w:eastAsia="zh-CN"/>
                <w14:textFill>
                  <w14:solidFill>
                    <w14:schemeClr w14:val="tx1"/>
                  </w14:solidFill>
                </w14:textFill>
              </w:rPr>
              <w:t>0.00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3850" w:type="dxa"/>
            <w:noWrap w:val="0"/>
            <w:vAlign w:val="top"/>
          </w:tcPr>
          <w:p>
            <w:pPr>
              <w:spacing w:before="145" w:line="198" w:lineRule="auto"/>
              <w:ind w:left="114"/>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部门基本支出预算调整</w:t>
            </w:r>
          </w:p>
        </w:tc>
        <w:tc>
          <w:tcPr>
            <w:tcW w:w="1815" w:type="dxa"/>
            <w:gridSpan w:val="2"/>
            <w:noWrap w:val="0"/>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2325" w:type="dxa"/>
            <w:gridSpan w:val="2"/>
            <w:noWrap w:val="0"/>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1679" w:type="dxa"/>
            <w:gridSpan w:val="2"/>
            <w:noWrap w:val="0"/>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759" w:hRule="atLeast"/>
        </w:trPr>
        <w:tc>
          <w:tcPr>
            <w:tcW w:w="3850" w:type="dxa"/>
            <w:vMerge w:val="restart"/>
            <w:tcBorders>
              <w:bottom w:val="nil"/>
            </w:tcBorders>
            <w:noWrap w:val="0"/>
            <w:vAlign w:val="center"/>
          </w:tcPr>
          <w:p>
            <w:pPr>
              <w:spacing w:before="65" w:line="390" w:lineRule="exact"/>
              <w:jc w:val="center"/>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position w:val="14"/>
                <w:sz w:val="24"/>
                <w:szCs w:val="24"/>
                <w14:textFill>
                  <w14:solidFill>
                    <w14:schemeClr w14:val="tx1"/>
                  </w14:solidFill>
                </w14:textFill>
              </w:rPr>
              <w:t>楼堂馆所控制情况</w:t>
            </w:r>
          </w:p>
          <w:p>
            <w:pPr>
              <w:spacing w:line="219" w:lineRule="auto"/>
              <w:jc w:val="center"/>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3"/>
                <w:sz w:val="24"/>
                <w:szCs w:val="24"/>
                <w14:textFill>
                  <w14:solidFill>
                    <w14:schemeClr w14:val="tx1"/>
                  </w14:solidFill>
                </w14:textFill>
              </w:rPr>
              <w:t>(2022年完工项目)</w:t>
            </w:r>
          </w:p>
        </w:tc>
        <w:tc>
          <w:tcPr>
            <w:tcW w:w="82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批复规模</w:t>
            </w:r>
          </w:p>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(m²)</w:t>
            </w:r>
          </w:p>
        </w:tc>
        <w:tc>
          <w:tcPr>
            <w:tcW w:w="99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实际规</w:t>
            </w:r>
          </w:p>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模(m²)</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规模控制率</w:t>
            </w:r>
          </w:p>
        </w:tc>
        <w:tc>
          <w:tcPr>
            <w:tcW w:w="118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预算投资</w:t>
            </w:r>
          </w:p>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(万元)</w:t>
            </w:r>
          </w:p>
        </w:tc>
        <w:tc>
          <w:tcPr>
            <w:tcW w:w="81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实际</w:t>
            </w:r>
          </w:p>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投资</w:t>
            </w:r>
          </w:p>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(万元)</w:t>
            </w:r>
          </w:p>
        </w:tc>
        <w:tc>
          <w:tcPr>
            <w:tcW w:w="86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投资概</w:t>
            </w:r>
          </w:p>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算控制</w:t>
            </w:r>
          </w:p>
          <w:p>
            <w:pPr>
              <w:keepNext w:val="0"/>
              <w:keepLines w:val="0"/>
              <w:pageBreakBefore w:val="0"/>
              <w:widowControl w:val="0"/>
              <w:kinsoku/>
              <w:wordWrap/>
              <w:overflowPunct/>
              <w:topLinePunct w:val="0"/>
              <w:autoSpaceDE/>
              <w:autoSpaceDN/>
              <w:bidi w:val="0"/>
              <w:adjustRightInd/>
              <w:snapToGrid/>
              <w:spacing w:line="240" w:lineRule="exact"/>
              <w:ind w:left="0" w:right="0" w:firstLine="0"/>
              <w:jc w:val="center"/>
              <w:textAlignment w:val="auto"/>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0"/>
                <w:szCs w:val="20"/>
                <w14:textFill>
                  <w14:solidFill>
                    <w14:schemeClr w14:val="tx1"/>
                  </w14:solidFill>
                </w14:textFill>
              </w:rPr>
              <w:t>率</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50" w:hRule="atLeast"/>
        </w:trPr>
        <w:tc>
          <w:tcPr>
            <w:tcW w:w="3850" w:type="dxa"/>
            <w:vMerge w:val="continue"/>
            <w:tcBorders>
              <w:top w:val="nil"/>
            </w:tcBorders>
            <w:noWrap w:val="0"/>
            <w:vAlign w:val="top"/>
          </w:tcPr>
          <w:p>
            <w:pPr>
              <w:jc w:val="left"/>
              <w:rPr>
                <w:rFonts w:hint="eastAsia" w:asciiTheme="majorEastAsia" w:hAnsiTheme="majorEastAsia" w:eastAsiaTheme="majorEastAsia" w:cstheme="majorEastAsia"/>
                <w:color w:val="000000" w:themeColor="text1"/>
                <w:sz w:val="24"/>
                <w:szCs w:val="24"/>
                <w14:textFill>
                  <w14:solidFill>
                    <w14:schemeClr w14:val="tx1"/>
                  </w14:solidFill>
                </w14:textFill>
              </w:rPr>
            </w:pPr>
          </w:p>
        </w:tc>
        <w:tc>
          <w:tcPr>
            <w:tcW w:w="825" w:type="dxa"/>
            <w:noWrap w:val="0"/>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990" w:type="dxa"/>
            <w:noWrap w:val="0"/>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1140" w:type="dxa"/>
            <w:noWrap w:val="0"/>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1185" w:type="dxa"/>
            <w:noWrap w:val="0"/>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810" w:type="dxa"/>
            <w:noWrap w:val="0"/>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p>
        </w:tc>
        <w:tc>
          <w:tcPr>
            <w:tcW w:w="869" w:type="dxa"/>
            <w:noWrap w:val="0"/>
            <w:vAlign w:val="top"/>
          </w:tcPr>
          <w:p>
            <w:pPr>
              <w:rPr>
                <w:rFonts w:hint="eastAsia" w:asciiTheme="majorEastAsia" w:hAnsiTheme="majorEastAsia" w:eastAsiaTheme="majorEastAsia" w:cstheme="majorEastAsia"/>
                <w:color w:val="000000" w:themeColor="text1"/>
                <w:sz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9" w:hRule="atLeast"/>
        </w:trPr>
        <w:tc>
          <w:tcPr>
            <w:tcW w:w="3850" w:type="dxa"/>
            <w:noWrap w:val="0"/>
            <w:vAlign w:val="top"/>
          </w:tcPr>
          <w:p>
            <w:pPr>
              <w:keepNext w:val="0"/>
              <w:keepLines w:val="0"/>
              <w:pageBreakBefore w:val="0"/>
              <w:widowControl w:val="0"/>
              <w:kinsoku/>
              <w:wordWrap/>
              <w:overflowPunct/>
              <w:topLinePunct w:val="0"/>
              <w:autoSpaceDE/>
              <w:autoSpaceDN/>
              <w:bidi w:val="0"/>
              <w:adjustRightInd/>
              <w:snapToGrid/>
              <w:spacing w:line="240" w:lineRule="auto"/>
              <w:ind w:left="0"/>
              <w:jc w:val="center"/>
              <w:textAlignment w:val="auto"/>
              <w:rPr>
                <w:rFonts w:hint="eastAsia" w:asciiTheme="majorEastAsia" w:hAnsiTheme="majorEastAsia" w:eastAsiaTheme="majorEastAsia" w:cstheme="majorEastAsia"/>
                <w:color w:val="000000" w:themeColor="text1"/>
                <w:sz w:val="24"/>
                <w:szCs w:val="24"/>
                <w14:textFill>
                  <w14:solidFill>
                    <w14:schemeClr w14:val="tx1"/>
                  </w14:solidFill>
                </w14:textFill>
              </w:rPr>
            </w:pPr>
            <w:r>
              <w:rPr>
                <w:rFonts w:hint="eastAsia" w:asciiTheme="majorEastAsia" w:hAnsiTheme="majorEastAsia" w:eastAsiaTheme="majorEastAsia" w:cstheme="majorEastAsia"/>
                <w:color w:val="000000" w:themeColor="text1"/>
                <w:spacing w:val="1"/>
                <w:sz w:val="24"/>
                <w:szCs w:val="24"/>
                <w14:textFill>
                  <w14:solidFill>
                    <w14:schemeClr w14:val="tx1"/>
                  </w14:solidFill>
                </w14:textFill>
              </w:rPr>
              <w:t>厉行节约保障措施</w:t>
            </w:r>
          </w:p>
        </w:tc>
        <w:tc>
          <w:tcPr>
            <w:tcW w:w="5819" w:type="dxa"/>
            <w:gridSpan w:val="6"/>
            <w:noWrap w:val="0"/>
            <w:vAlign w:val="top"/>
          </w:tcPr>
          <w:p>
            <w:pPr>
              <w:keepNext w:val="0"/>
              <w:keepLines w:val="0"/>
              <w:pageBreakBefore w:val="0"/>
              <w:widowControl w:val="0"/>
              <w:kinsoku/>
              <w:wordWrap/>
              <w:overflowPunct/>
              <w:topLinePunct w:val="0"/>
              <w:autoSpaceDE/>
              <w:autoSpaceDN/>
              <w:bidi w:val="0"/>
              <w:adjustRightInd/>
              <w:snapToGrid/>
              <w:spacing w:line="240" w:lineRule="auto"/>
              <w:ind w:left="0"/>
              <w:jc w:val="center"/>
              <w:textAlignment w:val="auto"/>
              <w:rPr>
                <w:rFonts w:hint="eastAsia" w:asciiTheme="majorEastAsia" w:hAnsiTheme="majorEastAsia" w:eastAsiaTheme="majorEastAsia" w:cstheme="majorEastAsia"/>
                <w:color w:val="000000" w:themeColor="text1"/>
                <w:sz w:val="21"/>
                <w14:textFill>
                  <w14:solidFill>
                    <w14:schemeClr w14:val="tx1"/>
                  </w14:solidFill>
                </w14:textFill>
              </w:rPr>
            </w:pPr>
          </w:p>
        </w:tc>
      </w:tr>
    </w:tbl>
    <w:p>
      <w:pPr>
        <w:keepNext w:val="0"/>
        <w:keepLines w:val="0"/>
        <w:pageBreakBefore w:val="0"/>
        <w:widowControl w:val="0"/>
        <w:kinsoku/>
        <w:wordWrap/>
        <w:overflowPunct/>
        <w:topLinePunct w:val="0"/>
        <w:autoSpaceDE/>
        <w:autoSpaceDN/>
        <w:bidi w:val="0"/>
        <w:adjustRightInd/>
        <w:snapToGrid/>
        <w:spacing w:line="410" w:lineRule="exact"/>
        <w:ind w:left="0"/>
        <w:textAlignment w:val="auto"/>
        <w:rPr>
          <w:rFonts w:hint="eastAsia" w:asciiTheme="majorEastAsia" w:hAnsiTheme="majorEastAsia" w:eastAsiaTheme="majorEastAsia" w:cstheme="majorEastAsia"/>
          <w:color w:val="000000" w:themeColor="text1"/>
          <w:spacing w:val="0"/>
          <w:position w:val="0"/>
          <w:sz w:val="23"/>
          <w:szCs w:val="23"/>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3"/>
          <w:szCs w:val="23"/>
          <w14:textFill>
            <w14:solidFill>
              <w14:schemeClr w14:val="tx1"/>
            </w14:solidFill>
          </w14:textFill>
        </w:rPr>
        <w:t>说明：“项目支出”需要填报基本支出以外的所有项目支出情况，“公用经费”填报基本支出中的一般商品和服务支出。</w:t>
      </w:r>
    </w:p>
    <w:p>
      <w:pPr>
        <w:keepNext w:val="0"/>
        <w:keepLines w:val="0"/>
        <w:pageBreakBefore w:val="0"/>
        <w:widowControl w:val="0"/>
        <w:kinsoku/>
        <w:wordWrap/>
        <w:overflowPunct/>
        <w:topLinePunct w:val="0"/>
        <w:autoSpaceDE/>
        <w:autoSpaceDN/>
        <w:bidi w:val="0"/>
        <w:adjustRightInd/>
        <w:snapToGrid/>
        <w:jc w:val="left"/>
        <w:textAlignment w:val="auto"/>
        <w:rPr>
          <w:rFonts w:hint="default" w:asciiTheme="majorEastAsia" w:hAnsiTheme="majorEastAsia" w:eastAsiaTheme="majorEastAsia" w:cstheme="majorEastAsia"/>
          <w:color w:val="000000" w:themeColor="text1"/>
          <w:spacing w:val="0"/>
          <w:position w:val="0"/>
          <w:sz w:val="23"/>
          <w:szCs w:val="23"/>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3"/>
          <w:szCs w:val="23"/>
          <w14:textFill>
            <w14:solidFill>
              <w14:schemeClr w14:val="tx1"/>
            </w14:solidFill>
          </w14:textFill>
        </w:rPr>
        <w:t>填表人：王三喜     联系电话：15107304186  单位负责人签字：</w:t>
      </w:r>
      <w:r>
        <w:rPr>
          <w:rFonts w:hint="eastAsia" w:asciiTheme="majorEastAsia" w:hAnsiTheme="majorEastAsia" w:eastAsiaTheme="majorEastAsia" w:cstheme="majorEastAsia"/>
          <w:color w:val="000000" w:themeColor="text1"/>
          <w:spacing w:val="0"/>
          <w:position w:val="0"/>
          <w:sz w:val="23"/>
          <w:szCs w:val="23"/>
          <w:lang w:val="en-US" w:eastAsia="zh-CN"/>
          <w14:textFill>
            <w14:solidFill>
              <w14:schemeClr w14:val="tx1"/>
            </w14:solidFill>
          </w14:textFill>
        </w:rPr>
        <w:t xml:space="preserve">      </w:t>
      </w:r>
      <w:r>
        <w:rPr>
          <w:rFonts w:hint="eastAsia" w:asciiTheme="majorEastAsia" w:hAnsiTheme="majorEastAsia" w:eastAsiaTheme="majorEastAsia" w:cstheme="majorEastAsia"/>
          <w:color w:val="000000" w:themeColor="text1"/>
          <w:spacing w:val="0"/>
          <w:position w:val="0"/>
          <w:sz w:val="23"/>
          <w:szCs w:val="23"/>
          <w14:textFill>
            <w14:solidFill>
              <w14:schemeClr w14:val="tx1"/>
            </w14:solidFill>
          </w14:textFill>
        </w:rPr>
        <w:t>填报日期：</w:t>
      </w:r>
      <w:r>
        <w:rPr>
          <w:rFonts w:hint="eastAsia" w:asciiTheme="majorEastAsia" w:hAnsiTheme="majorEastAsia" w:eastAsiaTheme="majorEastAsia" w:cstheme="majorEastAsia"/>
          <w:color w:val="000000" w:themeColor="text1"/>
          <w:spacing w:val="0"/>
          <w:position w:val="0"/>
          <w:sz w:val="23"/>
          <w:szCs w:val="23"/>
          <w:lang w:val="en-US" w:eastAsia="zh-CN"/>
          <w14:textFill>
            <w14:solidFill>
              <w14:schemeClr w14:val="tx1"/>
            </w14:solidFill>
          </w14:textFill>
        </w:rPr>
        <w:t>2023-06-05</w:t>
      </w:r>
    </w:p>
    <w:p>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黑体" w:hAnsi="黑体" w:eastAsia="黑体" w:cs="黑体"/>
          <w:b w:val="0"/>
          <w:bCs w:val="0"/>
          <w:color w:val="000000" w:themeColor="text1"/>
          <w:spacing w:val="10"/>
          <w:sz w:val="32"/>
          <w:szCs w:val="32"/>
          <w:lang w:eastAsia="zh-CN"/>
          <w14:textFill>
            <w14:solidFill>
              <w14:schemeClr w14:val="tx1"/>
            </w14:solidFill>
          </w14:textFill>
        </w:rPr>
        <w:sectPr>
          <w:footerReference r:id="rId3" w:type="default"/>
          <w:pgSz w:w="11906" w:h="16838"/>
          <w:pgMar w:top="1134" w:right="1417" w:bottom="1134" w:left="1134" w:header="851" w:footer="992" w:gutter="0"/>
          <w:pgNumType w:fmt="decimal"/>
          <w:cols w:space="0" w:num="1"/>
          <w:rtlGutter w:val="0"/>
          <w:docGrid w:type="lines" w:linePitch="312" w:charSpace="0"/>
        </w:sectPr>
      </w:pPr>
    </w:p>
    <w:p>
      <w:pPr>
        <w:keepNext w:val="0"/>
        <w:keepLines w:val="0"/>
        <w:pageBreakBefore w:val="0"/>
        <w:widowControl w:val="0"/>
        <w:kinsoku/>
        <w:wordWrap/>
        <w:overflowPunct/>
        <w:topLinePunct w:val="0"/>
        <w:autoSpaceDE/>
        <w:autoSpaceDN/>
        <w:bidi w:val="0"/>
        <w:adjustRightInd/>
        <w:snapToGrid/>
        <w:spacing w:line="240" w:lineRule="auto"/>
        <w:textAlignment w:val="auto"/>
        <w:rPr>
          <w:rFonts w:hint="default" w:ascii="黑体" w:hAnsi="黑体" w:eastAsia="黑体" w:cs="黑体"/>
          <w:b w:val="0"/>
          <w:bCs w:val="0"/>
          <w:color w:val="000000" w:themeColor="text1"/>
          <w:spacing w:val="10"/>
          <w:sz w:val="32"/>
          <w:szCs w:val="32"/>
          <w:lang w:val="en-US" w:eastAsia="zh-CN"/>
          <w14:textFill>
            <w14:solidFill>
              <w14:schemeClr w14:val="tx1"/>
            </w14:solidFill>
          </w14:textFill>
        </w:rPr>
      </w:pPr>
      <w:r>
        <w:rPr>
          <w:rFonts w:hint="eastAsia" w:ascii="黑体" w:hAnsi="黑体" w:eastAsia="黑体" w:cs="黑体"/>
          <w:b w:val="0"/>
          <w:bCs w:val="0"/>
          <w:color w:val="000000" w:themeColor="text1"/>
          <w:spacing w:val="10"/>
          <w:sz w:val="32"/>
          <w:szCs w:val="32"/>
          <w:lang w:eastAsia="zh-CN"/>
          <w14:textFill>
            <w14:solidFill>
              <w14:schemeClr w14:val="tx1"/>
            </w14:solidFill>
          </w14:textFill>
        </w:rPr>
        <w:t>附件</w:t>
      </w:r>
      <w:r>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t>2</w:t>
      </w:r>
    </w:p>
    <w:p>
      <w:pPr>
        <w:keepNext w:val="0"/>
        <w:keepLines w:val="0"/>
        <w:pageBreakBefore w:val="0"/>
        <w:widowControl w:val="0"/>
        <w:kinsoku/>
        <w:wordWrap/>
        <w:overflowPunct/>
        <w:topLinePunct w:val="0"/>
        <w:autoSpaceDE/>
        <w:autoSpaceDN/>
        <w:bidi w:val="0"/>
        <w:adjustRightInd/>
        <w:snapToGrid/>
        <w:spacing w:line="700" w:lineRule="exact"/>
        <w:ind w:firstLine="0" w:firstLineChars="0"/>
        <w:jc w:val="center"/>
        <w:textAlignment w:val="auto"/>
        <w:rPr>
          <w:rFonts w:hint="eastAsia" w:ascii="方正小标宋简体" w:hAnsi="方正小标宋简体" w:eastAsia="方正小标宋简体" w:cs="方正小标宋简体"/>
          <w:b w:val="0"/>
          <w:bCs w:val="0"/>
          <w:color w:val="000000" w:themeColor="text1"/>
          <w:spacing w:val="2"/>
          <w:sz w:val="42"/>
          <w:szCs w:val="42"/>
          <w14:textFill>
            <w14:solidFill>
              <w14:schemeClr w14:val="tx1"/>
            </w14:solidFill>
          </w14:textFill>
        </w:rPr>
      </w:pPr>
      <w:r>
        <w:rPr>
          <w:rFonts w:hint="eastAsia" w:ascii="方正小标宋简体" w:hAnsi="方正小标宋简体" w:eastAsia="方正小标宋简体" w:cs="方正小标宋简体"/>
          <w:b w:val="0"/>
          <w:bCs w:val="0"/>
          <w:color w:val="000000" w:themeColor="text1"/>
          <w:spacing w:val="2"/>
          <w:sz w:val="42"/>
          <w:szCs w:val="42"/>
          <w:lang w:val="en-US" w:eastAsia="zh-CN"/>
          <w14:textFill>
            <w14:solidFill>
              <w14:schemeClr w14:val="tx1"/>
            </w14:solidFill>
          </w14:textFill>
        </w:rPr>
        <w:t xml:space="preserve">  </w:t>
      </w:r>
      <w:r>
        <w:rPr>
          <w:rFonts w:hint="eastAsia" w:ascii="方正小标宋简体" w:hAnsi="方正小标宋简体" w:eastAsia="方正小标宋简体" w:cs="方正小标宋简体"/>
          <w:b w:val="0"/>
          <w:bCs w:val="0"/>
          <w:color w:val="000000" w:themeColor="text1"/>
          <w:spacing w:val="2"/>
          <w:sz w:val="42"/>
          <w:szCs w:val="42"/>
          <w14:textFill>
            <w14:solidFill>
              <w14:schemeClr w14:val="tx1"/>
            </w14:solidFill>
          </w14:textFill>
        </w:rPr>
        <w:t>2022年度</w:t>
      </w:r>
      <w:r>
        <w:rPr>
          <w:rFonts w:hint="eastAsia" w:ascii="方正小标宋简体" w:hAnsi="方正小标宋简体" w:eastAsia="方正小标宋简体" w:cs="方正小标宋简体"/>
          <w:b w:val="0"/>
          <w:bCs w:val="0"/>
          <w:color w:val="000000" w:themeColor="text1"/>
          <w:spacing w:val="2"/>
          <w:sz w:val="42"/>
          <w:szCs w:val="42"/>
          <w:lang w:eastAsia="zh-CN"/>
          <w14:textFill>
            <w14:solidFill>
              <w14:schemeClr w14:val="tx1"/>
            </w14:solidFill>
          </w14:textFill>
        </w:rPr>
        <w:t>预算单位</w:t>
      </w:r>
      <w:r>
        <w:rPr>
          <w:rFonts w:hint="eastAsia" w:ascii="方正小标宋简体" w:hAnsi="方正小标宋简体" w:eastAsia="方正小标宋简体" w:cs="方正小标宋简体"/>
          <w:b w:val="0"/>
          <w:bCs w:val="0"/>
          <w:color w:val="000000" w:themeColor="text1"/>
          <w:spacing w:val="2"/>
          <w:sz w:val="42"/>
          <w:szCs w:val="42"/>
          <w14:textFill>
            <w14:solidFill>
              <w14:schemeClr w14:val="tx1"/>
            </w14:solidFill>
          </w14:textFill>
        </w:rPr>
        <w:t>整体支出绩效自评表</w:t>
      </w:r>
    </w:p>
    <w:p>
      <w:pPr>
        <w:spacing w:line="168" w:lineRule="exact"/>
        <w:rPr>
          <w:color w:val="000000" w:themeColor="text1"/>
          <w14:textFill>
            <w14:solidFill>
              <w14:schemeClr w14:val="tx1"/>
            </w14:solidFill>
          </w14:textFill>
        </w:rPr>
      </w:pPr>
    </w:p>
    <w:tbl>
      <w:tblPr>
        <w:tblStyle w:val="15"/>
        <w:tblW w:w="9835"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84"/>
        <w:gridCol w:w="1079"/>
        <w:gridCol w:w="1029"/>
        <w:gridCol w:w="1269"/>
        <w:gridCol w:w="1319"/>
        <w:gridCol w:w="1259"/>
        <w:gridCol w:w="719"/>
        <w:gridCol w:w="802"/>
        <w:gridCol w:w="1275"/>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0" w:hRule="atLeast"/>
        </w:trPr>
        <w:tc>
          <w:tcPr>
            <w:tcW w:w="1084" w:type="dxa"/>
            <w:noWrap w:val="0"/>
            <w:vAlign w:val="top"/>
          </w:tcPr>
          <w:p>
            <w:pPr>
              <w:keepNext w:val="0"/>
              <w:keepLines w:val="0"/>
              <w:pageBreakBefore w:val="0"/>
              <w:widowControl w:val="0"/>
              <w:kinsoku/>
              <w:wordWrap/>
              <w:overflowPunct/>
              <w:topLinePunct w:val="0"/>
              <w:autoSpaceDE/>
              <w:autoSpaceDN/>
              <w:bidi w:val="0"/>
              <w:adjustRightInd/>
              <w:snapToGrid/>
              <w:spacing w:line="198" w:lineRule="auto"/>
              <w:ind w:left="0" w:right="0" w:firstLine="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2"/>
                <w:sz w:val="21"/>
                <w:szCs w:val="21"/>
                <w14:textFill>
                  <w14:solidFill>
                    <w14:schemeClr w14:val="tx1"/>
                  </w14:solidFill>
                </w14:textFill>
              </w:rPr>
              <w:t>预算</w:t>
            </w:r>
            <w:r>
              <w:rPr>
                <w:rFonts w:hint="eastAsia" w:ascii="宋体" w:hAnsi="宋体" w:eastAsia="宋体" w:cs="宋体"/>
                <w:color w:val="000000" w:themeColor="text1"/>
                <w:spacing w:val="2"/>
                <w:sz w:val="21"/>
                <w:szCs w:val="21"/>
                <w:lang w:eastAsia="zh-CN"/>
                <w14:textFill>
                  <w14:solidFill>
                    <w14:schemeClr w14:val="tx1"/>
                  </w14:solidFill>
                </w14:textFill>
              </w:rPr>
              <w:t>单位</w:t>
            </w:r>
            <w:r>
              <w:rPr>
                <w:rFonts w:hint="eastAsia" w:ascii="宋体" w:hAnsi="宋体" w:eastAsia="宋体" w:cs="宋体"/>
                <w:color w:val="000000" w:themeColor="text1"/>
                <w:spacing w:val="2"/>
                <w:sz w:val="21"/>
                <w:szCs w:val="21"/>
                <w:lang w:val="en-US" w:eastAsia="zh-CN"/>
                <w14:textFill>
                  <w14:solidFill>
                    <w14:schemeClr w14:val="tx1"/>
                  </w14:solidFill>
                </w14:textFill>
              </w:rPr>
              <w:t xml:space="preserve"> </w:t>
            </w:r>
            <w:r>
              <w:rPr>
                <w:rFonts w:ascii="宋体" w:hAnsi="宋体" w:eastAsia="宋体" w:cs="宋体"/>
                <w:color w:val="000000" w:themeColor="text1"/>
                <w:spacing w:val="2"/>
                <w:sz w:val="21"/>
                <w:szCs w:val="21"/>
                <w14:textFill>
                  <w14:solidFill>
                    <w14:schemeClr w14:val="tx1"/>
                  </w14:solidFill>
                </w14:textFill>
              </w:rPr>
              <w:t>名称</w:t>
            </w:r>
          </w:p>
        </w:tc>
        <w:tc>
          <w:tcPr>
            <w:tcW w:w="8751" w:type="dxa"/>
            <w:gridSpan w:val="8"/>
            <w:noWrap w:val="0"/>
            <w:vAlign w:val="top"/>
          </w:tcPr>
          <w:p>
            <w:pPr>
              <w:jc w:val="center"/>
              <w:rPr>
                <w:rFonts w:ascii="Arial"/>
                <w:color w:val="000000" w:themeColor="text1"/>
                <w:sz w:val="21"/>
                <w14:textFill>
                  <w14:solidFill>
                    <w14:schemeClr w14:val="tx1"/>
                  </w14:solidFill>
                </w14:textFill>
              </w:rPr>
            </w:pPr>
            <w:r>
              <w:rPr>
                <w:rFonts w:hint="eastAsia" w:asciiTheme="majorEastAsia" w:hAnsiTheme="majorEastAsia" w:eastAsiaTheme="majorEastAsia" w:cstheme="majorEastAsia"/>
                <w:color w:val="000000" w:themeColor="text1"/>
                <w:spacing w:val="-2"/>
                <w:sz w:val="20"/>
                <w:szCs w:val="20"/>
                <w14:textFill>
                  <w14:solidFill>
                    <w14:schemeClr w14:val="tx1"/>
                  </w14:solidFill>
                </w14:textFill>
              </w:rPr>
              <w:t>岳阳市岳阳楼区奇家岭街道社区卫生服务中心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84" w:type="dxa"/>
            <w:vMerge w:val="restart"/>
            <w:tcBorders>
              <w:bottom w:val="nil"/>
            </w:tcBorders>
            <w:noWrap w:val="0"/>
            <w:vAlign w:val="top"/>
          </w:tcPr>
          <w:p>
            <w:pPr>
              <w:keepNext w:val="0"/>
              <w:keepLines w:val="0"/>
              <w:pageBreakBefore w:val="0"/>
              <w:widowControl w:val="0"/>
              <w:kinsoku/>
              <w:wordWrap/>
              <w:overflowPunct/>
              <w:topLinePunct w:val="0"/>
              <w:autoSpaceDE/>
              <w:autoSpaceDN/>
              <w:bidi w:val="0"/>
              <w:adjustRightInd/>
              <w:snapToGrid/>
              <w:spacing w:line="418" w:lineRule="auto"/>
              <w:ind w:left="0" w:right="0" w:firstLine="0"/>
              <w:jc w:val="center"/>
              <w:textAlignment w:val="auto"/>
              <w:rPr>
                <w:rFonts w:ascii="Arial"/>
                <w:color w:val="000000" w:themeColor="text1"/>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80" w:lineRule="exact"/>
              <w:ind w:left="0" w:right="0" w:firstLine="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3"/>
                <w:position w:val="4"/>
                <w:sz w:val="21"/>
                <w:szCs w:val="21"/>
                <w14:textFill>
                  <w14:solidFill>
                    <w14:schemeClr w14:val="tx1"/>
                  </w14:solidFill>
                </w14:textFill>
              </w:rPr>
              <w:t>年度预</w:t>
            </w:r>
          </w:p>
          <w:p>
            <w:pPr>
              <w:keepNext w:val="0"/>
              <w:keepLines w:val="0"/>
              <w:pageBreakBefore w:val="0"/>
              <w:widowControl w:val="0"/>
              <w:kinsoku/>
              <w:wordWrap/>
              <w:overflowPunct/>
              <w:topLinePunct w:val="0"/>
              <w:autoSpaceDE/>
              <w:autoSpaceDN/>
              <w:bidi w:val="0"/>
              <w:adjustRightInd/>
              <w:snapToGrid/>
              <w:spacing w:line="219" w:lineRule="auto"/>
              <w:ind w:left="0" w:right="0" w:firstLine="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3"/>
                <w:sz w:val="21"/>
                <w:szCs w:val="21"/>
                <w14:textFill>
                  <w14:solidFill>
                    <w14:schemeClr w14:val="tx1"/>
                  </w14:solidFill>
                </w14:textFill>
              </w:rPr>
              <w:t>算申请</w:t>
            </w:r>
          </w:p>
          <w:p>
            <w:pPr>
              <w:keepNext w:val="0"/>
              <w:keepLines w:val="0"/>
              <w:pageBreakBefore w:val="0"/>
              <w:widowControl w:val="0"/>
              <w:kinsoku/>
              <w:wordWrap/>
              <w:overflowPunct/>
              <w:topLinePunct w:val="0"/>
              <w:autoSpaceDE/>
              <w:autoSpaceDN/>
              <w:bidi w:val="0"/>
              <w:adjustRightInd/>
              <w:snapToGrid/>
              <w:spacing w:line="220" w:lineRule="auto"/>
              <w:ind w:left="0" w:right="0" w:firstLine="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11"/>
                <w:sz w:val="21"/>
                <w:szCs w:val="21"/>
                <w14:textFill>
                  <w14:solidFill>
                    <w14:schemeClr w14:val="tx1"/>
                  </w14:solidFill>
                </w14:textFill>
              </w:rPr>
              <w:t>(万元)</w:t>
            </w:r>
          </w:p>
        </w:tc>
        <w:tc>
          <w:tcPr>
            <w:tcW w:w="2108" w:type="dxa"/>
            <w:gridSpan w:val="2"/>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ascii="Arial"/>
                <w:color w:val="000000" w:themeColor="text1"/>
                <w:spacing w:val="0"/>
                <w:sz w:val="20"/>
                <w14:textFill>
                  <w14:solidFill>
                    <w14:schemeClr w14:val="tx1"/>
                  </w14:solidFill>
                </w14:textFill>
              </w:rPr>
            </w:pPr>
          </w:p>
        </w:tc>
        <w:tc>
          <w:tcPr>
            <w:tcW w:w="1269" w:type="dxa"/>
            <w:noWrap w:val="0"/>
            <w:vAlign w:val="center"/>
          </w:tcPr>
          <w:p>
            <w:pPr>
              <w:keepNext w:val="0"/>
              <w:keepLines w:val="0"/>
              <w:pageBreakBefore w:val="0"/>
              <w:widowControl w:val="0"/>
              <w:kinsoku/>
              <w:wordWrap/>
              <w:overflowPunct/>
              <w:topLinePunct w:val="0"/>
              <w:autoSpaceDE/>
              <w:autoSpaceDN/>
              <w:bidi w:val="0"/>
              <w:adjustRightInd/>
              <w:snapToGrid/>
              <w:spacing w:line="194"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年初预算数</w:t>
            </w:r>
          </w:p>
        </w:tc>
        <w:tc>
          <w:tcPr>
            <w:tcW w:w="1319" w:type="dxa"/>
            <w:noWrap w:val="0"/>
            <w:vAlign w:val="center"/>
          </w:tcPr>
          <w:p>
            <w:pPr>
              <w:keepNext w:val="0"/>
              <w:keepLines w:val="0"/>
              <w:pageBreakBefore w:val="0"/>
              <w:widowControl w:val="0"/>
              <w:kinsoku/>
              <w:wordWrap/>
              <w:overflowPunct/>
              <w:topLinePunct w:val="0"/>
              <w:autoSpaceDE/>
              <w:autoSpaceDN/>
              <w:bidi w:val="0"/>
              <w:adjustRightInd/>
              <w:snapToGrid/>
              <w:spacing w:line="194"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全年预算数</w:t>
            </w:r>
          </w:p>
        </w:tc>
        <w:tc>
          <w:tcPr>
            <w:tcW w:w="1259" w:type="dxa"/>
            <w:noWrap w:val="0"/>
            <w:vAlign w:val="center"/>
          </w:tcPr>
          <w:p>
            <w:pPr>
              <w:keepNext w:val="0"/>
              <w:keepLines w:val="0"/>
              <w:pageBreakBefore w:val="0"/>
              <w:widowControl w:val="0"/>
              <w:kinsoku/>
              <w:wordWrap/>
              <w:overflowPunct/>
              <w:topLinePunct w:val="0"/>
              <w:autoSpaceDE/>
              <w:autoSpaceDN/>
              <w:bidi w:val="0"/>
              <w:adjustRightInd/>
              <w:snapToGrid/>
              <w:spacing w:line="194"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全年执行数</w:t>
            </w:r>
          </w:p>
        </w:tc>
        <w:tc>
          <w:tcPr>
            <w:tcW w:w="719" w:type="dxa"/>
            <w:noWrap w:val="0"/>
            <w:vAlign w:val="center"/>
          </w:tcPr>
          <w:p>
            <w:pPr>
              <w:keepNext w:val="0"/>
              <w:keepLines w:val="0"/>
              <w:pageBreakBefore w:val="0"/>
              <w:widowControl w:val="0"/>
              <w:kinsoku/>
              <w:wordWrap/>
              <w:overflowPunct/>
              <w:topLinePunct w:val="0"/>
              <w:autoSpaceDE/>
              <w:autoSpaceDN/>
              <w:bidi w:val="0"/>
              <w:adjustRightInd/>
              <w:snapToGrid/>
              <w:spacing w:line="194"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分值</w:t>
            </w:r>
          </w:p>
        </w:tc>
        <w:tc>
          <w:tcPr>
            <w:tcW w:w="802" w:type="dxa"/>
            <w:noWrap w:val="0"/>
            <w:vAlign w:val="center"/>
          </w:tcPr>
          <w:p>
            <w:pPr>
              <w:keepNext w:val="0"/>
              <w:keepLines w:val="0"/>
              <w:pageBreakBefore w:val="0"/>
              <w:widowControl w:val="0"/>
              <w:kinsoku/>
              <w:wordWrap/>
              <w:overflowPunct/>
              <w:topLinePunct w:val="0"/>
              <w:autoSpaceDE/>
              <w:autoSpaceDN/>
              <w:bidi w:val="0"/>
              <w:adjustRightInd/>
              <w:snapToGrid/>
              <w:spacing w:line="194"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执行率</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spacing w:line="194"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得分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9" w:hRule="atLeast"/>
        </w:trPr>
        <w:tc>
          <w:tcPr>
            <w:tcW w:w="1084" w:type="dxa"/>
            <w:vMerge w:val="continue"/>
            <w:tcBorders>
              <w:top w:val="nil"/>
              <w:bottom w:val="nil"/>
            </w:tcBorders>
            <w:noWrap w:val="0"/>
            <w:vAlign w:val="top"/>
          </w:tcPr>
          <w:p>
            <w:pPr>
              <w:keepNext w:val="0"/>
              <w:keepLines w:val="0"/>
              <w:pageBreakBefore w:val="0"/>
              <w:widowControl w:val="0"/>
              <w:kinsoku/>
              <w:wordWrap/>
              <w:overflowPunct/>
              <w:topLinePunct w:val="0"/>
              <w:autoSpaceDE/>
              <w:autoSpaceDN/>
              <w:bidi w:val="0"/>
              <w:adjustRightInd/>
              <w:snapToGrid/>
              <w:ind w:left="0" w:right="0" w:firstLine="0"/>
              <w:jc w:val="center"/>
              <w:textAlignment w:val="auto"/>
              <w:rPr>
                <w:rFonts w:ascii="Arial"/>
                <w:color w:val="000000" w:themeColor="text1"/>
                <w:sz w:val="21"/>
                <w:szCs w:val="21"/>
                <w14:textFill>
                  <w14:solidFill>
                    <w14:schemeClr w14:val="tx1"/>
                  </w14:solidFill>
                </w14:textFill>
              </w:rPr>
            </w:pPr>
          </w:p>
        </w:tc>
        <w:tc>
          <w:tcPr>
            <w:tcW w:w="2108" w:type="dxa"/>
            <w:gridSpan w:val="2"/>
            <w:noWrap w:val="0"/>
            <w:vAlign w:val="center"/>
          </w:tcPr>
          <w:p>
            <w:pPr>
              <w:keepNext w:val="0"/>
              <w:keepLines w:val="0"/>
              <w:pageBreakBefore w:val="0"/>
              <w:widowControl w:val="0"/>
              <w:kinsoku/>
              <w:wordWrap/>
              <w:overflowPunct/>
              <w:topLinePunct w:val="0"/>
              <w:autoSpaceDE/>
              <w:autoSpaceDN/>
              <w:bidi w:val="0"/>
              <w:adjustRightInd/>
              <w:snapToGrid/>
              <w:spacing w:line="193"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年度资金总额</w:t>
            </w:r>
          </w:p>
        </w:tc>
        <w:tc>
          <w:tcPr>
            <w:tcW w:w="1269"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eastAsiaTheme="minorEastAsia"/>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97.54</w:t>
            </w:r>
          </w:p>
        </w:tc>
        <w:tc>
          <w:tcPr>
            <w:tcW w:w="1319"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eastAsiaTheme="minorEastAsia"/>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1079.25</w:t>
            </w:r>
          </w:p>
        </w:tc>
        <w:tc>
          <w:tcPr>
            <w:tcW w:w="1259"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eastAsiaTheme="minorEastAsia"/>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1079.25</w:t>
            </w:r>
          </w:p>
        </w:tc>
        <w:tc>
          <w:tcPr>
            <w:tcW w:w="719" w:type="dxa"/>
            <w:noWrap w:val="0"/>
            <w:vAlign w:val="center"/>
          </w:tcPr>
          <w:p>
            <w:pPr>
              <w:keepNext w:val="0"/>
              <w:keepLines w:val="0"/>
              <w:pageBreakBefore w:val="0"/>
              <w:widowControl w:val="0"/>
              <w:kinsoku/>
              <w:wordWrap/>
              <w:overflowPunct/>
              <w:topLinePunct w:val="0"/>
              <w:autoSpaceDE/>
              <w:autoSpaceDN/>
              <w:bidi w:val="0"/>
              <w:adjustRightInd/>
              <w:snapToGrid/>
              <w:spacing w:line="147" w:lineRule="exact"/>
              <w:ind w:left="0"/>
              <w:jc w:val="center"/>
              <w:textAlignment w:val="auto"/>
              <w:rPr>
                <w:rFonts w:ascii="宋体" w:hAnsi="宋体" w:eastAsia="宋体" w:cs="宋体"/>
                <w:color w:val="000000" w:themeColor="text1"/>
                <w:spacing w:val="0"/>
                <w:sz w:val="20"/>
                <w:szCs w:val="20"/>
                <w14:textFill>
                  <w14:solidFill>
                    <w14:schemeClr w14:val="tx1"/>
                  </w14:solidFill>
                </w14:textFill>
              </w:rPr>
            </w:pPr>
            <w:r>
              <w:rPr>
                <w:rFonts w:ascii="宋体" w:hAnsi="宋体" w:eastAsia="宋体" w:cs="宋体"/>
                <w:color w:val="000000" w:themeColor="text1"/>
                <w:spacing w:val="0"/>
                <w:position w:val="-3"/>
                <w:sz w:val="20"/>
                <w:szCs w:val="20"/>
                <w14:textFill>
                  <w14:solidFill>
                    <w14:schemeClr w14:val="tx1"/>
                  </w14:solidFill>
                </w14:textFill>
              </w:rPr>
              <w:t>10</w:t>
            </w:r>
          </w:p>
        </w:tc>
        <w:tc>
          <w:tcPr>
            <w:tcW w:w="802"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eastAsiaTheme="minorEastAsia"/>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100%</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default" w:ascii="Arial" w:eastAsiaTheme="minorEastAsia"/>
                <w:color w:val="000000" w:themeColor="text1"/>
                <w:spacing w:val="0"/>
                <w:sz w:val="20"/>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10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0" w:hRule="atLeast"/>
        </w:trPr>
        <w:tc>
          <w:tcPr>
            <w:tcW w:w="1084" w:type="dxa"/>
            <w:vMerge w:val="continue"/>
            <w:tcBorders>
              <w:top w:val="nil"/>
              <w:bottom w:val="nil"/>
            </w:tcBorders>
            <w:noWrap w:val="0"/>
            <w:vAlign w:val="top"/>
          </w:tcPr>
          <w:p>
            <w:pPr>
              <w:keepNext w:val="0"/>
              <w:keepLines w:val="0"/>
              <w:pageBreakBefore w:val="0"/>
              <w:widowControl w:val="0"/>
              <w:kinsoku/>
              <w:wordWrap/>
              <w:overflowPunct/>
              <w:topLinePunct w:val="0"/>
              <w:autoSpaceDE/>
              <w:autoSpaceDN/>
              <w:bidi w:val="0"/>
              <w:adjustRightInd/>
              <w:snapToGrid/>
              <w:ind w:left="0" w:right="0" w:firstLine="0"/>
              <w:jc w:val="center"/>
              <w:textAlignment w:val="auto"/>
              <w:rPr>
                <w:rFonts w:ascii="Arial"/>
                <w:color w:val="000000" w:themeColor="text1"/>
                <w:sz w:val="21"/>
                <w:szCs w:val="21"/>
                <w14:textFill>
                  <w14:solidFill>
                    <w14:schemeClr w14:val="tx1"/>
                  </w14:solidFill>
                </w14:textFill>
              </w:rPr>
            </w:pPr>
          </w:p>
        </w:tc>
        <w:tc>
          <w:tcPr>
            <w:tcW w:w="4696"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193" w:lineRule="auto"/>
              <w:ind w:left="0" w:firstLine="210" w:firstLineChars="100"/>
              <w:jc w:val="left"/>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按收入性质分：</w:t>
            </w:r>
          </w:p>
        </w:tc>
        <w:tc>
          <w:tcPr>
            <w:tcW w:w="4055"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193" w:lineRule="auto"/>
              <w:ind w:left="0" w:firstLine="210" w:firstLineChars="100"/>
              <w:jc w:val="left"/>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按支出性质分：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0" w:hRule="atLeast"/>
        </w:trPr>
        <w:tc>
          <w:tcPr>
            <w:tcW w:w="1084" w:type="dxa"/>
            <w:vMerge w:val="continue"/>
            <w:tcBorders>
              <w:top w:val="nil"/>
              <w:bottom w:val="nil"/>
            </w:tcBorders>
            <w:noWrap w:val="0"/>
            <w:vAlign w:val="top"/>
          </w:tcPr>
          <w:p>
            <w:pPr>
              <w:keepNext w:val="0"/>
              <w:keepLines w:val="0"/>
              <w:pageBreakBefore w:val="0"/>
              <w:widowControl w:val="0"/>
              <w:kinsoku/>
              <w:wordWrap/>
              <w:overflowPunct/>
              <w:topLinePunct w:val="0"/>
              <w:autoSpaceDE/>
              <w:autoSpaceDN/>
              <w:bidi w:val="0"/>
              <w:adjustRightInd/>
              <w:snapToGrid/>
              <w:ind w:left="0" w:right="0" w:firstLine="0"/>
              <w:jc w:val="center"/>
              <w:textAlignment w:val="auto"/>
              <w:rPr>
                <w:rFonts w:ascii="Arial"/>
                <w:color w:val="000000" w:themeColor="text1"/>
                <w:sz w:val="21"/>
                <w:szCs w:val="21"/>
                <w14:textFill>
                  <w14:solidFill>
                    <w14:schemeClr w14:val="tx1"/>
                  </w14:solidFill>
                </w14:textFill>
              </w:rPr>
            </w:pPr>
          </w:p>
        </w:tc>
        <w:tc>
          <w:tcPr>
            <w:tcW w:w="4696"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193" w:lineRule="auto"/>
              <w:ind w:left="0" w:firstLine="210" w:firstLineChars="100"/>
              <w:jc w:val="left"/>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 xml:space="preserve">其中： </w:t>
            </w: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一般公共预算：</w:t>
            </w:r>
            <w:r>
              <w:rPr>
                <w:rFonts w:hint="eastAsia" w:ascii="Arial"/>
                <w:color w:val="000000" w:themeColor="text1"/>
                <w:spacing w:val="0"/>
                <w:sz w:val="20"/>
                <w:lang w:val="en-US" w:eastAsia="zh-CN"/>
                <w14:textFill>
                  <w14:solidFill>
                    <w14:schemeClr w14:val="tx1"/>
                  </w14:solidFill>
                </w14:textFill>
              </w:rPr>
              <w:t>589.35</w:t>
            </w:r>
          </w:p>
        </w:tc>
        <w:tc>
          <w:tcPr>
            <w:tcW w:w="4055"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194" w:lineRule="auto"/>
              <w:ind w:left="0" w:firstLine="210" w:firstLineChars="100"/>
              <w:jc w:val="left"/>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其中：基本支出：</w:t>
            </w:r>
            <w:r>
              <w:rPr>
                <w:rFonts w:hint="eastAsia" w:ascii="Arial"/>
                <w:color w:val="000000" w:themeColor="text1"/>
                <w:spacing w:val="0"/>
                <w:sz w:val="20"/>
                <w:lang w:val="en-US" w:eastAsia="zh-CN"/>
                <w14:textFill>
                  <w14:solidFill>
                    <w14:schemeClr w14:val="tx1"/>
                  </w14:solidFill>
                </w14:textFill>
              </w:rPr>
              <w:t>1079.25</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trPr>
        <w:tc>
          <w:tcPr>
            <w:tcW w:w="1084" w:type="dxa"/>
            <w:vMerge w:val="continue"/>
            <w:tcBorders>
              <w:top w:val="nil"/>
              <w:bottom w:val="nil"/>
            </w:tcBorders>
            <w:noWrap w:val="0"/>
            <w:vAlign w:val="top"/>
          </w:tcPr>
          <w:p>
            <w:pPr>
              <w:keepNext w:val="0"/>
              <w:keepLines w:val="0"/>
              <w:pageBreakBefore w:val="0"/>
              <w:widowControl w:val="0"/>
              <w:kinsoku/>
              <w:wordWrap/>
              <w:overflowPunct/>
              <w:topLinePunct w:val="0"/>
              <w:autoSpaceDE/>
              <w:autoSpaceDN/>
              <w:bidi w:val="0"/>
              <w:adjustRightInd/>
              <w:snapToGrid/>
              <w:ind w:left="0" w:right="0" w:firstLine="0"/>
              <w:jc w:val="center"/>
              <w:textAlignment w:val="auto"/>
              <w:rPr>
                <w:rFonts w:ascii="Arial"/>
                <w:color w:val="000000" w:themeColor="text1"/>
                <w:sz w:val="21"/>
                <w:szCs w:val="21"/>
                <w14:textFill>
                  <w14:solidFill>
                    <w14:schemeClr w14:val="tx1"/>
                  </w14:solidFill>
                </w14:textFill>
              </w:rPr>
            </w:pPr>
          </w:p>
        </w:tc>
        <w:tc>
          <w:tcPr>
            <w:tcW w:w="4696"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202" w:lineRule="auto"/>
              <w:ind w:left="0" w:firstLine="1050" w:firstLineChars="500"/>
              <w:jc w:val="left"/>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政府性基金拨款：</w:t>
            </w:r>
          </w:p>
        </w:tc>
        <w:tc>
          <w:tcPr>
            <w:tcW w:w="4055"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firstLine="840" w:firstLineChars="400"/>
              <w:jc w:val="left"/>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项目支出：</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9" w:hRule="atLeast"/>
        </w:trPr>
        <w:tc>
          <w:tcPr>
            <w:tcW w:w="1084" w:type="dxa"/>
            <w:vMerge w:val="continue"/>
            <w:tcBorders>
              <w:top w:val="nil"/>
              <w:bottom w:val="nil"/>
            </w:tcBorders>
            <w:noWrap w:val="0"/>
            <w:vAlign w:val="top"/>
          </w:tcPr>
          <w:p>
            <w:pPr>
              <w:keepNext w:val="0"/>
              <w:keepLines w:val="0"/>
              <w:pageBreakBefore w:val="0"/>
              <w:widowControl w:val="0"/>
              <w:kinsoku/>
              <w:wordWrap/>
              <w:overflowPunct/>
              <w:topLinePunct w:val="0"/>
              <w:autoSpaceDE/>
              <w:autoSpaceDN/>
              <w:bidi w:val="0"/>
              <w:adjustRightInd/>
              <w:snapToGrid/>
              <w:ind w:left="0" w:right="0" w:firstLine="0"/>
              <w:jc w:val="center"/>
              <w:textAlignment w:val="auto"/>
              <w:rPr>
                <w:rFonts w:ascii="Arial"/>
                <w:color w:val="000000" w:themeColor="text1"/>
                <w:sz w:val="21"/>
                <w:szCs w:val="21"/>
                <w14:textFill>
                  <w14:solidFill>
                    <w14:schemeClr w14:val="tx1"/>
                  </w14:solidFill>
                </w14:textFill>
              </w:rPr>
            </w:pPr>
          </w:p>
        </w:tc>
        <w:tc>
          <w:tcPr>
            <w:tcW w:w="4696"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192" w:lineRule="auto"/>
              <w:ind w:left="0" w:firstLine="1050" w:firstLineChars="500"/>
              <w:jc w:val="left"/>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纳入专户管理的非税收入拨款：</w:t>
            </w:r>
          </w:p>
        </w:tc>
        <w:tc>
          <w:tcPr>
            <w:tcW w:w="4055"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left"/>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84" w:type="dxa"/>
            <w:vMerge w:val="continue"/>
            <w:tcBorders>
              <w:top w:val="nil"/>
            </w:tcBorders>
            <w:noWrap w:val="0"/>
            <w:vAlign w:val="top"/>
          </w:tcPr>
          <w:p>
            <w:pPr>
              <w:keepNext w:val="0"/>
              <w:keepLines w:val="0"/>
              <w:pageBreakBefore w:val="0"/>
              <w:widowControl w:val="0"/>
              <w:kinsoku/>
              <w:wordWrap/>
              <w:overflowPunct/>
              <w:topLinePunct w:val="0"/>
              <w:autoSpaceDE/>
              <w:autoSpaceDN/>
              <w:bidi w:val="0"/>
              <w:adjustRightInd/>
              <w:snapToGrid/>
              <w:ind w:left="0" w:right="0" w:firstLine="0"/>
              <w:jc w:val="center"/>
              <w:textAlignment w:val="auto"/>
              <w:rPr>
                <w:rFonts w:ascii="Arial"/>
                <w:color w:val="000000" w:themeColor="text1"/>
                <w:sz w:val="21"/>
                <w:szCs w:val="21"/>
                <w14:textFill>
                  <w14:solidFill>
                    <w14:schemeClr w14:val="tx1"/>
                  </w14:solidFill>
                </w14:textFill>
              </w:rPr>
            </w:pPr>
          </w:p>
        </w:tc>
        <w:tc>
          <w:tcPr>
            <w:tcW w:w="4696"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192" w:lineRule="auto"/>
              <w:ind w:left="0" w:firstLine="1050" w:firstLineChars="500"/>
              <w:jc w:val="left"/>
              <w:textAlignment w:val="auto"/>
              <w:rPr>
                <w:rFonts w:hint="default" w:ascii="宋体" w:hAnsi="宋体" w:eastAsia="宋体" w:cs="宋体"/>
                <w:color w:val="000000" w:themeColor="text1"/>
                <w:spacing w:val="0"/>
                <w:sz w:val="21"/>
                <w:szCs w:val="21"/>
                <w:lang w:val="en-US" w:eastAsia="zh-CN"/>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其他资金：</w:t>
            </w:r>
            <w:r>
              <w:rPr>
                <w:rFonts w:hint="eastAsia" w:ascii="宋体" w:hAnsi="宋体" w:eastAsia="宋体" w:cs="宋体"/>
                <w:color w:val="000000" w:themeColor="text1"/>
                <w:spacing w:val="0"/>
                <w:sz w:val="21"/>
                <w:szCs w:val="21"/>
                <w:lang w:val="en-US" w:eastAsia="zh-CN"/>
                <w14:textFill>
                  <w14:solidFill>
                    <w14:schemeClr w14:val="tx1"/>
                  </w14:solidFill>
                </w14:textFill>
              </w:rPr>
              <w:t>489.90</w:t>
            </w:r>
          </w:p>
        </w:tc>
        <w:tc>
          <w:tcPr>
            <w:tcW w:w="4055"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left"/>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9" w:hRule="atLeast"/>
        </w:trPr>
        <w:tc>
          <w:tcPr>
            <w:tcW w:w="1084" w:type="dxa"/>
            <w:vMerge w:val="restart"/>
            <w:tcBorders>
              <w:bottom w:val="nil"/>
            </w:tcBorders>
            <w:noWrap w:val="0"/>
            <w:vAlign w:val="top"/>
          </w:tcPr>
          <w:p>
            <w:pPr>
              <w:keepNext w:val="0"/>
              <w:keepLines w:val="0"/>
              <w:pageBreakBefore w:val="0"/>
              <w:widowControl w:val="0"/>
              <w:kinsoku/>
              <w:wordWrap/>
              <w:overflowPunct/>
              <w:topLinePunct w:val="0"/>
              <w:autoSpaceDE/>
              <w:autoSpaceDN/>
              <w:bidi w:val="0"/>
              <w:adjustRightInd/>
              <w:snapToGrid/>
              <w:spacing w:line="211" w:lineRule="auto"/>
              <w:ind w:left="0" w:right="0" w:firstLine="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7"/>
                <w:sz w:val="21"/>
                <w:szCs w:val="21"/>
                <w14:textFill>
                  <w14:solidFill>
                    <w14:schemeClr w14:val="tx1"/>
                  </w14:solidFill>
                </w14:textFill>
              </w:rPr>
              <w:t>年度总体</w:t>
            </w:r>
            <w:r>
              <w:rPr>
                <w:rFonts w:ascii="宋体" w:hAnsi="宋体" w:eastAsia="宋体" w:cs="宋体"/>
                <w:color w:val="000000" w:themeColor="text1"/>
                <w:spacing w:val="1"/>
                <w:sz w:val="21"/>
                <w:szCs w:val="21"/>
                <w14:textFill>
                  <w14:solidFill>
                    <w14:schemeClr w14:val="tx1"/>
                  </w14:solidFill>
                </w14:textFill>
              </w:rPr>
              <w:t xml:space="preserve"> </w:t>
            </w:r>
            <w:r>
              <w:rPr>
                <w:rFonts w:ascii="宋体" w:hAnsi="宋体" w:eastAsia="宋体" w:cs="宋体"/>
                <w:color w:val="000000" w:themeColor="text1"/>
                <w:spacing w:val="-19"/>
                <w:sz w:val="21"/>
                <w:szCs w:val="21"/>
                <w14:textFill>
                  <w14:solidFill>
                    <w14:schemeClr w14:val="tx1"/>
                  </w14:solidFill>
                </w14:textFill>
              </w:rPr>
              <w:t>目</w:t>
            </w:r>
            <w:r>
              <w:rPr>
                <w:rFonts w:ascii="宋体" w:hAnsi="宋体" w:eastAsia="宋体" w:cs="宋体"/>
                <w:color w:val="000000" w:themeColor="text1"/>
                <w:spacing w:val="-35"/>
                <w:sz w:val="21"/>
                <w:szCs w:val="21"/>
                <w14:textFill>
                  <w14:solidFill>
                    <w14:schemeClr w14:val="tx1"/>
                  </w14:solidFill>
                </w14:textFill>
              </w:rPr>
              <w:t xml:space="preserve"> </w:t>
            </w:r>
            <w:r>
              <w:rPr>
                <w:rFonts w:ascii="宋体" w:hAnsi="宋体" w:eastAsia="宋体" w:cs="宋体"/>
                <w:color w:val="000000" w:themeColor="text1"/>
                <w:spacing w:val="-19"/>
                <w:sz w:val="21"/>
                <w:szCs w:val="21"/>
                <w14:textFill>
                  <w14:solidFill>
                    <w14:schemeClr w14:val="tx1"/>
                  </w14:solidFill>
                </w14:textFill>
              </w:rPr>
              <w:t>标</w:t>
            </w:r>
          </w:p>
        </w:tc>
        <w:tc>
          <w:tcPr>
            <w:tcW w:w="4696"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191" w:lineRule="auto"/>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预期目标</w:t>
            </w:r>
          </w:p>
        </w:tc>
        <w:tc>
          <w:tcPr>
            <w:tcW w:w="4055"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191"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实际完成情况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930" w:hRule="atLeast"/>
        </w:trPr>
        <w:tc>
          <w:tcPr>
            <w:tcW w:w="1084" w:type="dxa"/>
            <w:vMerge w:val="continue"/>
            <w:tcBorders>
              <w:top w:val="nil"/>
            </w:tcBorders>
            <w:noWrap w:val="0"/>
            <w:vAlign w:val="top"/>
          </w:tcPr>
          <w:p>
            <w:pPr>
              <w:keepNext w:val="0"/>
              <w:keepLines w:val="0"/>
              <w:pageBreakBefore w:val="0"/>
              <w:widowControl w:val="0"/>
              <w:kinsoku/>
              <w:wordWrap/>
              <w:overflowPunct/>
              <w:topLinePunct w:val="0"/>
              <w:autoSpaceDE/>
              <w:autoSpaceDN/>
              <w:bidi w:val="0"/>
              <w:adjustRightInd/>
              <w:snapToGrid/>
              <w:ind w:left="0" w:right="0" w:firstLine="0"/>
              <w:jc w:val="center"/>
              <w:textAlignment w:val="auto"/>
              <w:rPr>
                <w:rFonts w:ascii="Arial"/>
                <w:color w:val="000000" w:themeColor="text1"/>
                <w:sz w:val="21"/>
                <w:szCs w:val="21"/>
                <w14:textFill>
                  <w14:solidFill>
                    <w14:schemeClr w14:val="tx1"/>
                  </w14:solidFill>
                </w14:textFill>
              </w:rPr>
            </w:pPr>
          </w:p>
        </w:tc>
        <w:tc>
          <w:tcPr>
            <w:tcW w:w="4696"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left"/>
              <w:textAlignment w:val="auto"/>
              <w:rPr>
                <w:rFonts w:hint="default" w:ascii="Arial" w:eastAsiaTheme="minorEastAsia"/>
                <w:color w:val="000000" w:themeColor="text1"/>
                <w:spacing w:val="0"/>
                <w:sz w:val="20"/>
                <w:lang w:val="en-US" w:eastAsia="zh-CN"/>
                <w14:textFill>
                  <w14:solidFill>
                    <w14:schemeClr w14:val="tx1"/>
                  </w14:solidFill>
                </w14:textFill>
              </w:rPr>
            </w:pPr>
            <w:r>
              <w:rPr>
                <w:rFonts w:hint="eastAsia" w:ascii="Arial"/>
                <w:color w:val="000000" w:themeColor="text1"/>
                <w:spacing w:val="0"/>
                <w:sz w:val="18"/>
                <w:szCs w:val="18"/>
                <w:lang w:val="en-US" w:eastAsia="zh-CN"/>
                <w14:textFill>
                  <w14:solidFill>
                    <w14:schemeClr w14:val="tx1"/>
                  </w14:solidFill>
                </w14:textFill>
              </w:rPr>
              <w:t>1、计划全年完成核酸检测采样80万人次，新冠疫苗接种2万人次；2、计划</w:t>
            </w:r>
            <w:r>
              <w:rPr>
                <w:rFonts w:hint="eastAsia" w:ascii="宋体" w:hAnsi="宋体" w:eastAsia="宋体" w:cs="宋体"/>
                <w:b w:val="0"/>
                <w:kern w:val="2"/>
                <w:sz w:val="18"/>
                <w:szCs w:val="18"/>
                <w:lang w:val="en-US" w:eastAsia="zh-CN" w:bidi="ar-SA"/>
              </w:rPr>
              <w:t>全年家庭医生签约2万人；3、管理重性精神病患者161名，规范管理率达到100%；4、全年规范管理孕产妇420人，其中产妇264人，产前检查260人，产前检查率98.48%；早检人数260人，产后访视260人，产后访视率98.48%；高危产妇251人，孕产妇死亡发生率0。5、计划全年业务总收入603余万元，其中门诊收入322万元；住院收入82万元，疫苗收入199万元。全年门诊2.9万人次，住院500人次</w:t>
            </w:r>
          </w:p>
        </w:tc>
        <w:tc>
          <w:tcPr>
            <w:tcW w:w="4055" w:type="dxa"/>
            <w:gridSpan w:val="4"/>
            <w:noWrap w:val="0"/>
            <w:vAlign w:val="center"/>
          </w:tcPr>
          <w:p>
            <w:pPr>
              <w:keepNext w:val="0"/>
              <w:keepLines w:val="0"/>
              <w:pageBreakBefore w:val="0"/>
              <w:widowControl w:val="0"/>
              <w:numPr>
                <w:ilvl w:val="0"/>
                <w:numId w:val="0"/>
              </w:numPr>
              <w:kinsoku/>
              <w:wordWrap/>
              <w:overflowPunct/>
              <w:topLinePunct w:val="0"/>
              <w:autoSpaceDE/>
              <w:autoSpaceDN/>
              <w:bidi w:val="0"/>
              <w:adjustRightInd/>
              <w:snapToGrid/>
              <w:spacing w:line="240" w:lineRule="auto"/>
              <w:jc w:val="left"/>
              <w:rPr>
                <w:rFonts w:ascii="Arial"/>
                <w:color w:val="000000" w:themeColor="text1"/>
                <w:spacing w:val="0"/>
                <w:sz w:val="20"/>
                <w14:textFill>
                  <w14:solidFill>
                    <w14:schemeClr w14:val="tx1"/>
                  </w14:solidFill>
                </w14:textFill>
              </w:rPr>
            </w:pPr>
            <w:r>
              <w:rPr>
                <w:rFonts w:hint="eastAsia" w:ascii="宋体" w:hAnsi="宋体" w:eastAsia="宋体" w:cs="宋体"/>
                <w:b w:val="0"/>
                <w:kern w:val="2"/>
                <w:sz w:val="18"/>
                <w:szCs w:val="18"/>
                <w:lang w:val="en-US" w:eastAsia="zh-CN" w:bidi="ar-SA"/>
              </w:rPr>
              <w:t>1、全年核酸采样共计92万余人次。接种新冠疫苗2.61万人次。为奇家岭隔离点</w:t>
            </w:r>
            <w:r>
              <w:rPr>
                <w:rFonts w:hint="eastAsia" w:ascii="宋体" w:hAnsi="宋体" w:eastAsia="宋体" w:cs="宋体"/>
                <w:sz w:val="18"/>
                <w:szCs w:val="18"/>
                <w:lang w:val="en-US" w:eastAsia="zh-CN"/>
              </w:rPr>
              <w:t>发放增强抵抗力的中药汤剂750人次，共计4500袋</w:t>
            </w:r>
            <w:r>
              <w:rPr>
                <w:rFonts w:hint="eastAsia" w:ascii="宋体" w:hAnsi="宋体" w:eastAsia="宋体" w:cs="宋体"/>
                <w:b w:val="0"/>
                <w:kern w:val="2"/>
                <w:sz w:val="18"/>
                <w:szCs w:val="18"/>
                <w:lang w:val="en-US" w:eastAsia="zh-CN" w:bidi="ar-SA"/>
              </w:rPr>
              <w:t>。2.慢性病患者健康管理：高血压全年新建高血压档案905份，累计管理高血压患者2943例；全年新建糖尿病档案286份，累计管理糖尿病患者1066例。并按规范要求对高血压、糖尿病患者进行了随访，全年高血压随访10964人次，糖尿病随访3917人次。3、孕妇健康管理：全年规范管理孕产妇420人，其中产妇264人，产前检查260人，产前检查率98.48%；早检人数260人，产后访视260人，产后访视率98.48%；高危产妇251人，孕产妇死亡发生率0。孕妇学校免费孕检199人，高危筛查免费检查人数45人，为辖区内508名育龄妇女进行了免费妇检。4、全年业务总收入603余万元，与2021年同期相比增长4%，（其中门诊收入322万元；住院收入82万元，疫苗收入199万元）。全年门诊29682人次，住院525人次。5、严重精神障碍患者管理：累计管理重性精神病患者161名，规范管理率达到100%，全年随访648人次。6、传染病和突发公共卫生事件报告处理：全年网络报告传染病8例，网络报告及时率100﹪，规范处置率均达100%。7、家庭医生管理服务：全年家庭医生签约24282人，其中0-6岁儿童签约1227人，老年人签约2743人，孕妇签约231人，高血压签约2814人，糖尿病签约1014人，精神病患者签约48人，建档立卡贫困户签约113人。</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4" w:hRule="atLeast"/>
        </w:trPr>
        <w:tc>
          <w:tcPr>
            <w:tcW w:w="1084" w:type="dxa"/>
            <w:vMerge w:val="restart"/>
            <w:tcBorders>
              <w:bottom w:val="nil"/>
            </w:tcBorders>
            <w:noWrap w:val="0"/>
            <w:textDirection w:val="tbRlV"/>
            <w:vAlign w:val="top"/>
          </w:tcPr>
          <w:p>
            <w:pPr>
              <w:keepNext w:val="0"/>
              <w:keepLines w:val="0"/>
              <w:pageBreakBefore w:val="0"/>
              <w:widowControl w:val="0"/>
              <w:kinsoku/>
              <w:wordWrap/>
              <w:overflowPunct/>
              <w:topLinePunct w:val="0"/>
              <w:autoSpaceDE/>
              <w:autoSpaceDN/>
              <w:bidi w:val="0"/>
              <w:adjustRightInd/>
              <w:snapToGrid/>
              <w:spacing w:line="367" w:lineRule="auto"/>
              <w:ind w:left="0" w:right="0" w:firstLine="0"/>
              <w:jc w:val="center"/>
              <w:textAlignment w:val="auto"/>
              <w:rPr>
                <w:rFonts w:ascii="Arial"/>
                <w:color w:val="000000" w:themeColor="text1"/>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17" w:lineRule="auto"/>
              <w:ind w:left="0" w:right="0" w:firstLine="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z w:val="21"/>
                <w:szCs w:val="21"/>
                <w14:textFill>
                  <w14:solidFill>
                    <w14:schemeClr w14:val="tx1"/>
                  </w14:solidFill>
                </w14:textFill>
              </w:rPr>
              <w:t>绩效指标</w:t>
            </w:r>
          </w:p>
        </w:tc>
        <w:tc>
          <w:tcPr>
            <w:tcW w:w="1079"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一级指标</w:t>
            </w:r>
          </w:p>
        </w:tc>
        <w:tc>
          <w:tcPr>
            <w:tcW w:w="1029"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二级指标</w:t>
            </w:r>
          </w:p>
        </w:tc>
        <w:tc>
          <w:tcPr>
            <w:tcW w:w="1269"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三级指标</w:t>
            </w:r>
          </w:p>
        </w:tc>
        <w:tc>
          <w:tcPr>
            <w:tcW w:w="1319"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年度指标值</w:t>
            </w:r>
          </w:p>
        </w:tc>
        <w:tc>
          <w:tcPr>
            <w:tcW w:w="1259"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实际完成值</w:t>
            </w:r>
          </w:p>
        </w:tc>
        <w:tc>
          <w:tcPr>
            <w:tcW w:w="719"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分值</w:t>
            </w:r>
          </w:p>
        </w:tc>
        <w:tc>
          <w:tcPr>
            <w:tcW w:w="802"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得分</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spacing w:line="211"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偏差原因分析</w:t>
            </w:r>
          </w:p>
          <w:p>
            <w:pPr>
              <w:keepNext w:val="0"/>
              <w:keepLines w:val="0"/>
              <w:pageBreakBefore w:val="0"/>
              <w:widowControl w:val="0"/>
              <w:kinsoku/>
              <w:wordWrap/>
              <w:overflowPunct/>
              <w:topLinePunct w:val="0"/>
              <w:autoSpaceDE/>
              <w:autoSpaceDN/>
              <w:bidi w:val="0"/>
              <w:adjustRightInd/>
              <w:snapToGrid/>
              <w:spacing w:line="190" w:lineRule="auto"/>
              <w:ind w:lef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及改进措施</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0" w:hRule="atLeast"/>
        </w:trPr>
        <w:tc>
          <w:tcPr>
            <w:tcW w:w="1084" w:type="dxa"/>
            <w:vMerge w:val="continue"/>
            <w:tcBorders>
              <w:top w:val="nil"/>
              <w:bottom w:val="nil"/>
            </w:tcBorders>
            <w:noWrap w:val="0"/>
            <w:textDirection w:val="tbRlV"/>
            <w:vAlign w:val="top"/>
          </w:tcPr>
          <w:p>
            <w:pPr>
              <w:rPr>
                <w:rFonts w:ascii="Arial"/>
                <w:color w:val="000000" w:themeColor="text1"/>
                <w:sz w:val="21"/>
                <w14:textFill>
                  <w14:solidFill>
                    <w14:schemeClr w14:val="tx1"/>
                  </w14:solidFill>
                </w14:textFill>
              </w:rPr>
            </w:pPr>
          </w:p>
        </w:tc>
        <w:tc>
          <w:tcPr>
            <w:tcW w:w="1079" w:type="dxa"/>
            <w:vMerge w:val="restart"/>
            <w:tcBorders>
              <w:top w:val="nil"/>
            </w:tcBorders>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default" w:ascii="Arial" w:eastAsiaTheme="minorEastAsia"/>
                <w:color w:val="000000" w:themeColor="text1"/>
                <w:sz w:val="21"/>
                <w:lang w:val="en-US" w:eastAsia="zh-CN"/>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产出指标（50分）</w:t>
            </w:r>
          </w:p>
        </w:tc>
        <w:tc>
          <w:tcPr>
            <w:tcW w:w="1029" w:type="dxa"/>
            <w:vMerge w:val="restart"/>
            <w:tcBorders>
              <w:top w:val="nil"/>
            </w:tcBorders>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default" w:ascii="Arial" w:eastAsiaTheme="minorEastAsia"/>
                <w:color w:val="000000" w:themeColor="text1"/>
                <w:sz w:val="21"/>
                <w:lang w:val="en-US" w:eastAsia="zh-CN"/>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数量指标</w:t>
            </w:r>
          </w:p>
        </w:tc>
        <w:tc>
          <w:tcPr>
            <w:tcW w:w="1269" w:type="dxa"/>
            <w:noWrap w:val="0"/>
            <w:vAlign w:val="center"/>
          </w:tcPr>
          <w:p>
            <w:pPr>
              <w:keepNext w:val="0"/>
              <w:keepLines w:val="0"/>
              <w:widowControl/>
              <w:suppressLineNumbers w:val="0"/>
              <w:jc w:val="center"/>
              <w:textAlignment w:val="center"/>
              <w:rPr>
                <w:rFonts w:hint="default" w:ascii="宋体" w:hAnsi="宋体" w:eastAsia="宋体" w:cs="宋体"/>
                <w:b w:val="0"/>
                <w:bCs w:val="0"/>
                <w:color w:val="000000" w:themeColor="text1"/>
                <w:sz w:val="18"/>
                <w:szCs w:val="18"/>
                <w:lang w:val="en-US"/>
                <w14:textFill>
                  <w14:solidFill>
                    <w14:schemeClr w14:val="tx1"/>
                  </w14:solidFill>
                </w14:textFill>
              </w:rPr>
            </w:pPr>
            <w:r>
              <w:rPr>
                <w:rFonts w:hint="eastAsia" w:ascii="宋体" w:hAnsi="宋体" w:eastAsia="宋体" w:cs="宋体"/>
                <w:i w:val="0"/>
                <w:iCs w:val="0"/>
                <w:color w:val="000000"/>
                <w:kern w:val="0"/>
                <w:sz w:val="18"/>
                <w:szCs w:val="18"/>
                <w:u w:val="none"/>
                <w:lang w:val="en-US" w:eastAsia="zh-CN" w:bidi="ar"/>
              </w:rPr>
              <w:t>核酸检测采样人次</w:t>
            </w:r>
          </w:p>
        </w:tc>
        <w:tc>
          <w:tcPr>
            <w:tcW w:w="1319" w:type="dxa"/>
            <w:noWrap w:val="0"/>
            <w:vAlign w:val="center"/>
          </w:tcPr>
          <w:p>
            <w:pPr>
              <w:keepNext w:val="0"/>
              <w:keepLines w:val="0"/>
              <w:widowControl/>
              <w:suppressLineNumbers w:val="0"/>
              <w:jc w:val="center"/>
              <w:textAlignment w:val="center"/>
              <w:rPr>
                <w:rFonts w:hint="default" w:ascii="宋体" w:hAnsi="宋体" w:eastAsia="宋体" w:cs="宋体"/>
                <w:b w:val="0"/>
                <w:bCs w:val="0"/>
                <w:color w:val="000000" w:themeColor="text1"/>
                <w:sz w:val="18"/>
                <w:szCs w:val="18"/>
                <w:lang w:val="en-US"/>
                <w14:textFill>
                  <w14:solidFill>
                    <w14:schemeClr w14:val="tx1"/>
                  </w14:solidFill>
                </w14:textFill>
              </w:rPr>
            </w:pPr>
            <w:r>
              <w:rPr>
                <w:rFonts w:hint="eastAsia" w:ascii="宋体" w:hAnsi="宋体" w:eastAsia="宋体" w:cs="宋体"/>
                <w:i w:val="0"/>
                <w:iCs w:val="0"/>
                <w:color w:val="000000"/>
                <w:kern w:val="0"/>
                <w:sz w:val="18"/>
                <w:szCs w:val="18"/>
                <w:u w:val="none"/>
                <w:lang w:val="en-US" w:eastAsia="zh-CN" w:bidi="ar"/>
              </w:rPr>
              <w:t>80万人次</w:t>
            </w:r>
          </w:p>
        </w:tc>
        <w:tc>
          <w:tcPr>
            <w:tcW w:w="1259" w:type="dxa"/>
            <w:noWrap w:val="0"/>
            <w:vAlign w:val="center"/>
          </w:tcPr>
          <w:p>
            <w:pPr>
              <w:keepNext w:val="0"/>
              <w:keepLines w:val="0"/>
              <w:widowControl/>
              <w:suppressLineNumbers w:val="0"/>
              <w:jc w:val="center"/>
              <w:textAlignment w:val="center"/>
              <w:rPr>
                <w:rFonts w:hint="eastAsia" w:ascii="宋体" w:hAnsi="宋体" w:eastAsia="宋体" w:cs="宋体"/>
                <w:b w:val="0"/>
                <w:bCs w:val="0"/>
                <w:color w:val="000000" w:themeColor="text1"/>
                <w:sz w:val="18"/>
                <w:szCs w:val="18"/>
                <w:lang w:eastAsia="zh-CN"/>
                <w14:textFill>
                  <w14:solidFill>
                    <w14:schemeClr w14:val="tx1"/>
                  </w14:solidFill>
                </w14:textFill>
              </w:rPr>
            </w:pPr>
            <w:r>
              <w:rPr>
                <w:rFonts w:hint="eastAsia" w:ascii="宋体" w:hAnsi="宋体" w:eastAsia="宋体" w:cs="宋体"/>
                <w:i w:val="0"/>
                <w:iCs w:val="0"/>
                <w:color w:val="000000"/>
                <w:kern w:val="0"/>
                <w:sz w:val="18"/>
                <w:szCs w:val="18"/>
                <w:u w:val="none"/>
                <w:lang w:val="en-US" w:eastAsia="zh-CN" w:bidi="ar"/>
              </w:rPr>
              <w:t>92万人次</w:t>
            </w:r>
          </w:p>
        </w:tc>
        <w:tc>
          <w:tcPr>
            <w:tcW w:w="719" w:type="dxa"/>
            <w:noWrap w:val="0"/>
            <w:vAlign w:val="center"/>
          </w:tcPr>
          <w:p>
            <w:pPr>
              <w:keepNext w:val="0"/>
              <w:keepLines w:val="0"/>
              <w:widowControl/>
              <w:suppressLineNumbers w:val="0"/>
              <w:jc w:val="center"/>
              <w:textAlignment w:val="center"/>
              <w:rPr>
                <w:rFonts w:hint="default" w:asciiTheme="majorEastAsia" w:hAnsiTheme="majorEastAsia" w:eastAsiaTheme="majorEastAsia" w:cstheme="majorEastAsia"/>
                <w:b w:val="0"/>
                <w:bCs w:val="0"/>
                <w:color w:val="000000" w:themeColor="text1"/>
                <w:sz w:val="18"/>
                <w:szCs w:val="18"/>
                <w:lang w:val="en-US" w:eastAsia="zh-CN"/>
                <w14:textFill>
                  <w14:solidFill>
                    <w14:schemeClr w14:val="tx1"/>
                  </w14:solidFill>
                </w14:textFill>
              </w:rPr>
            </w:pPr>
            <w:r>
              <w:rPr>
                <w:rFonts w:hint="default" w:ascii="Arial" w:hAnsi="Arial" w:eastAsia="宋体" w:cs="Arial"/>
                <w:i w:val="0"/>
                <w:iCs w:val="0"/>
                <w:color w:val="000000"/>
                <w:kern w:val="0"/>
                <w:sz w:val="18"/>
                <w:szCs w:val="18"/>
                <w:u w:val="none"/>
                <w:lang w:val="en-US" w:eastAsia="zh-CN" w:bidi="ar"/>
              </w:rPr>
              <w:t>5</w:t>
            </w:r>
          </w:p>
        </w:tc>
        <w:tc>
          <w:tcPr>
            <w:tcW w:w="802" w:type="dxa"/>
            <w:noWrap w:val="0"/>
            <w:vAlign w:val="center"/>
          </w:tcPr>
          <w:p>
            <w:pPr>
              <w:keepNext w:val="0"/>
              <w:keepLines w:val="0"/>
              <w:widowControl/>
              <w:suppressLineNumbers w:val="0"/>
              <w:jc w:val="center"/>
              <w:textAlignment w:val="center"/>
              <w:rPr>
                <w:rFonts w:hint="default" w:asciiTheme="majorEastAsia" w:hAnsiTheme="majorEastAsia" w:eastAsiaTheme="majorEastAsia" w:cstheme="majorEastAsia"/>
                <w:b w:val="0"/>
                <w:bCs w:val="0"/>
                <w:color w:val="000000" w:themeColor="text1"/>
                <w:sz w:val="18"/>
                <w:szCs w:val="18"/>
                <w:lang w:val="en-US" w:eastAsia="zh-CN"/>
                <w14:textFill>
                  <w14:solidFill>
                    <w14:schemeClr w14:val="tx1"/>
                  </w14:solidFill>
                </w14:textFill>
              </w:rPr>
            </w:pPr>
            <w:r>
              <w:rPr>
                <w:rFonts w:hint="default" w:ascii="Arial" w:hAnsi="Arial" w:eastAsia="宋体" w:cs="Arial"/>
                <w:i w:val="0"/>
                <w:iCs w:val="0"/>
                <w:color w:val="000000"/>
                <w:kern w:val="0"/>
                <w:sz w:val="18"/>
                <w:szCs w:val="18"/>
                <w:u w:val="none"/>
                <w:lang w:val="en-US" w:eastAsia="zh-CN" w:bidi="ar"/>
              </w:rPr>
              <w:t>5</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18"/>
                <w:szCs w:val="18"/>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9" w:hRule="atLeast"/>
        </w:trPr>
        <w:tc>
          <w:tcPr>
            <w:tcW w:w="1084" w:type="dxa"/>
            <w:vMerge w:val="continue"/>
            <w:tcBorders>
              <w:top w:val="nil"/>
              <w:bottom w:val="nil"/>
            </w:tcBorders>
            <w:noWrap w:val="0"/>
            <w:textDirection w:val="tbRlV"/>
            <w:vAlign w:val="top"/>
          </w:tcPr>
          <w:p>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vMerge w:val="continue"/>
            <w:tcBorders>
              <w:top w:val="nil"/>
            </w:tcBorders>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269" w:type="dxa"/>
            <w:noWrap w:val="0"/>
            <w:vAlign w:val="center"/>
          </w:tcPr>
          <w:p>
            <w:pPr>
              <w:keepNext w:val="0"/>
              <w:keepLines w:val="0"/>
              <w:widowControl/>
              <w:suppressLineNumbers w:val="0"/>
              <w:jc w:val="center"/>
              <w:textAlignment w:val="center"/>
              <w:rPr>
                <w:rFonts w:hint="eastAsia" w:ascii="宋体" w:hAnsi="宋体" w:eastAsia="宋体" w:cs="宋体"/>
                <w:b w:val="0"/>
                <w:bCs w:val="0"/>
                <w:sz w:val="18"/>
                <w:szCs w:val="18"/>
                <w:lang w:val="en-US" w:eastAsia="zh-CN"/>
              </w:rPr>
            </w:pPr>
            <w:r>
              <w:rPr>
                <w:rFonts w:hint="eastAsia" w:ascii="宋体" w:hAnsi="宋体" w:eastAsia="宋体" w:cs="宋体"/>
                <w:i w:val="0"/>
                <w:iCs w:val="0"/>
                <w:color w:val="000000"/>
                <w:kern w:val="0"/>
                <w:sz w:val="18"/>
                <w:szCs w:val="18"/>
                <w:u w:val="none"/>
                <w:lang w:val="en-US" w:eastAsia="zh-CN" w:bidi="ar"/>
              </w:rPr>
              <w:t>新冠疫苗接种人次</w:t>
            </w:r>
          </w:p>
        </w:tc>
        <w:tc>
          <w:tcPr>
            <w:tcW w:w="1319" w:type="dxa"/>
            <w:noWrap w:val="0"/>
            <w:vAlign w:val="center"/>
          </w:tcPr>
          <w:p>
            <w:pPr>
              <w:keepNext w:val="0"/>
              <w:keepLines w:val="0"/>
              <w:widowControl/>
              <w:suppressLineNumbers w:val="0"/>
              <w:jc w:val="center"/>
              <w:textAlignment w:val="center"/>
              <w:rPr>
                <w:rFonts w:hint="eastAsia" w:ascii="宋体" w:hAnsi="宋体" w:eastAsia="宋体" w:cs="宋体"/>
                <w:color w:val="000000" w:themeColor="text1"/>
                <w:sz w:val="18"/>
                <w:szCs w:val="18"/>
                <w:lang w:val="en-US" w:eastAsia="zh-CN"/>
                <w14:textFill>
                  <w14:solidFill>
                    <w14:schemeClr w14:val="tx1"/>
                  </w14:solidFill>
                </w14:textFill>
              </w:rPr>
            </w:pPr>
            <w:r>
              <w:rPr>
                <w:rFonts w:hint="eastAsia" w:ascii="宋体" w:hAnsi="宋体" w:eastAsia="宋体" w:cs="宋体"/>
                <w:i w:val="0"/>
                <w:iCs w:val="0"/>
                <w:color w:val="000000"/>
                <w:kern w:val="0"/>
                <w:sz w:val="18"/>
                <w:szCs w:val="18"/>
                <w:u w:val="none"/>
                <w:lang w:val="en-US" w:eastAsia="zh-CN" w:bidi="ar"/>
              </w:rPr>
              <w:t>2万人次</w:t>
            </w:r>
          </w:p>
        </w:tc>
        <w:tc>
          <w:tcPr>
            <w:tcW w:w="1259" w:type="dxa"/>
            <w:noWrap w:val="0"/>
            <w:vAlign w:val="center"/>
          </w:tcPr>
          <w:p>
            <w:pPr>
              <w:keepNext w:val="0"/>
              <w:keepLines w:val="0"/>
              <w:widowControl/>
              <w:suppressLineNumbers w:val="0"/>
              <w:jc w:val="center"/>
              <w:textAlignment w:val="center"/>
              <w:rPr>
                <w:rFonts w:hint="eastAsia" w:ascii="宋体" w:hAnsi="宋体" w:eastAsia="宋体" w:cs="宋体"/>
                <w:b w:val="0"/>
                <w:kern w:val="2"/>
                <w:sz w:val="18"/>
                <w:szCs w:val="18"/>
                <w:lang w:val="en-US" w:eastAsia="zh-CN" w:bidi="ar-SA"/>
              </w:rPr>
            </w:pPr>
            <w:r>
              <w:rPr>
                <w:rFonts w:hint="eastAsia" w:ascii="宋体" w:hAnsi="宋体" w:eastAsia="宋体" w:cs="宋体"/>
                <w:i w:val="0"/>
                <w:iCs w:val="0"/>
                <w:color w:val="000000"/>
                <w:kern w:val="0"/>
                <w:sz w:val="18"/>
                <w:szCs w:val="18"/>
                <w:u w:val="none"/>
                <w:lang w:val="en-US" w:eastAsia="zh-CN" w:bidi="ar"/>
              </w:rPr>
              <w:t>2.61万人次</w:t>
            </w:r>
          </w:p>
        </w:tc>
        <w:tc>
          <w:tcPr>
            <w:tcW w:w="719" w:type="dxa"/>
            <w:noWrap w:val="0"/>
            <w:vAlign w:val="center"/>
          </w:tcPr>
          <w:p>
            <w:pPr>
              <w:keepNext w:val="0"/>
              <w:keepLines w:val="0"/>
              <w:widowControl/>
              <w:suppressLineNumbers w:val="0"/>
              <w:jc w:val="center"/>
              <w:textAlignment w:val="center"/>
              <w:rPr>
                <w:rFonts w:hint="eastAsia" w:ascii="Arial"/>
                <w:color w:val="000000" w:themeColor="text1"/>
                <w:sz w:val="18"/>
                <w:szCs w:val="18"/>
                <w:lang w:val="en-US" w:eastAsia="zh-CN"/>
                <w14:textFill>
                  <w14:solidFill>
                    <w14:schemeClr w14:val="tx1"/>
                  </w14:solidFill>
                </w14:textFill>
              </w:rPr>
            </w:pPr>
            <w:r>
              <w:rPr>
                <w:rFonts w:hint="default" w:ascii="Arial" w:hAnsi="Arial" w:eastAsia="宋体" w:cs="Arial"/>
                <w:i w:val="0"/>
                <w:iCs w:val="0"/>
                <w:color w:val="000000"/>
                <w:kern w:val="0"/>
                <w:sz w:val="18"/>
                <w:szCs w:val="18"/>
                <w:u w:val="none"/>
                <w:lang w:val="en-US" w:eastAsia="zh-CN" w:bidi="ar"/>
              </w:rPr>
              <w:t>5</w:t>
            </w:r>
          </w:p>
        </w:tc>
        <w:tc>
          <w:tcPr>
            <w:tcW w:w="802" w:type="dxa"/>
            <w:noWrap w:val="0"/>
            <w:vAlign w:val="center"/>
          </w:tcPr>
          <w:p>
            <w:pPr>
              <w:keepNext w:val="0"/>
              <w:keepLines w:val="0"/>
              <w:widowControl/>
              <w:suppressLineNumbers w:val="0"/>
              <w:jc w:val="center"/>
              <w:textAlignment w:val="center"/>
              <w:rPr>
                <w:rFonts w:hint="eastAsia" w:ascii="Arial"/>
                <w:color w:val="000000" w:themeColor="text1"/>
                <w:sz w:val="18"/>
                <w:szCs w:val="18"/>
                <w:lang w:val="en-US" w:eastAsia="zh-CN"/>
                <w14:textFill>
                  <w14:solidFill>
                    <w14:schemeClr w14:val="tx1"/>
                  </w14:solidFill>
                </w14:textFill>
              </w:rPr>
            </w:pPr>
            <w:r>
              <w:rPr>
                <w:rFonts w:hint="default" w:ascii="Arial" w:hAnsi="Arial" w:eastAsia="宋体" w:cs="Arial"/>
                <w:i w:val="0"/>
                <w:iCs w:val="0"/>
                <w:color w:val="000000"/>
                <w:kern w:val="0"/>
                <w:sz w:val="18"/>
                <w:szCs w:val="18"/>
                <w:u w:val="none"/>
                <w:lang w:val="en-US" w:eastAsia="zh-CN" w:bidi="ar"/>
              </w:rPr>
              <w:t>5</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eastAsia" w:ascii="Arial"/>
                <w:color w:val="000000" w:themeColor="text1"/>
                <w:sz w:val="18"/>
                <w:szCs w:val="18"/>
                <w:lang w:val="en-US" w:eastAsia="zh-CN"/>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9" w:hRule="atLeast"/>
        </w:trPr>
        <w:tc>
          <w:tcPr>
            <w:tcW w:w="1084" w:type="dxa"/>
            <w:vMerge w:val="continue"/>
            <w:tcBorders>
              <w:top w:val="nil"/>
              <w:bottom w:val="nil"/>
            </w:tcBorders>
            <w:noWrap w:val="0"/>
            <w:textDirection w:val="tbRlV"/>
            <w:vAlign w:val="top"/>
          </w:tcPr>
          <w:p>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vMerge w:val="continue"/>
            <w:tcBorders>
              <w:top w:val="nil"/>
            </w:tcBorders>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269" w:type="dxa"/>
            <w:noWrap w:val="0"/>
            <w:vAlign w:val="center"/>
          </w:tcPr>
          <w:p>
            <w:pPr>
              <w:keepNext w:val="0"/>
              <w:keepLines w:val="0"/>
              <w:widowControl/>
              <w:suppressLineNumbers w:val="0"/>
              <w:jc w:val="center"/>
              <w:textAlignment w:val="center"/>
              <w:rPr>
                <w:rFonts w:hint="eastAsia" w:ascii="宋体" w:hAnsi="宋体" w:eastAsia="宋体" w:cs="宋体"/>
                <w:b w:val="0"/>
                <w:bCs w:val="0"/>
                <w:sz w:val="18"/>
                <w:szCs w:val="18"/>
                <w:lang w:val="en-US" w:eastAsia="zh-CN"/>
              </w:rPr>
            </w:pPr>
            <w:r>
              <w:rPr>
                <w:rFonts w:hint="eastAsia" w:ascii="宋体" w:hAnsi="宋体" w:eastAsia="宋体" w:cs="宋体"/>
                <w:i w:val="0"/>
                <w:iCs w:val="0"/>
                <w:color w:val="000000"/>
                <w:kern w:val="0"/>
                <w:sz w:val="18"/>
                <w:szCs w:val="18"/>
                <w:u w:val="none"/>
                <w:lang w:val="en-US" w:eastAsia="zh-CN" w:bidi="ar"/>
              </w:rPr>
              <w:t>管理高危孕产妇人数</w:t>
            </w:r>
          </w:p>
        </w:tc>
        <w:tc>
          <w:tcPr>
            <w:tcW w:w="1319" w:type="dxa"/>
            <w:noWrap w:val="0"/>
            <w:vAlign w:val="center"/>
          </w:tcPr>
          <w:p>
            <w:pPr>
              <w:keepNext w:val="0"/>
              <w:keepLines w:val="0"/>
              <w:widowControl/>
              <w:suppressLineNumbers w:val="0"/>
              <w:jc w:val="center"/>
              <w:textAlignment w:val="center"/>
              <w:rPr>
                <w:rFonts w:hint="eastAsia" w:ascii="宋体" w:hAnsi="宋体" w:eastAsia="宋体" w:cs="宋体"/>
                <w:color w:val="000000" w:themeColor="text1"/>
                <w:sz w:val="18"/>
                <w:szCs w:val="18"/>
                <w:lang w:val="en-US" w:eastAsia="zh-CN"/>
                <w14:textFill>
                  <w14:solidFill>
                    <w14:schemeClr w14:val="tx1"/>
                  </w14:solidFill>
                </w14:textFill>
              </w:rPr>
            </w:pPr>
            <w:r>
              <w:rPr>
                <w:rFonts w:hint="eastAsia" w:ascii="宋体" w:hAnsi="宋体" w:eastAsia="宋体" w:cs="宋体"/>
                <w:i w:val="0"/>
                <w:iCs w:val="0"/>
                <w:color w:val="000000"/>
                <w:kern w:val="0"/>
                <w:sz w:val="18"/>
                <w:szCs w:val="18"/>
                <w:u w:val="none"/>
                <w:lang w:val="en-US" w:eastAsia="zh-CN" w:bidi="ar"/>
              </w:rPr>
              <w:t>251人</w:t>
            </w:r>
          </w:p>
        </w:tc>
        <w:tc>
          <w:tcPr>
            <w:tcW w:w="1259" w:type="dxa"/>
            <w:noWrap w:val="0"/>
            <w:vAlign w:val="center"/>
          </w:tcPr>
          <w:p>
            <w:pPr>
              <w:keepNext w:val="0"/>
              <w:keepLines w:val="0"/>
              <w:widowControl/>
              <w:suppressLineNumbers w:val="0"/>
              <w:jc w:val="center"/>
              <w:textAlignment w:val="center"/>
              <w:rPr>
                <w:rFonts w:hint="eastAsia" w:ascii="宋体" w:hAnsi="宋体" w:eastAsia="宋体" w:cs="宋体"/>
                <w:b w:val="0"/>
                <w:kern w:val="2"/>
                <w:sz w:val="18"/>
                <w:szCs w:val="18"/>
                <w:lang w:val="en-US" w:eastAsia="zh-CN" w:bidi="ar-SA"/>
              </w:rPr>
            </w:pPr>
            <w:r>
              <w:rPr>
                <w:rFonts w:hint="eastAsia" w:ascii="宋体" w:hAnsi="宋体" w:eastAsia="宋体" w:cs="宋体"/>
                <w:i w:val="0"/>
                <w:iCs w:val="0"/>
                <w:color w:val="000000"/>
                <w:kern w:val="0"/>
                <w:sz w:val="18"/>
                <w:szCs w:val="18"/>
                <w:u w:val="none"/>
                <w:lang w:val="en-US" w:eastAsia="zh-CN" w:bidi="ar"/>
              </w:rPr>
              <w:t>251人</w:t>
            </w:r>
          </w:p>
        </w:tc>
        <w:tc>
          <w:tcPr>
            <w:tcW w:w="719" w:type="dxa"/>
            <w:noWrap w:val="0"/>
            <w:vAlign w:val="center"/>
          </w:tcPr>
          <w:p>
            <w:pPr>
              <w:keepNext w:val="0"/>
              <w:keepLines w:val="0"/>
              <w:widowControl/>
              <w:suppressLineNumbers w:val="0"/>
              <w:jc w:val="center"/>
              <w:textAlignment w:val="center"/>
              <w:rPr>
                <w:rFonts w:hint="eastAsia" w:ascii="Arial"/>
                <w:color w:val="000000" w:themeColor="text1"/>
                <w:sz w:val="18"/>
                <w:szCs w:val="18"/>
                <w:lang w:val="en-US" w:eastAsia="zh-CN"/>
                <w14:textFill>
                  <w14:solidFill>
                    <w14:schemeClr w14:val="tx1"/>
                  </w14:solidFill>
                </w14:textFill>
              </w:rPr>
            </w:pPr>
            <w:r>
              <w:rPr>
                <w:rFonts w:hint="default" w:ascii="Arial" w:hAnsi="Arial" w:eastAsia="宋体" w:cs="Arial"/>
                <w:i w:val="0"/>
                <w:iCs w:val="0"/>
                <w:color w:val="000000"/>
                <w:kern w:val="0"/>
                <w:sz w:val="18"/>
                <w:szCs w:val="18"/>
                <w:u w:val="none"/>
                <w:lang w:val="en-US" w:eastAsia="zh-CN" w:bidi="ar"/>
              </w:rPr>
              <w:t>5</w:t>
            </w:r>
          </w:p>
        </w:tc>
        <w:tc>
          <w:tcPr>
            <w:tcW w:w="802" w:type="dxa"/>
            <w:noWrap w:val="0"/>
            <w:vAlign w:val="center"/>
          </w:tcPr>
          <w:p>
            <w:pPr>
              <w:keepNext w:val="0"/>
              <w:keepLines w:val="0"/>
              <w:widowControl/>
              <w:suppressLineNumbers w:val="0"/>
              <w:jc w:val="center"/>
              <w:textAlignment w:val="center"/>
              <w:rPr>
                <w:rFonts w:hint="eastAsia" w:ascii="Arial"/>
                <w:color w:val="000000" w:themeColor="text1"/>
                <w:sz w:val="18"/>
                <w:szCs w:val="18"/>
                <w:lang w:val="en-US" w:eastAsia="zh-CN"/>
                <w14:textFill>
                  <w14:solidFill>
                    <w14:schemeClr w14:val="tx1"/>
                  </w14:solidFill>
                </w14:textFill>
              </w:rPr>
            </w:pPr>
            <w:r>
              <w:rPr>
                <w:rFonts w:hint="default" w:ascii="Arial" w:hAnsi="Arial" w:eastAsia="宋体" w:cs="Arial"/>
                <w:i w:val="0"/>
                <w:iCs w:val="0"/>
                <w:color w:val="000000"/>
                <w:kern w:val="0"/>
                <w:sz w:val="18"/>
                <w:szCs w:val="18"/>
                <w:u w:val="none"/>
                <w:lang w:val="en-US" w:eastAsia="zh-CN" w:bidi="ar"/>
              </w:rPr>
              <w:t>5</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eastAsia" w:ascii="Arial"/>
                <w:color w:val="000000" w:themeColor="text1"/>
                <w:sz w:val="18"/>
                <w:szCs w:val="18"/>
                <w:lang w:val="en-US" w:eastAsia="zh-CN"/>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9" w:hRule="atLeast"/>
        </w:trPr>
        <w:tc>
          <w:tcPr>
            <w:tcW w:w="1084" w:type="dxa"/>
            <w:vMerge w:val="continue"/>
            <w:tcBorders>
              <w:top w:val="nil"/>
              <w:bottom w:val="nil"/>
            </w:tcBorders>
            <w:noWrap w:val="0"/>
            <w:textDirection w:val="tbRlV"/>
            <w:vAlign w:val="top"/>
          </w:tcPr>
          <w:p>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vMerge w:val="continue"/>
            <w:tcBorders>
              <w:top w:val="nil"/>
            </w:tcBorders>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269" w:type="dxa"/>
            <w:noWrap w:val="0"/>
            <w:vAlign w:val="center"/>
          </w:tcPr>
          <w:p>
            <w:pPr>
              <w:keepNext w:val="0"/>
              <w:keepLines w:val="0"/>
              <w:widowControl/>
              <w:suppressLineNumbers w:val="0"/>
              <w:jc w:val="center"/>
              <w:textAlignment w:val="center"/>
              <w:rPr>
                <w:rFonts w:hint="eastAsia" w:ascii="宋体" w:hAnsi="宋体" w:eastAsia="宋体" w:cs="宋体"/>
                <w:b w:val="0"/>
                <w:bCs w:val="0"/>
                <w:sz w:val="18"/>
                <w:szCs w:val="18"/>
                <w:lang w:val="en-US" w:eastAsia="zh-CN"/>
              </w:rPr>
            </w:pPr>
            <w:r>
              <w:rPr>
                <w:rFonts w:hint="eastAsia" w:ascii="宋体" w:hAnsi="宋体" w:eastAsia="宋体" w:cs="宋体"/>
                <w:i w:val="0"/>
                <w:iCs w:val="0"/>
                <w:color w:val="000000"/>
                <w:kern w:val="0"/>
                <w:sz w:val="18"/>
                <w:szCs w:val="18"/>
                <w:u w:val="none"/>
                <w:lang w:val="en-US" w:eastAsia="zh-CN" w:bidi="ar"/>
              </w:rPr>
              <w:t>家庭医生签约人数</w:t>
            </w:r>
          </w:p>
        </w:tc>
        <w:tc>
          <w:tcPr>
            <w:tcW w:w="1319" w:type="dxa"/>
            <w:noWrap w:val="0"/>
            <w:vAlign w:val="center"/>
          </w:tcPr>
          <w:p>
            <w:pPr>
              <w:keepNext w:val="0"/>
              <w:keepLines w:val="0"/>
              <w:widowControl/>
              <w:suppressLineNumbers w:val="0"/>
              <w:jc w:val="center"/>
              <w:textAlignment w:val="center"/>
              <w:rPr>
                <w:rFonts w:hint="eastAsia" w:ascii="宋体" w:hAnsi="宋体" w:eastAsia="宋体" w:cs="宋体"/>
                <w:color w:val="000000" w:themeColor="text1"/>
                <w:sz w:val="18"/>
                <w:szCs w:val="18"/>
                <w:lang w:val="en-US" w:eastAsia="zh-CN"/>
                <w14:textFill>
                  <w14:solidFill>
                    <w14:schemeClr w14:val="tx1"/>
                  </w14:solidFill>
                </w14:textFill>
              </w:rPr>
            </w:pPr>
            <w:r>
              <w:rPr>
                <w:rFonts w:hint="eastAsia" w:ascii="宋体" w:hAnsi="宋体" w:eastAsia="宋体" w:cs="宋体"/>
                <w:i w:val="0"/>
                <w:iCs w:val="0"/>
                <w:color w:val="000000"/>
                <w:kern w:val="0"/>
                <w:sz w:val="18"/>
                <w:szCs w:val="18"/>
                <w:u w:val="none"/>
                <w:lang w:val="en-US" w:eastAsia="zh-CN" w:bidi="ar"/>
              </w:rPr>
              <w:t>2万人</w:t>
            </w:r>
          </w:p>
        </w:tc>
        <w:tc>
          <w:tcPr>
            <w:tcW w:w="1259" w:type="dxa"/>
            <w:noWrap w:val="0"/>
            <w:vAlign w:val="center"/>
          </w:tcPr>
          <w:p>
            <w:pPr>
              <w:keepNext w:val="0"/>
              <w:keepLines w:val="0"/>
              <w:widowControl/>
              <w:suppressLineNumbers w:val="0"/>
              <w:jc w:val="center"/>
              <w:textAlignment w:val="center"/>
              <w:rPr>
                <w:rFonts w:hint="eastAsia" w:ascii="宋体" w:hAnsi="宋体" w:eastAsia="宋体" w:cs="宋体"/>
                <w:b w:val="0"/>
                <w:kern w:val="2"/>
                <w:sz w:val="18"/>
                <w:szCs w:val="18"/>
                <w:lang w:val="en-US" w:eastAsia="zh-CN" w:bidi="ar-SA"/>
              </w:rPr>
            </w:pPr>
            <w:r>
              <w:rPr>
                <w:rFonts w:hint="eastAsia" w:ascii="宋体" w:hAnsi="宋体" w:eastAsia="宋体" w:cs="宋体"/>
                <w:i w:val="0"/>
                <w:iCs w:val="0"/>
                <w:color w:val="000000"/>
                <w:kern w:val="0"/>
                <w:sz w:val="18"/>
                <w:szCs w:val="18"/>
                <w:u w:val="none"/>
                <w:lang w:val="en-US" w:eastAsia="zh-CN" w:bidi="ar"/>
              </w:rPr>
              <w:t>24282人</w:t>
            </w:r>
          </w:p>
        </w:tc>
        <w:tc>
          <w:tcPr>
            <w:tcW w:w="719" w:type="dxa"/>
            <w:noWrap w:val="0"/>
            <w:vAlign w:val="center"/>
          </w:tcPr>
          <w:p>
            <w:pPr>
              <w:keepNext w:val="0"/>
              <w:keepLines w:val="0"/>
              <w:widowControl/>
              <w:suppressLineNumbers w:val="0"/>
              <w:jc w:val="center"/>
              <w:textAlignment w:val="center"/>
              <w:rPr>
                <w:rFonts w:hint="eastAsia" w:ascii="Arial"/>
                <w:color w:val="000000" w:themeColor="text1"/>
                <w:sz w:val="18"/>
                <w:szCs w:val="18"/>
                <w:lang w:val="en-US" w:eastAsia="zh-CN"/>
                <w14:textFill>
                  <w14:solidFill>
                    <w14:schemeClr w14:val="tx1"/>
                  </w14:solidFill>
                </w14:textFill>
              </w:rPr>
            </w:pPr>
            <w:r>
              <w:rPr>
                <w:rFonts w:hint="default" w:ascii="Arial" w:hAnsi="Arial" w:eastAsia="宋体" w:cs="Arial"/>
                <w:i w:val="0"/>
                <w:iCs w:val="0"/>
                <w:color w:val="000000"/>
                <w:kern w:val="0"/>
                <w:sz w:val="18"/>
                <w:szCs w:val="18"/>
                <w:u w:val="none"/>
                <w:lang w:val="en-US" w:eastAsia="zh-CN" w:bidi="ar"/>
              </w:rPr>
              <w:t>5</w:t>
            </w:r>
          </w:p>
        </w:tc>
        <w:tc>
          <w:tcPr>
            <w:tcW w:w="802" w:type="dxa"/>
            <w:noWrap w:val="0"/>
            <w:vAlign w:val="center"/>
          </w:tcPr>
          <w:p>
            <w:pPr>
              <w:keepNext w:val="0"/>
              <w:keepLines w:val="0"/>
              <w:widowControl/>
              <w:suppressLineNumbers w:val="0"/>
              <w:jc w:val="center"/>
              <w:textAlignment w:val="center"/>
              <w:rPr>
                <w:rFonts w:hint="eastAsia" w:ascii="Arial"/>
                <w:color w:val="000000" w:themeColor="text1"/>
                <w:sz w:val="18"/>
                <w:szCs w:val="18"/>
                <w:lang w:val="en-US" w:eastAsia="zh-CN"/>
                <w14:textFill>
                  <w14:solidFill>
                    <w14:schemeClr w14:val="tx1"/>
                  </w14:solidFill>
                </w14:textFill>
              </w:rPr>
            </w:pPr>
            <w:r>
              <w:rPr>
                <w:rFonts w:hint="default" w:ascii="Arial" w:hAnsi="Arial" w:eastAsia="宋体" w:cs="Arial"/>
                <w:i w:val="0"/>
                <w:iCs w:val="0"/>
                <w:color w:val="000000"/>
                <w:kern w:val="0"/>
                <w:sz w:val="18"/>
                <w:szCs w:val="18"/>
                <w:u w:val="none"/>
                <w:lang w:val="en-US" w:eastAsia="zh-CN" w:bidi="ar"/>
              </w:rPr>
              <w:t>5</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eastAsia" w:ascii="Arial"/>
                <w:color w:val="000000" w:themeColor="text1"/>
                <w:sz w:val="18"/>
                <w:szCs w:val="18"/>
                <w:lang w:val="en-US" w:eastAsia="zh-CN"/>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9" w:hRule="atLeast"/>
        </w:trPr>
        <w:tc>
          <w:tcPr>
            <w:tcW w:w="1084" w:type="dxa"/>
            <w:vMerge w:val="continue"/>
            <w:tcBorders>
              <w:top w:val="nil"/>
              <w:bottom w:val="nil"/>
            </w:tcBorders>
            <w:noWrap w:val="0"/>
            <w:textDirection w:val="tbRlV"/>
            <w:vAlign w:val="top"/>
          </w:tcPr>
          <w:p>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vMerge w:val="continue"/>
            <w:tcBorders>
              <w:top w:val="nil"/>
            </w:tcBorders>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269" w:type="dxa"/>
            <w:noWrap w:val="0"/>
            <w:vAlign w:val="center"/>
          </w:tcPr>
          <w:p>
            <w:pPr>
              <w:keepNext w:val="0"/>
              <w:keepLines w:val="0"/>
              <w:widowControl/>
              <w:suppressLineNumbers w:val="0"/>
              <w:jc w:val="center"/>
              <w:textAlignment w:val="center"/>
              <w:rPr>
                <w:rFonts w:hint="default" w:ascii="Arial"/>
                <w:color w:val="000000" w:themeColor="text1"/>
                <w:sz w:val="18"/>
                <w:szCs w:val="18"/>
                <w:lang w:val="en-US"/>
                <w14:textFill>
                  <w14:solidFill>
                    <w14:schemeClr w14:val="tx1"/>
                  </w14:solidFill>
                </w14:textFill>
              </w:rPr>
            </w:pPr>
            <w:r>
              <w:rPr>
                <w:rFonts w:hint="eastAsia" w:ascii="宋体" w:hAnsi="宋体" w:eastAsia="宋体" w:cs="宋体"/>
                <w:i w:val="0"/>
                <w:iCs w:val="0"/>
                <w:color w:val="000000"/>
                <w:kern w:val="0"/>
                <w:sz w:val="18"/>
                <w:szCs w:val="18"/>
                <w:u w:val="none"/>
                <w:lang w:val="en-US" w:eastAsia="zh-CN" w:bidi="ar"/>
              </w:rPr>
              <w:t>管理重性精神病患者人数</w:t>
            </w:r>
          </w:p>
        </w:tc>
        <w:tc>
          <w:tcPr>
            <w:tcW w:w="1319" w:type="dxa"/>
            <w:noWrap w:val="0"/>
            <w:vAlign w:val="center"/>
          </w:tcPr>
          <w:p>
            <w:pPr>
              <w:keepNext w:val="0"/>
              <w:keepLines w:val="0"/>
              <w:widowControl/>
              <w:suppressLineNumbers w:val="0"/>
              <w:jc w:val="center"/>
              <w:textAlignment w:val="center"/>
              <w:rPr>
                <w:rFonts w:hint="default" w:ascii="宋体" w:hAnsi="宋体" w:eastAsia="宋体" w:cs="宋体"/>
                <w:color w:val="000000" w:themeColor="text1"/>
                <w:sz w:val="18"/>
                <w:szCs w:val="18"/>
                <w:lang w:val="en-US" w:eastAsia="zh-CN"/>
                <w14:textFill>
                  <w14:solidFill>
                    <w14:schemeClr w14:val="tx1"/>
                  </w14:solidFill>
                </w14:textFill>
              </w:rPr>
            </w:pPr>
            <w:r>
              <w:rPr>
                <w:rFonts w:hint="eastAsia" w:ascii="宋体" w:hAnsi="宋体" w:eastAsia="宋体" w:cs="宋体"/>
                <w:i w:val="0"/>
                <w:iCs w:val="0"/>
                <w:color w:val="000000"/>
                <w:kern w:val="0"/>
                <w:sz w:val="18"/>
                <w:szCs w:val="18"/>
                <w:u w:val="none"/>
                <w:lang w:val="en-US" w:eastAsia="zh-CN" w:bidi="ar"/>
              </w:rPr>
              <w:t>161人</w:t>
            </w:r>
          </w:p>
        </w:tc>
        <w:tc>
          <w:tcPr>
            <w:tcW w:w="1259" w:type="dxa"/>
            <w:noWrap w:val="0"/>
            <w:vAlign w:val="center"/>
          </w:tcPr>
          <w:p>
            <w:pPr>
              <w:keepNext w:val="0"/>
              <w:keepLines w:val="0"/>
              <w:widowControl/>
              <w:suppressLineNumbers w:val="0"/>
              <w:jc w:val="center"/>
              <w:textAlignment w:val="center"/>
              <w:rPr>
                <w:rFonts w:hint="eastAsia" w:ascii="宋体" w:hAnsi="宋体" w:eastAsia="宋体" w:cs="宋体"/>
                <w:color w:val="000000" w:themeColor="text1"/>
                <w:sz w:val="18"/>
                <w:szCs w:val="18"/>
                <w:lang w:eastAsia="zh-CN"/>
                <w14:textFill>
                  <w14:solidFill>
                    <w14:schemeClr w14:val="tx1"/>
                  </w14:solidFill>
                </w14:textFill>
              </w:rPr>
            </w:pPr>
            <w:r>
              <w:rPr>
                <w:rFonts w:hint="eastAsia" w:ascii="宋体" w:hAnsi="宋体" w:eastAsia="宋体" w:cs="宋体"/>
                <w:i w:val="0"/>
                <w:iCs w:val="0"/>
                <w:color w:val="000000"/>
                <w:kern w:val="0"/>
                <w:sz w:val="18"/>
                <w:szCs w:val="18"/>
                <w:u w:val="none"/>
                <w:lang w:val="en-US" w:eastAsia="zh-CN" w:bidi="ar"/>
              </w:rPr>
              <w:t>161人</w:t>
            </w:r>
          </w:p>
        </w:tc>
        <w:tc>
          <w:tcPr>
            <w:tcW w:w="719" w:type="dxa"/>
            <w:noWrap w:val="0"/>
            <w:vAlign w:val="center"/>
          </w:tcPr>
          <w:p>
            <w:pPr>
              <w:keepNext w:val="0"/>
              <w:keepLines w:val="0"/>
              <w:widowControl/>
              <w:suppressLineNumbers w:val="0"/>
              <w:jc w:val="center"/>
              <w:textAlignment w:val="center"/>
              <w:rPr>
                <w:rFonts w:hint="default" w:ascii="Arial" w:eastAsiaTheme="minorEastAsia"/>
                <w:color w:val="000000" w:themeColor="text1"/>
                <w:sz w:val="18"/>
                <w:szCs w:val="18"/>
                <w:lang w:val="en-US" w:eastAsia="zh-CN"/>
                <w14:textFill>
                  <w14:solidFill>
                    <w14:schemeClr w14:val="tx1"/>
                  </w14:solidFill>
                </w14:textFill>
              </w:rPr>
            </w:pPr>
            <w:r>
              <w:rPr>
                <w:rFonts w:hint="default" w:ascii="Arial" w:hAnsi="Arial" w:eastAsia="宋体" w:cs="Arial"/>
                <w:i w:val="0"/>
                <w:iCs w:val="0"/>
                <w:color w:val="000000"/>
                <w:kern w:val="0"/>
                <w:sz w:val="18"/>
                <w:szCs w:val="18"/>
                <w:u w:val="none"/>
                <w:lang w:val="en-US" w:eastAsia="zh-CN" w:bidi="ar"/>
              </w:rPr>
              <w:t>5</w:t>
            </w:r>
          </w:p>
        </w:tc>
        <w:tc>
          <w:tcPr>
            <w:tcW w:w="802" w:type="dxa"/>
            <w:noWrap w:val="0"/>
            <w:vAlign w:val="center"/>
          </w:tcPr>
          <w:p>
            <w:pPr>
              <w:keepNext w:val="0"/>
              <w:keepLines w:val="0"/>
              <w:widowControl/>
              <w:suppressLineNumbers w:val="0"/>
              <w:jc w:val="center"/>
              <w:textAlignment w:val="center"/>
              <w:rPr>
                <w:rFonts w:hint="default" w:ascii="Arial" w:eastAsiaTheme="minorEastAsia"/>
                <w:color w:val="000000" w:themeColor="text1"/>
                <w:sz w:val="18"/>
                <w:szCs w:val="18"/>
                <w:lang w:val="en-US" w:eastAsia="zh-CN"/>
                <w14:textFill>
                  <w14:solidFill>
                    <w14:schemeClr w14:val="tx1"/>
                  </w14:solidFill>
                </w14:textFill>
              </w:rPr>
            </w:pPr>
            <w:r>
              <w:rPr>
                <w:rFonts w:hint="default" w:ascii="Arial" w:hAnsi="Arial" w:eastAsia="宋体" w:cs="Arial"/>
                <w:i w:val="0"/>
                <w:iCs w:val="0"/>
                <w:color w:val="000000"/>
                <w:kern w:val="0"/>
                <w:sz w:val="18"/>
                <w:szCs w:val="18"/>
                <w:u w:val="none"/>
                <w:lang w:val="en-US" w:eastAsia="zh-CN" w:bidi="ar"/>
              </w:rPr>
              <w:t>5</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hint="eastAsia" w:ascii="Arial" w:eastAsiaTheme="minorEastAsia"/>
                <w:color w:val="000000" w:themeColor="text1"/>
                <w:sz w:val="18"/>
                <w:szCs w:val="18"/>
                <w:lang w:val="en-US" w:eastAsia="zh-CN"/>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84" w:type="dxa"/>
            <w:vMerge w:val="continue"/>
            <w:tcBorders>
              <w:top w:val="nil"/>
              <w:bottom w:val="nil"/>
            </w:tcBorders>
            <w:noWrap w:val="0"/>
            <w:textDirection w:val="tbRlV"/>
            <w:vAlign w:val="top"/>
          </w:tcPr>
          <w:p>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2"/>
                <w:sz w:val="21"/>
                <w:szCs w:val="21"/>
                <w14:textFill>
                  <w14:solidFill>
                    <w14:schemeClr w14:val="tx1"/>
                  </w14:solidFill>
                </w14:textFill>
              </w:rPr>
              <w:t>质量指标</w:t>
            </w:r>
          </w:p>
        </w:tc>
        <w:tc>
          <w:tcPr>
            <w:tcW w:w="1269" w:type="dxa"/>
            <w:noWrap w:val="0"/>
            <w:vAlign w:val="center"/>
          </w:tcPr>
          <w:p>
            <w:pPr>
              <w:keepNext w:val="0"/>
              <w:keepLines w:val="0"/>
              <w:widowControl/>
              <w:suppressLineNumbers w:val="0"/>
              <w:jc w:val="center"/>
              <w:textAlignment w:val="center"/>
              <w:rPr>
                <w:rFonts w:hint="eastAsia" w:ascii="宋体" w:hAnsi="宋体" w:eastAsia="宋体" w:cs="宋体"/>
                <w:b w:val="0"/>
                <w:bCs/>
                <w:color w:val="000000" w:themeColor="text1"/>
                <w:sz w:val="18"/>
                <w:szCs w:val="18"/>
                <w14:textFill>
                  <w14:solidFill>
                    <w14:schemeClr w14:val="tx1"/>
                  </w14:solidFill>
                </w14:textFill>
              </w:rPr>
            </w:pPr>
            <w:r>
              <w:rPr>
                <w:rFonts w:hint="eastAsia" w:ascii="宋体" w:hAnsi="宋体" w:eastAsia="宋体" w:cs="宋体"/>
                <w:i w:val="0"/>
                <w:iCs w:val="0"/>
                <w:color w:val="000000"/>
                <w:kern w:val="0"/>
                <w:sz w:val="18"/>
                <w:szCs w:val="18"/>
                <w:u w:val="none"/>
                <w:lang w:val="en-US" w:eastAsia="zh-CN" w:bidi="ar"/>
              </w:rPr>
              <w:t>重性精神病患者规范管理率</w:t>
            </w:r>
          </w:p>
        </w:tc>
        <w:tc>
          <w:tcPr>
            <w:tcW w:w="1319" w:type="dxa"/>
            <w:noWrap w:val="0"/>
            <w:vAlign w:val="center"/>
          </w:tcPr>
          <w:p>
            <w:pPr>
              <w:keepNext w:val="0"/>
              <w:keepLines w:val="0"/>
              <w:widowControl/>
              <w:suppressLineNumbers w:val="0"/>
              <w:jc w:val="center"/>
              <w:textAlignment w:val="center"/>
              <w:rPr>
                <w:rFonts w:hint="default" w:ascii="宋体" w:hAnsi="宋体" w:eastAsia="宋体" w:cs="宋体"/>
                <w:b w:val="0"/>
                <w:bCs/>
                <w:color w:val="000000" w:themeColor="text1"/>
                <w:sz w:val="18"/>
                <w:szCs w:val="18"/>
                <w:lang w:val="en-US" w:eastAsia="zh-CN"/>
                <w14:textFill>
                  <w14:solidFill>
                    <w14:schemeClr w14:val="tx1"/>
                  </w14:solidFill>
                </w14:textFill>
              </w:rPr>
            </w:pPr>
            <w:r>
              <w:rPr>
                <w:rFonts w:hint="eastAsia" w:ascii="宋体" w:hAnsi="宋体" w:eastAsia="宋体" w:cs="宋体"/>
                <w:i w:val="0"/>
                <w:iCs w:val="0"/>
                <w:color w:val="000000"/>
                <w:kern w:val="0"/>
                <w:sz w:val="18"/>
                <w:szCs w:val="18"/>
                <w:u w:val="none"/>
                <w:lang w:val="en-US" w:eastAsia="zh-CN" w:bidi="ar"/>
              </w:rPr>
              <w:t>100%</w:t>
            </w:r>
          </w:p>
        </w:tc>
        <w:tc>
          <w:tcPr>
            <w:tcW w:w="1259" w:type="dxa"/>
            <w:noWrap w:val="0"/>
            <w:vAlign w:val="center"/>
          </w:tcPr>
          <w:p>
            <w:pPr>
              <w:keepNext w:val="0"/>
              <w:keepLines w:val="0"/>
              <w:widowControl/>
              <w:suppressLineNumbers w:val="0"/>
              <w:jc w:val="center"/>
              <w:textAlignment w:val="center"/>
              <w:rPr>
                <w:rFonts w:hint="default" w:asciiTheme="minorEastAsia" w:hAnsiTheme="minorEastAsia" w:eastAsiaTheme="minorEastAsia" w:cstheme="minorEastAsia"/>
                <w:color w:val="000000" w:themeColor="text1"/>
                <w:sz w:val="18"/>
                <w:szCs w:val="18"/>
                <w:lang w:val="en-US"/>
                <w14:textFill>
                  <w14:solidFill>
                    <w14:schemeClr w14:val="tx1"/>
                  </w14:solidFill>
                </w14:textFill>
              </w:rPr>
            </w:pPr>
            <w:r>
              <w:rPr>
                <w:rFonts w:hint="eastAsia" w:ascii="宋体" w:hAnsi="宋体" w:eastAsia="宋体" w:cs="宋体"/>
                <w:i w:val="0"/>
                <w:iCs w:val="0"/>
                <w:color w:val="000000"/>
                <w:kern w:val="0"/>
                <w:sz w:val="18"/>
                <w:szCs w:val="18"/>
                <w:u w:val="none"/>
                <w:lang w:val="en-US" w:eastAsia="zh-CN" w:bidi="ar"/>
              </w:rPr>
              <w:t>100%</w:t>
            </w:r>
          </w:p>
        </w:tc>
        <w:tc>
          <w:tcPr>
            <w:tcW w:w="719" w:type="dxa"/>
            <w:noWrap w:val="0"/>
            <w:vAlign w:val="center"/>
          </w:tcPr>
          <w:p>
            <w:pPr>
              <w:keepNext w:val="0"/>
              <w:keepLines w:val="0"/>
              <w:widowControl/>
              <w:suppressLineNumbers w:val="0"/>
              <w:jc w:val="center"/>
              <w:textAlignment w:val="center"/>
              <w:rPr>
                <w:rFonts w:hint="default" w:ascii="Arial" w:eastAsiaTheme="minorEastAsia"/>
                <w:color w:val="000000" w:themeColor="text1"/>
                <w:sz w:val="18"/>
                <w:szCs w:val="18"/>
                <w:lang w:val="en-US" w:eastAsia="zh-CN"/>
                <w14:textFill>
                  <w14:solidFill>
                    <w14:schemeClr w14:val="tx1"/>
                  </w14:solidFill>
                </w14:textFill>
              </w:rPr>
            </w:pPr>
            <w:r>
              <w:rPr>
                <w:rFonts w:hint="default" w:ascii="Arial" w:hAnsi="Arial" w:eastAsia="宋体" w:cs="Arial"/>
                <w:i w:val="0"/>
                <w:iCs w:val="0"/>
                <w:color w:val="000000"/>
                <w:kern w:val="0"/>
                <w:sz w:val="18"/>
                <w:szCs w:val="18"/>
                <w:u w:val="none"/>
                <w:lang w:val="en-US" w:eastAsia="zh-CN" w:bidi="ar"/>
              </w:rPr>
              <w:t>5</w:t>
            </w:r>
          </w:p>
        </w:tc>
        <w:tc>
          <w:tcPr>
            <w:tcW w:w="802" w:type="dxa"/>
            <w:noWrap w:val="0"/>
            <w:vAlign w:val="center"/>
          </w:tcPr>
          <w:p>
            <w:pPr>
              <w:keepNext w:val="0"/>
              <w:keepLines w:val="0"/>
              <w:widowControl/>
              <w:suppressLineNumbers w:val="0"/>
              <w:jc w:val="center"/>
              <w:textAlignment w:val="center"/>
              <w:rPr>
                <w:rFonts w:hint="default" w:ascii="Arial" w:eastAsiaTheme="minorEastAsia"/>
                <w:color w:val="000000" w:themeColor="text1"/>
                <w:sz w:val="18"/>
                <w:szCs w:val="18"/>
                <w:lang w:val="en-US" w:eastAsia="zh-CN"/>
                <w14:textFill>
                  <w14:solidFill>
                    <w14:schemeClr w14:val="tx1"/>
                  </w14:solidFill>
                </w14:textFill>
              </w:rPr>
            </w:pPr>
            <w:r>
              <w:rPr>
                <w:rFonts w:hint="default" w:ascii="Arial" w:hAnsi="Arial" w:eastAsia="宋体" w:cs="Arial"/>
                <w:i w:val="0"/>
                <w:iCs w:val="0"/>
                <w:color w:val="000000"/>
                <w:kern w:val="0"/>
                <w:sz w:val="18"/>
                <w:szCs w:val="18"/>
                <w:u w:val="none"/>
                <w:lang w:val="en-US" w:eastAsia="zh-CN" w:bidi="ar"/>
              </w:rPr>
              <w:t>5</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eastAsia" w:ascii="Arial" w:eastAsiaTheme="minorEastAsia"/>
                <w:color w:val="000000" w:themeColor="text1"/>
                <w:sz w:val="18"/>
                <w:szCs w:val="18"/>
                <w:lang w:val="en-US" w:eastAsia="zh-CN"/>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9" w:hRule="atLeast"/>
        </w:trPr>
        <w:tc>
          <w:tcPr>
            <w:tcW w:w="1084" w:type="dxa"/>
            <w:vMerge w:val="continue"/>
            <w:tcBorders>
              <w:top w:val="nil"/>
              <w:bottom w:val="nil"/>
            </w:tcBorders>
            <w:noWrap w:val="0"/>
            <w:textDirection w:val="tbRlV"/>
            <w:vAlign w:val="top"/>
          </w:tcPr>
          <w:p>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269" w:type="dxa"/>
            <w:noWrap w:val="0"/>
            <w:vAlign w:val="center"/>
          </w:tcPr>
          <w:p>
            <w:pPr>
              <w:keepNext w:val="0"/>
              <w:keepLines w:val="0"/>
              <w:widowControl/>
              <w:suppressLineNumbers w:val="0"/>
              <w:jc w:val="center"/>
              <w:textAlignment w:val="center"/>
              <w:rPr>
                <w:rFonts w:hint="eastAsia" w:ascii="宋体" w:hAnsi="宋体" w:eastAsia="宋体" w:cs="宋体"/>
                <w:color w:val="000000" w:themeColor="text1"/>
                <w:sz w:val="18"/>
                <w:szCs w:val="18"/>
                <w14:textFill>
                  <w14:solidFill>
                    <w14:schemeClr w14:val="tx1"/>
                  </w14:solidFill>
                </w14:textFill>
              </w:rPr>
            </w:pPr>
            <w:r>
              <w:rPr>
                <w:rFonts w:hint="eastAsia" w:ascii="宋体" w:hAnsi="宋体" w:eastAsia="宋体" w:cs="宋体"/>
                <w:i w:val="0"/>
                <w:iCs w:val="0"/>
                <w:color w:val="000000"/>
                <w:kern w:val="0"/>
                <w:sz w:val="18"/>
                <w:szCs w:val="18"/>
                <w:u w:val="none"/>
                <w:lang w:val="en-US" w:eastAsia="zh-CN" w:bidi="ar"/>
              </w:rPr>
              <w:t>管理高危孕产妇死亡发生率</w:t>
            </w:r>
          </w:p>
        </w:tc>
        <w:tc>
          <w:tcPr>
            <w:tcW w:w="1319" w:type="dxa"/>
            <w:noWrap w:val="0"/>
            <w:vAlign w:val="center"/>
          </w:tcPr>
          <w:p>
            <w:pPr>
              <w:keepNext w:val="0"/>
              <w:keepLines w:val="0"/>
              <w:widowControl/>
              <w:suppressLineNumbers w:val="0"/>
              <w:jc w:val="center"/>
              <w:textAlignment w:val="center"/>
              <w:rPr>
                <w:rFonts w:hint="eastAsia" w:ascii="宋体" w:hAnsi="宋体" w:eastAsia="宋体" w:cs="宋体"/>
                <w:color w:val="000000" w:themeColor="text1"/>
                <w:sz w:val="18"/>
                <w:szCs w:val="18"/>
                <w:lang w:val="en-US" w:eastAsia="zh-CN"/>
                <w14:textFill>
                  <w14:solidFill>
                    <w14:schemeClr w14:val="tx1"/>
                  </w14:solidFill>
                </w14:textFill>
              </w:rPr>
            </w:pPr>
            <w:r>
              <w:rPr>
                <w:rFonts w:hint="eastAsia" w:ascii="宋体" w:hAnsi="宋体" w:eastAsia="宋体" w:cs="宋体"/>
                <w:i w:val="0"/>
                <w:iCs w:val="0"/>
                <w:color w:val="000000"/>
                <w:kern w:val="0"/>
                <w:sz w:val="18"/>
                <w:szCs w:val="18"/>
                <w:u w:val="none"/>
                <w:lang w:val="en-US" w:eastAsia="zh-CN" w:bidi="ar"/>
              </w:rPr>
              <w:t>0%</w:t>
            </w:r>
          </w:p>
        </w:tc>
        <w:tc>
          <w:tcPr>
            <w:tcW w:w="1259" w:type="dxa"/>
            <w:noWrap w:val="0"/>
            <w:vAlign w:val="center"/>
          </w:tcPr>
          <w:p>
            <w:pPr>
              <w:keepNext w:val="0"/>
              <w:keepLines w:val="0"/>
              <w:widowControl/>
              <w:suppressLineNumbers w:val="0"/>
              <w:jc w:val="center"/>
              <w:textAlignment w:val="center"/>
              <w:rPr>
                <w:rFonts w:hint="default" w:ascii="宋体" w:hAnsi="宋体" w:eastAsia="宋体" w:cs="宋体"/>
                <w:color w:val="000000" w:themeColor="text1"/>
                <w:sz w:val="18"/>
                <w:szCs w:val="18"/>
                <w:lang w:val="en-US" w:eastAsia="zh-CN"/>
                <w14:textFill>
                  <w14:solidFill>
                    <w14:schemeClr w14:val="tx1"/>
                  </w14:solidFill>
                </w14:textFill>
              </w:rPr>
            </w:pPr>
            <w:r>
              <w:rPr>
                <w:rFonts w:hint="eastAsia" w:ascii="宋体" w:hAnsi="宋体" w:eastAsia="宋体" w:cs="宋体"/>
                <w:i w:val="0"/>
                <w:iCs w:val="0"/>
                <w:color w:val="000000"/>
                <w:kern w:val="0"/>
                <w:sz w:val="18"/>
                <w:szCs w:val="18"/>
                <w:u w:val="none"/>
                <w:lang w:val="en-US" w:eastAsia="zh-CN" w:bidi="ar"/>
              </w:rPr>
              <w:t>0%</w:t>
            </w:r>
          </w:p>
        </w:tc>
        <w:tc>
          <w:tcPr>
            <w:tcW w:w="719" w:type="dxa"/>
            <w:noWrap w:val="0"/>
            <w:vAlign w:val="center"/>
          </w:tcPr>
          <w:p>
            <w:pPr>
              <w:keepNext w:val="0"/>
              <w:keepLines w:val="0"/>
              <w:widowControl/>
              <w:suppressLineNumbers w:val="0"/>
              <w:jc w:val="center"/>
              <w:textAlignment w:val="center"/>
              <w:rPr>
                <w:rFonts w:hint="default" w:ascii="Arial" w:eastAsiaTheme="minorEastAsia"/>
                <w:color w:val="000000" w:themeColor="text1"/>
                <w:sz w:val="18"/>
                <w:szCs w:val="18"/>
                <w:lang w:val="en-US" w:eastAsia="zh-CN"/>
                <w14:textFill>
                  <w14:solidFill>
                    <w14:schemeClr w14:val="tx1"/>
                  </w14:solidFill>
                </w14:textFill>
              </w:rPr>
            </w:pPr>
            <w:r>
              <w:rPr>
                <w:rFonts w:hint="default" w:ascii="Arial" w:hAnsi="Arial" w:eastAsia="宋体" w:cs="Arial"/>
                <w:i w:val="0"/>
                <w:iCs w:val="0"/>
                <w:color w:val="000000"/>
                <w:kern w:val="0"/>
                <w:sz w:val="18"/>
                <w:szCs w:val="18"/>
                <w:u w:val="none"/>
                <w:lang w:val="en-US" w:eastAsia="zh-CN" w:bidi="ar"/>
              </w:rPr>
              <w:t>5</w:t>
            </w:r>
          </w:p>
        </w:tc>
        <w:tc>
          <w:tcPr>
            <w:tcW w:w="802" w:type="dxa"/>
            <w:noWrap w:val="0"/>
            <w:vAlign w:val="center"/>
          </w:tcPr>
          <w:p>
            <w:pPr>
              <w:keepNext w:val="0"/>
              <w:keepLines w:val="0"/>
              <w:widowControl/>
              <w:suppressLineNumbers w:val="0"/>
              <w:jc w:val="center"/>
              <w:textAlignment w:val="center"/>
              <w:rPr>
                <w:rFonts w:hint="default" w:ascii="Arial" w:eastAsiaTheme="minorEastAsia"/>
                <w:color w:val="000000" w:themeColor="text1"/>
                <w:sz w:val="18"/>
                <w:szCs w:val="18"/>
                <w:lang w:val="en-US" w:eastAsia="zh-CN"/>
                <w14:textFill>
                  <w14:solidFill>
                    <w14:schemeClr w14:val="tx1"/>
                  </w14:solidFill>
                </w14:textFill>
              </w:rPr>
            </w:pPr>
            <w:r>
              <w:rPr>
                <w:rFonts w:hint="default" w:ascii="Arial" w:hAnsi="Arial" w:eastAsia="宋体" w:cs="Arial"/>
                <w:i w:val="0"/>
                <w:iCs w:val="0"/>
                <w:color w:val="000000"/>
                <w:kern w:val="0"/>
                <w:sz w:val="18"/>
                <w:szCs w:val="18"/>
                <w:u w:val="none"/>
                <w:lang w:val="en-US" w:eastAsia="zh-CN" w:bidi="ar"/>
              </w:rPr>
              <w:t>5</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Arial" w:eastAsiaTheme="minorEastAsia"/>
                <w:color w:val="000000" w:themeColor="text1"/>
                <w:sz w:val="18"/>
                <w:szCs w:val="18"/>
                <w:lang w:val="en-US" w:eastAsia="zh-CN"/>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20" w:hRule="atLeast"/>
        </w:trPr>
        <w:tc>
          <w:tcPr>
            <w:tcW w:w="1084" w:type="dxa"/>
            <w:vMerge w:val="continue"/>
            <w:tcBorders>
              <w:top w:val="nil"/>
              <w:bottom w:val="nil"/>
            </w:tcBorders>
            <w:noWrap w:val="0"/>
            <w:textDirection w:val="tbRlV"/>
            <w:vAlign w:val="top"/>
          </w:tcPr>
          <w:p>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vMerge w:val="continue"/>
            <w:tcBorders>
              <w:top w:val="nil"/>
            </w:tcBorders>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269" w:type="dxa"/>
            <w:noWrap w:val="0"/>
            <w:vAlign w:val="center"/>
          </w:tcPr>
          <w:p>
            <w:pPr>
              <w:keepNext w:val="0"/>
              <w:keepLines w:val="0"/>
              <w:widowControl/>
              <w:suppressLineNumbers w:val="0"/>
              <w:jc w:val="center"/>
              <w:textAlignment w:val="center"/>
              <w:rPr>
                <w:rFonts w:ascii="Arial"/>
                <w:color w:val="000000" w:themeColor="text1"/>
                <w:sz w:val="18"/>
                <w:szCs w:val="18"/>
                <w14:textFill>
                  <w14:solidFill>
                    <w14:schemeClr w14:val="tx1"/>
                  </w14:solidFill>
                </w14:textFill>
              </w:rPr>
            </w:pPr>
            <w:r>
              <w:rPr>
                <w:rFonts w:hint="eastAsia" w:ascii="宋体" w:hAnsi="宋体" w:eastAsia="宋体" w:cs="宋体"/>
                <w:i w:val="0"/>
                <w:iCs w:val="0"/>
                <w:color w:val="000000"/>
                <w:kern w:val="0"/>
                <w:sz w:val="18"/>
                <w:szCs w:val="18"/>
                <w:u w:val="none"/>
                <w:lang w:val="en-US" w:eastAsia="zh-CN" w:bidi="ar"/>
              </w:rPr>
              <w:t>重点人群重症减少率</w:t>
            </w:r>
          </w:p>
        </w:tc>
        <w:tc>
          <w:tcPr>
            <w:tcW w:w="1319" w:type="dxa"/>
            <w:noWrap w:val="0"/>
            <w:vAlign w:val="center"/>
          </w:tcPr>
          <w:p>
            <w:pPr>
              <w:keepNext w:val="0"/>
              <w:keepLines w:val="0"/>
              <w:widowControl/>
              <w:suppressLineNumbers w:val="0"/>
              <w:jc w:val="center"/>
              <w:textAlignment w:val="center"/>
              <w:rPr>
                <w:rFonts w:ascii="Arial"/>
                <w:color w:val="000000" w:themeColor="text1"/>
                <w:sz w:val="18"/>
                <w:szCs w:val="18"/>
                <w14:textFill>
                  <w14:solidFill>
                    <w14:schemeClr w14:val="tx1"/>
                  </w14:solidFill>
                </w14:textFill>
              </w:rPr>
            </w:pPr>
            <w:r>
              <w:rPr>
                <w:rFonts w:hint="eastAsia" w:ascii="宋体" w:hAnsi="宋体" w:eastAsia="宋体" w:cs="宋体"/>
                <w:i w:val="0"/>
                <w:iCs w:val="0"/>
                <w:color w:val="000000"/>
                <w:kern w:val="0"/>
                <w:sz w:val="18"/>
                <w:szCs w:val="18"/>
                <w:u w:val="none"/>
                <w:lang w:val="en-US" w:eastAsia="zh-CN" w:bidi="ar"/>
              </w:rPr>
              <w:t>减少5%</w:t>
            </w:r>
          </w:p>
        </w:tc>
        <w:tc>
          <w:tcPr>
            <w:tcW w:w="1259" w:type="dxa"/>
            <w:noWrap w:val="0"/>
            <w:vAlign w:val="center"/>
          </w:tcPr>
          <w:p>
            <w:pPr>
              <w:keepNext w:val="0"/>
              <w:keepLines w:val="0"/>
              <w:widowControl/>
              <w:suppressLineNumbers w:val="0"/>
              <w:jc w:val="center"/>
              <w:textAlignment w:val="center"/>
              <w:rPr>
                <w:rFonts w:hint="default" w:ascii="Arial"/>
                <w:color w:val="000000" w:themeColor="text1"/>
                <w:sz w:val="18"/>
                <w:szCs w:val="18"/>
                <w:lang w:val="en-US"/>
                <w14:textFill>
                  <w14:solidFill>
                    <w14:schemeClr w14:val="tx1"/>
                  </w14:solidFill>
                </w14:textFill>
              </w:rPr>
            </w:pPr>
            <w:r>
              <w:rPr>
                <w:rFonts w:hint="eastAsia" w:ascii="宋体" w:hAnsi="宋体" w:eastAsia="宋体" w:cs="宋体"/>
                <w:i w:val="0"/>
                <w:iCs w:val="0"/>
                <w:color w:val="000000"/>
                <w:kern w:val="0"/>
                <w:sz w:val="18"/>
                <w:szCs w:val="18"/>
                <w:u w:val="none"/>
                <w:lang w:val="en-US" w:eastAsia="zh-CN" w:bidi="ar"/>
              </w:rPr>
              <w:t>减少10%</w:t>
            </w:r>
          </w:p>
        </w:tc>
        <w:tc>
          <w:tcPr>
            <w:tcW w:w="719" w:type="dxa"/>
            <w:noWrap w:val="0"/>
            <w:vAlign w:val="center"/>
          </w:tcPr>
          <w:p>
            <w:pPr>
              <w:keepNext w:val="0"/>
              <w:keepLines w:val="0"/>
              <w:widowControl/>
              <w:suppressLineNumbers w:val="0"/>
              <w:jc w:val="center"/>
              <w:textAlignment w:val="center"/>
              <w:rPr>
                <w:rFonts w:ascii="Arial"/>
                <w:color w:val="000000" w:themeColor="text1"/>
                <w:sz w:val="18"/>
                <w:szCs w:val="18"/>
                <w14:textFill>
                  <w14:solidFill>
                    <w14:schemeClr w14:val="tx1"/>
                  </w14:solidFill>
                </w14:textFill>
              </w:rPr>
            </w:pPr>
            <w:r>
              <w:rPr>
                <w:rFonts w:hint="default" w:ascii="Arial" w:hAnsi="Arial" w:eastAsia="宋体" w:cs="Arial"/>
                <w:i w:val="0"/>
                <w:iCs w:val="0"/>
                <w:color w:val="000000"/>
                <w:kern w:val="0"/>
                <w:sz w:val="18"/>
                <w:szCs w:val="18"/>
                <w:u w:val="none"/>
                <w:lang w:val="en-US" w:eastAsia="zh-CN" w:bidi="ar"/>
              </w:rPr>
              <w:t>5</w:t>
            </w:r>
          </w:p>
        </w:tc>
        <w:tc>
          <w:tcPr>
            <w:tcW w:w="802" w:type="dxa"/>
            <w:noWrap w:val="0"/>
            <w:vAlign w:val="center"/>
          </w:tcPr>
          <w:p>
            <w:pPr>
              <w:keepNext w:val="0"/>
              <w:keepLines w:val="0"/>
              <w:widowControl/>
              <w:suppressLineNumbers w:val="0"/>
              <w:jc w:val="center"/>
              <w:textAlignment w:val="center"/>
              <w:rPr>
                <w:rFonts w:ascii="Arial"/>
                <w:color w:val="000000" w:themeColor="text1"/>
                <w:sz w:val="18"/>
                <w:szCs w:val="18"/>
                <w14:textFill>
                  <w14:solidFill>
                    <w14:schemeClr w14:val="tx1"/>
                  </w14:solidFill>
                </w14:textFill>
              </w:rPr>
            </w:pPr>
            <w:r>
              <w:rPr>
                <w:rFonts w:hint="default" w:ascii="Arial" w:hAnsi="Arial" w:eastAsia="宋体" w:cs="Arial"/>
                <w:i w:val="0"/>
                <w:iCs w:val="0"/>
                <w:color w:val="000000"/>
                <w:kern w:val="0"/>
                <w:sz w:val="18"/>
                <w:szCs w:val="18"/>
                <w:u w:val="none"/>
                <w:lang w:val="en-US" w:eastAsia="zh-CN" w:bidi="ar"/>
              </w:rPr>
              <w:t>5</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jc w:val="center"/>
              <w:textAlignment w:val="auto"/>
              <w:rPr>
                <w:rFonts w:ascii="Arial"/>
                <w:color w:val="000000" w:themeColor="text1"/>
                <w:sz w:val="18"/>
                <w:szCs w:val="18"/>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9" w:hRule="atLeast"/>
        </w:trPr>
        <w:tc>
          <w:tcPr>
            <w:tcW w:w="1084" w:type="dxa"/>
            <w:vMerge w:val="continue"/>
            <w:tcBorders>
              <w:top w:val="nil"/>
              <w:bottom w:val="nil"/>
            </w:tcBorders>
            <w:noWrap w:val="0"/>
            <w:textDirection w:val="tbRlV"/>
            <w:vAlign w:val="top"/>
          </w:tcPr>
          <w:p>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2"/>
                <w:sz w:val="21"/>
                <w:szCs w:val="21"/>
                <w14:textFill>
                  <w14:solidFill>
                    <w14:schemeClr w14:val="tx1"/>
                  </w14:solidFill>
                </w14:textFill>
              </w:rPr>
              <w:t>时效指标</w:t>
            </w:r>
          </w:p>
        </w:tc>
        <w:tc>
          <w:tcPr>
            <w:tcW w:w="1269" w:type="dxa"/>
            <w:noWrap w:val="0"/>
            <w:vAlign w:val="center"/>
          </w:tcPr>
          <w:p>
            <w:pPr>
              <w:keepNext w:val="0"/>
              <w:keepLines w:val="0"/>
              <w:widowControl/>
              <w:suppressLineNumbers w:val="0"/>
              <w:jc w:val="center"/>
              <w:textAlignment w:val="center"/>
              <w:rPr>
                <w:rFonts w:ascii="Arial"/>
                <w:color w:val="000000" w:themeColor="text1"/>
                <w:sz w:val="18"/>
                <w:szCs w:val="18"/>
                <w14:textFill>
                  <w14:solidFill>
                    <w14:schemeClr w14:val="tx1"/>
                  </w14:solidFill>
                </w14:textFill>
              </w:rPr>
            </w:pPr>
            <w:r>
              <w:rPr>
                <w:rFonts w:hint="eastAsia" w:ascii="Arial"/>
                <w:color w:val="000000" w:themeColor="text1"/>
                <w:sz w:val="18"/>
                <w:szCs w:val="18"/>
                <w:lang w:val="en-US" w:eastAsia="zh-CN"/>
                <w14:textFill>
                  <w14:solidFill>
                    <w14:schemeClr w14:val="tx1"/>
                  </w14:solidFill>
                </w14:textFill>
              </w:rPr>
              <w:t>每周对辖区诊所进行院感督查、指导疫情防控工作</w:t>
            </w:r>
          </w:p>
        </w:tc>
        <w:tc>
          <w:tcPr>
            <w:tcW w:w="1319"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leftChars="0"/>
              <w:jc w:val="center"/>
              <w:textAlignment w:val="auto"/>
              <w:rPr>
                <w:rFonts w:hint="default" w:ascii="Arial" w:eastAsiaTheme="minorEastAsia"/>
                <w:color w:val="000000" w:themeColor="text1"/>
                <w:sz w:val="18"/>
                <w:szCs w:val="18"/>
                <w:lang w:val="en-US" w:eastAsia="zh-CN"/>
                <w14:textFill>
                  <w14:solidFill>
                    <w14:schemeClr w14:val="tx1"/>
                  </w14:solidFill>
                </w14:textFill>
              </w:rPr>
            </w:pPr>
            <w:r>
              <w:rPr>
                <w:rFonts w:hint="eastAsia" w:ascii="Arial"/>
                <w:color w:val="000000" w:themeColor="text1"/>
                <w:sz w:val="18"/>
                <w:szCs w:val="18"/>
                <w:lang w:val="en-US" w:eastAsia="zh-CN"/>
                <w14:textFill>
                  <w14:solidFill>
                    <w14:schemeClr w14:val="tx1"/>
                  </w14:solidFill>
                </w14:textFill>
              </w:rPr>
              <w:t>每周完成</w:t>
            </w:r>
          </w:p>
        </w:tc>
        <w:tc>
          <w:tcPr>
            <w:tcW w:w="1259"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leftChars="0"/>
              <w:jc w:val="center"/>
              <w:textAlignment w:val="auto"/>
              <w:rPr>
                <w:rFonts w:hint="default" w:ascii="Arial" w:eastAsiaTheme="minorEastAsia"/>
                <w:color w:val="000000" w:themeColor="text1"/>
                <w:sz w:val="18"/>
                <w:szCs w:val="18"/>
                <w:lang w:val="en-US" w:eastAsia="zh-CN"/>
                <w14:textFill>
                  <w14:solidFill>
                    <w14:schemeClr w14:val="tx1"/>
                  </w14:solidFill>
                </w14:textFill>
              </w:rPr>
            </w:pPr>
            <w:r>
              <w:rPr>
                <w:rFonts w:hint="eastAsia" w:ascii="Arial"/>
                <w:color w:val="000000" w:themeColor="text1"/>
                <w:sz w:val="18"/>
                <w:szCs w:val="18"/>
                <w:lang w:val="en-US" w:eastAsia="zh-CN"/>
                <w14:textFill>
                  <w14:solidFill>
                    <w14:schemeClr w14:val="tx1"/>
                  </w14:solidFill>
                </w14:textFill>
              </w:rPr>
              <w:t>每周完成</w:t>
            </w:r>
          </w:p>
        </w:tc>
        <w:tc>
          <w:tcPr>
            <w:tcW w:w="719" w:type="dxa"/>
            <w:noWrap w:val="0"/>
            <w:vAlign w:val="center"/>
          </w:tcPr>
          <w:p>
            <w:pPr>
              <w:keepNext w:val="0"/>
              <w:keepLines w:val="0"/>
              <w:widowControl/>
              <w:suppressLineNumbers w:val="0"/>
              <w:jc w:val="center"/>
              <w:textAlignment w:val="center"/>
              <w:rPr>
                <w:rFonts w:hint="default" w:ascii="Arial" w:eastAsiaTheme="minorEastAsia"/>
                <w:color w:val="000000" w:themeColor="text1"/>
                <w:sz w:val="18"/>
                <w:szCs w:val="18"/>
                <w:lang w:val="en-US" w:eastAsia="zh-CN"/>
                <w14:textFill>
                  <w14:solidFill>
                    <w14:schemeClr w14:val="tx1"/>
                  </w14:solidFill>
                </w14:textFill>
              </w:rPr>
            </w:pPr>
            <w:r>
              <w:rPr>
                <w:rFonts w:hint="default" w:ascii="Arial" w:hAnsi="Arial" w:eastAsia="宋体" w:cs="Arial"/>
                <w:i w:val="0"/>
                <w:iCs w:val="0"/>
                <w:color w:val="000000"/>
                <w:kern w:val="0"/>
                <w:sz w:val="18"/>
                <w:szCs w:val="18"/>
                <w:u w:val="none"/>
                <w:lang w:val="en-US" w:eastAsia="zh-CN" w:bidi="ar"/>
              </w:rPr>
              <w:t>5</w:t>
            </w:r>
          </w:p>
        </w:tc>
        <w:tc>
          <w:tcPr>
            <w:tcW w:w="802" w:type="dxa"/>
            <w:noWrap w:val="0"/>
            <w:vAlign w:val="center"/>
          </w:tcPr>
          <w:p>
            <w:pPr>
              <w:keepNext w:val="0"/>
              <w:keepLines w:val="0"/>
              <w:widowControl/>
              <w:suppressLineNumbers w:val="0"/>
              <w:jc w:val="center"/>
              <w:textAlignment w:val="center"/>
              <w:rPr>
                <w:rFonts w:hint="default" w:ascii="Arial" w:eastAsiaTheme="minorEastAsia"/>
                <w:color w:val="000000" w:themeColor="text1"/>
                <w:sz w:val="18"/>
                <w:szCs w:val="18"/>
                <w:lang w:val="en-US" w:eastAsia="zh-CN"/>
                <w14:textFill>
                  <w14:solidFill>
                    <w14:schemeClr w14:val="tx1"/>
                  </w14:solidFill>
                </w14:textFill>
              </w:rPr>
            </w:pPr>
            <w:r>
              <w:rPr>
                <w:rFonts w:hint="default" w:ascii="Arial" w:hAnsi="Arial" w:eastAsia="宋体" w:cs="Arial"/>
                <w:i w:val="0"/>
                <w:iCs w:val="0"/>
                <w:color w:val="000000"/>
                <w:kern w:val="0"/>
                <w:sz w:val="18"/>
                <w:szCs w:val="18"/>
                <w:u w:val="none"/>
                <w:lang w:val="en-US" w:eastAsia="zh-CN" w:bidi="ar"/>
              </w:rPr>
              <w:t>5</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jc w:val="center"/>
              <w:textAlignment w:val="auto"/>
              <w:rPr>
                <w:rFonts w:ascii="Arial"/>
                <w:color w:val="000000" w:themeColor="text1"/>
                <w:sz w:val="18"/>
                <w:szCs w:val="18"/>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9" w:hRule="atLeast"/>
        </w:trPr>
        <w:tc>
          <w:tcPr>
            <w:tcW w:w="1084" w:type="dxa"/>
            <w:vMerge w:val="continue"/>
            <w:tcBorders>
              <w:top w:val="nil"/>
              <w:bottom w:val="nil"/>
            </w:tcBorders>
            <w:noWrap w:val="0"/>
            <w:textDirection w:val="tbRlV"/>
            <w:vAlign w:val="top"/>
          </w:tcPr>
          <w:p>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2"/>
                <w:sz w:val="21"/>
                <w:szCs w:val="21"/>
                <w14:textFill>
                  <w14:solidFill>
                    <w14:schemeClr w14:val="tx1"/>
                  </w14:solidFill>
                </w14:textFill>
              </w:rPr>
              <w:t>成本指标</w:t>
            </w:r>
          </w:p>
        </w:tc>
        <w:tc>
          <w:tcPr>
            <w:tcW w:w="1269" w:type="dxa"/>
            <w:noWrap w:val="0"/>
            <w:vAlign w:val="center"/>
          </w:tcPr>
          <w:p>
            <w:pPr>
              <w:keepNext w:val="0"/>
              <w:keepLines w:val="0"/>
              <w:widowControl/>
              <w:suppressLineNumbers w:val="0"/>
              <w:jc w:val="center"/>
              <w:textAlignment w:val="center"/>
              <w:rPr>
                <w:rFonts w:hint="default" w:ascii="Arial" w:eastAsiaTheme="minorEastAsia"/>
                <w:color w:val="000000" w:themeColor="text1"/>
                <w:sz w:val="18"/>
                <w:szCs w:val="18"/>
                <w:lang w:val="en-US" w:eastAsia="zh-CN"/>
                <w14:textFill>
                  <w14:solidFill>
                    <w14:schemeClr w14:val="tx1"/>
                  </w14:solidFill>
                </w14:textFill>
              </w:rPr>
            </w:pPr>
            <w:r>
              <w:rPr>
                <w:rStyle w:val="21"/>
                <w:lang w:val="en-US" w:eastAsia="zh-CN" w:bidi="ar"/>
              </w:rPr>
              <w:t>总成本控制</w:t>
            </w:r>
          </w:p>
        </w:tc>
        <w:tc>
          <w:tcPr>
            <w:tcW w:w="1319" w:type="dxa"/>
            <w:noWrap w:val="0"/>
            <w:vAlign w:val="center"/>
          </w:tcPr>
          <w:p>
            <w:pPr>
              <w:keepNext w:val="0"/>
              <w:keepLines w:val="0"/>
              <w:widowControl/>
              <w:suppressLineNumbers w:val="0"/>
              <w:jc w:val="center"/>
              <w:textAlignment w:val="center"/>
              <w:rPr>
                <w:rFonts w:hint="default" w:ascii="Arial" w:eastAsiaTheme="minorEastAsia"/>
                <w:color w:val="000000" w:themeColor="text1"/>
                <w:sz w:val="18"/>
                <w:szCs w:val="18"/>
                <w:lang w:val="en-US" w:eastAsia="zh-CN"/>
                <w14:textFill>
                  <w14:solidFill>
                    <w14:schemeClr w14:val="tx1"/>
                  </w14:solidFill>
                </w14:textFill>
              </w:rPr>
            </w:pPr>
            <w:r>
              <w:rPr>
                <w:rStyle w:val="21"/>
                <w:lang w:val="en-US" w:eastAsia="zh-CN" w:bidi="ar"/>
              </w:rPr>
              <w:t>不超过预算投入</w:t>
            </w:r>
          </w:p>
        </w:tc>
        <w:tc>
          <w:tcPr>
            <w:tcW w:w="1259" w:type="dxa"/>
            <w:noWrap w:val="0"/>
            <w:vAlign w:val="center"/>
          </w:tcPr>
          <w:p>
            <w:pPr>
              <w:keepNext w:val="0"/>
              <w:keepLines w:val="0"/>
              <w:widowControl/>
              <w:suppressLineNumbers w:val="0"/>
              <w:jc w:val="center"/>
              <w:textAlignment w:val="center"/>
              <w:rPr>
                <w:rFonts w:hint="default" w:ascii="Arial" w:eastAsiaTheme="minorEastAsia"/>
                <w:color w:val="000000" w:themeColor="text1"/>
                <w:sz w:val="18"/>
                <w:szCs w:val="18"/>
                <w:lang w:val="en-US" w:eastAsia="zh-CN"/>
                <w14:textFill>
                  <w14:solidFill>
                    <w14:schemeClr w14:val="tx1"/>
                  </w14:solidFill>
                </w14:textFill>
              </w:rPr>
            </w:pPr>
            <w:r>
              <w:rPr>
                <w:rFonts w:hint="eastAsia" w:ascii="Arial"/>
                <w:color w:val="000000" w:themeColor="text1"/>
                <w:spacing w:val="0"/>
                <w:sz w:val="20"/>
                <w:lang w:val="en-US" w:eastAsia="zh-CN"/>
                <w14:textFill>
                  <w14:solidFill>
                    <w14:schemeClr w14:val="tx1"/>
                  </w14:solidFill>
                </w14:textFill>
              </w:rPr>
              <w:t>1079.25</w:t>
            </w:r>
            <w:r>
              <w:rPr>
                <w:rStyle w:val="21"/>
                <w:lang w:val="en-US" w:eastAsia="zh-CN" w:bidi="ar"/>
              </w:rPr>
              <w:t>万元</w:t>
            </w:r>
          </w:p>
        </w:tc>
        <w:tc>
          <w:tcPr>
            <w:tcW w:w="719" w:type="dxa"/>
            <w:noWrap w:val="0"/>
            <w:vAlign w:val="center"/>
          </w:tcPr>
          <w:p>
            <w:pPr>
              <w:keepNext w:val="0"/>
              <w:keepLines w:val="0"/>
              <w:widowControl/>
              <w:suppressLineNumbers w:val="0"/>
              <w:jc w:val="center"/>
              <w:textAlignment w:val="center"/>
              <w:rPr>
                <w:rFonts w:hint="default" w:ascii="Arial" w:eastAsiaTheme="minorEastAsia"/>
                <w:color w:val="000000" w:themeColor="text1"/>
                <w:sz w:val="18"/>
                <w:szCs w:val="18"/>
                <w:lang w:val="en-US" w:eastAsia="zh-CN"/>
                <w14:textFill>
                  <w14:solidFill>
                    <w14:schemeClr w14:val="tx1"/>
                  </w14:solidFill>
                </w14:textFill>
              </w:rPr>
            </w:pPr>
            <w:r>
              <w:rPr>
                <w:rFonts w:hint="default" w:ascii="Arial" w:hAnsi="Arial" w:eastAsia="宋体" w:cs="Arial"/>
                <w:i w:val="0"/>
                <w:iCs w:val="0"/>
                <w:color w:val="000000"/>
                <w:kern w:val="0"/>
                <w:sz w:val="18"/>
                <w:szCs w:val="18"/>
                <w:u w:val="none"/>
                <w:lang w:val="en-US" w:eastAsia="zh-CN" w:bidi="ar"/>
              </w:rPr>
              <w:t>5</w:t>
            </w:r>
          </w:p>
        </w:tc>
        <w:tc>
          <w:tcPr>
            <w:tcW w:w="802" w:type="dxa"/>
            <w:noWrap w:val="0"/>
            <w:vAlign w:val="center"/>
          </w:tcPr>
          <w:p>
            <w:pPr>
              <w:keepNext w:val="0"/>
              <w:keepLines w:val="0"/>
              <w:widowControl/>
              <w:suppressLineNumbers w:val="0"/>
              <w:jc w:val="center"/>
              <w:textAlignment w:val="center"/>
              <w:rPr>
                <w:rFonts w:hint="default" w:ascii="Arial" w:eastAsiaTheme="minorEastAsia"/>
                <w:color w:val="000000" w:themeColor="text1"/>
                <w:sz w:val="18"/>
                <w:szCs w:val="18"/>
                <w:lang w:val="en-US" w:eastAsia="zh-CN"/>
                <w14:textFill>
                  <w14:solidFill>
                    <w14:schemeClr w14:val="tx1"/>
                  </w14:solidFill>
                </w14:textFill>
              </w:rPr>
            </w:pPr>
            <w:r>
              <w:rPr>
                <w:rFonts w:hint="default" w:ascii="Arial" w:hAnsi="Arial" w:eastAsia="宋体" w:cs="Arial"/>
                <w:i w:val="0"/>
                <w:iCs w:val="0"/>
                <w:color w:val="000000"/>
                <w:kern w:val="0"/>
                <w:sz w:val="18"/>
                <w:szCs w:val="18"/>
                <w:u w:val="none"/>
                <w:lang w:val="en-US" w:eastAsia="zh-CN" w:bidi="ar"/>
              </w:rPr>
              <w:t>1</w:t>
            </w:r>
          </w:p>
        </w:tc>
        <w:tc>
          <w:tcPr>
            <w:tcW w:w="1275" w:type="dxa"/>
            <w:noWrap w:val="0"/>
            <w:vAlign w:val="center"/>
          </w:tcPr>
          <w:p>
            <w:pPr>
              <w:keepNext w:val="0"/>
              <w:keepLines w:val="0"/>
              <w:widowControl/>
              <w:suppressLineNumbers w:val="0"/>
              <w:jc w:val="center"/>
              <w:textAlignment w:val="center"/>
              <w:rPr>
                <w:rFonts w:hint="eastAsia" w:ascii="Arial" w:eastAsiaTheme="minorEastAsia"/>
                <w:color w:val="000000" w:themeColor="text1"/>
                <w:sz w:val="18"/>
                <w:szCs w:val="18"/>
                <w:lang w:val="en-US" w:eastAsia="zh-CN"/>
                <w14:textFill>
                  <w14:solidFill>
                    <w14:schemeClr w14:val="tx1"/>
                  </w14:solidFill>
                </w14:textFill>
              </w:rPr>
            </w:pPr>
            <w:r>
              <w:rPr>
                <w:rStyle w:val="22"/>
                <w:rFonts w:eastAsia="宋体"/>
                <w:lang w:val="en-US" w:eastAsia="zh-CN" w:bidi="ar"/>
              </w:rPr>
              <w:t>2022</w:t>
            </w:r>
            <w:r>
              <w:rPr>
                <w:rStyle w:val="21"/>
                <w:lang w:val="en-US" w:eastAsia="zh-CN" w:bidi="ar"/>
              </w:rPr>
              <w:t>年度才纳入财政预算，预算经费做得不够准确，后续会注意，节约成本，控制各方面经费支出</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84" w:type="dxa"/>
            <w:vMerge w:val="continue"/>
            <w:tcBorders>
              <w:top w:val="nil"/>
              <w:bottom w:val="nil"/>
            </w:tcBorders>
            <w:noWrap w:val="0"/>
            <w:textDirection w:val="tbRlV"/>
            <w:vAlign w:val="top"/>
          </w:tcPr>
          <w:p>
            <w:pPr>
              <w:rPr>
                <w:rFonts w:ascii="Arial"/>
                <w:color w:val="000000" w:themeColor="text1"/>
                <w:sz w:val="21"/>
                <w14:textFill>
                  <w14:solidFill>
                    <w14:schemeClr w14:val="tx1"/>
                  </w14:solidFill>
                </w14:textFill>
              </w:rPr>
            </w:pPr>
          </w:p>
        </w:tc>
        <w:tc>
          <w:tcPr>
            <w:tcW w:w="1079"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50" w:lineRule="auto"/>
              <w:ind w:left="0"/>
              <w:jc w:val="center"/>
              <w:textAlignment w:val="auto"/>
              <w:rPr>
                <w:rFonts w:ascii="Arial"/>
                <w:color w:val="000000" w:themeColor="text1"/>
                <w:sz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51" w:lineRule="auto"/>
              <w:ind w:left="0"/>
              <w:jc w:val="center"/>
              <w:textAlignment w:val="auto"/>
              <w:rPr>
                <w:rFonts w:ascii="Arial"/>
                <w:color w:val="000000" w:themeColor="text1"/>
                <w:sz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51" w:lineRule="auto"/>
              <w:ind w:left="0"/>
              <w:jc w:val="center"/>
              <w:textAlignment w:val="auto"/>
              <w:rPr>
                <w:rFonts w:ascii="Arial"/>
                <w:color w:val="000000" w:themeColor="text1"/>
                <w:sz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51" w:lineRule="auto"/>
              <w:ind w:left="0"/>
              <w:jc w:val="center"/>
              <w:textAlignment w:val="auto"/>
              <w:rPr>
                <w:rFonts w:ascii="Arial"/>
                <w:color w:val="000000" w:themeColor="text1"/>
                <w:sz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491" w:lineRule="exact"/>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2"/>
                <w:position w:val="21"/>
                <w:sz w:val="21"/>
                <w:szCs w:val="21"/>
                <w14:textFill>
                  <w14:solidFill>
                    <w14:schemeClr w14:val="tx1"/>
                  </w14:solidFill>
                </w14:textFill>
              </w:rPr>
              <w:t>效益指标</w:t>
            </w:r>
          </w:p>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9"/>
                <w:sz w:val="21"/>
                <w:szCs w:val="21"/>
                <w14:textFill>
                  <w14:solidFill>
                    <w14:schemeClr w14:val="tx1"/>
                  </w14:solidFill>
                </w14:textFill>
              </w:rPr>
              <w:t>(</w:t>
            </w:r>
            <w:r>
              <w:rPr>
                <w:rFonts w:hint="eastAsia" w:ascii="宋体" w:hAnsi="宋体" w:eastAsia="宋体" w:cs="宋体"/>
                <w:color w:val="000000" w:themeColor="text1"/>
                <w:spacing w:val="9"/>
                <w:sz w:val="21"/>
                <w:szCs w:val="21"/>
                <w:lang w:val="en-US" w:eastAsia="zh-CN"/>
                <w14:textFill>
                  <w14:solidFill>
                    <w14:schemeClr w14:val="tx1"/>
                  </w14:solidFill>
                </w14:textFill>
              </w:rPr>
              <w:t>3</w:t>
            </w:r>
            <w:r>
              <w:rPr>
                <w:rFonts w:ascii="宋体" w:hAnsi="宋体" w:eastAsia="宋体" w:cs="宋体"/>
                <w:color w:val="000000" w:themeColor="text1"/>
                <w:spacing w:val="9"/>
                <w:sz w:val="21"/>
                <w:szCs w:val="21"/>
                <w14:textFill>
                  <w14:solidFill>
                    <w14:schemeClr w14:val="tx1"/>
                  </w14:solidFill>
                </w14:textFill>
              </w:rPr>
              <w:t>0分)</w:t>
            </w:r>
          </w:p>
        </w:tc>
        <w:tc>
          <w:tcPr>
            <w:tcW w:w="1029"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29"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3"/>
                <w:sz w:val="21"/>
                <w:szCs w:val="21"/>
                <w14:textFill>
                  <w14:solidFill>
                    <w14:schemeClr w14:val="tx1"/>
                  </w14:solidFill>
                </w14:textFill>
              </w:rPr>
              <w:t>经济效</w:t>
            </w:r>
          </w:p>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3"/>
                <w:sz w:val="21"/>
                <w:szCs w:val="21"/>
                <w14:textFill>
                  <w14:solidFill>
                    <w14:schemeClr w14:val="tx1"/>
                  </w14:solidFill>
                </w14:textFill>
              </w:rPr>
              <w:t>益指标</w:t>
            </w:r>
          </w:p>
        </w:tc>
        <w:tc>
          <w:tcPr>
            <w:tcW w:w="1269" w:type="dxa"/>
            <w:noWrap w:val="0"/>
            <w:vAlign w:val="center"/>
          </w:tcPr>
          <w:p>
            <w:pPr>
              <w:keepNext w:val="0"/>
              <w:keepLines w:val="0"/>
              <w:widowControl/>
              <w:suppressLineNumbers w:val="0"/>
              <w:jc w:val="center"/>
              <w:textAlignment w:val="center"/>
              <w:rPr>
                <w:rFonts w:hint="eastAsia" w:ascii="Arial" w:eastAsiaTheme="minorEastAsia"/>
                <w:color w:val="000000" w:themeColor="text1"/>
                <w:sz w:val="18"/>
                <w:szCs w:val="18"/>
                <w:lang w:eastAsia="zh-CN"/>
                <w14:textFill>
                  <w14:solidFill>
                    <w14:schemeClr w14:val="tx1"/>
                  </w14:solidFill>
                </w14:textFill>
              </w:rPr>
            </w:pPr>
            <w:r>
              <w:rPr>
                <w:rFonts w:hint="eastAsia" w:ascii="宋体" w:hAnsi="宋体" w:eastAsia="宋体" w:cs="宋体"/>
                <w:i w:val="0"/>
                <w:iCs w:val="0"/>
                <w:color w:val="000000"/>
                <w:kern w:val="0"/>
                <w:sz w:val="18"/>
                <w:szCs w:val="18"/>
                <w:u w:val="none"/>
                <w:lang w:val="en-US" w:eastAsia="zh-CN" w:bidi="ar"/>
              </w:rPr>
              <w:t>门诊收入</w:t>
            </w:r>
          </w:p>
        </w:tc>
        <w:tc>
          <w:tcPr>
            <w:tcW w:w="1319" w:type="dxa"/>
            <w:noWrap w:val="0"/>
            <w:vAlign w:val="center"/>
          </w:tcPr>
          <w:p>
            <w:pPr>
              <w:keepNext w:val="0"/>
              <w:keepLines w:val="0"/>
              <w:widowControl/>
              <w:suppressLineNumbers w:val="0"/>
              <w:jc w:val="center"/>
              <w:textAlignment w:val="center"/>
              <w:rPr>
                <w:rFonts w:hint="default" w:ascii="Arial" w:eastAsiaTheme="minorEastAsia"/>
                <w:color w:val="000000" w:themeColor="text1"/>
                <w:sz w:val="18"/>
                <w:szCs w:val="18"/>
                <w:lang w:val="en-US" w:eastAsia="zh-CN"/>
                <w14:textFill>
                  <w14:solidFill>
                    <w14:schemeClr w14:val="tx1"/>
                  </w14:solidFill>
                </w14:textFill>
              </w:rPr>
            </w:pPr>
            <w:r>
              <w:rPr>
                <w:rFonts w:hint="eastAsia" w:ascii="宋体" w:hAnsi="宋体" w:eastAsia="宋体" w:cs="宋体"/>
                <w:i w:val="0"/>
                <w:iCs w:val="0"/>
                <w:color w:val="000000"/>
                <w:kern w:val="0"/>
                <w:sz w:val="18"/>
                <w:szCs w:val="18"/>
                <w:u w:val="none"/>
                <w:lang w:val="en-US" w:eastAsia="zh-CN" w:bidi="ar"/>
              </w:rPr>
              <w:t>322万元</w:t>
            </w:r>
          </w:p>
        </w:tc>
        <w:tc>
          <w:tcPr>
            <w:tcW w:w="1259" w:type="dxa"/>
            <w:noWrap w:val="0"/>
            <w:vAlign w:val="center"/>
          </w:tcPr>
          <w:p>
            <w:pPr>
              <w:keepNext w:val="0"/>
              <w:keepLines w:val="0"/>
              <w:widowControl/>
              <w:suppressLineNumbers w:val="0"/>
              <w:jc w:val="center"/>
              <w:textAlignment w:val="center"/>
              <w:rPr>
                <w:rFonts w:hint="default" w:ascii="Arial" w:eastAsiaTheme="minorEastAsia"/>
                <w:color w:val="000000" w:themeColor="text1"/>
                <w:sz w:val="18"/>
                <w:szCs w:val="18"/>
                <w:lang w:val="en-US" w:eastAsia="zh-CN"/>
                <w14:textFill>
                  <w14:solidFill>
                    <w14:schemeClr w14:val="tx1"/>
                  </w14:solidFill>
                </w14:textFill>
              </w:rPr>
            </w:pPr>
            <w:r>
              <w:rPr>
                <w:rFonts w:hint="eastAsia" w:ascii="宋体" w:hAnsi="宋体" w:eastAsia="宋体" w:cs="宋体"/>
                <w:i w:val="0"/>
                <w:iCs w:val="0"/>
                <w:color w:val="000000"/>
                <w:kern w:val="0"/>
                <w:sz w:val="18"/>
                <w:szCs w:val="18"/>
                <w:u w:val="none"/>
                <w:lang w:val="en-US" w:eastAsia="zh-CN" w:bidi="ar"/>
              </w:rPr>
              <w:t>322万元</w:t>
            </w:r>
          </w:p>
        </w:tc>
        <w:tc>
          <w:tcPr>
            <w:tcW w:w="719" w:type="dxa"/>
            <w:noWrap w:val="0"/>
            <w:vAlign w:val="center"/>
          </w:tcPr>
          <w:p>
            <w:pPr>
              <w:keepNext w:val="0"/>
              <w:keepLines w:val="0"/>
              <w:widowControl/>
              <w:suppressLineNumbers w:val="0"/>
              <w:jc w:val="center"/>
              <w:textAlignment w:val="center"/>
              <w:rPr>
                <w:rFonts w:hint="default" w:ascii="Arial" w:eastAsiaTheme="minorEastAsia"/>
                <w:color w:val="000000" w:themeColor="text1"/>
                <w:sz w:val="18"/>
                <w:szCs w:val="18"/>
                <w:lang w:val="en-US" w:eastAsia="zh-CN"/>
                <w14:textFill>
                  <w14:solidFill>
                    <w14:schemeClr w14:val="tx1"/>
                  </w14:solidFill>
                </w14:textFill>
              </w:rPr>
            </w:pPr>
            <w:r>
              <w:rPr>
                <w:rFonts w:hint="default" w:ascii="Arial" w:hAnsi="Arial" w:eastAsia="宋体" w:cs="Arial"/>
                <w:i w:val="0"/>
                <w:iCs w:val="0"/>
                <w:color w:val="000000"/>
                <w:kern w:val="0"/>
                <w:sz w:val="18"/>
                <w:szCs w:val="18"/>
                <w:u w:val="none"/>
                <w:lang w:val="en-US" w:eastAsia="zh-CN" w:bidi="ar"/>
              </w:rPr>
              <w:t>5</w:t>
            </w:r>
          </w:p>
        </w:tc>
        <w:tc>
          <w:tcPr>
            <w:tcW w:w="802" w:type="dxa"/>
            <w:noWrap w:val="0"/>
            <w:vAlign w:val="center"/>
          </w:tcPr>
          <w:p>
            <w:pPr>
              <w:keepNext w:val="0"/>
              <w:keepLines w:val="0"/>
              <w:widowControl/>
              <w:suppressLineNumbers w:val="0"/>
              <w:jc w:val="center"/>
              <w:textAlignment w:val="center"/>
              <w:rPr>
                <w:rFonts w:hint="default" w:ascii="Arial" w:eastAsiaTheme="minorEastAsia"/>
                <w:color w:val="000000" w:themeColor="text1"/>
                <w:sz w:val="18"/>
                <w:szCs w:val="18"/>
                <w:lang w:val="en-US" w:eastAsia="zh-CN"/>
                <w14:textFill>
                  <w14:solidFill>
                    <w14:schemeClr w14:val="tx1"/>
                  </w14:solidFill>
                </w14:textFill>
              </w:rPr>
            </w:pPr>
            <w:r>
              <w:rPr>
                <w:rFonts w:hint="default" w:ascii="Arial" w:hAnsi="Arial" w:eastAsia="宋体" w:cs="Arial"/>
                <w:i w:val="0"/>
                <w:iCs w:val="0"/>
                <w:color w:val="000000"/>
                <w:kern w:val="0"/>
                <w:sz w:val="18"/>
                <w:szCs w:val="18"/>
                <w:u w:val="none"/>
                <w:lang w:val="en-US" w:eastAsia="zh-CN" w:bidi="ar"/>
              </w:rPr>
              <w:t>5</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hint="eastAsia" w:ascii="Arial" w:eastAsiaTheme="minorEastAsia"/>
                <w:color w:val="000000" w:themeColor="text1"/>
                <w:sz w:val="18"/>
                <w:szCs w:val="18"/>
                <w:lang w:val="en-US" w:eastAsia="zh-CN"/>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0" w:hRule="atLeast"/>
        </w:trPr>
        <w:tc>
          <w:tcPr>
            <w:tcW w:w="1084" w:type="dxa"/>
            <w:vMerge w:val="continue"/>
            <w:tcBorders>
              <w:top w:val="nil"/>
              <w:bottom w:val="nil"/>
            </w:tcBorders>
            <w:noWrap w:val="0"/>
            <w:textDirection w:val="tbRlV"/>
            <w:vAlign w:val="top"/>
          </w:tcPr>
          <w:p>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vMerge w:val="continue"/>
            <w:tcBorders>
              <w:top w:val="nil"/>
            </w:tcBorders>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269" w:type="dxa"/>
            <w:noWrap w:val="0"/>
            <w:vAlign w:val="center"/>
          </w:tcPr>
          <w:p>
            <w:pPr>
              <w:keepNext w:val="0"/>
              <w:keepLines w:val="0"/>
              <w:widowControl/>
              <w:suppressLineNumbers w:val="0"/>
              <w:jc w:val="center"/>
              <w:textAlignment w:val="center"/>
              <w:rPr>
                <w:rFonts w:ascii="Arial"/>
                <w:color w:val="000000" w:themeColor="text1"/>
                <w:sz w:val="18"/>
                <w:szCs w:val="18"/>
                <w14:textFill>
                  <w14:solidFill>
                    <w14:schemeClr w14:val="tx1"/>
                  </w14:solidFill>
                </w14:textFill>
              </w:rPr>
            </w:pPr>
            <w:r>
              <w:rPr>
                <w:rFonts w:hint="eastAsia" w:ascii="宋体" w:hAnsi="宋体" w:eastAsia="宋体" w:cs="宋体"/>
                <w:i w:val="0"/>
                <w:iCs w:val="0"/>
                <w:color w:val="000000"/>
                <w:kern w:val="0"/>
                <w:sz w:val="18"/>
                <w:szCs w:val="18"/>
                <w:u w:val="none"/>
                <w:lang w:val="en-US" w:eastAsia="zh-CN" w:bidi="ar"/>
              </w:rPr>
              <w:t>住院收入</w:t>
            </w:r>
          </w:p>
        </w:tc>
        <w:tc>
          <w:tcPr>
            <w:tcW w:w="1319" w:type="dxa"/>
            <w:noWrap w:val="0"/>
            <w:vAlign w:val="center"/>
          </w:tcPr>
          <w:p>
            <w:pPr>
              <w:keepNext w:val="0"/>
              <w:keepLines w:val="0"/>
              <w:widowControl/>
              <w:suppressLineNumbers w:val="0"/>
              <w:jc w:val="center"/>
              <w:textAlignment w:val="center"/>
              <w:rPr>
                <w:rFonts w:ascii="Arial"/>
                <w:color w:val="000000" w:themeColor="text1"/>
                <w:sz w:val="18"/>
                <w:szCs w:val="18"/>
                <w14:textFill>
                  <w14:solidFill>
                    <w14:schemeClr w14:val="tx1"/>
                  </w14:solidFill>
                </w14:textFill>
              </w:rPr>
            </w:pPr>
            <w:r>
              <w:rPr>
                <w:rFonts w:hint="eastAsia" w:ascii="宋体" w:hAnsi="宋体" w:eastAsia="宋体" w:cs="宋体"/>
                <w:i w:val="0"/>
                <w:iCs w:val="0"/>
                <w:color w:val="000000"/>
                <w:kern w:val="0"/>
                <w:sz w:val="18"/>
                <w:szCs w:val="18"/>
                <w:u w:val="none"/>
                <w:lang w:val="en-US" w:eastAsia="zh-CN" w:bidi="ar"/>
              </w:rPr>
              <w:t>82万元</w:t>
            </w:r>
          </w:p>
        </w:tc>
        <w:tc>
          <w:tcPr>
            <w:tcW w:w="1259" w:type="dxa"/>
            <w:noWrap w:val="0"/>
            <w:vAlign w:val="center"/>
          </w:tcPr>
          <w:p>
            <w:pPr>
              <w:keepNext w:val="0"/>
              <w:keepLines w:val="0"/>
              <w:widowControl/>
              <w:suppressLineNumbers w:val="0"/>
              <w:jc w:val="center"/>
              <w:textAlignment w:val="center"/>
              <w:rPr>
                <w:rFonts w:ascii="Arial"/>
                <w:color w:val="000000" w:themeColor="text1"/>
                <w:sz w:val="18"/>
                <w:szCs w:val="18"/>
                <w14:textFill>
                  <w14:solidFill>
                    <w14:schemeClr w14:val="tx1"/>
                  </w14:solidFill>
                </w14:textFill>
              </w:rPr>
            </w:pPr>
            <w:r>
              <w:rPr>
                <w:rFonts w:hint="eastAsia" w:ascii="宋体" w:hAnsi="宋体" w:eastAsia="宋体" w:cs="宋体"/>
                <w:i w:val="0"/>
                <w:iCs w:val="0"/>
                <w:color w:val="000000"/>
                <w:kern w:val="0"/>
                <w:sz w:val="18"/>
                <w:szCs w:val="18"/>
                <w:u w:val="none"/>
                <w:lang w:val="en-US" w:eastAsia="zh-CN" w:bidi="ar"/>
              </w:rPr>
              <w:t>82万元</w:t>
            </w:r>
          </w:p>
        </w:tc>
        <w:tc>
          <w:tcPr>
            <w:tcW w:w="719" w:type="dxa"/>
            <w:noWrap w:val="0"/>
            <w:vAlign w:val="center"/>
          </w:tcPr>
          <w:p>
            <w:pPr>
              <w:keepNext w:val="0"/>
              <w:keepLines w:val="0"/>
              <w:widowControl/>
              <w:suppressLineNumbers w:val="0"/>
              <w:jc w:val="center"/>
              <w:textAlignment w:val="center"/>
              <w:rPr>
                <w:rFonts w:ascii="Arial"/>
                <w:color w:val="000000" w:themeColor="text1"/>
                <w:sz w:val="18"/>
                <w:szCs w:val="18"/>
                <w14:textFill>
                  <w14:solidFill>
                    <w14:schemeClr w14:val="tx1"/>
                  </w14:solidFill>
                </w14:textFill>
              </w:rPr>
            </w:pPr>
            <w:r>
              <w:rPr>
                <w:rFonts w:hint="default" w:ascii="Arial" w:hAnsi="Arial" w:eastAsia="宋体" w:cs="Arial"/>
                <w:i w:val="0"/>
                <w:iCs w:val="0"/>
                <w:color w:val="000000"/>
                <w:kern w:val="0"/>
                <w:sz w:val="18"/>
                <w:szCs w:val="18"/>
                <w:u w:val="none"/>
                <w:lang w:val="en-US" w:eastAsia="zh-CN" w:bidi="ar"/>
              </w:rPr>
              <w:t>5</w:t>
            </w:r>
          </w:p>
        </w:tc>
        <w:tc>
          <w:tcPr>
            <w:tcW w:w="802" w:type="dxa"/>
            <w:noWrap w:val="0"/>
            <w:vAlign w:val="center"/>
          </w:tcPr>
          <w:p>
            <w:pPr>
              <w:keepNext w:val="0"/>
              <w:keepLines w:val="0"/>
              <w:widowControl/>
              <w:suppressLineNumbers w:val="0"/>
              <w:jc w:val="center"/>
              <w:textAlignment w:val="center"/>
              <w:rPr>
                <w:rFonts w:ascii="Arial"/>
                <w:color w:val="000000" w:themeColor="text1"/>
                <w:sz w:val="18"/>
                <w:szCs w:val="18"/>
                <w14:textFill>
                  <w14:solidFill>
                    <w14:schemeClr w14:val="tx1"/>
                  </w14:solidFill>
                </w14:textFill>
              </w:rPr>
            </w:pPr>
            <w:r>
              <w:rPr>
                <w:rFonts w:hint="default" w:ascii="Arial" w:hAnsi="Arial" w:eastAsia="宋体" w:cs="Arial"/>
                <w:i w:val="0"/>
                <w:iCs w:val="0"/>
                <w:color w:val="000000"/>
                <w:kern w:val="0"/>
                <w:sz w:val="18"/>
                <w:szCs w:val="18"/>
                <w:u w:val="none"/>
                <w:lang w:val="en-US" w:eastAsia="zh-CN" w:bidi="ar"/>
              </w:rPr>
              <w:t>5</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jc w:val="center"/>
              <w:textAlignment w:val="auto"/>
              <w:rPr>
                <w:rFonts w:ascii="Arial"/>
                <w:color w:val="000000" w:themeColor="text1"/>
                <w:sz w:val="18"/>
                <w:szCs w:val="18"/>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0" w:hRule="atLeast"/>
        </w:trPr>
        <w:tc>
          <w:tcPr>
            <w:tcW w:w="1084" w:type="dxa"/>
            <w:vMerge w:val="continue"/>
            <w:tcBorders>
              <w:top w:val="nil"/>
              <w:bottom w:val="nil"/>
            </w:tcBorders>
            <w:noWrap w:val="0"/>
            <w:textDirection w:val="tbRlV"/>
            <w:vAlign w:val="top"/>
          </w:tcPr>
          <w:p>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vMerge w:val="continue"/>
            <w:tcBorders>
              <w:top w:val="nil"/>
            </w:tcBorders>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269" w:type="dxa"/>
            <w:noWrap w:val="0"/>
            <w:vAlign w:val="center"/>
          </w:tcPr>
          <w:p>
            <w:pPr>
              <w:keepNext w:val="0"/>
              <w:keepLines w:val="0"/>
              <w:widowControl/>
              <w:suppressLineNumbers w:val="0"/>
              <w:jc w:val="center"/>
              <w:textAlignment w:val="center"/>
              <w:rPr>
                <w:rFonts w:ascii="Arial"/>
                <w:color w:val="000000" w:themeColor="text1"/>
                <w:sz w:val="18"/>
                <w:szCs w:val="18"/>
                <w14:textFill>
                  <w14:solidFill>
                    <w14:schemeClr w14:val="tx1"/>
                  </w14:solidFill>
                </w14:textFill>
              </w:rPr>
            </w:pPr>
            <w:r>
              <w:rPr>
                <w:rFonts w:hint="eastAsia" w:ascii="宋体" w:hAnsi="宋体" w:eastAsia="宋体" w:cs="宋体"/>
                <w:i w:val="0"/>
                <w:iCs w:val="0"/>
                <w:color w:val="000000"/>
                <w:kern w:val="0"/>
                <w:sz w:val="18"/>
                <w:szCs w:val="18"/>
                <w:u w:val="none"/>
                <w:lang w:val="en-US" w:eastAsia="zh-CN" w:bidi="ar"/>
              </w:rPr>
              <w:t>疫苗收入</w:t>
            </w:r>
          </w:p>
        </w:tc>
        <w:tc>
          <w:tcPr>
            <w:tcW w:w="1319" w:type="dxa"/>
            <w:noWrap w:val="0"/>
            <w:vAlign w:val="center"/>
          </w:tcPr>
          <w:p>
            <w:pPr>
              <w:keepNext w:val="0"/>
              <w:keepLines w:val="0"/>
              <w:widowControl/>
              <w:suppressLineNumbers w:val="0"/>
              <w:jc w:val="center"/>
              <w:textAlignment w:val="center"/>
              <w:rPr>
                <w:rFonts w:ascii="Arial"/>
                <w:color w:val="000000" w:themeColor="text1"/>
                <w:sz w:val="18"/>
                <w:szCs w:val="18"/>
                <w14:textFill>
                  <w14:solidFill>
                    <w14:schemeClr w14:val="tx1"/>
                  </w14:solidFill>
                </w14:textFill>
              </w:rPr>
            </w:pPr>
            <w:r>
              <w:rPr>
                <w:rFonts w:hint="eastAsia" w:ascii="宋体" w:hAnsi="宋体" w:eastAsia="宋体" w:cs="宋体"/>
                <w:i w:val="0"/>
                <w:iCs w:val="0"/>
                <w:color w:val="000000"/>
                <w:kern w:val="0"/>
                <w:sz w:val="18"/>
                <w:szCs w:val="18"/>
                <w:u w:val="none"/>
                <w:lang w:val="en-US" w:eastAsia="zh-CN" w:bidi="ar"/>
              </w:rPr>
              <w:t>199万元</w:t>
            </w:r>
          </w:p>
        </w:tc>
        <w:tc>
          <w:tcPr>
            <w:tcW w:w="1259" w:type="dxa"/>
            <w:noWrap w:val="0"/>
            <w:vAlign w:val="center"/>
          </w:tcPr>
          <w:p>
            <w:pPr>
              <w:keepNext w:val="0"/>
              <w:keepLines w:val="0"/>
              <w:widowControl/>
              <w:suppressLineNumbers w:val="0"/>
              <w:jc w:val="center"/>
              <w:textAlignment w:val="center"/>
              <w:rPr>
                <w:rFonts w:ascii="Arial"/>
                <w:color w:val="000000" w:themeColor="text1"/>
                <w:sz w:val="18"/>
                <w:szCs w:val="18"/>
                <w14:textFill>
                  <w14:solidFill>
                    <w14:schemeClr w14:val="tx1"/>
                  </w14:solidFill>
                </w14:textFill>
              </w:rPr>
            </w:pPr>
            <w:r>
              <w:rPr>
                <w:rFonts w:hint="eastAsia" w:ascii="宋体" w:hAnsi="宋体" w:eastAsia="宋体" w:cs="宋体"/>
                <w:i w:val="0"/>
                <w:iCs w:val="0"/>
                <w:color w:val="000000"/>
                <w:kern w:val="0"/>
                <w:sz w:val="18"/>
                <w:szCs w:val="18"/>
                <w:u w:val="none"/>
                <w:lang w:val="en-US" w:eastAsia="zh-CN" w:bidi="ar"/>
              </w:rPr>
              <w:t>199万元</w:t>
            </w:r>
          </w:p>
        </w:tc>
        <w:tc>
          <w:tcPr>
            <w:tcW w:w="719" w:type="dxa"/>
            <w:noWrap w:val="0"/>
            <w:vAlign w:val="center"/>
          </w:tcPr>
          <w:p>
            <w:pPr>
              <w:keepNext w:val="0"/>
              <w:keepLines w:val="0"/>
              <w:widowControl/>
              <w:suppressLineNumbers w:val="0"/>
              <w:jc w:val="center"/>
              <w:textAlignment w:val="center"/>
              <w:rPr>
                <w:rFonts w:ascii="Arial"/>
                <w:color w:val="000000" w:themeColor="text1"/>
                <w:sz w:val="18"/>
                <w:szCs w:val="18"/>
                <w14:textFill>
                  <w14:solidFill>
                    <w14:schemeClr w14:val="tx1"/>
                  </w14:solidFill>
                </w14:textFill>
              </w:rPr>
            </w:pPr>
            <w:r>
              <w:rPr>
                <w:rFonts w:hint="default" w:ascii="Arial" w:hAnsi="Arial" w:eastAsia="宋体" w:cs="Arial"/>
                <w:i w:val="0"/>
                <w:iCs w:val="0"/>
                <w:color w:val="000000"/>
                <w:kern w:val="0"/>
                <w:sz w:val="18"/>
                <w:szCs w:val="18"/>
                <w:u w:val="none"/>
                <w:lang w:val="en-US" w:eastAsia="zh-CN" w:bidi="ar"/>
              </w:rPr>
              <w:t>5</w:t>
            </w:r>
          </w:p>
        </w:tc>
        <w:tc>
          <w:tcPr>
            <w:tcW w:w="802" w:type="dxa"/>
            <w:noWrap w:val="0"/>
            <w:vAlign w:val="center"/>
          </w:tcPr>
          <w:p>
            <w:pPr>
              <w:keepNext w:val="0"/>
              <w:keepLines w:val="0"/>
              <w:widowControl/>
              <w:suppressLineNumbers w:val="0"/>
              <w:jc w:val="center"/>
              <w:textAlignment w:val="center"/>
              <w:rPr>
                <w:rFonts w:ascii="Arial"/>
                <w:color w:val="000000" w:themeColor="text1"/>
                <w:sz w:val="18"/>
                <w:szCs w:val="18"/>
                <w14:textFill>
                  <w14:solidFill>
                    <w14:schemeClr w14:val="tx1"/>
                  </w14:solidFill>
                </w14:textFill>
              </w:rPr>
            </w:pPr>
            <w:r>
              <w:rPr>
                <w:rFonts w:hint="default" w:ascii="Arial" w:hAnsi="Arial" w:eastAsia="宋体" w:cs="Arial"/>
                <w:i w:val="0"/>
                <w:iCs w:val="0"/>
                <w:color w:val="000000"/>
                <w:kern w:val="0"/>
                <w:sz w:val="18"/>
                <w:szCs w:val="18"/>
                <w:u w:val="none"/>
                <w:lang w:val="en-US" w:eastAsia="zh-CN" w:bidi="ar"/>
              </w:rPr>
              <w:t>5</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jc w:val="center"/>
              <w:textAlignment w:val="auto"/>
              <w:rPr>
                <w:rFonts w:ascii="Arial"/>
                <w:color w:val="000000" w:themeColor="text1"/>
                <w:sz w:val="18"/>
                <w:szCs w:val="18"/>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84" w:type="dxa"/>
            <w:vMerge w:val="continue"/>
            <w:tcBorders>
              <w:top w:val="nil"/>
              <w:bottom w:val="nil"/>
            </w:tcBorders>
            <w:noWrap w:val="0"/>
            <w:textDirection w:val="tbRlV"/>
            <w:vAlign w:val="top"/>
          </w:tcPr>
          <w:p>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12"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3"/>
                <w:sz w:val="21"/>
                <w:szCs w:val="21"/>
                <w14:textFill>
                  <w14:solidFill>
                    <w14:schemeClr w14:val="tx1"/>
                  </w14:solidFill>
                </w14:textFill>
              </w:rPr>
              <w:t>社会效</w:t>
            </w:r>
          </w:p>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3"/>
                <w:sz w:val="21"/>
                <w:szCs w:val="21"/>
                <w14:textFill>
                  <w14:solidFill>
                    <w14:schemeClr w14:val="tx1"/>
                  </w14:solidFill>
                </w14:textFill>
              </w:rPr>
              <w:t>益指标</w:t>
            </w:r>
          </w:p>
        </w:tc>
        <w:tc>
          <w:tcPr>
            <w:tcW w:w="1269" w:type="dxa"/>
            <w:noWrap w:val="0"/>
            <w:vAlign w:val="center"/>
          </w:tcPr>
          <w:p>
            <w:pPr>
              <w:keepNext w:val="0"/>
              <w:keepLines w:val="0"/>
              <w:widowControl/>
              <w:suppressLineNumbers w:val="0"/>
              <w:jc w:val="center"/>
              <w:textAlignment w:val="center"/>
              <w:rPr>
                <w:rFonts w:ascii="Arial"/>
                <w:color w:val="000000" w:themeColor="text1"/>
                <w:sz w:val="18"/>
                <w:szCs w:val="18"/>
                <w14:textFill>
                  <w14:solidFill>
                    <w14:schemeClr w14:val="tx1"/>
                  </w14:solidFill>
                </w14:textFill>
              </w:rPr>
            </w:pPr>
            <w:r>
              <w:rPr>
                <w:rFonts w:hint="eastAsia" w:ascii="宋体" w:hAnsi="宋体" w:eastAsia="宋体" w:cs="宋体"/>
                <w:i w:val="0"/>
                <w:iCs w:val="0"/>
                <w:color w:val="000000"/>
                <w:kern w:val="0"/>
                <w:sz w:val="18"/>
                <w:szCs w:val="18"/>
                <w:u w:val="none"/>
                <w:lang w:val="en-US" w:eastAsia="zh-CN" w:bidi="ar"/>
              </w:rPr>
              <w:t>重大传染病规范处置率</w:t>
            </w:r>
          </w:p>
        </w:tc>
        <w:tc>
          <w:tcPr>
            <w:tcW w:w="1319" w:type="dxa"/>
            <w:noWrap w:val="0"/>
            <w:vAlign w:val="center"/>
          </w:tcPr>
          <w:p>
            <w:pPr>
              <w:keepNext w:val="0"/>
              <w:keepLines w:val="0"/>
              <w:widowControl/>
              <w:suppressLineNumbers w:val="0"/>
              <w:jc w:val="center"/>
              <w:textAlignment w:val="center"/>
              <w:rPr>
                <w:rFonts w:hint="default" w:ascii="Arial" w:eastAsiaTheme="minorEastAsia"/>
                <w:color w:val="000000" w:themeColor="text1"/>
                <w:sz w:val="18"/>
                <w:szCs w:val="18"/>
                <w:lang w:val="en-US" w:eastAsia="zh-CN"/>
                <w14:textFill>
                  <w14:solidFill>
                    <w14:schemeClr w14:val="tx1"/>
                  </w14:solidFill>
                </w14:textFill>
              </w:rPr>
            </w:pPr>
            <w:r>
              <w:rPr>
                <w:rFonts w:hint="eastAsia" w:ascii="宋体" w:hAnsi="宋体" w:eastAsia="宋体" w:cs="宋体"/>
                <w:i w:val="0"/>
                <w:iCs w:val="0"/>
                <w:color w:val="000000"/>
                <w:kern w:val="0"/>
                <w:sz w:val="18"/>
                <w:szCs w:val="18"/>
                <w:u w:val="none"/>
                <w:lang w:val="en-US" w:eastAsia="zh-CN" w:bidi="ar"/>
              </w:rPr>
              <w:t>100%</w:t>
            </w:r>
          </w:p>
        </w:tc>
        <w:tc>
          <w:tcPr>
            <w:tcW w:w="1259" w:type="dxa"/>
            <w:noWrap w:val="0"/>
            <w:vAlign w:val="center"/>
          </w:tcPr>
          <w:p>
            <w:pPr>
              <w:keepNext w:val="0"/>
              <w:keepLines w:val="0"/>
              <w:widowControl/>
              <w:suppressLineNumbers w:val="0"/>
              <w:jc w:val="center"/>
              <w:textAlignment w:val="center"/>
              <w:rPr>
                <w:rFonts w:hint="default" w:ascii="Arial"/>
                <w:color w:val="000000" w:themeColor="text1"/>
                <w:sz w:val="18"/>
                <w:szCs w:val="18"/>
                <w:lang w:val="en-US"/>
                <w14:textFill>
                  <w14:solidFill>
                    <w14:schemeClr w14:val="tx1"/>
                  </w14:solidFill>
                </w14:textFill>
              </w:rPr>
            </w:pPr>
            <w:r>
              <w:rPr>
                <w:rFonts w:hint="eastAsia" w:ascii="宋体" w:hAnsi="宋体" w:eastAsia="宋体" w:cs="宋体"/>
                <w:i w:val="0"/>
                <w:iCs w:val="0"/>
                <w:color w:val="000000"/>
                <w:kern w:val="0"/>
                <w:sz w:val="18"/>
                <w:szCs w:val="18"/>
                <w:u w:val="none"/>
                <w:lang w:val="en-US" w:eastAsia="zh-CN" w:bidi="ar"/>
              </w:rPr>
              <w:t>100%</w:t>
            </w:r>
          </w:p>
        </w:tc>
        <w:tc>
          <w:tcPr>
            <w:tcW w:w="719" w:type="dxa"/>
            <w:noWrap w:val="0"/>
            <w:vAlign w:val="center"/>
          </w:tcPr>
          <w:p>
            <w:pPr>
              <w:keepNext w:val="0"/>
              <w:keepLines w:val="0"/>
              <w:widowControl/>
              <w:suppressLineNumbers w:val="0"/>
              <w:jc w:val="center"/>
              <w:textAlignment w:val="center"/>
              <w:rPr>
                <w:rFonts w:hint="default" w:ascii="Arial" w:eastAsiaTheme="minorEastAsia"/>
                <w:color w:val="000000" w:themeColor="text1"/>
                <w:sz w:val="18"/>
                <w:szCs w:val="18"/>
                <w:lang w:val="en-US" w:eastAsia="zh-CN"/>
                <w14:textFill>
                  <w14:solidFill>
                    <w14:schemeClr w14:val="tx1"/>
                  </w14:solidFill>
                </w14:textFill>
              </w:rPr>
            </w:pPr>
            <w:r>
              <w:rPr>
                <w:rFonts w:hint="default" w:ascii="Arial" w:hAnsi="Arial" w:eastAsia="宋体" w:cs="Arial"/>
                <w:i w:val="0"/>
                <w:iCs w:val="0"/>
                <w:color w:val="000000"/>
                <w:kern w:val="0"/>
                <w:sz w:val="18"/>
                <w:szCs w:val="18"/>
                <w:u w:val="none"/>
                <w:lang w:val="en-US" w:eastAsia="zh-CN" w:bidi="ar"/>
              </w:rPr>
              <w:t>5</w:t>
            </w:r>
          </w:p>
        </w:tc>
        <w:tc>
          <w:tcPr>
            <w:tcW w:w="802" w:type="dxa"/>
            <w:noWrap w:val="0"/>
            <w:vAlign w:val="center"/>
          </w:tcPr>
          <w:p>
            <w:pPr>
              <w:keepNext w:val="0"/>
              <w:keepLines w:val="0"/>
              <w:widowControl/>
              <w:suppressLineNumbers w:val="0"/>
              <w:jc w:val="center"/>
              <w:textAlignment w:val="center"/>
              <w:rPr>
                <w:rFonts w:hint="default" w:ascii="Arial" w:eastAsiaTheme="minorEastAsia"/>
                <w:color w:val="000000" w:themeColor="text1"/>
                <w:sz w:val="18"/>
                <w:szCs w:val="18"/>
                <w:lang w:val="en-US" w:eastAsia="zh-CN"/>
                <w14:textFill>
                  <w14:solidFill>
                    <w14:schemeClr w14:val="tx1"/>
                  </w14:solidFill>
                </w14:textFill>
              </w:rPr>
            </w:pPr>
            <w:r>
              <w:rPr>
                <w:rFonts w:hint="default" w:ascii="Arial" w:hAnsi="Arial" w:eastAsia="宋体" w:cs="Arial"/>
                <w:i w:val="0"/>
                <w:iCs w:val="0"/>
                <w:color w:val="000000"/>
                <w:kern w:val="0"/>
                <w:sz w:val="18"/>
                <w:szCs w:val="18"/>
                <w:u w:val="none"/>
                <w:lang w:val="en-US" w:eastAsia="zh-CN" w:bidi="ar"/>
              </w:rPr>
              <w:t>5</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ascii="Arial"/>
                <w:color w:val="000000" w:themeColor="text1"/>
                <w:sz w:val="18"/>
                <w:szCs w:val="18"/>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0" w:hRule="atLeast"/>
        </w:trPr>
        <w:tc>
          <w:tcPr>
            <w:tcW w:w="1084" w:type="dxa"/>
            <w:vMerge w:val="continue"/>
            <w:tcBorders>
              <w:top w:val="nil"/>
              <w:bottom w:val="nil"/>
            </w:tcBorders>
            <w:noWrap w:val="0"/>
            <w:textDirection w:val="tbRlV"/>
            <w:vAlign w:val="top"/>
          </w:tcPr>
          <w:p>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37"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3"/>
                <w:sz w:val="21"/>
                <w:szCs w:val="21"/>
                <w14:textFill>
                  <w14:solidFill>
                    <w14:schemeClr w14:val="tx1"/>
                  </w14:solidFill>
                </w14:textFill>
              </w:rPr>
              <w:t>生态效</w:t>
            </w:r>
          </w:p>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3"/>
                <w:sz w:val="21"/>
                <w:szCs w:val="21"/>
                <w14:textFill>
                  <w14:solidFill>
                    <w14:schemeClr w14:val="tx1"/>
                  </w14:solidFill>
                </w14:textFill>
              </w:rPr>
              <w:t>益指标</w:t>
            </w:r>
          </w:p>
        </w:tc>
        <w:tc>
          <w:tcPr>
            <w:tcW w:w="1269" w:type="dxa"/>
            <w:noWrap w:val="0"/>
            <w:vAlign w:val="center"/>
          </w:tcPr>
          <w:p>
            <w:pPr>
              <w:keepNext w:val="0"/>
              <w:keepLines w:val="0"/>
              <w:widowControl/>
              <w:suppressLineNumbers w:val="0"/>
              <w:jc w:val="center"/>
              <w:textAlignment w:val="center"/>
              <w:rPr>
                <w:rFonts w:ascii="Arial"/>
                <w:color w:val="000000" w:themeColor="text1"/>
                <w:sz w:val="18"/>
                <w:szCs w:val="18"/>
                <w14:textFill>
                  <w14:solidFill>
                    <w14:schemeClr w14:val="tx1"/>
                  </w14:solidFill>
                </w14:textFill>
              </w:rPr>
            </w:pPr>
            <w:r>
              <w:rPr>
                <w:rFonts w:hint="eastAsia" w:ascii="宋体" w:hAnsi="宋体" w:eastAsia="宋体" w:cs="宋体"/>
                <w:i w:val="0"/>
                <w:iCs w:val="0"/>
                <w:color w:val="000000"/>
                <w:kern w:val="0"/>
                <w:sz w:val="18"/>
                <w:szCs w:val="18"/>
                <w:u w:val="none"/>
                <w:lang w:val="en-US" w:eastAsia="zh-CN" w:bidi="ar"/>
              </w:rPr>
              <w:t>医废处置率</w:t>
            </w:r>
          </w:p>
        </w:tc>
        <w:tc>
          <w:tcPr>
            <w:tcW w:w="1319" w:type="dxa"/>
            <w:noWrap w:val="0"/>
            <w:vAlign w:val="center"/>
          </w:tcPr>
          <w:p>
            <w:pPr>
              <w:keepNext w:val="0"/>
              <w:keepLines w:val="0"/>
              <w:widowControl/>
              <w:suppressLineNumbers w:val="0"/>
              <w:jc w:val="center"/>
              <w:textAlignment w:val="center"/>
              <w:rPr>
                <w:rFonts w:hint="default" w:ascii="Arial" w:eastAsiaTheme="minorEastAsia"/>
                <w:color w:val="000000" w:themeColor="text1"/>
                <w:sz w:val="18"/>
                <w:szCs w:val="18"/>
                <w:lang w:val="en-US" w:eastAsia="zh-CN"/>
                <w14:textFill>
                  <w14:solidFill>
                    <w14:schemeClr w14:val="tx1"/>
                  </w14:solidFill>
                </w14:textFill>
              </w:rPr>
            </w:pPr>
            <w:r>
              <w:rPr>
                <w:rFonts w:hint="eastAsia" w:ascii="宋体" w:hAnsi="宋体" w:eastAsia="宋体" w:cs="宋体"/>
                <w:i w:val="0"/>
                <w:iCs w:val="0"/>
                <w:color w:val="000000"/>
                <w:kern w:val="0"/>
                <w:sz w:val="18"/>
                <w:szCs w:val="18"/>
                <w:u w:val="none"/>
                <w:lang w:val="en-US" w:eastAsia="zh-CN" w:bidi="ar"/>
              </w:rPr>
              <w:t>全部有效处置</w:t>
            </w:r>
          </w:p>
        </w:tc>
        <w:tc>
          <w:tcPr>
            <w:tcW w:w="1259" w:type="dxa"/>
            <w:noWrap w:val="0"/>
            <w:vAlign w:val="center"/>
          </w:tcPr>
          <w:p>
            <w:pPr>
              <w:keepNext w:val="0"/>
              <w:keepLines w:val="0"/>
              <w:widowControl/>
              <w:suppressLineNumbers w:val="0"/>
              <w:jc w:val="center"/>
              <w:textAlignment w:val="center"/>
              <w:rPr>
                <w:rFonts w:ascii="Arial"/>
                <w:color w:val="000000" w:themeColor="text1"/>
                <w:sz w:val="18"/>
                <w:szCs w:val="18"/>
                <w14:textFill>
                  <w14:solidFill>
                    <w14:schemeClr w14:val="tx1"/>
                  </w14:solidFill>
                </w14:textFill>
              </w:rPr>
            </w:pPr>
            <w:r>
              <w:rPr>
                <w:rFonts w:hint="eastAsia" w:ascii="宋体" w:hAnsi="宋体" w:eastAsia="宋体" w:cs="宋体"/>
                <w:i w:val="0"/>
                <w:iCs w:val="0"/>
                <w:color w:val="000000"/>
                <w:kern w:val="0"/>
                <w:sz w:val="18"/>
                <w:szCs w:val="18"/>
                <w:u w:val="none"/>
                <w:lang w:val="en-US" w:eastAsia="zh-CN" w:bidi="ar"/>
              </w:rPr>
              <w:t>全部有效处置</w:t>
            </w:r>
          </w:p>
        </w:tc>
        <w:tc>
          <w:tcPr>
            <w:tcW w:w="719" w:type="dxa"/>
            <w:noWrap w:val="0"/>
            <w:vAlign w:val="center"/>
          </w:tcPr>
          <w:p>
            <w:pPr>
              <w:keepNext w:val="0"/>
              <w:keepLines w:val="0"/>
              <w:widowControl/>
              <w:suppressLineNumbers w:val="0"/>
              <w:jc w:val="center"/>
              <w:textAlignment w:val="center"/>
              <w:rPr>
                <w:rFonts w:hint="default" w:ascii="Arial" w:eastAsiaTheme="minorEastAsia"/>
                <w:color w:val="000000" w:themeColor="text1"/>
                <w:sz w:val="18"/>
                <w:szCs w:val="18"/>
                <w:lang w:val="en-US" w:eastAsia="zh-CN"/>
                <w14:textFill>
                  <w14:solidFill>
                    <w14:schemeClr w14:val="tx1"/>
                  </w14:solidFill>
                </w14:textFill>
              </w:rPr>
            </w:pPr>
            <w:r>
              <w:rPr>
                <w:rFonts w:hint="default" w:ascii="Arial" w:hAnsi="Arial" w:eastAsia="宋体" w:cs="Arial"/>
                <w:i w:val="0"/>
                <w:iCs w:val="0"/>
                <w:color w:val="000000"/>
                <w:kern w:val="0"/>
                <w:sz w:val="18"/>
                <w:szCs w:val="18"/>
                <w:u w:val="none"/>
                <w:lang w:val="en-US" w:eastAsia="zh-CN" w:bidi="ar"/>
              </w:rPr>
              <w:t>5</w:t>
            </w:r>
          </w:p>
        </w:tc>
        <w:tc>
          <w:tcPr>
            <w:tcW w:w="802" w:type="dxa"/>
            <w:noWrap w:val="0"/>
            <w:vAlign w:val="center"/>
          </w:tcPr>
          <w:p>
            <w:pPr>
              <w:keepNext w:val="0"/>
              <w:keepLines w:val="0"/>
              <w:widowControl/>
              <w:suppressLineNumbers w:val="0"/>
              <w:jc w:val="center"/>
              <w:textAlignment w:val="center"/>
              <w:rPr>
                <w:rFonts w:hint="default" w:ascii="Arial" w:eastAsiaTheme="minorEastAsia"/>
                <w:color w:val="000000" w:themeColor="text1"/>
                <w:sz w:val="18"/>
                <w:szCs w:val="18"/>
                <w:lang w:val="en-US" w:eastAsia="zh-CN"/>
                <w14:textFill>
                  <w14:solidFill>
                    <w14:schemeClr w14:val="tx1"/>
                  </w14:solidFill>
                </w14:textFill>
              </w:rPr>
            </w:pPr>
            <w:r>
              <w:rPr>
                <w:rFonts w:hint="default" w:ascii="Arial" w:hAnsi="Arial" w:eastAsia="宋体" w:cs="Arial"/>
                <w:i w:val="0"/>
                <w:iCs w:val="0"/>
                <w:color w:val="000000"/>
                <w:kern w:val="0"/>
                <w:sz w:val="18"/>
                <w:szCs w:val="18"/>
                <w:u w:val="none"/>
                <w:lang w:val="en-US" w:eastAsia="zh-CN" w:bidi="ar"/>
              </w:rPr>
              <w:t>5</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jc w:val="center"/>
              <w:textAlignment w:val="auto"/>
              <w:rPr>
                <w:rFonts w:ascii="Arial"/>
                <w:color w:val="000000" w:themeColor="text1"/>
                <w:sz w:val="18"/>
                <w:szCs w:val="18"/>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00" w:hRule="atLeast"/>
        </w:trPr>
        <w:tc>
          <w:tcPr>
            <w:tcW w:w="1084" w:type="dxa"/>
            <w:vMerge w:val="continue"/>
            <w:tcBorders>
              <w:top w:val="nil"/>
              <w:bottom w:val="nil"/>
            </w:tcBorders>
            <w:noWrap w:val="0"/>
            <w:textDirection w:val="tbRlV"/>
            <w:vAlign w:val="top"/>
          </w:tcPr>
          <w:p>
            <w:pPr>
              <w:rPr>
                <w:rFonts w:ascii="Arial"/>
                <w:color w:val="000000" w:themeColor="text1"/>
                <w:sz w:val="21"/>
                <w14:textFill>
                  <w14:solidFill>
                    <w14:schemeClr w14:val="tx1"/>
                  </w14:solidFill>
                </w14:textFill>
              </w:rPr>
            </w:pPr>
          </w:p>
        </w:tc>
        <w:tc>
          <w:tcPr>
            <w:tcW w:w="1079"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21"/>
                <w14:textFill>
                  <w14:solidFill>
                    <w14:schemeClr w14:val="tx1"/>
                  </w14:solidFill>
                </w14:textFill>
              </w:rPr>
            </w:pPr>
          </w:p>
        </w:tc>
        <w:tc>
          <w:tcPr>
            <w:tcW w:w="1029" w:type="dxa"/>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03"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2"/>
                <w:sz w:val="21"/>
                <w:szCs w:val="21"/>
                <w14:textFill>
                  <w14:solidFill>
                    <w14:schemeClr w14:val="tx1"/>
                  </w14:solidFill>
                </w14:textFill>
              </w:rPr>
              <w:t>可持续影</w:t>
            </w:r>
          </w:p>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2"/>
                <w:sz w:val="21"/>
                <w:szCs w:val="21"/>
                <w14:textFill>
                  <w14:solidFill>
                    <w14:schemeClr w14:val="tx1"/>
                  </w14:solidFill>
                </w14:textFill>
              </w:rPr>
              <w:t>响指标</w:t>
            </w:r>
          </w:p>
        </w:tc>
        <w:tc>
          <w:tcPr>
            <w:tcW w:w="1269" w:type="dxa"/>
            <w:noWrap w:val="0"/>
            <w:vAlign w:val="center"/>
          </w:tcPr>
          <w:p>
            <w:pPr>
              <w:keepNext w:val="0"/>
              <w:keepLines w:val="0"/>
              <w:widowControl/>
              <w:suppressLineNumbers w:val="0"/>
              <w:jc w:val="center"/>
              <w:textAlignment w:val="center"/>
              <w:rPr>
                <w:rFonts w:ascii="Arial"/>
                <w:color w:val="000000" w:themeColor="text1"/>
                <w:sz w:val="18"/>
                <w:szCs w:val="18"/>
                <w14:textFill>
                  <w14:solidFill>
                    <w14:schemeClr w14:val="tx1"/>
                  </w14:solidFill>
                </w14:textFill>
              </w:rPr>
            </w:pPr>
            <w:r>
              <w:rPr>
                <w:rFonts w:hint="eastAsia" w:ascii="宋体" w:hAnsi="宋体" w:eastAsia="宋体" w:cs="宋体"/>
                <w:i w:val="0"/>
                <w:iCs w:val="0"/>
                <w:color w:val="000000"/>
                <w:kern w:val="0"/>
                <w:sz w:val="18"/>
                <w:szCs w:val="18"/>
                <w:u w:val="none"/>
                <w:lang w:val="en-US" w:eastAsia="zh-CN" w:bidi="ar"/>
              </w:rPr>
              <w:t>人才培训和技能培训</w:t>
            </w:r>
          </w:p>
        </w:tc>
        <w:tc>
          <w:tcPr>
            <w:tcW w:w="1319" w:type="dxa"/>
            <w:noWrap w:val="0"/>
            <w:vAlign w:val="center"/>
          </w:tcPr>
          <w:p>
            <w:pPr>
              <w:keepNext w:val="0"/>
              <w:keepLines w:val="0"/>
              <w:widowControl/>
              <w:suppressLineNumbers w:val="0"/>
              <w:jc w:val="center"/>
              <w:textAlignment w:val="center"/>
              <w:rPr>
                <w:rFonts w:hint="default" w:ascii="Arial" w:eastAsiaTheme="minorEastAsia"/>
                <w:color w:val="000000" w:themeColor="text1"/>
                <w:sz w:val="18"/>
                <w:szCs w:val="18"/>
                <w:lang w:val="en-US" w:eastAsia="zh-CN"/>
                <w14:textFill>
                  <w14:solidFill>
                    <w14:schemeClr w14:val="tx1"/>
                  </w14:solidFill>
                </w14:textFill>
              </w:rPr>
            </w:pPr>
            <w:r>
              <w:rPr>
                <w:rFonts w:hint="eastAsia" w:ascii="宋体" w:hAnsi="宋体" w:eastAsia="宋体" w:cs="宋体"/>
                <w:i w:val="0"/>
                <w:iCs w:val="0"/>
                <w:color w:val="000000"/>
                <w:kern w:val="0"/>
                <w:sz w:val="18"/>
                <w:szCs w:val="18"/>
                <w:u w:val="none"/>
                <w:lang w:val="en-US" w:eastAsia="zh-CN" w:bidi="ar"/>
              </w:rPr>
              <w:t>有提高</w:t>
            </w:r>
          </w:p>
        </w:tc>
        <w:tc>
          <w:tcPr>
            <w:tcW w:w="1259" w:type="dxa"/>
            <w:noWrap w:val="0"/>
            <w:vAlign w:val="center"/>
          </w:tcPr>
          <w:p>
            <w:pPr>
              <w:keepNext w:val="0"/>
              <w:keepLines w:val="0"/>
              <w:widowControl/>
              <w:suppressLineNumbers w:val="0"/>
              <w:jc w:val="center"/>
              <w:textAlignment w:val="center"/>
              <w:rPr>
                <w:rFonts w:hint="default" w:ascii="Arial" w:eastAsiaTheme="minorEastAsia"/>
                <w:color w:val="000000" w:themeColor="text1"/>
                <w:sz w:val="18"/>
                <w:szCs w:val="18"/>
                <w:lang w:val="en-US" w:eastAsia="zh-CN"/>
                <w14:textFill>
                  <w14:solidFill>
                    <w14:schemeClr w14:val="tx1"/>
                  </w14:solidFill>
                </w14:textFill>
              </w:rPr>
            </w:pPr>
            <w:r>
              <w:rPr>
                <w:rFonts w:hint="eastAsia" w:ascii="宋体" w:hAnsi="宋体" w:eastAsia="宋体" w:cs="宋体"/>
                <w:i w:val="0"/>
                <w:iCs w:val="0"/>
                <w:color w:val="000000"/>
                <w:kern w:val="0"/>
                <w:sz w:val="18"/>
                <w:szCs w:val="18"/>
                <w:u w:val="none"/>
                <w:lang w:val="en-US" w:eastAsia="zh-CN" w:bidi="ar"/>
              </w:rPr>
              <w:t>有提高</w:t>
            </w:r>
          </w:p>
        </w:tc>
        <w:tc>
          <w:tcPr>
            <w:tcW w:w="719" w:type="dxa"/>
            <w:noWrap w:val="0"/>
            <w:vAlign w:val="center"/>
          </w:tcPr>
          <w:p>
            <w:pPr>
              <w:keepNext w:val="0"/>
              <w:keepLines w:val="0"/>
              <w:widowControl/>
              <w:suppressLineNumbers w:val="0"/>
              <w:jc w:val="center"/>
              <w:textAlignment w:val="center"/>
              <w:rPr>
                <w:rFonts w:hint="default" w:ascii="Arial" w:eastAsiaTheme="minorEastAsia"/>
                <w:color w:val="000000" w:themeColor="text1"/>
                <w:sz w:val="18"/>
                <w:szCs w:val="18"/>
                <w:lang w:val="en-US" w:eastAsia="zh-CN"/>
                <w14:textFill>
                  <w14:solidFill>
                    <w14:schemeClr w14:val="tx1"/>
                  </w14:solidFill>
                </w14:textFill>
              </w:rPr>
            </w:pPr>
            <w:r>
              <w:rPr>
                <w:rFonts w:hint="default" w:ascii="Arial" w:hAnsi="Arial" w:eastAsia="宋体" w:cs="Arial"/>
                <w:i w:val="0"/>
                <w:iCs w:val="0"/>
                <w:color w:val="000000"/>
                <w:kern w:val="0"/>
                <w:sz w:val="18"/>
                <w:szCs w:val="18"/>
                <w:u w:val="none"/>
                <w:lang w:val="en-US" w:eastAsia="zh-CN" w:bidi="ar"/>
              </w:rPr>
              <w:t>5</w:t>
            </w:r>
          </w:p>
        </w:tc>
        <w:tc>
          <w:tcPr>
            <w:tcW w:w="802" w:type="dxa"/>
            <w:noWrap w:val="0"/>
            <w:vAlign w:val="center"/>
          </w:tcPr>
          <w:p>
            <w:pPr>
              <w:keepNext w:val="0"/>
              <w:keepLines w:val="0"/>
              <w:widowControl/>
              <w:suppressLineNumbers w:val="0"/>
              <w:jc w:val="center"/>
              <w:textAlignment w:val="center"/>
              <w:rPr>
                <w:rFonts w:hint="default" w:ascii="Arial" w:eastAsiaTheme="minorEastAsia"/>
                <w:color w:val="000000" w:themeColor="text1"/>
                <w:sz w:val="18"/>
                <w:szCs w:val="18"/>
                <w:lang w:val="en-US" w:eastAsia="zh-CN"/>
                <w14:textFill>
                  <w14:solidFill>
                    <w14:schemeClr w14:val="tx1"/>
                  </w14:solidFill>
                </w14:textFill>
              </w:rPr>
            </w:pPr>
            <w:r>
              <w:rPr>
                <w:rFonts w:hint="default" w:ascii="Arial" w:hAnsi="Arial" w:eastAsia="宋体" w:cs="Arial"/>
                <w:i w:val="0"/>
                <w:iCs w:val="0"/>
                <w:color w:val="000000"/>
                <w:kern w:val="0"/>
                <w:sz w:val="18"/>
                <w:szCs w:val="18"/>
                <w:u w:val="none"/>
                <w:lang w:val="en-US" w:eastAsia="zh-CN" w:bidi="ar"/>
              </w:rPr>
              <w:t>5</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ascii="Arial"/>
                <w:color w:val="000000" w:themeColor="text1"/>
                <w:sz w:val="18"/>
                <w:szCs w:val="18"/>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96" w:hRule="atLeast"/>
        </w:trPr>
        <w:tc>
          <w:tcPr>
            <w:tcW w:w="1084" w:type="dxa"/>
            <w:vMerge w:val="continue"/>
            <w:tcBorders>
              <w:top w:val="nil"/>
              <w:bottom w:val="nil"/>
            </w:tcBorders>
            <w:noWrap w:val="0"/>
            <w:textDirection w:val="tbRlV"/>
            <w:vAlign w:val="top"/>
          </w:tcPr>
          <w:p>
            <w:pPr>
              <w:rPr>
                <w:rFonts w:ascii="Arial"/>
                <w:color w:val="000000" w:themeColor="text1"/>
                <w:sz w:val="21"/>
                <w14:textFill>
                  <w14:solidFill>
                    <w14:schemeClr w14:val="tx1"/>
                  </w14:solidFill>
                </w14:textFill>
              </w:rPr>
            </w:pPr>
          </w:p>
        </w:tc>
        <w:tc>
          <w:tcPr>
            <w:tcW w:w="1079" w:type="dxa"/>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4"/>
                <w:sz w:val="21"/>
                <w:szCs w:val="21"/>
                <w14:textFill>
                  <w14:solidFill>
                    <w14:schemeClr w14:val="tx1"/>
                  </w14:solidFill>
                </w14:textFill>
              </w:rPr>
              <w:t>满意度</w:t>
            </w:r>
          </w:p>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3"/>
                <w:sz w:val="21"/>
                <w:szCs w:val="21"/>
                <w14:textFill>
                  <w14:solidFill>
                    <w14:schemeClr w14:val="tx1"/>
                  </w14:solidFill>
                </w14:textFill>
              </w:rPr>
              <w:t>指标</w:t>
            </w:r>
          </w:p>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9"/>
                <w:sz w:val="21"/>
                <w:szCs w:val="21"/>
                <w14:textFill>
                  <w14:solidFill>
                    <w14:schemeClr w14:val="tx1"/>
                  </w14:solidFill>
                </w14:textFill>
              </w:rPr>
              <w:t>(10分)</w:t>
            </w:r>
          </w:p>
        </w:tc>
        <w:tc>
          <w:tcPr>
            <w:tcW w:w="1029" w:type="dxa"/>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02"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2"/>
                <w:sz w:val="21"/>
                <w:szCs w:val="21"/>
                <w14:textFill>
                  <w14:solidFill>
                    <w14:schemeClr w14:val="tx1"/>
                  </w14:solidFill>
                </w14:textFill>
              </w:rPr>
              <w:t>服务对象</w:t>
            </w:r>
          </w:p>
          <w:p>
            <w:pPr>
              <w:keepNext w:val="0"/>
              <w:keepLines w:val="0"/>
              <w:pageBreakBefore w:val="0"/>
              <w:widowControl w:val="0"/>
              <w:kinsoku/>
              <w:wordWrap/>
              <w:overflowPunct/>
              <w:topLinePunct w:val="0"/>
              <w:autoSpaceDE/>
              <w:autoSpaceDN/>
              <w:bidi w:val="0"/>
              <w:adjustRightInd/>
              <w:snapToGrid/>
              <w:spacing w:line="219"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3"/>
                <w:sz w:val="21"/>
                <w:szCs w:val="21"/>
                <w14:textFill>
                  <w14:solidFill>
                    <w14:schemeClr w14:val="tx1"/>
                  </w14:solidFill>
                </w14:textFill>
              </w:rPr>
              <w:t>满意度指</w:t>
            </w:r>
          </w:p>
          <w:p>
            <w:pPr>
              <w:keepNext w:val="0"/>
              <w:keepLines w:val="0"/>
              <w:pageBreakBefore w:val="0"/>
              <w:widowControl w:val="0"/>
              <w:kinsoku/>
              <w:wordWrap/>
              <w:overflowPunct/>
              <w:topLinePunct w:val="0"/>
              <w:autoSpaceDE/>
              <w:autoSpaceDN/>
              <w:bidi w:val="0"/>
              <w:adjustRightInd/>
              <w:snapToGrid/>
              <w:spacing w:line="22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z w:val="21"/>
                <w:szCs w:val="21"/>
                <w14:textFill>
                  <w14:solidFill>
                    <w14:schemeClr w14:val="tx1"/>
                  </w14:solidFill>
                </w14:textFill>
              </w:rPr>
              <w:t>标</w:t>
            </w:r>
          </w:p>
        </w:tc>
        <w:tc>
          <w:tcPr>
            <w:tcW w:w="1269" w:type="dxa"/>
            <w:noWrap w:val="0"/>
            <w:vAlign w:val="center"/>
          </w:tcPr>
          <w:p>
            <w:pPr>
              <w:keepNext w:val="0"/>
              <w:keepLines w:val="0"/>
              <w:widowControl/>
              <w:suppressLineNumbers w:val="0"/>
              <w:jc w:val="center"/>
              <w:textAlignment w:val="center"/>
              <w:rPr>
                <w:rFonts w:ascii="Arial"/>
                <w:color w:val="000000" w:themeColor="text1"/>
                <w:sz w:val="18"/>
                <w:szCs w:val="18"/>
                <w14:textFill>
                  <w14:solidFill>
                    <w14:schemeClr w14:val="tx1"/>
                  </w14:solidFill>
                </w14:textFill>
              </w:rPr>
            </w:pPr>
            <w:r>
              <w:rPr>
                <w:rFonts w:hint="eastAsia" w:ascii="宋体" w:hAnsi="宋体" w:eastAsia="宋体" w:cs="宋体"/>
                <w:i w:val="0"/>
                <w:iCs w:val="0"/>
                <w:color w:val="000000"/>
                <w:kern w:val="0"/>
                <w:sz w:val="18"/>
                <w:szCs w:val="18"/>
                <w:u w:val="none"/>
                <w:lang w:val="en-US" w:eastAsia="zh-CN" w:bidi="ar"/>
              </w:rPr>
              <w:t>病患满意度</w:t>
            </w:r>
          </w:p>
        </w:tc>
        <w:tc>
          <w:tcPr>
            <w:tcW w:w="1319" w:type="dxa"/>
            <w:noWrap w:val="0"/>
            <w:vAlign w:val="center"/>
          </w:tcPr>
          <w:p>
            <w:pPr>
              <w:keepNext w:val="0"/>
              <w:keepLines w:val="0"/>
              <w:widowControl/>
              <w:suppressLineNumbers w:val="0"/>
              <w:jc w:val="center"/>
              <w:textAlignment w:val="center"/>
              <w:rPr>
                <w:rFonts w:hint="default" w:ascii="Arial" w:eastAsiaTheme="minorEastAsia"/>
                <w:color w:val="000000" w:themeColor="text1"/>
                <w:sz w:val="18"/>
                <w:szCs w:val="18"/>
                <w:lang w:val="en-US" w:eastAsia="zh-CN"/>
                <w14:textFill>
                  <w14:solidFill>
                    <w14:schemeClr w14:val="tx1"/>
                  </w14:solidFill>
                </w14:textFill>
              </w:rPr>
            </w:pPr>
            <w:r>
              <w:rPr>
                <w:rFonts w:hint="eastAsia" w:ascii="宋体" w:hAnsi="宋体" w:eastAsia="宋体" w:cs="宋体"/>
                <w:i w:val="0"/>
                <w:iCs w:val="0"/>
                <w:color w:val="000000"/>
                <w:kern w:val="0"/>
                <w:sz w:val="18"/>
                <w:szCs w:val="18"/>
                <w:u w:val="none"/>
                <w:lang w:val="en-US" w:eastAsia="zh-CN" w:bidi="ar"/>
              </w:rPr>
              <w:t>大于等于95%</w:t>
            </w:r>
          </w:p>
        </w:tc>
        <w:tc>
          <w:tcPr>
            <w:tcW w:w="1259" w:type="dxa"/>
            <w:noWrap w:val="0"/>
            <w:vAlign w:val="center"/>
          </w:tcPr>
          <w:p>
            <w:pPr>
              <w:keepNext w:val="0"/>
              <w:keepLines w:val="0"/>
              <w:widowControl/>
              <w:suppressLineNumbers w:val="0"/>
              <w:jc w:val="center"/>
              <w:textAlignment w:val="center"/>
              <w:rPr>
                <w:rFonts w:hint="default" w:ascii="Arial" w:eastAsiaTheme="minorEastAsia"/>
                <w:color w:val="000000" w:themeColor="text1"/>
                <w:sz w:val="18"/>
                <w:szCs w:val="18"/>
                <w:lang w:val="en-US" w:eastAsia="zh-CN"/>
                <w14:textFill>
                  <w14:solidFill>
                    <w14:schemeClr w14:val="tx1"/>
                  </w14:solidFill>
                </w14:textFill>
              </w:rPr>
            </w:pPr>
            <w:r>
              <w:rPr>
                <w:rFonts w:hint="eastAsia" w:ascii="宋体" w:hAnsi="宋体" w:eastAsia="宋体" w:cs="宋体"/>
                <w:i w:val="0"/>
                <w:iCs w:val="0"/>
                <w:color w:val="000000"/>
                <w:kern w:val="0"/>
                <w:sz w:val="18"/>
                <w:szCs w:val="18"/>
                <w:u w:val="none"/>
                <w:lang w:val="en-US" w:eastAsia="zh-CN" w:bidi="ar"/>
              </w:rPr>
              <w:t>100%</w:t>
            </w:r>
          </w:p>
        </w:tc>
        <w:tc>
          <w:tcPr>
            <w:tcW w:w="719" w:type="dxa"/>
            <w:noWrap w:val="0"/>
            <w:vAlign w:val="center"/>
          </w:tcPr>
          <w:p>
            <w:pPr>
              <w:keepNext w:val="0"/>
              <w:keepLines w:val="0"/>
              <w:widowControl/>
              <w:suppressLineNumbers w:val="0"/>
              <w:jc w:val="center"/>
              <w:textAlignment w:val="center"/>
              <w:rPr>
                <w:rFonts w:hint="default" w:ascii="Arial" w:eastAsiaTheme="minorEastAsia"/>
                <w:color w:val="000000" w:themeColor="text1"/>
                <w:sz w:val="18"/>
                <w:szCs w:val="18"/>
                <w:lang w:val="en-US" w:eastAsia="zh-CN"/>
                <w14:textFill>
                  <w14:solidFill>
                    <w14:schemeClr w14:val="tx1"/>
                  </w14:solidFill>
                </w14:textFill>
              </w:rPr>
            </w:pPr>
            <w:r>
              <w:rPr>
                <w:rFonts w:hint="eastAsia" w:ascii="宋体" w:hAnsi="宋体" w:eastAsia="宋体" w:cs="宋体"/>
                <w:i w:val="0"/>
                <w:iCs w:val="0"/>
                <w:color w:val="000000"/>
                <w:kern w:val="0"/>
                <w:sz w:val="18"/>
                <w:szCs w:val="18"/>
                <w:u w:val="none"/>
                <w:lang w:val="en-US" w:eastAsia="zh-CN" w:bidi="ar"/>
              </w:rPr>
              <w:t>10</w:t>
            </w:r>
          </w:p>
        </w:tc>
        <w:tc>
          <w:tcPr>
            <w:tcW w:w="802" w:type="dxa"/>
            <w:noWrap w:val="0"/>
            <w:vAlign w:val="center"/>
          </w:tcPr>
          <w:p>
            <w:pPr>
              <w:keepNext w:val="0"/>
              <w:keepLines w:val="0"/>
              <w:widowControl/>
              <w:suppressLineNumbers w:val="0"/>
              <w:jc w:val="center"/>
              <w:textAlignment w:val="center"/>
              <w:rPr>
                <w:rFonts w:hint="default" w:ascii="Arial" w:eastAsiaTheme="minorEastAsia"/>
                <w:color w:val="000000" w:themeColor="text1"/>
                <w:sz w:val="18"/>
                <w:szCs w:val="18"/>
                <w:lang w:val="en-US" w:eastAsia="zh-CN"/>
                <w14:textFill>
                  <w14:solidFill>
                    <w14:schemeClr w14:val="tx1"/>
                  </w14:solidFill>
                </w14:textFill>
              </w:rPr>
            </w:pPr>
            <w:r>
              <w:rPr>
                <w:rFonts w:hint="eastAsia" w:ascii="宋体" w:hAnsi="宋体" w:eastAsia="宋体" w:cs="宋体"/>
                <w:i w:val="0"/>
                <w:iCs w:val="0"/>
                <w:color w:val="000000"/>
                <w:kern w:val="0"/>
                <w:sz w:val="18"/>
                <w:szCs w:val="18"/>
                <w:u w:val="none"/>
                <w:lang w:val="en-US" w:eastAsia="zh-CN" w:bidi="ar"/>
              </w:rPr>
              <w:t>10</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Arial" w:eastAsiaTheme="minorEastAsia"/>
                <w:color w:val="000000" w:themeColor="text1"/>
                <w:sz w:val="18"/>
                <w:szCs w:val="18"/>
                <w:lang w:val="en-US" w:eastAsia="zh-CN"/>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5" w:hRule="atLeast"/>
        </w:trPr>
        <w:tc>
          <w:tcPr>
            <w:tcW w:w="7039" w:type="dxa"/>
            <w:gridSpan w:val="6"/>
            <w:noWrap w:val="0"/>
            <w:vAlign w:val="center"/>
          </w:tcPr>
          <w:p>
            <w:pPr>
              <w:keepNext w:val="0"/>
              <w:keepLines w:val="0"/>
              <w:pageBreakBefore w:val="0"/>
              <w:widowControl w:val="0"/>
              <w:kinsoku/>
              <w:wordWrap/>
              <w:overflowPunct/>
              <w:topLinePunct w:val="0"/>
              <w:autoSpaceDE/>
              <w:autoSpaceDN/>
              <w:bidi w:val="0"/>
              <w:adjustRightInd/>
              <w:snapToGrid/>
              <w:spacing w:line="251" w:lineRule="exact"/>
              <w:ind w:left="0" w:firstLine="3274"/>
              <w:jc w:val="center"/>
              <w:textAlignment w:val="auto"/>
              <w:rPr>
                <w:color w:val="000000" w:themeColor="text1"/>
                <w14:textFill>
                  <w14:solidFill>
                    <w14:schemeClr w14:val="tx1"/>
                  </w14:solidFill>
                </w14:textFill>
              </w:rPr>
            </w:pPr>
            <w:r>
              <w:rPr>
                <w:color w:val="000000" w:themeColor="text1"/>
                <w14:textFill>
                  <w14:solidFill>
                    <w14:schemeClr w14:val="tx1"/>
                  </w14:solidFill>
                </w14:textFill>
              </w:rPr>
              <w:drawing>
                <wp:inline distT="0" distB="0" distL="114300" distR="114300">
                  <wp:extent cx="297815" cy="158750"/>
                  <wp:effectExtent l="0" t="0" r="6985" b="13335"/>
                  <wp:docPr id="1" name="图片 1"/>
                  <wp:cNvGraphicFramePr/>
                  <a:graphic xmlns:a="http://schemas.openxmlformats.org/drawingml/2006/main">
                    <a:graphicData uri="http://schemas.openxmlformats.org/drawingml/2006/picture">
                      <pic:pic xmlns:pic="http://schemas.openxmlformats.org/drawingml/2006/picture">
                        <pic:nvPicPr>
                          <pic:cNvPr id="1" name="图片 1"/>
                          <pic:cNvPicPr/>
                        </pic:nvPicPr>
                        <pic:blipFill>
                          <a:blip r:embed="rId5"/>
                          <a:stretch>
                            <a:fillRect/>
                          </a:stretch>
                        </pic:blipFill>
                        <pic:spPr>
                          <a:xfrm>
                            <a:off x="0" y="0"/>
                            <a:ext cx="297815" cy="158750"/>
                          </a:xfrm>
                          <a:prstGeom prst="rect">
                            <a:avLst/>
                          </a:prstGeom>
                          <a:noFill/>
                          <a:ln>
                            <a:noFill/>
                          </a:ln>
                        </pic:spPr>
                      </pic:pic>
                    </a:graphicData>
                  </a:graphic>
                </wp:inline>
              </w:drawing>
            </w:r>
          </w:p>
        </w:tc>
        <w:tc>
          <w:tcPr>
            <w:tcW w:w="719" w:type="dxa"/>
            <w:noWrap w:val="0"/>
            <w:vAlign w:val="center"/>
          </w:tcPr>
          <w:p>
            <w:pPr>
              <w:keepNext w:val="0"/>
              <w:keepLines w:val="0"/>
              <w:pageBreakBefore w:val="0"/>
              <w:widowControl w:val="0"/>
              <w:kinsoku/>
              <w:wordWrap/>
              <w:overflowPunct/>
              <w:topLinePunct w:val="0"/>
              <w:autoSpaceDE/>
              <w:autoSpaceDN/>
              <w:bidi w:val="0"/>
              <w:adjustRightInd/>
              <w:snapToGrid/>
              <w:spacing w:line="160" w:lineRule="auto"/>
              <w:ind w:left="0"/>
              <w:jc w:val="center"/>
              <w:textAlignment w:val="auto"/>
              <w:rPr>
                <w:rFonts w:ascii="宋体" w:hAnsi="宋体" w:eastAsia="宋体" w:cs="宋体"/>
                <w:color w:val="000000" w:themeColor="text1"/>
                <w:sz w:val="21"/>
                <w:szCs w:val="21"/>
                <w14:textFill>
                  <w14:solidFill>
                    <w14:schemeClr w14:val="tx1"/>
                  </w14:solidFill>
                </w14:textFill>
              </w:rPr>
            </w:pPr>
            <w:r>
              <w:rPr>
                <w:rFonts w:ascii="宋体" w:hAnsi="宋体" w:eastAsia="宋体" w:cs="宋体"/>
                <w:color w:val="000000" w:themeColor="text1"/>
                <w:spacing w:val="-6"/>
                <w:sz w:val="21"/>
                <w:szCs w:val="21"/>
                <w14:textFill>
                  <w14:solidFill>
                    <w14:schemeClr w14:val="tx1"/>
                  </w14:solidFill>
                </w14:textFill>
              </w:rPr>
              <w:t>100</w:t>
            </w:r>
          </w:p>
        </w:tc>
        <w:tc>
          <w:tcPr>
            <w:tcW w:w="802"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default" w:ascii="Arial" w:eastAsiaTheme="minorEastAsia"/>
                <w:color w:val="000000" w:themeColor="text1"/>
                <w:sz w:val="21"/>
                <w:lang w:val="en-US" w:eastAsia="zh-CN"/>
                <w14:textFill>
                  <w14:solidFill>
                    <w14:schemeClr w14:val="tx1"/>
                  </w14:solidFill>
                </w14:textFill>
              </w:rPr>
            </w:pPr>
            <w:r>
              <w:rPr>
                <w:rFonts w:hint="eastAsia" w:ascii="Arial"/>
                <w:color w:val="000000" w:themeColor="text1"/>
                <w:sz w:val="21"/>
                <w:lang w:val="en-US" w:eastAsia="zh-CN"/>
                <w14:textFill>
                  <w14:solidFill>
                    <w14:schemeClr w14:val="tx1"/>
                  </w14:solidFill>
                </w14:textFill>
              </w:rPr>
              <w:t>96</w:t>
            </w:r>
          </w:p>
        </w:tc>
        <w:tc>
          <w:tcPr>
            <w:tcW w:w="1275" w:type="dxa"/>
            <w:noWrap w:val="0"/>
            <w:vAlign w:val="center"/>
          </w:tcPr>
          <w:p>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Arial" w:eastAsiaTheme="minorEastAsia"/>
                <w:color w:val="000000" w:themeColor="text1"/>
                <w:sz w:val="21"/>
                <w:lang w:val="en-US" w:eastAsia="zh-CN"/>
                <w14:textFill>
                  <w14:solidFill>
                    <w14:schemeClr w14:val="tx1"/>
                  </w14:solidFill>
                </w14:textFill>
              </w:rPr>
            </w:pPr>
          </w:p>
        </w:tc>
      </w:tr>
    </w:tbl>
    <w:p>
      <w:pPr>
        <w:keepNext w:val="0"/>
        <w:keepLines w:val="0"/>
        <w:pageBreakBefore w:val="0"/>
        <w:widowControl w:val="0"/>
        <w:kinsoku/>
        <w:wordWrap/>
        <w:overflowPunct/>
        <w:topLinePunct w:val="0"/>
        <w:autoSpaceDE/>
        <w:autoSpaceDN/>
        <w:bidi w:val="0"/>
        <w:adjustRightInd/>
        <w:snapToGrid/>
        <w:jc w:val="left"/>
        <w:textAlignment w:val="auto"/>
        <w:rPr>
          <w:rFonts w:hint="default" w:asciiTheme="majorEastAsia" w:hAnsiTheme="majorEastAsia" w:eastAsiaTheme="majorEastAsia" w:cstheme="majorEastAsia"/>
          <w:color w:val="000000" w:themeColor="text1"/>
          <w:spacing w:val="0"/>
          <w:position w:val="0"/>
          <w:sz w:val="23"/>
          <w:szCs w:val="23"/>
          <w:lang w:val="en-US" w:eastAsia="zh-CN"/>
          <w14:textFill>
            <w14:solidFill>
              <w14:schemeClr w14:val="tx1"/>
            </w14:solidFill>
          </w14:textFill>
        </w:rPr>
      </w:pPr>
      <w:r>
        <w:rPr>
          <w:rFonts w:hint="eastAsia" w:asciiTheme="majorEastAsia" w:hAnsiTheme="majorEastAsia" w:eastAsiaTheme="majorEastAsia" w:cstheme="majorEastAsia"/>
          <w:color w:val="000000" w:themeColor="text1"/>
          <w:spacing w:val="0"/>
          <w:position w:val="0"/>
          <w:sz w:val="23"/>
          <w:szCs w:val="23"/>
          <w14:textFill>
            <w14:solidFill>
              <w14:schemeClr w14:val="tx1"/>
            </w14:solidFill>
          </w14:textFill>
        </w:rPr>
        <w:t>填表人：王三喜     联系电话：15107304186  单位负责人签字：</w:t>
      </w:r>
      <w:r>
        <w:rPr>
          <w:rFonts w:hint="eastAsia" w:asciiTheme="majorEastAsia" w:hAnsiTheme="majorEastAsia" w:eastAsiaTheme="majorEastAsia" w:cstheme="majorEastAsia"/>
          <w:color w:val="000000" w:themeColor="text1"/>
          <w:spacing w:val="0"/>
          <w:position w:val="0"/>
          <w:sz w:val="23"/>
          <w:szCs w:val="23"/>
          <w:lang w:val="en-US" w:eastAsia="zh-CN"/>
          <w14:textFill>
            <w14:solidFill>
              <w14:schemeClr w14:val="tx1"/>
            </w14:solidFill>
          </w14:textFill>
        </w:rPr>
        <w:t xml:space="preserve">      </w:t>
      </w:r>
      <w:r>
        <w:rPr>
          <w:rFonts w:hint="eastAsia" w:asciiTheme="majorEastAsia" w:hAnsiTheme="majorEastAsia" w:eastAsiaTheme="majorEastAsia" w:cstheme="majorEastAsia"/>
          <w:color w:val="000000" w:themeColor="text1"/>
          <w:spacing w:val="0"/>
          <w:position w:val="0"/>
          <w:sz w:val="23"/>
          <w:szCs w:val="23"/>
          <w14:textFill>
            <w14:solidFill>
              <w14:schemeClr w14:val="tx1"/>
            </w14:solidFill>
          </w14:textFill>
        </w:rPr>
        <w:t>填报日期：</w:t>
      </w:r>
      <w:r>
        <w:rPr>
          <w:rFonts w:hint="eastAsia" w:asciiTheme="majorEastAsia" w:hAnsiTheme="majorEastAsia" w:eastAsiaTheme="majorEastAsia" w:cstheme="majorEastAsia"/>
          <w:color w:val="000000" w:themeColor="text1"/>
          <w:spacing w:val="0"/>
          <w:position w:val="0"/>
          <w:sz w:val="23"/>
          <w:szCs w:val="23"/>
          <w:lang w:val="en-US" w:eastAsia="zh-CN"/>
          <w14:textFill>
            <w14:solidFill>
              <w14:schemeClr w14:val="tx1"/>
            </w14:solidFill>
          </w14:textFill>
        </w:rPr>
        <w:t>2023-06-05</w:t>
      </w:r>
    </w:p>
    <w:p>
      <w:pPr>
        <w:keepNext w:val="0"/>
        <w:keepLines w:val="0"/>
        <w:pageBreakBefore w:val="0"/>
        <w:widowControl w:val="0"/>
        <w:kinsoku/>
        <w:wordWrap/>
        <w:overflowPunct/>
        <w:topLinePunct w:val="0"/>
        <w:autoSpaceDE/>
        <w:autoSpaceDN/>
        <w:bidi w:val="0"/>
        <w:adjustRightInd/>
        <w:snapToGrid/>
        <w:jc w:val="left"/>
        <w:textAlignment w:val="auto"/>
        <w:rPr>
          <w:rFonts w:hint="default" w:asciiTheme="majorEastAsia" w:hAnsiTheme="majorEastAsia" w:eastAsiaTheme="majorEastAsia" w:cstheme="majorEastAsia"/>
          <w:color w:val="000000" w:themeColor="text1"/>
          <w:spacing w:val="0"/>
          <w:position w:val="0"/>
          <w:sz w:val="23"/>
          <w:szCs w:val="23"/>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sectPr>
          <w:pgSz w:w="11906" w:h="16838"/>
          <w:pgMar w:top="1134" w:right="1417" w:bottom="1134" w:left="1134" w:header="851" w:footer="992" w:gutter="0"/>
          <w:pgNumType w:fmt="decimal"/>
          <w:cols w:space="0" w:num="1"/>
          <w:rtlGutter w:val="0"/>
          <w:docGrid w:type="lines" w:linePitch="312" w:charSpace="0"/>
        </w:sectPr>
      </w:pPr>
    </w:p>
    <w:p>
      <w:pPr>
        <w:keepNext w:val="0"/>
        <w:keepLines w:val="0"/>
        <w:pageBreakBefore w:val="0"/>
        <w:widowControl w:val="0"/>
        <w:kinsoku/>
        <w:wordWrap/>
        <w:overflowPunct/>
        <w:topLinePunct w:val="0"/>
        <w:autoSpaceDE/>
        <w:autoSpaceDN/>
        <w:bidi w:val="0"/>
        <w:adjustRightInd/>
        <w:snapToGrid/>
        <w:spacing w:line="240" w:lineRule="auto"/>
        <w:textAlignment w:val="auto"/>
        <w:rPr>
          <w:rFonts w:hint="default" w:ascii="黑体" w:hAnsi="黑体" w:eastAsia="黑体" w:cs="黑体"/>
          <w:b w:val="0"/>
          <w:bCs w:val="0"/>
          <w:color w:val="000000" w:themeColor="text1"/>
          <w:spacing w:val="10"/>
          <w:sz w:val="32"/>
          <w:szCs w:val="32"/>
          <w:lang w:val="en-US" w:eastAsia="zh-CN"/>
          <w14:textFill>
            <w14:solidFill>
              <w14:schemeClr w14:val="tx1"/>
            </w14:solidFill>
          </w14:textFill>
        </w:rPr>
      </w:pPr>
      <w:r>
        <w:rPr>
          <w:rFonts w:hint="default" w:ascii="黑体" w:hAnsi="黑体" w:eastAsia="黑体" w:cs="黑体"/>
          <w:b w:val="0"/>
          <w:bCs w:val="0"/>
          <w:color w:val="000000" w:themeColor="text1"/>
          <w:spacing w:val="10"/>
          <w:sz w:val="32"/>
          <w:szCs w:val="32"/>
          <w:lang w:val="en-US" w:eastAsia="zh-CN"/>
          <w14:textFill>
            <w14:solidFill>
              <w14:schemeClr w14:val="tx1"/>
            </w14:solidFill>
          </w14:textFill>
        </w:rPr>
        <w:t>附件</w:t>
      </w:r>
      <w:r>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t>3</w:t>
      </w:r>
    </w:p>
    <w:p>
      <w:pPr>
        <w:keepNext w:val="0"/>
        <w:keepLines w:val="0"/>
        <w:pageBreakBefore w:val="0"/>
        <w:widowControl w:val="0"/>
        <w:kinsoku/>
        <w:wordWrap/>
        <w:overflowPunct/>
        <w:topLinePunct w:val="0"/>
        <w:autoSpaceDE/>
        <w:autoSpaceDN/>
        <w:bidi w:val="0"/>
        <w:adjustRightInd/>
        <w:snapToGrid/>
        <w:spacing w:line="700" w:lineRule="exact"/>
        <w:ind w:firstLine="0" w:firstLineChars="0"/>
        <w:jc w:val="center"/>
        <w:textAlignment w:val="auto"/>
        <w:rPr>
          <w:rFonts w:hint="default" w:ascii="方正小标宋简体" w:hAnsi="方正小标宋简体" w:eastAsia="方正小标宋简体" w:cs="方正小标宋简体"/>
          <w:b w:val="0"/>
          <w:bCs w:val="0"/>
          <w:color w:val="000000" w:themeColor="text1"/>
          <w:spacing w:val="2"/>
          <w:sz w:val="42"/>
          <w:szCs w:val="4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700" w:lineRule="exact"/>
        <w:ind w:firstLine="0" w:firstLineChars="0"/>
        <w:jc w:val="center"/>
        <w:textAlignment w:val="auto"/>
        <w:rPr>
          <w:rFonts w:hint="default" w:ascii="方正小标宋简体" w:hAnsi="方正小标宋简体" w:eastAsia="方正小标宋简体" w:cs="方正小标宋简体"/>
          <w:b w:val="0"/>
          <w:bCs w:val="0"/>
          <w:color w:val="000000" w:themeColor="text1"/>
          <w:spacing w:val="2"/>
          <w:sz w:val="44"/>
          <w:szCs w:val="44"/>
          <w:lang w:val="en-US" w:eastAsia="zh-CN"/>
          <w14:textFill>
            <w14:solidFill>
              <w14:schemeClr w14:val="tx1"/>
            </w14:solidFill>
          </w14:textFill>
        </w:rPr>
      </w:pPr>
      <w:r>
        <w:rPr>
          <w:rFonts w:hint="default" w:ascii="方正小标宋简体" w:hAnsi="方正小标宋简体" w:eastAsia="方正小标宋简体" w:cs="方正小标宋简体"/>
          <w:b w:val="0"/>
          <w:bCs w:val="0"/>
          <w:color w:val="000000" w:themeColor="text1"/>
          <w:spacing w:val="2"/>
          <w:sz w:val="44"/>
          <w:szCs w:val="44"/>
          <w:lang w:val="en-US" w:eastAsia="zh-CN"/>
          <w14:textFill>
            <w14:solidFill>
              <w14:schemeClr w14:val="tx1"/>
            </w14:solidFill>
          </w14:textFill>
        </w:rPr>
        <w:t>2022年度</w:t>
      </w:r>
      <w:r>
        <w:rPr>
          <w:rFonts w:hint="eastAsia" w:ascii="方正小标宋简体" w:hAnsi="方正小标宋简体" w:eastAsia="方正小标宋简体" w:cs="方正小标宋简体"/>
          <w:b w:val="0"/>
          <w:bCs w:val="0"/>
          <w:color w:val="000000" w:themeColor="text1"/>
          <w:spacing w:val="2"/>
          <w:sz w:val="44"/>
          <w:szCs w:val="44"/>
          <w:lang w:val="en-US" w:eastAsia="zh-CN"/>
          <w14:textFill>
            <w14:solidFill>
              <w14:schemeClr w14:val="tx1"/>
            </w14:solidFill>
          </w14:textFill>
        </w:rPr>
        <w:t>岳阳市岳阳楼区奇家岭街道社区卫生服务中心</w:t>
      </w:r>
      <w:r>
        <w:rPr>
          <w:rFonts w:hint="default" w:ascii="方正小标宋简体" w:hAnsi="方正小标宋简体" w:eastAsia="方正小标宋简体" w:cs="方正小标宋简体"/>
          <w:b w:val="0"/>
          <w:bCs w:val="0"/>
          <w:color w:val="000000" w:themeColor="text1"/>
          <w:spacing w:val="2"/>
          <w:sz w:val="44"/>
          <w:szCs w:val="44"/>
          <w:lang w:val="en-US" w:eastAsia="zh-CN"/>
          <w14:textFill>
            <w14:solidFill>
              <w14:schemeClr w14:val="tx1"/>
            </w14:solidFill>
          </w14:textFill>
        </w:rPr>
        <w:t>单位整体支出绩效自评报告</w:t>
      </w: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楷体_GB2312" w:hAnsi="楷体_GB2312" w:eastAsia="楷体_GB2312" w:cs="楷体_GB2312"/>
          <w:color w:val="000000" w:themeColor="text1"/>
          <w:spacing w:val="0"/>
          <w:position w:val="0"/>
          <w:sz w:val="36"/>
          <w:szCs w:val="36"/>
          <w:lang w:val="en-US" w:eastAsia="zh-CN"/>
          <w14:textFill>
            <w14:solidFill>
              <w14:schemeClr w14:val="tx1"/>
            </w14:solidFill>
          </w14:textFill>
        </w:rPr>
      </w:pPr>
      <w:r>
        <w:rPr>
          <w:rFonts w:hint="eastAsia" w:ascii="楷体_GB2312" w:hAnsi="楷体_GB2312" w:eastAsia="楷体_GB2312" w:cs="楷体_GB2312"/>
          <w:color w:val="000000" w:themeColor="text1"/>
          <w:spacing w:val="0"/>
          <w:position w:val="0"/>
          <w:sz w:val="36"/>
          <w:szCs w:val="36"/>
          <w:lang w:val="en-US" w:eastAsia="zh-CN"/>
          <w14:textFill>
            <w14:solidFill>
              <w14:schemeClr w14:val="tx1"/>
            </w14:solidFill>
          </w14:textFill>
        </w:rPr>
        <w:t>部门(单位)名称：   ( 盖 章 )</w:t>
      </w:r>
    </w:p>
    <w:p>
      <w:pPr>
        <w:keepNext w:val="0"/>
        <w:keepLines w:val="0"/>
        <w:pageBreakBefore w:val="0"/>
        <w:widowControl w:val="0"/>
        <w:kinsoku/>
        <w:wordWrap/>
        <w:overflowPunct/>
        <w:topLinePunct w:val="0"/>
        <w:autoSpaceDE/>
        <w:autoSpaceDN/>
        <w:bidi w:val="0"/>
        <w:adjustRightInd/>
        <w:snapToGrid/>
        <w:ind w:left="0"/>
        <w:jc w:val="center"/>
        <w:textAlignment w:val="auto"/>
        <w:rPr>
          <w:rFonts w:hint="eastAsia" w:ascii="楷体_GB2312" w:hAnsi="楷体_GB2312" w:eastAsia="楷体_GB2312" w:cs="楷体_GB2312"/>
          <w:color w:val="000000" w:themeColor="text1"/>
          <w:spacing w:val="0"/>
          <w:position w:val="0"/>
          <w:sz w:val="36"/>
          <w:szCs w:val="36"/>
          <w:lang w:val="en-US" w:eastAsia="zh-CN"/>
          <w14:textFill>
            <w14:solidFill>
              <w14:schemeClr w14:val="tx1"/>
            </w14:solidFill>
          </w14:textFill>
        </w:rPr>
      </w:pPr>
      <w:r>
        <w:rPr>
          <w:rFonts w:hint="eastAsia" w:ascii="楷体_GB2312" w:hAnsi="楷体_GB2312" w:eastAsia="楷体_GB2312" w:cs="楷体_GB2312"/>
          <w:color w:val="000000" w:themeColor="text1"/>
          <w:spacing w:val="0"/>
          <w:position w:val="0"/>
          <w:sz w:val="36"/>
          <w:szCs w:val="36"/>
          <w:lang w:val="en-US" w:eastAsia="zh-CN"/>
          <w14:textFill>
            <w14:solidFill>
              <w14:schemeClr w14:val="tx1"/>
            </w14:solidFill>
          </w14:textFill>
        </w:rPr>
        <w:t>2023年 06 月05  日</w:t>
      </w: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700" w:lineRule="exact"/>
        <w:ind w:left="0"/>
        <w:jc w:val="center"/>
        <w:textAlignment w:val="auto"/>
        <w:rPr>
          <w:rFonts w:hint="eastAsia" w:ascii="方正小标宋简体" w:hAnsi="方正小标宋简体" w:eastAsia="方正小标宋简体" w:cs="方正小标宋简体"/>
          <w:color w:val="000000" w:themeColor="text1"/>
          <w:spacing w:val="0"/>
          <w:position w:val="0"/>
          <w:sz w:val="44"/>
          <w:szCs w:val="44"/>
          <w:lang w:val="en-US" w:eastAsia="zh-CN"/>
          <w14:textFill>
            <w14:solidFill>
              <w14:schemeClr w14:val="tx1"/>
            </w14:solidFill>
          </w14:textFill>
        </w:rPr>
      </w:pPr>
      <w:r>
        <w:rPr>
          <w:rFonts w:hint="eastAsia" w:ascii="方正小标宋简体" w:hAnsi="方正小标宋简体" w:eastAsia="方正小标宋简体" w:cs="方正小标宋简体"/>
          <w:color w:val="000000" w:themeColor="text1"/>
          <w:spacing w:val="0"/>
          <w:position w:val="0"/>
          <w:sz w:val="44"/>
          <w:szCs w:val="44"/>
          <w:lang w:val="en-US" w:eastAsia="zh-CN"/>
          <w14:textFill>
            <w14:solidFill>
              <w14:schemeClr w14:val="tx1"/>
            </w14:solidFill>
          </w14:textFill>
        </w:rPr>
        <w:t>2022年度</w:t>
      </w:r>
      <w:r>
        <w:rPr>
          <w:rFonts w:hint="eastAsia" w:ascii="方正小标宋简体" w:hAnsi="方正小标宋简体" w:eastAsia="方正小标宋简体" w:cs="方正小标宋简体"/>
          <w:b w:val="0"/>
          <w:bCs w:val="0"/>
          <w:color w:val="000000" w:themeColor="text1"/>
          <w:spacing w:val="2"/>
          <w:sz w:val="44"/>
          <w:szCs w:val="44"/>
          <w:lang w:val="en-US" w:eastAsia="zh-CN"/>
          <w14:textFill>
            <w14:solidFill>
              <w14:schemeClr w14:val="tx1"/>
            </w14:solidFill>
          </w14:textFill>
        </w:rPr>
        <w:t>岳阳市岳阳楼区奇家岭街道社区卫生服务中心</w:t>
      </w:r>
      <w:r>
        <w:rPr>
          <w:rFonts w:hint="eastAsia" w:ascii="方正小标宋简体" w:hAnsi="方正小标宋简体" w:eastAsia="方正小标宋简体" w:cs="方正小标宋简体"/>
          <w:color w:val="000000" w:themeColor="text1"/>
          <w:spacing w:val="0"/>
          <w:position w:val="0"/>
          <w:sz w:val="44"/>
          <w:szCs w:val="44"/>
          <w:lang w:val="en-US" w:eastAsia="zh-CN"/>
          <w14:textFill>
            <w14:solidFill>
              <w14:schemeClr w14:val="tx1"/>
            </w14:solidFill>
          </w14:textFill>
        </w:rPr>
        <w:t>单位整体支出绩效自评报告</w:t>
      </w: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jc w:val="left"/>
        <w:textAlignment w:val="auto"/>
        <w:rPr>
          <w:rFonts w:hint="default" w:ascii="仿宋" w:hAnsi="仿宋" w:eastAsia="仿宋" w:cs="仿宋"/>
          <w:color w:val="000000" w:themeColor="text1"/>
          <w:spacing w:val="0"/>
          <w:position w:val="0"/>
          <w:sz w:val="22"/>
          <w:szCs w:val="22"/>
          <w:lang w:val="en-US" w:eastAsia="zh-CN"/>
          <w14:textFill>
            <w14:solidFill>
              <w14:schemeClr w14:val="tx1"/>
            </w14:solidFill>
          </w14:textFill>
        </w:rPr>
      </w:pPr>
    </w:p>
    <w:p>
      <w:pPr>
        <w:keepNext w:val="0"/>
        <w:keepLines w:val="0"/>
        <w:pageBreakBefore w:val="0"/>
        <w:widowControl w:val="0"/>
        <w:numPr>
          <w:ilvl w:val="0"/>
          <w:numId w:val="1"/>
        </w:numPr>
        <w:kinsoku/>
        <w:wordWrap/>
        <w:overflowPunct/>
        <w:topLinePunct w:val="0"/>
        <w:autoSpaceDE/>
        <w:autoSpaceDN/>
        <w:bidi w:val="0"/>
        <w:adjustRightInd/>
        <w:snapToGrid/>
        <w:ind w:left="0" w:firstLine="643" w:firstLineChars="200"/>
        <w:jc w:val="left"/>
        <w:textAlignment w:val="auto"/>
        <w:rPr>
          <w:rFonts w:hint="eastAsia" w:ascii="仿宋" w:hAnsi="仿宋" w:eastAsia="仿宋" w:cs="仿宋"/>
          <w:b/>
          <w:bCs/>
          <w:color w:val="000000" w:themeColor="text1"/>
          <w:spacing w:val="0"/>
          <w:position w:val="0"/>
          <w:sz w:val="32"/>
          <w:szCs w:val="32"/>
          <w:lang w:val="en-US" w:eastAsia="zh-CN"/>
          <w14:textFill>
            <w14:solidFill>
              <w14:schemeClr w14:val="tx1"/>
            </w14:solidFill>
          </w14:textFill>
        </w:rPr>
      </w:pPr>
      <w:r>
        <w:rPr>
          <w:rFonts w:hint="eastAsia" w:ascii="仿宋" w:hAnsi="仿宋" w:eastAsia="仿宋" w:cs="仿宋"/>
          <w:b/>
          <w:bCs/>
          <w:color w:val="000000" w:themeColor="text1"/>
          <w:spacing w:val="0"/>
          <w:position w:val="0"/>
          <w:sz w:val="32"/>
          <w:szCs w:val="32"/>
          <w:lang w:val="en-US" w:eastAsia="zh-CN"/>
          <w14:textFill>
            <w14:solidFill>
              <w14:schemeClr w14:val="tx1"/>
            </w14:solidFill>
          </w14:textFill>
        </w:rPr>
        <w:t>单位基本情况</w:t>
      </w:r>
    </w:p>
    <w:p>
      <w:pPr>
        <w:widowControl/>
        <w:spacing w:line="600" w:lineRule="exact"/>
        <w:ind w:firstLine="643" w:firstLineChars="200"/>
        <w:rPr>
          <w:rFonts w:hint="eastAsia" w:ascii="仿宋" w:hAnsi="仿宋" w:eastAsia="仿宋" w:cs="仿宋"/>
          <w:b/>
          <w:bCs/>
          <w:color w:val="auto"/>
          <w:kern w:val="0"/>
          <w:sz w:val="32"/>
          <w:szCs w:val="32"/>
          <w:highlight w:val="none"/>
        </w:rPr>
      </w:pPr>
      <w:r>
        <w:rPr>
          <w:rFonts w:hint="eastAsia" w:ascii="仿宋" w:hAnsi="仿宋" w:eastAsia="仿宋" w:cs="仿宋"/>
          <w:b/>
          <w:bCs/>
          <w:color w:val="auto"/>
          <w:kern w:val="0"/>
          <w:sz w:val="32"/>
          <w:szCs w:val="32"/>
          <w:highlight w:val="none"/>
        </w:rPr>
        <w:t>（一）职能职责</w:t>
      </w:r>
    </w:p>
    <w:p>
      <w:pPr>
        <w:keepNext w:val="0"/>
        <w:keepLines w:val="0"/>
        <w:widowControl w:val="0"/>
        <w:suppressLineNumbers w:val="0"/>
        <w:spacing w:before="0" w:beforeAutospacing="0" w:after="1" w:afterAutospacing="0"/>
        <w:ind w:left="0" w:right="0" w:firstLine="641"/>
        <w:jc w:val="both"/>
        <w:rPr>
          <w:rFonts w:hint="eastAsia" w:ascii="仿宋" w:hAnsi="仿宋" w:eastAsia="仿宋" w:cs="仿宋"/>
          <w:color w:val="auto"/>
          <w:kern w:val="2"/>
          <w:sz w:val="27"/>
          <w:szCs w:val="27"/>
          <w:highlight w:val="none"/>
          <w:lang w:val="en-US" w:eastAsia="zh-CN" w:bidi="ar"/>
        </w:rPr>
      </w:pPr>
      <w:r>
        <w:rPr>
          <w:rFonts w:hint="eastAsia" w:ascii="仿宋" w:hAnsi="仿宋" w:eastAsia="仿宋" w:cs="仿宋"/>
          <w:color w:val="auto"/>
          <w:kern w:val="2"/>
          <w:sz w:val="32"/>
          <w:szCs w:val="32"/>
          <w:highlight w:val="none"/>
          <w:lang w:val="en-US" w:eastAsia="zh-CN" w:bidi="ar"/>
        </w:rPr>
        <w:t>1、根据授权，负责贯彻执行中央和省、市关于城市社区卫生服务工作的方针、政策；拟订本街道（乡）、社区（村）范围内关于基层卫生健康服务工作的规章、方案，经批准后组织实施；以辖区范围内的家庭和居民为服务对象，以妇女、儿童、老年人、慢性病人、残疾人、重性精神障碍患者、肺结核患者、贫困居民为服务重点，承担国家基本公共卫生服务项目和一般常见病、多发病的基本医疗服务。</w:t>
      </w:r>
      <w:r>
        <w:rPr>
          <w:rFonts w:hint="eastAsia" w:ascii="仿宋" w:hAnsi="仿宋" w:eastAsia="仿宋" w:cs="仿宋"/>
          <w:color w:val="auto"/>
          <w:kern w:val="2"/>
          <w:sz w:val="27"/>
          <w:szCs w:val="27"/>
          <w:highlight w:val="none"/>
          <w:lang w:val="en-US" w:eastAsia="zh-CN" w:bidi="ar"/>
        </w:rPr>
        <w:t xml:space="preserve"> </w:t>
      </w:r>
    </w:p>
    <w:p>
      <w:pPr>
        <w:keepNext w:val="0"/>
        <w:keepLines w:val="0"/>
        <w:widowControl w:val="0"/>
        <w:suppressLineNumbers w:val="0"/>
        <w:spacing w:before="0" w:beforeAutospacing="0" w:after="1" w:afterAutospacing="0"/>
        <w:ind w:left="0" w:right="0" w:firstLine="641"/>
        <w:jc w:val="both"/>
        <w:rPr>
          <w:rFonts w:hint="eastAsia" w:ascii="仿宋" w:hAnsi="仿宋" w:eastAsia="仿宋" w:cs="仿宋"/>
          <w:color w:val="auto"/>
          <w:kern w:val="2"/>
          <w:sz w:val="27"/>
          <w:szCs w:val="27"/>
          <w:highlight w:val="none"/>
          <w:lang w:val="en-US" w:eastAsia="zh-CN" w:bidi="ar"/>
        </w:rPr>
      </w:pPr>
      <w:r>
        <w:rPr>
          <w:rFonts w:hint="eastAsia" w:ascii="仿宋" w:hAnsi="仿宋" w:eastAsia="仿宋" w:cs="仿宋"/>
          <w:color w:val="auto"/>
          <w:kern w:val="2"/>
          <w:sz w:val="32"/>
          <w:szCs w:val="32"/>
          <w:highlight w:val="none"/>
          <w:lang w:val="en-US" w:eastAsia="zh-CN" w:bidi="ar"/>
        </w:rPr>
        <w:t>2、负责辖区范围内居民的家庭医生签约服务。</w:t>
      </w:r>
      <w:r>
        <w:rPr>
          <w:rFonts w:hint="eastAsia" w:ascii="仿宋" w:hAnsi="仿宋" w:eastAsia="仿宋" w:cs="仿宋"/>
          <w:color w:val="auto"/>
          <w:kern w:val="2"/>
          <w:sz w:val="27"/>
          <w:szCs w:val="27"/>
          <w:highlight w:val="none"/>
          <w:lang w:val="en-US" w:eastAsia="zh-CN" w:bidi="ar"/>
        </w:rPr>
        <w:t xml:space="preserve"> </w:t>
      </w:r>
    </w:p>
    <w:p>
      <w:pPr>
        <w:keepNext w:val="0"/>
        <w:keepLines w:val="0"/>
        <w:widowControl w:val="0"/>
        <w:suppressLineNumbers w:val="0"/>
        <w:spacing w:before="0" w:beforeAutospacing="0" w:after="1" w:afterAutospacing="0"/>
        <w:ind w:left="0" w:right="0" w:firstLine="641"/>
        <w:jc w:val="both"/>
        <w:rPr>
          <w:rFonts w:hint="eastAsia" w:ascii="仿宋" w:hAnsi="仿宋" w:eastAsia="仿宋" w:cs="仿宋"/>
          <w:color w:val="auto"/>
          <w:kern w:val="2"/>
          <w:sz w:val="27"/>
          <w:szCs w:val="27"/>
          <w:highlight w:val="none"/>
          <w:lang w:val="en-US" w:eastAsia="zh-CN" w:bidi="ar"/>
        </w:rPr>
      </w:pPr>
      <w:r>
        <w:rPr>
          <w:rFonts w:hint="eastAsia" w:ascii="仿宋" w:hAnsi="仿宋" w:eastAsia="仿宋" w:cs="仿宋"/>
          <w:color w:val="auto"/>
          <w:kern w:val="2"/>
          <w:sz w:val="32"/>
          <w:szCs w:val="32"/>
          <w:highlight w:val="none"/>
          <w:lang w:val="en-US" w:eastAsia="zh-CN" w:bidi="ar"/>
        </w:rPr>
        <w:t>3、落实分级诊疗及双向转诊的相关制度；负责社区卫生诊断，传染病疫情报告和监测，预防接种，结核病、艾滋病等重大传染病预防，常见传染病防治，地方病、寄生虫病防治，健康档案管理，爱国卫生指导等。</w:t>
      </w:r>
      <w:r>
        <w:rPr>
          <w:rFonts w:hint="eastAsia" w:ascii="仿宋" w:hAnsi="仿宋" w:eastAsia="仿宋" w:cs="仿宋"/>
          <w:color w:val="auto"/>
          <w:kern w:val="2"/>
          <w:sz w:val="27"/>
          <w:szCs w:val="27"/>
          <w:highlight w:val="none"/>
          <w:lang w:val="en-US" w:eastAsia="zh-CN" w:bidi="ar"/>
        </w:rPr>
        <w:t xml:space="preserve"> </w:t>
      </w:r>
    </w:p>
    <w:p>
      <w:pPr>
        <w:keepNext w:val="0"/>
        <w:keepLines w:val="0"/>
        <w:widowControl w:val="0"/>
        <w:suppressLineNumbers w:val="0"/>
        <w:spacing w:before="0" w:beforeAutospacing="0" w:after="1" w:afterAutospacing="0"/>
        <w:ind w:left="0" w:right="0" w:firstLine="641"/>
        <w:jc w:val="both"/>
        <w:rPr>
          <w:rFonts w:hint="eastAsia" w:ascii="仿宋" w:hAnsi="仿宋" w:eastAsia="仿宋" w:cs="仿宋"/>
          <w:color w:val="auto"/>
          <w:kern w:val="2"/>
          <w:sz w:val="27"/>
          <w:szCs w:val="27"/>
          <w:highlight w:val="none"/>
          <w:lang w:val="en-US" w:eastAsia="zh-CN" w:bidi="ar"/>
        </w:rPr>
      </w:pPr>
      <w:r>
        <w:rPr>
          <w:rFonts w:hint="eastAsia" w:ascii="仿宋" w:hAnsi="仿宋" w:eastAsia="仿宋" w:cs="仿宋"/>
          <w:color w:val="auto"/>
          <w:kern w:val="2"/>
          <w:sz w:val="32"/>
          <w:szCs w:val="32"/>
          <w:highlight w:val="none"/>
          <w:lang w:val="en-US" w:eastAsia="zh-CN" w:bidi="ar"/>
        </w:rPr>
        <w:t>4、负责残疾康复、疾病恢复期康复，家庭和社区康复训练指导等；负责卫生知识普及，个体和群体的健康管理，重点人群与重点场所健康教育，宣传健康行为和生活方式等。</w:t>
      </w:r>
      <w:r>
        <w:rPr>
          <w:rFonts w:hint="eastAsia" w:ascii="仿宋" w:hAnsi="仿宋" w:eastAsia="仿宋" w:cs="仿宋"/>
          <w:color w:val="auto"/>
          <w:kern w:val="2"/>
          <w:sz w:val="27"/>
          <w:szCs w:val="27"/>
          <w:highlight w:val="none"/>
          <w:lang w:val="en-US" w:eastAsia="zh-CN" w:bidi="ar"/>
        </w:rPr>
        <w:t xml:space="preserve"> </w:t>
      </w:r>
    </w:p>
    <w:p>
      <w:pPr>
        <w:keepNext w:val="0"/>
        <w:keepLines w:val="0"/>
        <w:widowControl w:val="0"/>
        <w:suppressLineNumbers w:val="0"/>
        <w:spacing w:before="0" w:beforeAutospacing="0" w:after="1" w:afterAutospacing="0"/>
        <w:ind w:left="0" w:right="0" w:firstLine="641"/>
        <w:jc w:val="both"/>
        <w:rPr>
          <w:rFonts w:hint="eastAsia" w:ascii="仿宋" w:hAnsi="仿宋" w:eastAsia="仿宋" w:cs="仿宋"/>
          <w:color w:val="auto"/>
          <w:kern w:val="2"/>
          <w:sz w:val="27"/>
          <w:szCs w:val="27"/>
          <w:highlight w:val="none"/>
          <w:lang w:val="en-US" w:eastAsia="zh-CN" w:bidi="ar"/>
        </w:rPr>
      </w:pPr>
      <w:r>
        <w:rPr>
          <w:rFonts w:hint="eastAsia" w:ascii="仿宋" w:hAnsi="仿宋" w:eastAsia="仿宋" w:cs="仿宋"/>
          <w:color w:val="auto"/>
          <w:kern w:val="2"/>
          <w:sz w:val="32"/>
          <w:szCs w:val="32"/>
          <w:highlight w:val="none"/>
          <w:lang w:val="en-US" w:eastAsia="zh-CN" w:bidi="ar"/>
        </w:rPr>
        <w:t>5、负责指导、管理、考核各街道社区卫生服务站（村卫生室）的相关工作。</w:t>
      </w:r>
      <w:r>
        <w:rPr>
          <w:rFonts w:hint="eastAsia" w:ascii="仿宋" w:hAnsi="仿宋" w:eastAsia="仿宋" w:cs="仿宋"/>
          <w:color w:val="auto"/>
          <w:kern w:val="2"/>
          <w:sz w:val="27"/>
          <w:szCs w:val="27"/>
          <w:highlight w:val="none"/>
          <w:lang w:val="en-US" w:eastAsia="zh-CN" w:bidi="ar"/>
        </w:rPr>
        <w:t xml:space="preserve"> </w:t>
      </w:r>
    </w:p>
    <w:p>
      <w:pPr>
        <w:widowControl/>
        <w:spacing w:line="600" w:lineRule="exact"/>
        <w:ind w:firstLine="643" w:firstLineChars="200"/>
        <w:rPr>
          <w:rFonts w:hint="eastAsia" w:ascii="仿宋" w:hAnsi="仿宋" w:eastAsia="仿宋" w:cs="仿宋"/>
          <w:b/>
          <w:bCs/>
          <w:color w:val="auto"/>
          <w:kern w:val="0"/>
          <w:sz w:val="32"/>
          <w:szCs w:val="32"/>
          <w:highlight w:val="none"/>
        </w:rPr>
      </w:pPr>
      <w:r>
        <w:rPr>
          <w:rFonts w:hint="eastAsia" w:ascii="仿宋" w:hAnsi="仿宋" w:eastAsia="仿宋" w:cs="仿宋"/>
          <w:b/>
          <w:bCs/>
          <w:color w:val="auto"/>
          <w:kern w:val="0"/>
          <w:sz w:val="32"/>
          <w:szCs w:val="32"/>
          <w:highlight w:val="none"/>
        </w:rPr>
        <w:t>（二）机构设置</w:t>
      </w:r>
    </w:p>
    <w:p>
      <w:pPr>
        <w:spacing w:before="0" w:beforeAutospacing="0" w:after="1" w:afterAutospacing="0"/>
        <w:ind w:left="0" w:firstLine="628"/>
        <w:rPr>
          <w:rFonts w:hint="eastAsia" w:ascii="仿宋" w:hAnsi="仿宋" w:eastAsia="仿宋" w:cs="仿宋"/>
          <w:color w:val="auto"/>
          <w:kern w:val="2"/>
          <w:sz w:val="21"/>
          <w:szCs w:val="21"/>
          <w:highlight w:val="none"/>
          <w:lang w:val="en-US" w:eastAsia="zh-CN"/>
        </w:rPr>
      </w:pPr>
      <w:r>
        <w:rPr>
          <w:rFonts w:hint="eastAsia" w:ascii="仿宋" w:hAnsi="仿宋" w:eastAsia="仿宋" w:cs="仿宋"/>
          <w:color w:val="auto"/>
          <w:sz w:val="32"/>
          <w:szCs w:val="32"/>
          <w:highlight w:val="none"/>
        </w:rPr>
        <w:t>岳阳市岳阳楼区奇家岭街道社区卫生服中心公益一类事业单位，为正股级；核编人员12人，在职人员７人，设主任(院长)1名</w:t>
      </w:r>
      <w:r>
        <w:rPr>
          <w:rFonts w:hint="eastAsia" w:ascii="仿宋" w:hAnsi="仿宋" w:eastAsia="仿宋" w:cs="仿宋"/>
          <w:color w:val="auto"/>
          <w:kern w:val="2"/>
          <w:sz w:val="32"/>
          <w:szCs w:val="32"/>
          <w:highlight w:val="none"/>
        </w:rPr>
        <w:t>。内设股室：</w:t>
      </w:r>
      <w:r>
        <w:rPr>
          <w:rFonts w:hint="eastAsia" w:ascii="仿宋" w:hAnsi="仿宋" w:eastAsia="仿宋" w:cs="仿宋"/>
          <w:color w:val="auto"/>
          <w:kern w:val="2"/>
          <w:sz w:val="32"/>
          <w:szCs w:val="32"/>
          <w:highlight w:val="none"/>
          <w:lang w:val="en-US" w:eastAsia="zh-CN"/>
        </w:rPr>
        <w:t>财务室、主任办公室、副主任办公室、综合办公室、收费室、工会办公室、中医诊室、心电图室、B超室、手术室、医生办公室、护理部、药房、会议室等。</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黑体" w:hAnsi="黑体" w:eastAsia="黑体" w:cs="黑体"/>
          <w:color w:val="000000" w:themeColor="text1"/>
          <w:spacing w:val="0"/>
          <w:position w:val="0"/>
          <w:sz w:val="32"/>
          <w:szCs w:val="32"/>
          <w:lang w:val="en-US" w:eastAsia="zh-CN"/>
          <w14:textFill>
            <w14:solidFill>
              <w14:schemeClr w14:val="tx1"/>
            </w14:solidFill>
          </w14:textFill>
        </w:rPr>
        <w:t>二、一般公共预算支出情况</w:t>
      </w:r>
    </w:p>
    <w:p>
      <w:pPr>
        <w:keepNext w:val="0"/>
        <w:keepLines w:val="0"/>
        <w:pageBreakBefore w:val="0"/>
        <w:widowControl w:val="0"/>
        <w:kinsoku/>
        <w:wordWrap/>
        <w:overflowPunct/>
        <w:topLinePunct w:val="0"/>
        <w:autoSpaceDE/>
        <w:autoSpaceDN/>
        <w:bidi w:val="0"/>
        <w:adjustRightInd/>
        <w:snapToGrid/>
        <w:ind w:left="0" w:firstLine="643" w:firstLineChars="200"/>
        <w:jc w:val="left"/>
        <w:textAlignment w:val="auto"/>
        <w:rPr>
          <w:rFonts w:hint="eastAsia" w:ascii="楷体_GB2312" w:hAnsi="楷体_GB2312" w:eastAsia="楷体_GB2312" w:cs="楷体_GB2312"/>
          <w:b/>
          <w:bCs/>
          <w:color w:val="000000" w:themeColor="text1"/>
          <w:spacing w:val="0"/>
          <w:position w:val="0"/>
          <w:sz w:val="32"/>
          <w:szCs w:val="32"/>
          <w:lang w:val="en-US" w:eastAsia="zh-CN"/>
          <w14:textFill>
            <w14:solidFill>
              <w14:schemeClr w14:val="tx1"/>
            </w14:solidFill>
          </w14:textFill>
        </w:rPr>
      </w:pPr>
      <w:r>
        <w:rPr>
          <w:rFonts w:hint="eastAsia" w:ascii="楷体_GB2312" w:hAnsi="楷体_GB2312" w:eastAsia="楷体_GB2312" w:cs="楷体_GB2312"/>
          <w:b/>
          <w:bCs/>
          <w:color w:val="000000" w:themeColor="text1"/>
          <w:spacing w:val="0"/>
          <w:position w:val="0"/>
          <w:sz w:val="32"/>
          <w:szCs w:val="32"/>
          <w:lang w:val="en-US" w:eastAsia="zh-CN"/>
          <w14:textFill>
            <w14:solidFill>
              <w14:schemeClr w14:val="tx1"/>
            </w14:solidFill>
          </w14:textFill>
        </w:rPr>
        <w:t>(一)基本支出情况</w:t>
      </w:r>
    </w:p>
    <w:p>
      <w:pPr>
        <w:keepNext w:val="0"/>
        <w:keepLines w:val="0"/>
        <w:pageBreakBefore w:val="0"/>
        <w:widowControl w:val="0"/>
        <w:numPr>
          <w:ilvl w:val="0"/>
          <w:numId w:val="0"/>
        </w:numPr>
        <w:kinsoku/>
        <w:wordWrap/>
        <w:overflowPunct/>
        <w:topLinePunct w:val="0"/>
        <w:autoSpaceDE/>
        <w:autoSpaceDN/>
        <w:bidi w:val="0"/>
        <w:adjustRightInd/>
        <w:snapToGrid/>
        <w:ind w:firstLine="640" w:firstLineChars="200"/>
        <w:jc w:val="left"/>
        <w:textAlignment w:val="auto"/>
        <w:rPr>
          <w:rFonts w:hint="default" w:ascii="仿宋" w:hAnsi="仿宋" w:eastAsia="仿宋" w:cs="仿宋"/>
          <w:color w:val="auto"/>
          <w:kern w:val="2"/>
          <w:sz w:val="32"/>
          <w:szCs w:val="32"/>
          <w:highlight w:val="none"/>
          <w:u w:val="none"/>
          <w:lang w:val="en-US" w:eastAsia="zh-CN"/>
        </w:rPr>
      </w:pPr>
      <w:r>
        <w:rPr>
          <w:rFonts w:hint="eastAsia" w:ascii="仿宋" w:hAnsi="仿宋" w:eastAsia="仿宋" w:cs="仿宋"/>
          <w:color w:val="auto"/>
          <w:kern w:val="2"/>
          <w:sz w:val="32"/>
          <w:szCs w:val="32"/>
          <w:highlight w:val="none"/>
          <w:u w:val="none"/>
          <w:lang w:val="en-US" w:eastAsia="zh-CN"/>
        </w:rPr>
        <w:t>2022年我单位基本支出是589.35万元，其中：人员经费：411.31万元，占基本支出的69.79%，主要是包括基本工资、绩效工资、机关事业单位养老保险缴费、职业年金缴费、职工基本医疗保险缴费、其他社会保险缴费、住房公积金、其他工资福利支出；公用经费：178.04万元，占基本支出的30.21%，主要包括办公费、印刷费、手续费、电费、邮电费、专用材料费、委托业务费、其他商品和服务支出。</w:t>
      </w:r>
    </w:p>
    <w:p>
      <w:pPr>
        <w:keepNext w:val="0"/>
        <w:keepLines w:val="0"/>
        <w:pageBreakBefore w:val="0"/>
        <w:widowControl w:val="0"/>
        <w:numPr>
          <w:ilvl w:val="0"/>
          <w:numId w:val="2"/>
        </w:numPr>
        <w:kinsoku/>
        <w:wordWrap/>
        <w:overflowPunct/>
        <w:topLinePunct w:val="0"/>
        <w:autoSpaceDE/>
        <w:autoSpaceDN/>
        <w:bidi w:val="0"/>
        <w:adjustRightInd/>
        <w:snapToGrid/>
        <w:ind w:left="0" w:firstLine="643" w:firstLineChars="200"/>
        <w:jc w:val="left"/>
        <w:textAlignment w:val="auto"/>
        <w:rPr>
          <w:rFonts w:hint="eastAsia" w:ascii="楷体_GB2312" w:hAnsi="楷体_GB2312" w:eastAsia="楷体_GB2312" w:cs="楷体_GB2312"/>
          <w:b/>
          <w:bCs/>
          <w:color w:val="000000" w:themeColor="text1"/>
          <w:spacing w:val="0"/>
          <w:position w:val="0"/>
          <w:sz w:val="32"/>
          <w:szCs w:val="32"/>
          <w:lang w:val="en-US" w:eastAsia="zh-CN"/>
          <w14:textFill>
            <w14:solidFill>
              <w14:schemeClr w14:val="tx1"/>
            </w14:solidFill>
          </w14:textFill>
        </w:rPr>
      </w:pPr>
      <w:r>
        <w:rPr>
          <w:rFonts w:hint="eastAsia" w:ascii="楷体_GB2312" w:hAnsi="楷体_GB2312" w:eastAsia="楷体_GB2312" w:cs="楷体_GB2312"/>
          <w:b/>
          <w:bCs/>
          <w:color w:val="000000" w:themeColor="text1"/>
          <w:spacing w:val="0"/>
          <w:position w:val="0"/>
          <w:sz w:val="32"/>
          <w:szCs w:val="32"/>
          <w:lang w:val="en-US" w:eastAsia="zh-CN"/>
          <w14:textFill>
            <w14:solidFill>
              <w14:schemeClr w14:val="tx1"/>
            </w14:solidFill>
          </w14:textFill>
        </w:rPr>
        <w:t>项目支出情况</w:t>
      </w:r>
    </w:p>
    <w:p>
      <w:pPr>
        <w:keepNext w:val="0"/>
        <w:keepLines w:val="0"/>
        <w:pageBreakBefore w:val="0"/>
        <w:widowControl w:val="0"/>
        <w:numPr>
          <w:ilvl w:val="0"/>
          <w:numId w:val="0"/>
        </w:numPr>
        <w:kinsoku/>
        <w:wordWrap/>
        <w:overflowPunct/>
        <w:topLinePunct w:val="0"/>
        <w:autoSpaceDE/>
        <w:autoSpaceDN/>
        <w:bidi w:val="0"/>
        <w:adjustRightInd/>
        <w:snapToGrid/>
        <w:ind w:firstLine="640" w:firstLineChars="200"/>
        <w:jc w:val="left"/>
        <w:textAlignment w:val="auto"/>
        <w:rPr>
          <w:rFonts w:hint="eastAsia"/>
          <w:lang w:val="en-US" w:eastAsia="zh-CN"/>
        </w:rPr>
      </w:pPr>
      <w:r>
        <w:rPr>
          <w:rFonts w:hint="eastAsia" w:ascii="仿宋" w:hAnsi="仿宋" w:eastAsia="仿宋" w:cs="仿宋"/>
          <w:color w:val="auto"/>
          <w:kern w:val="2"/>
          <w:sz w:val="32"/>
          <w:szCs w:val="32"/>
          <w:highlight w:val="none"/>
          <w:u w:val="none"/>
          <w:lang w:val="en-US" w:eastAsia="zh-CN"/>
        </w:rPr>
        <w:t>我单位2022年度无项目支出。</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黑体" w:hAnsi="黑体" w:eastAsia="黑体" w:cs="黑体"/>
          <w:color w:val="000000" w:themeColor="text1"/>
          <w:spacing w:val="0"/>
          <w:position w:val="0"/>
          <w:sz w:val="32"/>
          <w:szCs w:val="32"/>
          <w:lang w:val="en-US" w:eastAsia="zh-CN"/>
          <w14:textFill>
            <w14:solidFill>
              <w14:schemeClr w14:val="tx1"/>
            </w14:solidFill>
          </w14:textFill>
        </w:rPr>
        <w:t>三、政府性基金预算支出情况</w:t>
      </w:r>
    </w:p>
    <w:p>
      <w:pPr>
        <w:keepNext w:val="0"/>
        <w:keepLines w:val="0"/>
        <w:pageBreakBefore w:val="0"/>
        <w:widowControl w:val="0"/>
        <w:numPr>
          <w:ilvl w:val="0"/>
          <w:numId w:val="0"/>
        </w:numPr>
        <w:kinsoku/>
        <w:wordWrap/>
        <w:overflowPunct/>
        <w:topLinePunct w:val="0"/>
        <w:autoSpaceDE/>
        <w:autoSpaceDN/>
        <w:bidi w:val="0"/>
        <w:adjustRightInd/>
        <w:snapToGrid/>
        <w:ind w:firstLine="640" w:firstLineChars="200"/>
        <w:jc w:val="left"/>
        <w:textAlignment w:val="auto"/>
        <w:rPr>
          <w:rFonts w:hint="default" w:ascii="仿宋" w:hAnsi="仿宋" w:eastAsia="仿宋" w:cs="仿宋"/>
          <w:color w:val="auto"/>
          <w:kern w:val="2"/>
          <w:sz w:val="32"/>
          <w:szCs w:val="32"/>
          <w:highlight w:val="none"/>
          <w:u w:val="none"/>
          <w:lang w:val="en-US" w:eastAsia="zh-CN"/>
        </w:rPr>
      </w:pPr>
      <w:r>
        <w:rPr>
          <w:rFonts w:hint="eastAsia" w:ascii="仿宋" w:hAnsi="仿宋" w:eastAsia="仿宋" w:cs="仿宋"/>
          <w:color w:val="auto"/>
          <w:kern w:val="2"/>
          <w:sz w:val="32"/>
          <w:szCs w:val="32"/>
          <w:highlight w:val="none"/>
          <w:u w:val="none"/>
          <w:lang w:val="en-US" w:eastAsia="zh-CN"/>
        </w:rPr>
        <w:t>我单位2022年度无政府性基金预算。</w:t>
      </w:r>
    </w:p>
    <w:p>
      <w:pPr>
        <w:keepNext w:val="0"/>
        <w:keepLines w:val="0"/>
        <w:pageBreakBefore w:val="0"/>
        <w:widowControl w:val="0"/>
        <w:numPr>
          <w:ilvl w:val="0"/>
          <w:numId w:val="3"/>
        </w:numPr>
        <w:kinsoku/>
        <w:wordWrap/>
        <w:overflowPunct/>
        <w:topLinePunct w:val="0"/>
        <w:autoSpaceDE/>
        <w:autoSpaceDN/>
        <w:bidi w:val="0"/>
        <w:adjustRightInd/>
        <w:snapToGrid/>
        <w:ind w:left="0" w:firstLine="640" w:firstLineChars="200"/>
        <w:jc w:val="left"/>
        <w:textAlignment w:val="auto"/>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黑体" w:hAnsi="黑体" w:eastAsia="黑体" w:cs="黑体"/>
          <w:color w:val="000000" w:themeColor="text1"/>
          <w:spacing w:val="0"/>
          <w:position w:val="0"/>
          <w:sz w:val="32"/>
          <w:szCs w:val="32"/>
          <w:lang w:val="en-US" w:eastAsia="zh-CN"/>
          <w14:textFill>
            <w14:solidFill>
              <w14:schemeClr w14:val="tx1"/>
            </w14:solidFill>
          </w14:textFill>
        </w:rPr>
        <w:t>国有资本经营预算支出情况</w:t>
      </w:r>
    </w:p>
    <w:p>
      <w:pPr>
        <w:keepNext w:val="0"/>
        <w:keepLines w:val="0"/>
        <w:pageBreakBefore w:val="0"/>
        <w:widowControl w:val="0"/>
        <w:numPr>
          <w:ilvl w:val="0"/>
          <w:numId w:val="0"/>
        </w:numPr>
        <w:kinsoku/>
        <w:wordWrap/>
        <w:overflowPunct/>
        <w:topLinePunct w:val="0"/>
        <w:autoSpaceDE/>
        <w:autoSpaceDN/>
        <w:bidi w:val="0"/>
        <w:adjustRightInd/>
        <w:snapToGrid/>
        <w:ind w:leftChars="200" w:firstLine="320" w:firstLineChars="100"/>
        <w:jc w:val="left"/>
        <w:textAlignment w:val="auto"/>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仿宋" w:hAnsi="仿宋" w:eastAsia="仿宋" w:cs="仿宋"/>
          <w:color w:val="auto"/>
          <w:kern w:val="2"/>
          <w:sz w:val="32"/>
          <w:szCs w:val="32"/>
          <w:highlight w:val="none"/>
          <w:u w:val="none"/>
          <w:lang w:val="en-US" w:eastAsia="zh-CN"/>
        </w:rPr>
        <w:t>我单位2022年度无国有资本经营预算。</w:t>
      </w:r>
    </w:p>
    <w:p>
      <w:pPr>
        <w:keepNext w:val="0"/>
        <w:keepLines w:val="0"/>
        <w:pageBreakBefore w:val="0"/>
        <w:widowControl w:val="0"/>
        <w:numPr>
          <w:ilvl w:val="0"/>
          <w:numId w:val="3"/>
        </w:numPr>
        <w:kinsoku/>
        <w:wordWrap/>
        <w:overflowPunct/>
        <w:topLinePunct w:val="0"/>
        <w:autoSpaceDE/>
        <w:autoSpaceDN/>
        <w:bidi w:val="0"/>
        <w:adjustRightInd/>
        <w:snapToGrid/>
        <w:ind w:left="0" w:leftChars="0" w:firstLine="640" w:firstLineChars="200"/>
        <w:jc w:val="left"/>
        <w:textAlignment w:val="auto"/>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黑体" w:hAnsi="黑体" w:eastAsia="黑体" w:cs="黑体"/>
          <w:color w:val="000000" w:themeColor="text1"/>
          <w:spacing w:val="0"/>
          <w:position w:val="0"/>
          <w:sz w:val="32"/>
          <w:szCs w:val="32"/>
          <w:lang w:val="en-US" w:eastAsia="zh-CN"/>
          <w14:textFill>
            <w14:solidFill>
              <w14:schemeClr w14:val="tx1"/>
            </w14:solidFill>
          </w14:textFill>
        </w:rPr>
        <w:t>社会保险基金预算支出情况</w:t>
      </w:r>
    </w:p>
    <w:p>
      <w:pPr>
        <w:keepNext w:val="0"/>
        <w:keepLines w:val="0"/>
        <w:pageBreakBefore w:val="0"/>
        <w:widowControl w:val="0"/>
        <w:numPr>
          <w:ilvl w:val="0"/>
          <w:numId w:val="0"/>
        </w:numPr>
        <w:kinsoku/>
        <w:wordWrap/>
        <w:overflowPunct/>
        <w:topLinePunct w:val="0"/>
        <w:autoSpaceDE/>
        <w:autoSpaceDN/>
        <w:bidi w:val="0"/>
        <w:adjustRightInd/>
        <w:snapToGrid/>
        <w:ind w:leftChars="200" w:firstLine="320" w:firstLineChars="100"/>
        <w:jc w:val="left"/>
        <w:textAlignment w:val="auto"/>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仿宋" w:hAnsi="仿宋" w:eastAsia="仿宋" w:cs="仿宋"/>
          <w:color w:val="auto"/>
          <w:kern w:val="2"/>
          <w:sz w:val="32"/>
          <w:szCs w:val="32"/>
          <w:highlight w:val="none"/>
          <w:u w:val="none"/>
          <w:lang w:val="en-US" w:eastAsia="zh-CN"/>
        </w:rPr>
        <w:t>我单位2022年度无社会保险基金预算。</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黑体" w:hAnsi="黑体" w:eastAsia="黑体" w:cs="黑体"/>
          <w:color w:val="000000" w:themeColor="text1"/>
          <w:spacing w:val="0"/>
          <w:position w:val="0"/>
          <w:sz w:val="32"/>
          <w:szCs w:val="32"/>
          <w:lang w:val="en-US" w:eastAsia="zh-CN"/>
          <w14:textFill>
            <w14:solidFill>
              <w14:schemeClr w14:val="tx1"/>
            </w14:solidFill>
          </w14:textFill>
        </w:rPr>
        <w:t>六、部门整体支出绩效情况</w:t>
      </w:r>
    </w:p>
    <w:p>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leftChars="0" w:firstLine="643" w:firstLineChars="200"/>
        <w:jc w:val="left"/>
        <w:rPr>
          <w:rFonts w:hint="eastAsia" w:ascii="楷体" w:hAnsi="楷体" w:eastAsia="楷体" w:cs="楷体"/>
          <w:b/>
          <w:bCs/>
          <w:sz w:val="32"/>
          <w:szCs w:val="32"/>
          <w:lang w:eastAsia="zh-CN"/>
        </w:rPr>
      </w:pPr>
      <w:r>
        <w:rPr>
          <w:rFonts w:hint="eastAsia" w:ascii="楷体" w:hAnsi="楷体" w:eastAsia="楷体" w:cs="楷体"/>
          <w:b/>
          <w:bCs/>
          <w:sz w:val="32"/>
          <w:szCs w:val="32"/>
          <w:lang w:eastAsia="zh-CN"/>
        </w:rPr>
        <w:t>（一）发挥党建引领，建好基层党建堡垒</w:t>
      </w:r>
    </w:p>
    <w:p>
      <w:pPr>
        <w:keepNext w:val="0"/>
        <w:keepLines w:val="0"/>
        <w:pageBreakBefore w:val="0"/>
        <w:widowControl w:val="0"/>
        <w:kinsoku/>
        <w:wordWrap/>
        <w:overflowPunct/>
        <w:topLinePunct w:val="0"/>
        <w:autoSpaceDE/>
        <w:autoSpaceDN/>
        <w:bidi w:val="0"/>
        <w:adjustRightInd/>
        <w:snapToGrid/>
        <w:spacing w:line="600" w:lineRule="exact"/>
        <w:ind w:leftChars="0" w:firstLine="640" w:firstLineChars="200"/>
        <w:rPr>
          <w:rFonts w:hint="eastAsia" w:ascii="仿宋_GB2312" w:hAnsi="仿宋_GB2312" w:eastAsia="仿宋_GB2312" w:cs="仿宋_GB2312"/>
          <w:b w:val="0"/>
          <w:kern w:val="2"/>
          <w:sz w:val="32"/>
          <w:szCs w:val="32"/>
          <w:lang w:val="en-US" w:eastAsia="zh-CN" w:bidi="ar-SA"/>
        </w:rPr>
      </w:pPr>
      <w:r>
        <w:rPr>
          <w:rFonts w:hint="eastAsia" w:ascii="仿宋_GB2312" w:hAnsi="仿宋_GB2312" w:eastAsia="仿宋_GB2312" w:cs="仿宋_GB2312"/>
          <w:b w:val="0"/>
          <w:kern w:val="2"/>
          <w:sz w:val="32"/>
          <w:szCs w:val="32"/>
          <w:lang w:val="en-US" w:eastAsia="zh-CN" w:bidi="ar-SA"/>
        </w:rPr>
        <w:t>为充分发挥战斗堡垒作用、党员干部发挥先锋模范作用，以扎实举措坚决做好疫情防控常态化工作，鼓励职工在履职尽责上显担当、在服务群众上树形象、在遵规守纪上做表率，进一步发挥基层党支部作用，把“红色堡垒”筑在工作最前沿，让疫情防控有了“主心骨”。截止目前，中心成立疫情防控党员先锋队、设立党员示范岗，全体党员投入到疫情防控工作中，特别是红黄码人员管控、追阳以及全面推进</w:t>
      </w:r>
      <w:r>
        <w:rPr>
          <w:rFonts w:hint="eastAsia" w:ascii="仿宋_GB2312" w:hAnsi="仿宋_GB2312" w:eastAsia="仿宋_GB2312" w:cs="仿宋_GB2312"/>
          <w:sz w:val="32"/>
          <w:szCs w:val="32"/>
        </w:rPr>
        <w:t>60岁以上人群疫苗接种</w:t>
      </w:r>
      <w:r>
        <w:rPr>
          <w:rFonts w:hint="eastAsia" w:ascii="仿宋_GB2312" w:hAnsi="仿宋_GB2312" w:eastAsia="仿宋_GB2312" w:cs="仿宋_GB2312"/>
          <w:b w:val="0"/>
          <w:kern w:val="2"/>
          <w:sz w:val="32"/>
          <w:szCs w:val="32"/>
          <w:lang w:val="en-US" w:eastAsia="zh-CN" w:bidi="ar-SA"/>
        </w:rPr>
        <w:t>等岗位上，支部党员都冲锋在前。</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jc w:val="both"/>
        <w:textAlignment w:val="auto"/>
        <w:rPr>
          <w:rFonts w:hint="eastAsia" w:ascii="仿宋_GB2312" w:hAnsi="仿宋_GB2312" w:eastAsia="仿宋_GB2312" w:cs="仿宋_GB2312"/>
          <w:i w:val="0"/>
          <w:caps w:val="0"/>
          <w:color w:val="auto"/>
          <w:spacing w:val="0"/>
          <w:kern w:val="0"/>
          <w:sz w:val="32"/>
          <w:szCs w:val="32"/>
          <w:shd w:val="clear" w:color="auto" w:fill="FFFFFF"/>
          <w:lang w:val="en-US" w:eastAsia="zh-CN" w:bidi="ar"/>
        </w:rPr>
      </w:pPr>
      <w:r>
        <w:rPr>
          <w:rFonts w:hint="eastAsia" w:ascii="仿宋_GB2312" w:hAnsi="仿宋_GB2312" w:eastAsia="仿宋_GB2312" w:cs="仿宋_GB2312"/>
          <w:i w:val="0"/>
          <w:caps w:val="0"/>
          <w:color w:val="auto"/>
          <w:spacing w:val="0"/>
          <w:kern w:val="0"/>
          <w:sz w:val="32"/>
          <w:szCs w:val="32"/>
          <w:shd w:val="clear" w:color="auto" w:fill="FFFFFF"/>
          <w:lang w:val="en-US" w:eastAsia="zh-CN" w:bidi="ar"/>
        </w:rPr>
        <w:t>为纵深推进“四亮”主题活动，明确“亮”的标准和要求、“创”的内容和举措，今年中心党支部举行换届选举活动、7月份组织召开了“四亮”主题活动专题组织生活会，会上书记组织大家学习区卫生健康局党委书记、局长周七亿讲党课“坚定理想信念跟党走，立足平凡岗位作奉献”和“四个不断提高”，并对“建设副中心、我来当先锋”有关省域副中心城市建设提出了宝贵的意见。先后开展</w:t>
      </w:r>
      <w:r>
        <w:rPr>
          <w:rFonts w:hint="eastAsia" w:ascii="仿宋_GB2312" w:hAnsi="楷体" w:eastAsia="仿宋_GB2312"/>
          <w:sz w:val="32"/>
          <w:szCs w:val="32"/>
          <w:lang w:val="en-US" w:eastAsia="zh-CN"/>
        </w:rPr>
        <w:t>“春节慰问困难户 浓浓关怀暖人心”我为群众办实事活动、“党员干部齐上阵 清扫积雪保安全”我为群众办实事活动、“核酸采样进高校，助力校园疫情常态化防控”主题活动、“核酸检测有温度 抗疫先锋党旗飘”四亮主题活动、</w:t>
      </w:r>
      <w:r>
        <w:rPr>
          <w:rFonts w:hint="eastAsia" w:ascii="仿宋_GB2312" w:hAnsi="仿宋_GB2312" w:eastAsia="仿宋_GB2312" w:cs="仿宋_GB2312"/>
          <w:i w:val="0"/>
          <w:caps w:val="0"/>
          <w:color w:val="auto"/>
          <w:spacing w:val="0"/>
          <w:kern w:val="0"/>
          <w:sz w:val="32"/>
          <w:szCs w:val="32"/>
          <w:shd w:val="clear" w:color="auto" w:fill="FFFFFF"/>
          <w:lang w:val="en-US" w:eastAsia="zh-CN" w:bidi="ar"/>
        </w:rPr>
        <w:t>“发挥党员先锋模范作用，扎实推进老年人 新冠疫苗接种”四亮活动、“服务老人筑防线 疫苗接种零距离”四亮主题活动、“传承红色基因，争做最美护士”演讲比赛、“党建引领润民心 炎炎夏日送清凉”我为群众办实事实践活动、“中国医师节”暨集中慰问隔离点医务人员活动、“办好一次会、带活一座城”活动；为重点人群“免费派送防疫包”等。通过这些活动，充分发挥了党员干部的先锋模范作用，将“党建引领”融入到群众”家门口“的暖心服务中，让“先锋红”成为疫情防控前沿阵地的最亮底色、最强支撑。通过开展这一系列的活动，使支部的党员干部加强了党性党纪修养，加强了作风建设、筑牢了政治思想防线。增强了团队凝聚力，推助中心工作高质量发展，奋力谱写新时代卫健系统行业新篇章。</w:t>
      </w:r>
    </w:p>
    <w:p>
      <w:pPr>
        <w:keepNext w:val="0"/>
        <w:keepLines w:val="0"/>
        <w:pageBreakBefore w:val="0"/>
        <w:widowControl w:val="0"/>
        <w:numPr>
          <w:ilvl w:val="0"/>
          <w:numId w:val="0"/>
        </w:numPr>
        <w:kinsoku/>
        <w:wordWrap/>
        <w:overflowPunct/>
        <w:topLinePunct w:val="0"/>
        <w:autoSpaceDE/>
        <w:autoSpaceDN/>
        <w:bidi w:val="0"/>
        <w:adjustRightInd/>
        <w:snapToGrid/>
        <w:spacing w:after="0" w:line="600" w:lineRule="exact"/>
        <w:ind w:left="200" w:leftChars="0" w:firstLine="643" w:firstLineChars="200"/>
        <w:jc w:val="both"/>
        <w:textAlignment w:val="auto"/>
        <w:rPr>
          <w:rFonts w:hint="default" w:ascii="楷体" w:hAnsi="楷体" w:eastAsia="楷体" w:cs="楷体"/>
          <w:b/>
          <w:bCs/>
          <w:kern w:val="2"/>
          <w:sz w:val="32"/>
          <w:szCs w:val="32"/>
          <w:lang w:val="en-US" w:eastAsia="zh-CN" w:bidi="ar-SA"/>
        </w:rPr>
      </w:pPr>
      <w:r>
        <w:rPr>
          <w:rFonts w:hint="eastAsia" w:ascii="楷体" w:hAnsi="楷体" w:eastAsia="楷体" w:cs="楷体"/>
          <w:b/>
          <w:bCs/>
          <w:kern w:val="2"/>
          <w:sz w:val="32"/>
          <w:szCs w:val="32"/>
          <w:lang w:val="en-US" w:eastAsia="zh-CN" w:bidi="ar-SA"/>
        </w:rPr>
        <w:t>（二）加强党风廉政，建设清正廉洁医院</w:t>
      </w:r>
    </w:p>
    <w:p>
      <w:pPr>
        <w:keepNext w:val="0"/>
        <w:keepLines w:val="0"/>
        <w:pageBreakBefore w:val="0"/>
        <w:widowControl w:val="0"/>
        <w:numPr>
          <w:ilvl w:val="0"/>
          <w:numId w:val="0"/>
        </w:numPr>
        <w:shd w:val="clear" w:color="auto" w:fill="FFFFFF"/>
        <w:kinsoku/>
        <w:wordWrap/>
        <w:overflowPunct/>
        <w:topLinePunct w:val="0"/>
        <w:autoSpaceDE/>
        <w:autoSpaceDN/>
        <w:bidi w:val="0"/>
        <w:adjustRightInd/>
        <w:snapToGrid/>
        <w:spacing w:beforeAutospacing="0" w:afterAutospacing="0" w:line="600" w:lineRule="exact"/>
        <w:ind w:leftChars="0" w:firstLine="640" w:firstLineChars="200"/>
        <w:jc w:val="left"/>
        <w:textAlignment w:val="auto"/>
        <w:rPr>
          <w:rFonts w:hint="default" w:ascii="仿宋_GB2312" w:hAnsi="仿宋_GB2312" w:eastAsia="仿宋_GB2312" w:cs="仿宋_GB2312"/>
          <w:b w:val="0"/>
          <w:kern w:val="2"/>
          <w:sz w:val="32"/>
          <w:szCs w:val="32"/>
          <w:lang w:val="en-US" w:eastAsia="zh-CN" w:bidi="ar-SA"/>
        </w:rPr>
      </w:pPr>
      <w:r>
        <w:rPr>
          <w:rFonts w:hint="eastAsia" w:ascii="仿宋_GB2312" w:hAnsi="仿宋_GB2312" w:eastAsia="仿宋_GB2312" w:cs="仿宋_GB2312"/>
          <w:b w:val="0"/>
          <w:kern w:val="2"/>
          <w:sz w:val="32"/>
          <w:szCs w:val="32"/>
          <w:lang w:val="en-US" w:eastAsia="zh-CN" w:bidi="ar-SA"/>
        </w:rPr>
        <w:t>年初将党风廉政建设工作纳入工作总体部署和年度考核重要内容，与业务工作一同部署、一同考核，并将工作责任合理分解，层层落实；明确重点，扎实开展专项整治；对科室负责人、重点岗位负责人开展了廉政谈话。按规定开展区纪委要求传达的学习内容，资料完善；组织全体干部职工开展廉政警示教育，制定考勤制度，每月1次作风督查通报，通过微信群公示。每月开展纠“四风”自查自纠工作，每月开展了文明节俭操办婚丧喜庆事宜自查自纠工作，及时上报区纪委要求上报的各项工作报表。在大厅设置了举报信箱、公开举报电话和接受举报电子邮箱。外出学习培训、因私出国（境）、政府采购等按要求进行了报备，及时向局党委报告了《中国共产党重大事项请示报告条例》规定的事项。组织开展了清廉医院建设工作及违规收送红包礼金专项整治工作。</w:t>
      </w:r>
    </w:p>
    <w:p>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leftChars="0" w:firstLine="643" w:firstLineChars="200"/>
        <w:jc w:val="left"/>
        <w:rPr>
          <w:rFonts w:hint="eastAsia" w:ascii="楷体" w:hAnsi="楷体" w:eastAsia="楷体" w:cs="楷体"/>
          <w:b/>
          <w:bCs/>
          <w:sz w:val="32"/>
          <w:szCs w:val="32"/>
          <w:lang w:val="en-US" w:eastAsia="zh-CN"/>
        </w:rPr>
      </w:pPr>
      <w:r>
        <w:rPr>
          <w:rFonts w:hint="eastAsia" w:ascii="楷体" w:hAnsi="楷体" w:eastAsia="楷体" w:cs="楷体"/>
          <w:b/>
          <w:bCs/>
          <w:sz w:val="32"/>
          <w:szCs w:val="32"/>
          <w:lang w:val="en-US" w:eastAsia="zh-CN"/>
        </w:rPr>
        <w:t>（三）增强意识形态，提升职工思想深度</w:t>
      </w:r>
    </w:p>
    <w:p>
      <w:pPr>
        <w:keepNext w:val="0"/>
        <w:keepLines w:val="0"/>
        <w:pageBreakBefore w:val="0"/>
        <w:widowControl w:val="0"/>
        <w:kinsoku/>
        <w:wordWrap/>
        <w:overflowPunct/>
        <w:topLinePunct w:val="0"/>
        <w:autoSpaceDE/>
        <w:autoSpaceDN/>
        <w:bidi w:val="0"/>
        <w:adjustRightInd/>
        <w:snapToGrid/>
        <w:spacing w:line="600" w:lineRule="exact"/>
        <w:ind w:leftChars="0" w:firstLine="640" w:firstLineChars="200"/>
        <w:textAlignment w:val="auto"/>
        <w:rPr>
          <w:rFonts w:hint="eastAsia" w:ascii="仿宋_GB2312" w:hAnsi="仿宋_GB2312" w:eastAsia="仿宋_GB2312" w:cs="仿宋_GB2312"/>
          <w:b w:val="0"/>
          <w:kern w:val="2"/>
          <w:sz w:val="32"/>
          <w:szCs w:val="32"/>
          <w:lang w:val="en-US" w:eastAsia="zh-CN" w:bidi="ar-SA"/>
        </w:rPr>
      </w:pPr>
      <w:r>
        <w:rPr>
          <w:rFonts w:hint="eastAsia" w:ascii="仿宋_GB2312" w:hAnsi="仿宋_GB2312" w:eastAsia="仿宋_GB2312" w:cs="仿宋_GB2312"/>
          <w:b w:val="0"/>
          <w:kern w:val="2"/>
          <w:sz w:val="32"/>
          <w:szCs w:val="32"/>
          <w:lang w:val="en-US" w:eastAsia="zh-CN" w:bidi="ar-SA"/>
        </w:rPr>
        <w:t>严格按照局党委意识形态工作的决策部署，深入学习贯彻习近平总书记系列重要讲话精神及党的二十大会议精神。 采取集中学习、自主学习等方式组织中心全体职工开展理论业务学习，全年共开展集中学习12次。先后组织开展了学习《习近平谈治国理政》第四卷宣讲报告会；学习贯彻党的二十大会议精神理论宣讲、</w:t>
      </w:r>
      <w:r>
        <w:rPr>
          <w:rFonts w:hint="eastAsia" w:ascii="仿宋_GB2312" w:hAnsi="仿宋_GB2312" w:eastAsia="仿宋_GB2312" w:cs="仿宋_GB2312"/>
          <w:i w:val="0"/>
          <w:caps w:val="0"/>
          <w:color w:val="auto"/>
          <w:spacing w:val="0"/>
          <w:kern w:val="0"/>
          <w:sz w:val="32"/>
          <w:szCs w:val="32"/>
          <w:shd w:val="clear" w:color="auto" w:fill="FFFFFF"/>
          <w:lang w:val="en-US" w:eastAsia="zh-CN" w:bidi="ar"/>
        </w:rPr>
        <w:t>学习区卫生健康局党委书记、局长周七亿讲党课“坚定理想信念跟党走，立足平凡岗位作奉献”和“四个不断提高”等</w:t>
      </w:r>
      <w:r>
        <w:rPr>
          <w:rFonts w:hint="eastAsia" w:ascii="仿宋_GB2312" w:hAnsi="仿宋_GB2312" w:eastAsia="仿宋_GB2312" w:cs="仿宋_GB2312"/>
          <w:b w:val="0"/>
          <w:kern w:val="2"/>
          <w:sz w:val="32"/>
          <w:szCs w:val="32"/>
          <w:lang w:val="en-US" w:eastAsia="zh-CN" w:bidi="ar-SA"/>
        </w:rPr>
        <w:t>宣讲活动。全年新闻媒体发表相关宣传报道区级报道9篇，市级报道8篇，省级报道1篇。</w:t>
      </w:r>
    </w:p>
    <w:p>
      <w:pPr>
        <w:keepNext w:val="0"/>
        <w:keepLines w:val="0"/>
        <w:pageBreakBefore w:val="0"/>
        <w:widowControl w:val="0"/>
        <w:numPr>
          <w:ilvl w:val="0"/>
          <w:numId w:val="0"/>
        </w:numPr>
        <w:kinsoku/>
        <w:wordWrap/>
        <w:overflowPunct/>
        <w:topLinePunct w:val="0"/>
        <w:autoSpaceDE/>
        <w:autoSpaceDN/>
        <w:bidi w:val="0"/>
        <w:adjustRightInd/>
        <w:snapToGrid/>
        <w:spacing w:after="0" w:line="600" w:lineRule="exact"/>
        <w:ind w:left="200" w:leftChars="0" w:firstLine="643" w:firstLineChars="200"/>
        <w:jc w:val="both"/>
        <w:textAlignment w:val="auto"/>
        <w:rPr>
          <w:rFonts w:hint="eastAsia" w:ascii="楷体" w:hAnsi="楷体" w:eastAsia="楷体" w:cs="楷体"/>
          <w:b/>
          <w:bCs/>
          <w:kern w:val="2"/>
          <w:sz w:val="32"/>
          <w:szCs w:val="32"/>
          <w:lang w:val="en-US" w:eastAsia="zh-CN" w:bidi="ar-SA"/>
        </w:rPr>
      </w:pPr>
      <w:r>
        <w:rPr>
          <w:rFonts w:hint="eastAsia" w:ascii="楷体" w:hAnsi="楷体" w:eastAsia="楷体" w:cs="楷体"/>
          <w:b/>
          <w:bCs/>
          <w:kern w:val="2"/>
          <w:sz w:val="32"/>
          <w:szCs w:val="32"/>
          <w:lang w:val="en-US" w:eastAsia="zh-CN" w:bidi="ar-SA"/>
        </w:rPr>
        <w:t>（四）狠抓安全生产，确保质量齐抓共管</w:t>
      </w:r>
    </w:p>
    <w:p>
      <w:pPr>
        <w:keepNext w:val="0"/>
        <w:keepLines w:val="0"/>
        <w:pageBreakBefore w:val="0"/>
        <w:widowControl w:val="0"/>
        <w:numPr>
          <w:ilvl w:val="0"/>
          <w:numId w:val="0"/>
        </w:numPr>
        <w:shd w:val="clear" w:color="auto" w:fill="FFFFFF"/>
        <w:kinsoku/>
        <w:wordWrap/>
        <w:overflowPunct/>
        <w:topLinePunct w:val="0"/>
        <w:autoSpaceDE/>
        <w:autoSpaceDN/>
        <w:bidi w:val="0"/>
        <w:adjustRightInd/>
        <w:snapToGrid/>
        <w:spacing w:beforeAutospacing="0" w:afterAutospacing="0" w:line="600" w:lineRule="exact"/>
        <w:ind w:leftChars="0" w:firstLine="640" w:firstLineChars="200"/>
        <w:jc w:val="left"/>
        <w:textAlignment w:val="auto"/>
        <w:rPr>
          <w:rFonts w:hint="eastAsia" w:ascii="仿宋_GB2312" w:hAnsi="仿宋_GB2312" w:eastAsia="仿宋_GB2312" w:cs="仿宋_GB2312"/>
          <w:b w:val="0"/>
          <w:kern w:val="2"/>
          <w:sz w:val="32"/>
          <w:szCs w:val="32"/>
          <w:lang w:val="en-US" w:eastAsia="zh-CN" w:bidi="ar-SA"/>
        </w:rPr>
      </w:pPr>
      <w:r>
        <w:rPr>
          <w:rFonts w:hint="eastAsia" w:ascii="仿宋_GB2312" w:hAnsi="仿宋_GB2312" w:eastAsia="仿宋_GB2312" w:cs="仿宋_GB2312"/>
          <w:b w:val="0"/>
          <w:kern w:val="2"/>
          <w:sz w:val="32"/>
          <w:szCs w:val="32"/>
          <w:lang w:val="en-US" w:eastAsia="zh-CN" w:bidi="ar-SA"/>
        </w:rPr>
        <w:t>今年来，安全生产管理工作扎实推进。我中心成立安全生产工作领导小组，配备专职人员进行安全生产检查。安全巡查员能当场整改的隐患，安全生产分管领导定期检查并督促立即整改。同时，积极开展专项活动。深入开展了“重点行业领域事故隐患排查整治”、“安全生产月”、“安全生产大检查”、“安全生产隐患大排查大整治”、“房屋安全隐患排查”等专项行动，通过日常工作与专项行动相结合，有效提高了安全生产工作的综合效率。</w:t>
      </w:r>
    </w:p>
    <w:p>
      <w:pPr>
        <w:keepNext w:val="0"/>
        <w:keepLines w:val="0"/>
        <w:pageBreakBefore w:val="0"/>
        <w:widowControl w:val="0"/>
        <w:numPr>
          <w:ilvl w:val="0"/>
          <w:numId w:val="0"/>
        </w:numPr>
        <w:kinsoku/>
        <w:wordWrap/>
        <w:overflowPunct/>
        <w:topLinePunct w:val="0"/>
        <w:autoSpaceDE/>
        <w:autoSpaceDN/>
        <w:bidi w:val="0"/>
        <w:adjustRightInd/>
        <w:snapToGrid/>
        <w:spacing w:after="0" w:line="600" w:lineRule="exact"/>
        <w:ind w:left="200" w:leftChars="0" w:firstLine="643" w:firstLineChars="200"/>
        <w:jc w:val="both"/>
        <w:textAlignment w:val="auto"/>
        <w:rPr>
          <w:rFonts w:hint="eastAsia" w:ascii="楷体" w:hAnsi="楷体" w:eastAsia="楷体" w:cs="楷体"/>
          <w:b/>
          <w:bCs/>
          <w:kern w:val="2"/>
          <w:sz w:val="32"/>
          <w:szCs w:val="32"/>
          <w:lang w:val="en-US" w:eastAsia="zh-CN" w:bidi="ar-SA"/>
        </w:rPr>
      </w:pPr>
      <w:r>
        <w:rPr>
          <w:rFonts w:hint="eastAsia" w:ascii="楷体" w:hAnsi="楷体" w:eastAsia="楷体" w:cs="楷体"/>
          <w:b/>
          <w:bCs/>
          <w:kern w:val="2"/>
          <w:sz w:val="32"/>
          <w:szCs w:val="32"/>
          <w:lang w:val="en-US" w:eastAsia="zh-CN" w:bidi="ar-SA"/>
        </w:rPr>
        <w:t>（五）强化联防联控，落实疫情防控责任</w:t>
      </w:r>
    </w:p>
    <w:p>
      <w:pPr>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auto"/>
        <w:rPr>
          <w:rFonts w:hint="default" w:ascii="仿宋_GB2312" w:eastAsia="仿宋_GB2312"/>
          <w:sz w:val="32"/>
          <w:szCs w:val="32"/>
          <w:lang w:val="en-US" w:eastAsia="zh-CN"/>
        </w:rPr>
      </w:pPr>
      <w:r>
        <w:rPr>
          <w:rFonts w:hint="eastAsia" w:ascii="仿宋_GB2312" w:hAnsi="仿宋_GB2312" w:eastAsia="仿宋_GB2312" w:cs="仿宋_GB2312"/>
          <w:b w:val="0"/>
          <w:kern w:val="2"/>
          <w:sz w:val="32"/>
          <w:szCs w:val="32"/>
          <w:lang w:val="en-US" w:eastAsia="zh-CN" w:bidi="ar-SA"/>
        </w:rPr>
        <w:t>为深入贯彻落实中央及省市区新型冠状病毒肺炎疫情防控工作会议精神，坚决落实好各项防控措施，确保人民群众生命健康安全，全力做好疫情防控工作，中心年初成立三组核酸采样队伍，一组以中心为主，主要采集辖区内重点人群及高中风险岗位人群，临时变码人群；一组以学校为主，主要采集辖区内22所学校的学生及学校重点人群；一组以上门为主，主要采集居家隔离、黄码人员及辖区外环境，全年核酸采样共计92万余人次。接种新冠疫苗2.61万人次。为奇家岭隔离点</w:t>
      </w:r>
      <w:r>
        <w:rPr>
          <w:rFonts w:hint="eastAsia" w:ascii="仿宋_GB2312" w:eastAsia="仿宋_GB2312"/>
          <w:sz w:val="32"/>
          <w:szCs w:val="32"/>
          <w:lang w:val="en-US" w:eastAsia="zh-CN"/>
        </w:rPr>
        <w:t>发放增强抵抗力的中药汤剂750人次，共计4500袋。</w:t>
      </w:r>
    </w:p>
    <w:p>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leftChars="0" w:firstLine="643" w:firstLineChars="200"/>
        <w:jc w:val="left"/>
        <w:rPr>
          <w:rFonts w:hint="eastAsia" w:ascii="楷体" w:hAnsi="楷体" w:eastAsia="楷体" w:cs="楷体"/>
          <w:b/>
          <w:bCs/>
          <w:sz w:val="32"/>
          <w:szCs w:val="32"/>
          <w:lang w:val="en-US" w:eastAsia="zh-CN"/>
        </w:rPr>
      </w:pPr>
      <w:r>
        <w:rPr>
          <w:rFonts w:hint="eastAsia" w:ascii="楷体" w:hAnsi="楷体" w:eastAsia="楷体" w:cs="楷体"/>
          <w:b/>
          <w:bCs/>
          <w:sz w:val="32"/>
          <w:szCs w:val="32"/>
          <w:lang w:val="en-US" w:eastAsia="zh-CN"/>
        </w:rPr>
        <w:t>（六）巩固扶贫成果，助力发展乡村振兴</w:t>
      </w:r>
    </w:p>
    <w:p>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leftChars="0" w:firstLine="640" w:firstLineChars="200"/>
        <w:textAlignment w:val="auto"/>
        <w:rPr>
          <w:rFonts w:hint="eastAsia" w:ascii="仿宋_GB2312" w:hAnsi="仿宋_GB2312" w:eastAsia="仿宋_GB2312" w:cs="仿宋_GB2312"/>
          <w:b w:val="0"/>
          <w:kern w:val="2"/>
          <w:sz w:val="32"/>
          <w:szCs w:val="32"/>
          <w:lang w:val="en-US" w:eastAsia="zh-CN" w:bidi="ar-SA"/>
        </w:rPr>
      </w:pPr>
      <w:r>
        <w:rPr>
          <w:rFonts w:hint="eastAsia" w:ascii="仿宋_GB2312" w:hAnsi="仿宋_GB2312" w:eastAsia="仿宋_GB2312" w:cs="仿宋_GB2312"/>
          <w:b w:val="0"/>
          <w:kern w:val="2"/>
          <w:sz w:val="32"/>
          <w:szCs w:val="32"/>
          <w:lang w:val="en-US" w:eastAsia="zh-CN" w:bidi="ar-SA"/>
        </w:rPr>
        <w:t>中心高度重视，坚持脱贫不脱策，兜牢底线，防止因病返贫，继续实行“四个不摘”：即摘帽不摘责任、摘帽不摘政策、摘帽不摘帮扶、摘帽不摘监管”；脱贫政策措施不“急刹车”，党员干部带头入户为辖区57户建档立卡贫困人员建立健康档案、进行健康体检和四类慢性病规范管理，提供家庭医生签约服务，签约率100 %。</w:t>
      </w:r>
    </w:p>
    <w:p>
      <w:pPr>
        <w:pStyle w:val="20"/>
        <w:keepNext w:val="0"/>
        <w:keepLines w:val="0"/>
        <w:pageBreakBefore w:val="0"/>
        <w:widowControl w:val="0"/>
        <w:numPr>
          <w:ilvl w:val="0"/>
          <w:numId w:val="0"/>
        </w:numPr>
        <w:kinsoku/>
        <w:wordWrap/>
        <w:overflowPunct/>
        <w:topLinePunct w:val="0"/>
        <w:autoSpaceDE/>
        <w:autoSpaceDN/>
        <w:bidi w:val="0"/>
        <w:adjustRightInd/>
        <w:snapToGrid/>
        <w:spacing w:before="0" w:beforeAutospacing="0" w:after="0" w:afterAutospacing="0" w:line="600" w:lineRule="exact"/>
        <w:ind w:leftChars="0" w:firstLine="643" w:firstLineChars="200"/>
        <w:rPr>
          <w:rFonts w:hint="eastAsia" w:ascii="楷体" w:hAnsi="楷体" w:eastAsia="楷体" w:cs="楷体"/>
          <w:b/>
          <w:bCs/>
          <w:kern w:val="2"/>
          <w:sz w:val="32"/>
          <w:szCs w:val="32"/>
          <w:lang w:val="en-US" w:eastAsia="zh-CN" w:bidi="ar-SA"/>
        </w:rPr>
      </w:pPr>
      <w:r>
        <w:rPr>
          <w:rFonts w:hint="eastAsia" w:ascii="楷体" w:hAnsi="楷体" w:eastAsia="楷体" w:cs="楷体"/>
          <w:b/>
          <w:bCs/>
          <w:kern w:val="2"/>
          <w:sz w:val="32"/>
          <w:szCs w:val="32"/>
          <w:lang w:val="en-US" w:eastAsia="zh-CN" w:bidi="ar-SA"/>
        </w:rPr>
        <w:t>（七）加强业务培训，提升医疗服务能力</w:t>
      </w:r>
    </w:p>
    <w:p>
      <w:pPr>
        <w:keepNext w:val="0"/>
        <w:keepLines w:val="0"/>
        <w:pageBreakBefore w:val="0"/>
        <w:widowControl w:val="0"/>
        <w:numPr>
          <w:ilvl w:val="0"/>
          <w:numId w:val="0"/>
        </w:numPr>
        <w:shd w:val="clear" w:color="auto" w:fill="FFFFFF"/>
        <w:kinsoku/>
        <w:wordWrap/>
        <w:overflowPunct/>
        <w:topLinePunct w:val="0"/>
        <w:autoSpaceDE/>
        <w:autoSpaceDN/>
        <w:bidi w:val="0"/>
        <w:adjustRightInd/>
        <w:snapToGrid/>
        <w:spacing w:beforeAutospacing="0" w:afterAutospacing="0" w:line="600" w:lineRule="exact"/>
        <w:ind w:leftChars="0" w:firstLine="640" w:firstLineChars="200"/>
        <w:jc w:val="left"/>
        <w:textAlignment w:val="auto"/>
        <w:rPr>
          <w:rFonts w:hint="eastAsia" w:ascii="仿宋_GB2312" w:hAnsi="仿宋_GB2312" w:eastAsia="仿宋_GB2312" w:cs="仿宋_GB2312"/>
          <w:b w:val="0"/>
          <w:kern w:val="2"/>
          <w:sz w:val="32"/>
          <w:szCs w:val="32"/>
          <w:lang w:val="en-US" w:eastAsia="zh-CN" w:bidi="ar-SA"/>
        </w:rPr>
      </w:pPr>
      <w:r>
        <w:rPr>
          <w:rFonts w:hint="eastAsia" w:ascii="仿宋_GB2312" w:hAnsi="仿宋_GB2312" w:eastAsia="仿宋_GB2312" w:cs="仿宋_GB2312"/>
          <w:color w:val="000000" w:themeColor="text1"/>
          <w:kern w:val="0"/>
          <w:sz w:val="32"/>
          <w:szCs w:val="32"/>
          <w:lang w:val="en-US" w:eastAsia="zh-CN" w:bidi="ar-SA"/>
          <w14:textFill>
            <w14:solidFill>
              <w14:schemeClr w14:val="tx1"/>
            </w14:solidFill>
          </w14:textFill>
        </w:rPr>
        <w:t>加强医务人员的培训，提高防控疫情和医疗救治的能力，规范医疗行为，严格落实医疗核心制度，加强病历书写基本规范的学习，提高病历内涵质量，</w:t>
      </w:r>
      <w:r>
        <w:rPr>
          <w:rFonts w:hint="eastAsia" w:ascii="仿宋_GB2312" w:hAnsi="仿宋_GB2312" w:eastAsia="仿宋_GB2312" w:cs="仿宋_GB2312"/>
          <w:b w:val="0"/>
          <w:kern w:val="2"/>
          <w:sz w:val="32"/>
          <w:szCs w:val="32"/>
          <w:lang w:val="en-US" w:eastAsia="zh-CN" w:bidi="ar-SA"/>
        </w:rPr>
        <w:t>中心多次组织医护人员进行专业技术知识和病历书写的培训，有效提高了医疗质量和病历书写质量。加强对护理工作的督导检查，规范科室护理工作流程。定期组织业务知识学习培训，督促各项制度的执行，提高医疗质量，严防差错事故。全年无一例医疗事故。组织业务学习20余次，参学率100%。外出培训5余次。全年</w:t>
      </w:r>
      <w:r>
        <w:rPr>
          <w:rFonts w:hint="eastAsia" w:ascii="仿宋_GB2312" w:hAnsi="仿宋_GB2312" w:eastAsia="仿宋_GB2312" w:cs="仿宋_GB2312"/>
          <w:color w:val="000000" w:themeColor="text1"/>
          <w:kern w:val="0"/>
          <w:sz w:val="32"/>
          <w:szCs w:val="32"/>
          <w:lang w:val="en-US" w:eastAsia="zh-CN" w:bidi="ar-SA"/>
          <w14:textFill>
            <w14:solidFill>
              <w14:schemeClr w14:val="tx1"/>
            </w14:solidFill>
          </w14:textFill>
        </w:rPr>
        <w:t>业务总收入603余万元，与2021年同期相比增长4%，（其中门诊收入322万元；住院收入82万元，疫苗收入199万元）。全年门诊29682人次，住院525人次</w:t>
      </w:r>
      <w:r>
        <w:rPr>
          <w:rFonts w:hint="eastAsia" w:ascii="仿宋_GB2312" w:hAnsi="仿宋_GB2312" w:eastAsia="仿宋_GB2312" w:cs="仿宋_GB2312"/>
          <w:color w:val="auto"/>
          <w:kern w:val="0"/>
          <w:sz w:val="32"/>
          <w:szCs w:val="32"/>
          <w:highlight w:val="none"/>
          <w:lang w:val="en-US" w:eastAsia="zh-CN" w:bidi="ar-SA"/>
        </w:rPr>
        <w:t>。</w:t>
      </w:r>
      <w:r>
        <w:rPr>
          <w:rFonts w:hint="eastAsia" w:ascii="仿宋_GB2312" w:hAnsi="仿宋_GB2312" w:eastAsia="仿宋_GB2312" w:cs="仿宋_GB2312"/>
          <w:b w:val="0"/>
          <w:kern w:val="2"/>
          <w:sz w:val="32"/>
          <w:szCs w:val="32"/>
          <w:lang w:val="en-US" w:eastAsia="zh-CN" w:bidi="ar-SA"/>
        </w:rPr>
        <w:t>住院病人好评率98%。急救物品完好率100%。</w:t>
      </w:r>
    </w:p>
    <w:p>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leftChars="0" w:firstLine="643" w:firstLineChars="200"/>
        <w:jc w:val="left"/>
        <w:rPr>
          <w:rFonts w:hint="eastAsia" w:ascii="楷体" w:hAnsi="楷体" w:eastAsia="楷体" w:cs="楷体"/>
          <w:b/>
          <w:bCs/>
          <w:sz w:val="32"/>
          <w:szCs w:val="32"/>
          <w:lang w:val="en-US" w:eastAsia="zh-CN"/>
        </w:rPr>
      </w:pPr>
      <w:r>
        <w:rPr>
          <w:rFonts w:hint="eastAsia" w:ascii="楷体" w:hAnsi="楷体" w:eastAsia="楷体" w:cs="楷体"/>
          <w:b/>
          <w:bCs/>
          <w:sz w:val="32"/>
          <w:szCs w:val="32"/>
          <w:lang w:val="en-US" w:eastAsia="zh-CN"/>
        </w:rPr>
        <w:t>（八）突出工作重点，做实做强公卫服务</w:t>
      </w:r>
    </w:p>
    <w:p>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leftChars="0" w:firstLine="643" w:firstLineChars="200"/>
        <w:textAlignment w:val="auto"/>
        <w:rPr>
          <w:rFonts w:hint="eastAsia" w:ascii="仿宋_GB2312" w:hAnsi="仿宋_GB2312" w:eastAsia="仿宋_GB2312" w:cs="仿宋_GB2312"/>
          <w:b/>
          <w:bCs/>
          <w:kern w:val="2"/>
          <w:sz w:val="32"/>
          <w:szCs w:val="32"/>
          <w:lang w:val="en-US" w:eastAsia="zh-CN" w:bidi="ar-SA"/>
        </w:rPr>
      </w:pPr>
      <w:r>
        <w:rPr>
          <w:rFonts w:hint="eastAsia" w:ascii="仿宋_GB2312" w:hAnsi="仿宋_GB2312" w:eastAsia="仿宋_GB2312" w:cs="仿宋_GB2312"/>
          <w:b/>
          <w:bCs/>
          <w:kern w:val="2"/>
          <w:sz w:val="32"/>
          <w:szCs w:val="32"/>
          <w:lang w:val="en-US" w:eastAsia="zh-CN" w:bidi="ar-SA"/>
        </w:rPr>
        <w:t>1、居民健康档案管理：</w:t>
      </w:r>
      <w:r>
        <w:rPr>
          <w:rFonts w:hint="eastAsia" w:ascii="仿宋_GB2312" w:hAnsi="仿宋_GB2312" w:eastAsia="仿宋_GB2312" w:cs="仿宋_GB2312"/>
          <w:b w:val="0"/>
          <w:kern w:val="2"/>
          <w:sz w:val="32"/>
          <w:szCs w:val="32"/>
          <w:lang w:val="en-US" w:eastAsia="zh-CN" w:bidi="ar-SA"/>
        </w:rPr>
        <w:t>全年新建939份，累计建档61729份，动态更新44544份。</w:t>
      </w:r>
      <w:r>
        <w:rPr>
          <w:rFonts w:hint="eastAsia" w:ascii="仿宋_GB2312" w:hAnsi="仿宋_GB2312" w:eastAsia="仿宋_GB2312" w:cs="仿宋_GB2312"/>
          <w:b/>
          <w:bCs/>
          <w:kern w:val="2"/>
          <w:sz w:val="32"/>
          <w:szCs w:val="32"/>
          <w:lang w:val="en-US" w:eastAsia="zh-CN" w:bidi="ar-SA"/>
        </w:rPr>
        <w:t>2、老年人健康管理：</w:t>
      </w:r>
      <w:r>
        <w:rPr>
          <w:rFonts w:hint="eastAsia" w:ascii="仿宋_GB2312" w:hAnsi="仿宋_GB2312" w:eastAsia="仿宋_GB2312" w:cs="仿宋_GB2312"/>
          <w:b w:val="0"/>
          <w:kern w:val="2"/>
          <w:sz w:val="32"/>
          <w:szCs w:val="32"/>
          <w:lang w:val="en-US" w:eastAsia="zh-CN" w:bidi="ar-SA"/>
        </w:rPr>
        <w:t>全年为老年人免费体检3085人，摸排重点人群3728人；</w:t>
      </w:r>
      <w:r>
        <w:rPr>
          <w:rFonts w:hint="eastAsia" w:ascii="仿宋_GB2312" w:hAnsi="仿宋_GB2312" w:eastAsia="仿宋_GB2312" w:cs="仿宋_GB2312"/>
          <w:b/>
          <w:bCs/>
          <w:kern w:val="2"/>
          <w:sz w:val="32"/>
          <w:szCs w:val="32"/>
          <w:lang w:val="en-US" w:eastAsia="zh-CN" w:bidi="ar-SA"/>
        </w:rPr>
        <w:t>3.慢性病患者健康管理：</w:t>
      </w:r>
      <w:r>
        <w:rPr>
          <w:rFonts w:hint="eastAsia" w:ascii="仿宋_GB2312" w:hAnsi="仿宋_GB2312" w:eastAsia="仿宋_GB2312" w:cs="仿宋_GB2312"/>
          <w:b w:val="0"/>
          <w:kern w:val="2"/>
          <w:sz w:val="32"/>
          <w:szCs w:val="32"/>
          <w:lang w:val="en-US" w:eastAsia="zh-CN" w:bidi="ar-SA"/>
        </w:rPr>
        <w:t>高血压全年新建高血压档案905份，累计管理高血压患者2943例；全年新建糖尿病档案286份，累计管理糖尿病患者1066例。并按规范要求对高血压、糖尿病患者进行了随访，全年高血压随访10964人次，糖尿病随访3917人次。</w:t>
      </w:r>
      <w:r>
        <w:rPr>
          <w:rFonts w:hint="eastAsia" w:ascii="仿宋_GB2312" w:hAnsi="仿宋_GB2312" w:eastAsia="仿宋_GB2312" w:cs="仿宋_GB2312"/>
          <w:b/>
          <w:bCs/>
          <w:kern w:val="2"/>
          <w:sz w:val="32"/>
          <w:szCs w:val="32"/>
          <w:lang w:val="en-US" w:eastAsia="zh-CN" w:bidi="ar-SA"/>
        </w:rPr>
        <w:t>4、预防接种：</w:t>
      </w:r>
      <w:r>
        <w:rPr>
          <w:rFonts w:hint="eastAsia" w:ascii="仿宋_GB2312" w:hAnsi="仿宋_GB2312" w:eastAsia="仿宋_GB2312" w:cs="仿宋_GB2312"/>
          <w:b w:val="0"/>
          <w:kern w:val="2"/>
          <w:sz w:val="32"/>
          <w:szCs w:val="32"/>
          <w:lang w:val="en-US" w:eastAsia="zh-CN" w:bidi="ar-SA"/>
        </w:rPr>
        <w:t>疫苗共接种39957针次，其中一类疫苗6045针次，二类疫苗接种7886针次，新建卡237人，建卡率100%。查漏补种摸底2420人。</w:t>
      </w:r>
      <w:r>
        <w:rPr>
          <w:rFonts w:hint="eastAsia" w:ascii="仿宋_GB2312" w:hAnsi="仿宋_GB2312" w:eastAsia="仿宋_GB2312" w:cs="仿宋_GB2312"/>
          <w:b/>
          <w:bCs/>
          <w:kern w:val="2"/>
          <w:sz w:val="32"/>
          <w:szCs w:val="32"/>
          <w:lang w:val="en-US" w:eastAsia="zh-CN" w:bidi="ar-SA"/>
        </w:rPr>
        <w:t>5、儿童健康管理：</w:t>
      </w:r>
      <w:r>
        <w:rPr>
          <w:rFonts w:hint="eastAsia" w:ascii="仿宋_GB2312" w:hAnsi="仿宋_GB2312" w:eastAsia="仿宋_GB2312" w:cs="仿宋_GB2312"/>
          <w:b w:val="0"/>
          <w:kern w:val="2"/>
          <w:sz w:val="32"/>
          <w:szCs w:val="32"/>
          <w:lang w:val="en-US" w:eastAsia="zh-CN" w:bidi="ar-SA"/>
        </w:rPr>
        <w:t>6岁以下儿童健康管理3259人。全年为幼儿园儿童免费体检1234人次，门诊检测血红蛋白2796人次，共发现并管理高危儿58人，营养性疾病儿童35人，0-3岁儿童中医药指导共1256人。</w:t>
      </w:r>
      <w:r>
        <w:rPr>
          <w:rFonts w:hint="eastAsia" w:ascii="仿宋_GB2312" w:hAnsi="仿宋_GB2312" w:eastAsia="仿宋_GB2312" w:cs="仿宋_GB2312"/>
          <w:b/>
          <w:bCs/>
          <w:kern w:val="2"/>
          <w:sz w:val="32"/>
          <w:szCs w:val="32"/>
          <w:lang w:val="en-US" w:eastAsia="zh-CN" w:bidi="ar-SA"/>
        </w:rPr>
        <w:t>6、孕妇健康管理：</w:t>
      </w:r>
      <w:r>
        <w:rPr>
          <w:rFonts w:hint="eastAsia" w:ascii="仿宋_GB2312" w:hAnsi="仿宋_GB2312" w:eastAsia="仿宋_GB2312" w:cs="仿宋_GB2312"/>
          <w:b w:val="0"/>
          <w:kern w:val="2"/>
          <w:sz w:val="32"/>
          <w:szCs w:val="32"/>
          <w:lang w:val="en-US" w:eastAsia="zh-CN" w:bidi="ar-SA"/>
        </w:rPr>
        <w:t>全年规范管理孕产妇420人，其中产妇264人，产前检查260人，产前检查率98.48%；早检人数260人，产后访视260人，产后访视率98.48%；高危产妇251人，孕产妇死亡发生率0。孕妇学校免费孕检199人，高危筛查免费检查人数45人，为辖区内508名育龄妇女进行了免费妇检。</w:t>
      </w:r>
      <w:r>
        <w:rPr>
          <w:rFonts w:hint="eastAsia" w:ascii="仿宋_GB2312" w:hAnsi="仿宋_GB2312" w:eastAsia="仿宋_GB2312" w:cs="仿宋_GB2312"/>
          <w:b/>
          <w:bCs/>
          <w:kern w:val="2"/>
          <w:sz w:val="32"/>
          <w:szCs w:val="32"/>
          <w:lang w:val="en-US" w:eastAsia="zh-CN" w:bidi="ar-SA"/>
        </w:rPr>
        <w:t>7、健康教育：</w:t>
      </w:r>
      <w:r>
        <w:rPr>
          <w:rFonts w:hint="eastAsia" w:ascii="仿宋_GB2312" w:hAnsi="仿宋_GB2312" w:eastAsia="仿宋_GB2312" w:cs="仿宋_GB2312"/>
          <w:b w:val="0"/>
          <w:kern w:val="2"/>
          <w:sz w:val="32"/>
          <w:szCs w:val="32"/>
          <w:lang w:val="en-US" w:eastAsia="zh-CN" w:bidi="ar-SA"/>
        </w:rPr>
        <w:t>全年开展健康教育知识讲座12场，义诊宣传咨询活动9次，累计发放宣传资料21647余份，更换健康教育专栏6期。</w:t>
      </w:r>
      <w:r>
        <w:rPr>
          <w:rFonts w:hint="eastAsia" w:ascii="仿宋_GB2312" w:hAnsi="仿宋_GB2312" w:eastAsia="仿宋_GB2312" w:cs="仿宋_GB2312"/>
          <w:b/>
          <w:bCs/>
          <w:kern w:val="2"/>
          <w:sz w:val="32"/>
          <w:szCs w:val="32"/>
          <w:lang w:val="en-US" w:eastAsia="zh-CN" w:bidi="ar-SA"/>
        </w:rPr>
        <w:t>8、严重精神障碍患者管理：</w:t>
      </w:r>
      <w:r>
        <w:rPr>
          <w:rFonts w:hint="eastAsia" w:ascii="仿宋_GB2312" w:hAnsi="仿宋_GB2312" w:eastAsia="仿宋_GB2312" w:cs="仿宋_GB2312"/>
          <w:b w:val="0"/>
          <w:kern w:val="2"/>
          <w:sz w:val="32"/>
          <w:szCs w:val="32"/>
          <w:lang w:val="en-US" w:eastAsia="zh-CN" w:bidi="ar-SA"/>
        </w:rPr>
        <w:t>累计管理重性精神病患者161名，规范管理率达到100%，全年随访648人次。</w:t>
      </w:r>
      <w:r>
        <w:rPr>
          <w:rFonts w:hint="eastAsia" w:ascii="仿宋_GB2312" w:hAnsi="仿宋_GB2312" w:eastAsia="仿宋_GB2312" w:cs="仿宋_GB2312"/>
          <w:b/>
          <w:bCs/>
          <w:kern w:val="2"/>
          <w:sz w:val="32"/>
          <w:szCs w:val="32"/>
          <w:lang w:val="en-US" w:eastAsia="zh-CN" w:bidi="ar-SA"/>
        </w:rPr>
        <w:t>9、结核病患者健康管理：</w:t>
      </w:r>
      <w:r>
        <w:rPr>
          <w:rFonts w:hint="eastAsia" w:ascii="仿宋_GB2312" w:hAnsi="仿宋_GB2312" w:eastAsia="仿宋_GB2312" w:cs="仿宋_GB2312"/>
          <w:b w:val="0"/>
          <w:kern w:val="2"/>
          <w:sz w:val="32"/>
          <w:szCs w:val="32"/>
          <w:lang w:val="en-US" w:eastAsia="zh-CN" w:bidi="ar-SA"/>
        </w:rPr>
        <w:t>中心共管理结核病人4名，其中耐药病人0名,普通结核病人4名，完成治疗病人0名、现管理病人4名做到管理率100%，筛查老年人3085次，糖尿病筛查3831人次，拍片63人。</w:t>
      </w:r>
      <w:r>
        <w:rPr>
          <w:rFonts w:hint="eastAsia" w:ascii="仿宋_GB2312" w:hAnsi="仿宋_GB2312" w:eastAsia="仿宋_GB2312" w:cs="仿宋_GB2312"/>
          <w:b/>
          <w:bCs/>
          <w:kern w:val="2"/>
          <w:sz w:val="32"/>
          <w:szCs w:val="32"/>
          <w:lang w:val="en-US" w:eastAsia="zh-CN" w:bidi="ar-SA"/>
        </w:rPr>
        <w:t>10、中医药健康管理</w:t>
      </w:r>
      <w:r>
        <w:rPr>
          <w:rFonts w:hint="eastAsia" w:ascii="仿宋_GB2312" w:hAnsi="仿宋_GB2312" w:eastAsia="仿宋_GB2312" w:cs="仿宋_GB2312"/>
          <w:b w:val="0"/>
          <w:kern w:val="2"/>
          <w:sz w:val="32"/>
          <w:szCs w:val="32"/>
          <w:lang w:val="en-US" w:eastAsia="zh-CN" w:bidi="ar-SA"/>
        </w:rPr>
        <w:t>：截止目前为止，开展老年人中医体质辨识、中医药指导4279人。儿童根据不同月龄段进行穴位按摩及饮食喂养进行指导1256人。</w:t>
      </w:r>
      <w:r>
        <w:rPr>
          <w:rFonts w:hint="eastAsia" w:ascii="仿宋_GB2312" w:hAnsi="仿宋_GB2312" w:eastAsia="仿宋_GB2312" w:cs="仿宋_GB2312"/>
          <w:b/>
          <w:bCs/>
          <w:kern w:val="2"/>
          <w:sz w:val="32"/>
          <w:szCs w:val="32"/>
          <w:lang w:val="en-US" w:eastAsia="zh-CN" w:bidi="ar-SA"/>
        </w:rPr>
        <w:t>11、传染病和突发公共卫生事件报告处理：</w:t>
      </w:r>
      <w:r>
        <w:rPr>
          <w:rFonts w:hint="eastAsia" w:ascii="仿宋_GB2312" w:hAnsi="仿宋_GB2312" w:eastAsia="仿宋_GB2312" w:cs="仿宋_GB2312"/>
          <w:b w:val="0"/>
          <w:kern w:val="2"/>
          <w:sz w:val="32"/>
          <w:szCs w:val="32"/>
          <w:lang w:val="en-US" w:eastAsia="zh-CN" w:bidi="ar-SA"/>
        </w:rPr>
        <w:t>全年网络报告传染病8例，网络报告及时率100﹪，规范处置率均达100%。</w:t>
      </w:r>
      <w:r>
        <w:rPr>
          <w:rFonts w:hint="eastAsia" w:ascii="仿宋_GB2312" w:hAnsi="仿宋_GB2312" w:eastAsia="仿宋_GB2312" w:cs="仿宋_GB2312"/>
          <w:b/>
          <w:bCs/>
          <w:kern w:val="2"/>
          <w:sz w:val="32"/>
          <w:szCs w:val="32"/>
          <w:lang w:val="en-US" w:eastAsia="zh-CN" w:bidi="ar-SA"/>
        </w:rPr>
        <w:t>12、卫生监督协管：</w:t>
      </w:r>
      <w:r>
        <w:rPr>
          <w:rFonts w:hint="eastAsia" w:ascii="仿宋_GB2312" w:hAnsi="仿宋_GB2312" w:eastAsia="仿宋_GB2312" w:cs="仿宋_GB2312"/>
          <w:b w:val="0"/>
          <w:kern w:val="2"/>
          <w:sz w:val="32"/>
          <w:szCs w:val="32"/>
          <w:lang w:val="en-US" w:eastAsia="zh-CN" w:bidi="ar-SA"/>
        </w:rPr>
        <w:t>对辖区内61家五小门店、23家合法诊所、12家幼儿园、5所中小学建立台账进行了管理，并定期巡查对于巡查发现的问题及时上报。免费办理健康证1237个。</w:t>
      </w:r>
      <w:r>
        <w:rPr>
          <w:rFonts w:hint="eastAsia" w:ascii="仿宋_GB2312" w:hAnsi="仿宋_GB2312" w:eastAsia="仿宋_GB2312" w:cs="仿宋_GB2312"/>
          <w:b/>
          <w:bCs/>
          <w:kern w:val="2"/>
          <w:sz w:val="32"/>
          <w:szCs w:val="32"/>
          <w:lang w:val="en-US" w:eastAsia="zh-CN" w:bidi="ar-SA"/>
        </w:rPr>
        <w:t>13、免费提供避孕药具：</w:t>
      </w:r>
      <w:r>
        <w:rPr>
          <w:rFonts w:hint="eastAsia" w:ascii="仿宋_GB2312" w:hAnsi="仿宋_GB2312" w:eastAsia="仿宋_GB2312" w:cs="仿宋_GB2312"/>
          <w:b w:val="0"/>
          <w:bCs w:val="0"/>
          <w:kern w:val="2"/>
          <w:sz w:val="32"/>
          <w:szCs w:val="32"/>
          <w:lang w:val="en-US" w:eastAsia="zh-CN" w:bidi="ar-SA"/>
        </w:rPr>
        <w:t>为满足辖区育龄群众避孕节育、优生优育、生殖健康需求，</w:t>
      </w:r>
      <w:r>
        <w:rPr>
          <w:rFonts w:hint="eastAsia" w:ascii="仿宋_GB2312" w:hAnsi="仿宋_GB2312" w:eastAsia="仿宋_GB2312" w:cs="仿宋_GB2312"/>
          <w:b w:val="0"/>
          <w:kern w:val="2"/>
          <w:sz w:val="32"/>
          <w:szCs w:val="32"/>
          <w:lang w:val="en-US" w:eastAsia="zh-CN" w:bidi="ar-SA"/>
        </w:rPr>
        <w:t>全年免费发放避孕药600盒。</w:t>
      </w:r>
      <w:r>
        <w:rPr>
          <w:rFonts w:hint="eastAsia" w:ascii="仿宋_GB2312" w:hAnsi="仿宋_GB2312" w:eastAsia="仿宋_GB2312" w:cs="仿宋_GB2312"/>
          <w:b/>
          <w:bCs/>
          <w:kern w:val="2"/>
          <w:sz w:val="32"/>
          <w:szCs w:val="32"/>
          <w:lang w:val="en-US" w:eastAsia="zh-CN" w:bidi="ar-SA"/>
        </w:rPr>
        <w:t>14、家庭医生管理服务：</w:t>
      </w:r>
      <w:r>
        <w:rPr>
          <w:rFonts w:hint="eastAsia" w:ascii="仿宋_GB2312" w:hAnsi="仿宋_GB2312" w:eastAsia="仿宋_GB2312" w:cs="仿宋_GB2312"/>
          <w:b w:val="0"/>
          <w:kern w:val="2"/>
          <w:sz w:val="32"/>
          <w:szCs w:val="32"/>
          <w:lang w:val="en-US" w:eastAsia="zh-CN" w:bidi="ar-SA"/>
        </w:rPr>
        <w:t>全年家庭医生签约24282人，其中0-6岁儿童签约1227人，老年人签约2743人，孕妇签约231人，高血压签约2814人，糖尿病签约1014人，精神病患者签约48人，建档立卡贫困户签约113人。</w:t>
      </w:r>
    </w:p>
    <w:p>
      <w:pPr>
        <w:keepNext w:val="0"/>
        <w:keepLines w:val="0"/>
        <w:pageBreakBefore w:val="0"/>
        <w:widowControl w:val="0"/>
        <w:numPr>
          <w:ilvl w:val="0"/>
          <w:numId w:val="0"/>
        </w:numPr>
        <w:kinsoku/>
        <w:wordWrap/>
        <w:overflowPunct/>
        <w:topLinePunct w:val="0"/>
        <w:autoSpaceDE/>
        <w:autoSpaceDN/>
        <w:bidi w:val="0"/>
        <w:adjustRightInd/>
        <w:snapToGrid/>
        <w:ind w:leftChars="200"/>
        <w:jc w:val="left"/>
        <w:textAlignment w:val="auto"/>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黑体" w:hAnsi="黑体" w:eastAsia="黑体" w:cs="黑体"/>
          <w:color w:val="000000" w:themeColor="text1"/>
          <w:spacing w:val="0"/>
          <w:position w:val="0"/>
          <w:sz w:val="32"/>
          <w:szCs w:val="32"/>
          <w:lang w:val="en-US" w:eastAsia="zh-CN"/>
          <w14:textFill>
            <w14:solidFill>
              <w14:schemeClr w14:val="tx1"/>
            </w14:solidFill>
          </w14:textFill>
        </w:rPr>
        <w:t>七、存在的问题及原因分析</w:t>
      </w:r>
    </w:p>
    <w:p>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leftChars="0" w:firstLine="640" w:firstLineChars="200"/>
        <w:textAlignment w:val="auto"/>
        <w:rPr>
          <w:rFonts w:hint="eastAsia" w:ascii="仿宋_GB2312" w:eastAsia="仿宋_GB2312"/>
          <w:sz w:val="32"/>
          <w:szCs w:val="32"/>
          <w:highlight w:val="none"/>
          <w:lang w:val="en-US" w:eastAsia="zh-CN"/>
        </w:rPr>
      </w:pPr>
      <w:r>
        <w:rPr>
          <w:rFonts w:hint="eastAsia" w:ascii="仿宋_GB2312" w:eastAsia="仿宋_GB2312"/>
          <w:sz w:val="32"/>
          <w:szCs w:val="32"/>
          <w:highlight w:val="none"/>
          <w:lang w:val="en-US" w:eastAsia="zh-CN"/>
        </w:rPr>
        <w:t>1.业务用房紧缺，不能满足业务发展需求。</w:t>
      </w:r>
    </w:p>
    <w:p>
      <w:pPr>
        <w:pStyle w:val="2"/>
        <w:ind w:firstLine="640" w:firstLineChars="200"/>
        <w:rPr>
          <w:rFonts w:hint="eastAsia" w:ascii="仿宋_GB2312" w:eastAsia="仿宋_GB2312" w:hAnsiTheme="minorHAnsi" w:cstheme="minorBidi"/>
          <w:kern w:val="2"/>
          <w:sz w:val="32"/>
          <w:szCs w:val="32"/>
          <w:highlight w:val="none"/>
          <w:lang w:val="en-US" w:eastAsia="zh-CN" w:bidi="ar-SA"/>
        </w:rPr>
      </w:pPr>
      <w:r>
        <w:rPr>
          <w:rFonts w:hint="eastAsia" w:ascii="仿宋_GB2312" w:eastAsia="仿宋_GB2312" w:hAnsiTheme="minorHAnsi" w:cstheme="minorBidi"/>
          <w:kern w:val="2"/>
          <w:sz w:val="32"/>
          <w:szCs w:val="32"/>
          <w:highlight w:val="none"/>
          <w:lang w:val="en-US" w:eastAsia="zh-CN" w:bidi="ar-SA"/>
        </w:rPr>
        <w:t>我中心所用的楼房全是八十年代末所建，配套设施落后，设计跟不上诊疗需求。加上设备严重缺少，拥有的设备连一般的卫生院分院都赶不上。硬件跟不上，我中心只是开展了简单的健康档案建立与管理、健康教育服务、宣传和预防接种工作，离真正的社区卫生服务中心定位还有一定距离。</w:t>
      </w:r>
    </w:p>
    <w:p>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leftChars="0" w:firstLine="640" w:firstLineChars="200"/>
        <w:textAlignment w:val="auto"/>
        <w:rPr>
          <w:rFonts w:hint="eastAsia" w:ascii="仿宋_GB2312" w:eastAsia="仿宋_GB2312"/>
          <w:sz w:val="32"/>
          <w:szCs w:val="32"/>
          <w:highlight w:val="none"/>
          <w:lang w:val="en-US" w:eastAsia="zh-CN"/>
        </w:rPr>
      </w:pPr>
      <w:r>
        <w:rPr>
          <w:rFonts w:hint="eastAsia" w:ascii="仿宋_GB2312" w:eastAsia="仿宋_GB2312"/>
          <w:sz w:val="32"/>
          <w:szCs w:val="32"/>
          <w:highlight w:val="none"/>
          <w:lang w:val="en-US" w:eastAsia="zh-CN"/>
        </w:rPr>
        <w:t>2.中心专业技术人员缺乏。</w:t>
      </w:r>
    </w:p>
    <w:p>
      <w:pPr>
        <w:pStyle w:val="2"/>
        <w:ind w:firstLine="640" w:firstLineChars="200"/>
        <w:rPr>
          <w:rFonts w:hint="eastAsia" w:ascii="仿宋_GB2312" w:eastAsia="仿宋_GB2312" w:hAnsiTheme="minorHAnsi" w:cstheme="minorBidi"/>
          <w:kern w:val="2"/>
          <w:sz w:val="32"/>
          <w:szCs w:val="32"/>
          <w:highlight w:val="none"/>
          <w:lang w:val="en-US" w:eastAsia="zh-CN" w:bidi="ar-SA"/>
        </w:rPr>
      </w:pPr>
      <w:r>
        <w:rPr>
          <w:rFonts w:hint="eastAsia" w:ascii="仿宋_GB2312" w:eastAsia="仿宋_GB2312" w:hAnsiTheme="minorHAnsi" w:cstheme="minorBidi"/>
          <w:kern w:val="2"/>
          <w:sz w:val="32"/>
          <w:szCs w:val="32"/>
          <w:highlight w:val="none"/>
          <w:lang w:val="en-US" w:eastAsia="zh-CN" w:bidi="ar-SA"/>
        </w:rPr>
        <w:t>我中心现有医护人员主要是学历层次较低的专科医生。只局限在专科诊疗水平上。缺乏全科医生、社区护士。人员素质低，在数量和质量上远不能满足社区居民多层次、全方位的综合医疗保健服务需求，因此社区居民对社区卫生服务缺乏信任感，从而影响社区卫生服务顺利开展</w:t>
      </w:r>
    </w:p>
    <w:p>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leftChars="0" w:firstLine="640" w:firstLineChars="200"/>
        <w:textAlignment w:val="auto"/>
        <w:rPr>
          <w:rFonts w:hint="default" w:ascii="仿宋_GB2312" w:eastAsia="仿宋_GB2312"/>
          <w:sz w:val="32"/>
          <w:szCs w:val="32"/>
          <w:highlight w:val="none"/>
          <w:lang w:val="en-US" w:eastAsia="zh-CN"/>
        </w:rPr>
      </w:pPr>
      <w:r>
        <w:rPr>
          <w:rFonts w:hint="eastAsia" w:ascii="仿宋_GB2312" w:eastAsia="仿宋_GB2312"/>
          <w:sz w:val="32"/>
          <w:szCs w:val="32"/>
          <w:highlight w:val="none"/>
          <w:lang w:val="en-US" w:eastAsia="zh-CN"/>
        </w:rPr>
        <w:t>3.基本药物的实施与医保政策的受限，给辖区居民及医生的用药带来了局限性，限制了辖区居民及医生的用药。</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黑体" w:hAnsi="黑体" w:eastAsia="黑体" w:cs="黑体"/>
          <w:color w:val="000000" w:themeColor="text1"/>
          <w:spacing w:val="0"/>
          <w:position w:val="0"/>
          <w:sz w:val="32"/>
          <w:szCs w:val="32"/>
          <w:lang w:val="en-US" w:eastAsia="zh-CN"/>
          <w14:textFill>
            <w14:solidFill>
              <w14:schemeClr w14:val="tx1"/>
            </w14:solidFill>
          </w14:textFill>
        </w:rPr>
        <w:t>八、下一步改进措施</w:t>
      </w:r>
    </w:p>
    <w:p>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leftChars="0" w:firstLine="640" w:firstLineChars="200"/>
        <w:textAlignment w:val="auto"/>
        <w:rPr>
          <w:rFonts w:hint="eastAsia" w:ascii="仿宋_GB2312" w:eastAsia="仿宋_GB2312"/>
          <w:sz w:val="32"/>
          <w:szCs w:val="32"/>
          <w:highlight w:val="none"/>
          <w:lang w:val="en-US" w:eastAsia="zh-CN"/>
        </w:rPr>
      </w:pPr>
      <w:r>
        <w:rPr>
          <w:rFonts w:hint="eastAsia" w:ascii="仿宋_GB2312" w:eastAsia="仿宋_GB2312"/>
          <w:sz w:val="32"/>
          <w:szCs w:val="32"/>
          <w:highlight w:val="none"/>
          <w:lang w:val="en-US" w:eastAsia="zh-CN"/>
        </w:rPr>
        <w:t>1.加强常态化疫情防控工作，把医疗救治作为头等大事强力推进，稳步提升医疗质量及医疗卫生服务水平。</w:t>
      </w:r>
    </w:p>
    <w:p>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leftChars="0" w:firstLine="640" w:firstLineChars="200"/>
        <w:textAlignment w:val="auto"/>
        <w:rPr>
          <w:rFonts w:hint="eastAsia" w:ascii="仿宋_GB2312" w:eastAsia="仿宋_GB2312"/>
          <w:sz w:val="32"/>
          <w:szCs w:val="32"/>
          <w:lang w:val="en-US" w:eastAsia="zh-CN"/>
        </w:rPr>
      </w:pPr>
      <w:r>
        <w:rPr>
          <w:rFonts w:hint="eastAsia" w:ascii="仿宋_GB2312" w:eastAsia="仿宋_GB2312"/>
          <w:sz w:val="32"/>
          <w:szCs w:val="32"/>
          <w:highlight w:val="none"/>
          <w:lang w:val="en-US" w:eastAsia="zh-CN"/>
        </w:rPr>
        <w:t>2.</w:t>
      </w:r>
      <w:r>
        <w:rPr>
          <w:rFonts w:hint="eastAsia" w:ascii="仿宋" w:hAnsi="仿宋" w:eastAsia="仿宋" w:cs="仿宋"/>
          <w:spacing w:val="20"/>
          <w:kern w:val="10"/>
          <w:sz w:val="32"/>
          <w:szCs w:val="32"/>
          <w:lang w:eastAsia="zh-CN"/>
        </w:rPr>
        <w:t>加强服务能力的提升和</w:t>
      </w:r>
      <w:r>
        <w:rPr>
          <w:rFonts w:hint="eastAsia" w:ascii="仿宋_GB2312" w:eastAsia="仿宋_GB2312"/>
          <w:sz w:val="32"/>
          <w:szCs w:val="32"/>
          <w:lang w:val="en-US" w:eastAsia="zh-CN"/>
        </w:rPr>
        <w:t>工作执行力的提高，继续开展“优质服务基层行”活动。</w:t>
      </w:r>
    </w:p>
    <w:p>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640" w:firstLineChars="200"/>
        <w:textAlignment w:val="auto"/>
        <w:rPr>
          <w:rFonts w:hint="eastAsia" w:ascii="仿宋_GB2312" w:eastAsia="仿宋_GB2312"/>
          <w:sz w:val="32"/>
          <w:szCs w:val="32"/>
          <w:lang w:val="en-US" w:eastAsia="zh-CN"/>
        </w:rPr>
      </w:pPr>
      <w:r>
        <w:rPr>
          <w:rFonts w:hint="eastAsia" w:ascii="仿宋_GB2312" w:eastAsia="仿宋_GB2312"/>
          <w:sz w:val="32"/>
          <w:szCs w:val="32"/>
          <w:highlight w:val="none"/>
          <w:lang w:val="en-US" w:eastAsia="zh-CN"/>
        </w:rPr>
        <w:t>3.加强制度建设与硬件建设、拓展业务收入、</w:t>
      </w:r>
      <w:r>
        <w:rPr>
          <w:rFonts w:hint="eastAsia" w:ascii="仿宋_GB2312" w:eastAsia="仿宋_GB2312"/>
          <w:sz w:val="32"/>
          <w:szCs w:val="32"/>
          <w:lang w:val="en-US" w:eastAsia="zh-CN"/>
        </w:rPr>
        <w:t>努力实现“门槛低、手段新、服务全、环境优、口碑好”的发展目标。</w:t>
      </w:r>
    </w:p>
    <w:p>
      <w:pPr>
        <w:keepNext w:val="0"/>
        <w:keepLines w:val="0"/>
        <w:pageBreakBefore w:val="0"/>
        <w:widowControl w:val="0"/>
        <w:numPr>
          <w:ilvl w:val="0"/>
          <w:numId w:val="0"/>
        </w:numPr>
        <w:kinsoku/>
        <w:wordWrap/>
        <w:overflowPunct/>
        <w:topLinePunct w:val="0"/>
        <w:autoSpaceDE/>
        <w:autoSpaceDN/>
        <w:bidi w:val="0"/>
        <w:adjustRightInd/>
        <w:snapToGrid/>
        <w:spacing w:line="600" w:lineRule="exact"/>
        <w:ind w:firstLine="640" w:firstLineChars="200"/>
        <w:textAlignment w:val="auto"/>
        <w:rPr>
          <w:rFonts w:hint="eastAsia" w:ascii="仿宋_GB2312" w:eastAsia="仿宋_GB2312"/>
          <w:sz w:val="32"/>
          <w:szCs w:val="32"/>
          <w:highlight w:val="none"/>
          <w:lang w:val="en-US" w:eastAsia="zh-CN"/>
        </w:rPr>
      </w:pPr>
      <w:r>
        <w:rPr>
          <w:rFonts w:hint="eastAsia" w:ascii="仿宋_GB2312" w:eastAsia="仿宋_GB2312"/>
          <w:sz w:val="32"/>
          <w:szCs w:val="32"/>
          <w:highlight w:val="none"/>
          <w:lang w:val="en-US" w:eastAsia="zh-CN"/>
        </w:rPr>
        <w:t>4.加强基本公共卫生服务，做实家庭医生签约工作，提升各岗位的素质，争做居民满意的健康守门人，为辖区居民的健康保驾护航。</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黑体" w:hAnsi="黑体" w:eastAsia="黑体" w:cs="黑体"/>
          <w:color w:val="000000" w:themeColor="text1"/>
          <w:spacing w:val="0"/>
          <w:position w:val="0"/>
          <w:sz w:val="32"/>
          <w:szCs w:val="32"/>
          <w:lang w:val="en-US" w:eastAsia="zh-CN"/>
          <w14:textFill>
            <w14:solidFill>
              <w14:schemeClr w14:val="tx1"/>
            </w14:solidFill>
          </w14:textFill>
        </w:rPr>
      </w:pPr>
      <w:r>
        <w:rPr>
          <w:rFonts w:hint="eastAsia" w:ascii="黑体" w:hAnsi="黑体" w:eastAsia="黑体" w:cs="黑体"/>
          <w:color w:val="000000" w:themeColor="text1"/>
          <w:spacing w:val="0"/>
          <w:position w:val="0"/>
          <w:sz w:val="32"/>
          <w:szCs w:val="32"/>
          <w:lang w:val="en-US" w:eastAsia="zh-CN"/>
          <w14:textFill>
            <w14:solidFill>
              <w14:schemeClr w14:val="tx1"/>
            </w14:solidFill>
          </w14:textFill>
        </w:rPr>
        <w:t>九、部门整体支出绩效自评结果拟应用和公开情况</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r>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t>无其他需要说明的情况</w:t>
      </w: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ind w:left="0"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p>
    <w:p>
      <w:pPr>
        <w:spacing w:before="169" w:line="776" w:lineRule="exact"/>
        <w:rPr>
          <w:rFonts w:hint="eastAsia" w:ascii="宋体" w:hAnsi="宋体" w:eastAsia="宋体" w:cs="宋体"/>
          <w:b/>
          <w:bCs/>
          <w:color w:val="000000" w:themeColor="text1"/>
          <w:spacing w:val="19"/>
          <w:position w:val="17"/>
          <w:sz w:val="36"/>
          <w:szCs w:val="36"/>
          <w:lang w:eastAsia="zh-CN"/>
          <w14:textFill>
            <w14:solidFill>
              <w14:schemeClr w14:val="tx1"/>
            </w14:solidFill>
          </w14:textFill>
        </w:rPr>
        <w:sectPr>
          <w:pgSz w:w="11906" w:h="16838"/>
          <w:pgMar w:top="1701" w:right="1701" w:bottom="1701" w:left="1701" w:header="851" w:footer="992" w:gutter="0"/>
          <w:pgNumType w:fmt="decimal"/>
          <w:cols w:space="0" w:num="1"/>
          <w:rtlGutter w:val="0"/>
          <w:docGrid w:type="lines" w:linePitch="312" w:charSpace="0"/>
        </w:sectPr>
      </w:pPr>
    </w:p>
    <w:p>
      <w:pPr>
        <w:keepNext w:val="0"/>
        <w:keepLines w:val="0"/>
        <w:pageBreakBefore w:val="0"/>
        <w:widowControl w:val="0"/>
        <w:kinsoku/>
        <w:wordWrap/>
        <w:overflowPunct/>
        <w:topLinePunct w:val="0"/>
        <w:autoSpaceDE/>
        <w:autoSpaceDN/>
        <w:bidi w:val="0"/>
        <w:adjustRightInd/>
        <w:snapToGrid/>
        <w:spacing w:line="240" w:lineRule="auto"/>
        <w:textAlignment w:val="auto"/>
        <w:rPr>
          <w:rFonts w:hint="default" w:ascii="黑体" w:hAnsi="黑体" w:eastAsia="黑体" w:cs="黑体"/>
          <w:b w:val="0"/>
          <w:bCs w:val="0"/>
          <w:color w:val="000000" w:themeColor="text1"/>
          <w:spacing w:val="10"/>
          <w:sz w:val="32"/>
          <w:szCs w:val="32"/>
          <w:lang w:val="en-US" w:eastAsia="zh-CN"/>
          <w14:textFill>
            <w14:solidFill>
              <w14:schemeClr w14:val="tx1"/>
            </w14:solidFill>
          </w14:textFill>
        </w:rPr>
      </w:pPr>
      <w:r>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t>附件4</w:t>
      </w:r>
    </w:p>
    <w:p>
      <w:pPr>
        <w:keepNext w:val="0"/>
        <w:keepLines w:val="0"/>
        <w:pageBreakBefore w:val="0"/>
        <w:widowControl w:val="0"/>
        <w:kinsoku/>
        <w:wordWrap/>
        <w:overflowPunct/>
        <w:topLinePunct w:val="0"/>
        <w:autoSpaceDE/>
        <w:autoSpaceDN/>
        <w:bidi w:val="0"/>
        <w:adjustRightInd/>
        <w:snapToGrid/>
        <w:spacing w:line="700" w:lineRule="exact"/>
        <w:ind w:left="0"/>
        <w:jc w:val="center"/>
        <w:textAlignment w:val="auto"/>
        <w:rPr>
          <w:rFonts w:hint="eastAsia" w:ascii="方正小标宋简体" w:hAnsi="方正小标宋简体" w:eastAsia="方正小标宋简体" w:cs="方正小标宋简体"/>
          <w:color w:val="000000" w:themeColor="text1"/>
          <w:spacing w:val="0"/>
          <w:position w:val="0"/>
          <w:sz w:val="44"/>
          <w:szCs w:val="44"/>
          <w:lang w:val="en-US" w:eastAsia="zh-CN"/>
          <w14:textFill>
            <w14:solidFill>
              <w14:schemeClr w14:val="tx1"/>
            </w14:solidFill>
          </w14:textFill>
        </w:rPr>
      </w:pPr>
      <w:r>
        <w:rPr>
          <w:rFonts w:hint="eastAsia" w:ascii="方正小标宋简体" w:hAnsi="方正小标宋简体" w:eastAsia="方正小标宋简体" w:cs="方正小标宋简体"/>
          <w:color w:val="000000" w:themeColor="text1"/>
          <w:spacing w:val="0"/>
          <w:position w:val="0"/>
          <w:sz w:val="44"/>
          <w:szCs w:val="44"/>
          <w:lang w:val="en-US" w:eastAsia="zh-CN"/>
          <w14:textFill>
            <w14:solidFill>
              <w14:schemeClr w14:val="tx1"/>
            </w14:solidFill>
          </w14:textFill>
        </w:rPr>
        <w:t>2022年度项目支出绩效自评表</w:t>
      </w:r>
    </w:p>
    <w:tbl>
      <w:tblPr>
        <w:tblStyle w:val="15"/>
        <w:tblW w:w="9580"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075"/>
        <w:gridCol w:w="1080"/>
        <w:gridCol w:w="1080"/>
        <w:gridCol w:w="1229"/>
        <w:gridCol w:w="1131"/>
        <w:gridCol w:w="1140"/>
        <w:gridCol w:w="685"/>
        <w:gridCol w:w="795"/>
        <w:gridCol w:w="1365"/>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06" w:hRule="atLeast"/>
        </w:trPr>
        <w:tc>
          <w:tcPr>
            <w:tcW w:w="1075" w:type="dxa"/>
            <w:noWrap w:val="0"/>
            <w:vAlign w:val="center"/>
          </w:tcPr>
          <w:p>
            <w:pPr>
              <w:keepNext w:val="0"/>
              <w:keepLines w:val="0"/>
              <w:pageBreakBefore w:val="0"/>
              <w:widowControl w:val="0"/>
              <w:kinsoku/>
              <w:wordWrap/>
              <w:overflowPunct/>
              <w:topLinePunct w:val="0"/>
              <w:autoSpaceDE/>
              <w:autoSpaceDN/>
              <w:bidi w:val="0"/>
              <w:adjustRightInd/>
              <w:snapToGrid/>
              <w:spacing w:line="226"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项目支出</w:t>
            </w:r>
          </w:p>
          <w:p>
            <w:pPr>
              <w:keepNext w:val="0"/>
              <w:keepLines w:val="0"/>
              <w:pageBreakBefore w:val="0"/>
              <w:widowControl w:val="0"/>
              <w:kinsoku/>
              <w:wordWrap/>
              <w:overflowPunct/>
              <w:topLinePunct w:val="0"/>
              <w:autoSpaceDE/>
              <w:autoSpaceDN/>
              <w:bidi w:val="0"/>
              <w:adjustRightInd/>
              <w:snapToGrid/>
              <w:spacing w:line="226"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名称</w:t>
            </w:r>
          </w:p>
        </w:tc>
        <w:tc>
          <w:tcPr>
            <w:tcW w:w="8505" w:type="dxa"/>
            <w:gridSpan w:val="8"/>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46" w:hRule="atLeast"/>
        </w:trPr>
        <w:tc>
          <w:tcPr>
            <w:tcW w:w="1075" w:type="dxa"/>
            <w:noWrap w:val="0"/>
            <w:vAlign w:val="center"/>
          </w:tcPr>
          <w:p>
            <w:pPr>
              <w:keepNext w:val="0"/>
              <w:keepLines w:val="0"/>
              <w:pageBreakBefore w:val="0"/>
              <w:widowControl w:val="0"/>
              <w:kinsoku/>
              <w:wordWrap/>
              <w:overflowPunct/>
              <w:topLinePunct w:val="0"/>
              <w:autoSpaceDE/>
              <w:autoSpaceDN/>
              <w:bidi w:val="0"/>
              <w:adjustRightInd/>
              <w:snapToGrid/>
              <w:spacing w:line="202"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主管部门</w:t>
            </w:r>
          </w:p>
        </w:tc>
        <w:tc>
          <w:tcPr>
            <w:tcW w:w="4520" w:type="dxa"/>
            <w:gridSpan w:val="4"/>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实施单位</w:t>
            </w:r>
          </w:p>
        </w:tc>
        <w:tc>
          <w:tcPr>
            <w:tcW w:w="2845" w:type="dxa"/>
            <w:gridSpan w:val="3"/>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01" w:hRule="atLeast"/>
        </w:trPr>
        <w:tc>
          <w:tcPr>
            <w:tcW w:w="1075"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54"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55"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项目资金</w:t>
            </w: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(万元)</w:t>
            </w:r>
          </w:p>
        </w:tc>
        <w:tc>
          <w:tcPr>
            <w:tcW w:w="2160" w:type="dxa"/>
            <w:gridSpan w:val="2"/>
            <w:noWrap w:val="0"/>
            <w:vAlign w:val="center"/>
          </w:tcPr>
          <w:p>
            <w:pPr>
              <w:keepNext w:val="0"/>
              <w:keepLines w:val="0"/>
              <w:pageBreakBefore w:val="0"/>
              <w:widowControl w:val="0"/>
              <w:kinsoku/>
              <w:wordWrap/>
              <w:overflowPunct/>
              <w:topLinePunct w:val="0"/>
              <w:autoSpaceDE/>
              <w:autoSpaceDN/>
              <w:bidi w:val="0"/>
              <w:adjustRightInd/>
              <w:snapToGrid/>
              <w:spacing w:line="30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年初</w:t>
            </w:r>
          </w:p>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预算数</w:t>
            </w: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全年</w:t>
            </w:r>
          </w:p>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预算数</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全年</w:t>
            </w:r>
          </w:p>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执行数</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分值</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执行率</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得分</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2160" w:type="dxa"/>
            <w:gridSpan w:val="2"/>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年度资金总额</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0.00</w:t>
            </w: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0.00</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default"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0.00</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165"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position w:val="-2"/>
                <w:sz w:val="21"/>
                <w:szCs w:val="21"/>
                <w14:textFill>
                  <w14:solidFill>
                    <w14:schemeClr w14:val="tx1"/>
                  </w14:solidFill>
                </w14:textFill>
              </w:rPr>
              <w:t>10</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2160" w:type="dxa"/>
            <w:gridSpan w:val="2"/>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其中：当年财政拨款</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2160" w:type="dxa"/>
            <w:gridSpan w:val="2"/>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上年结转资金</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continue"/>
            <w:tcBorders>
              <w:top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2160" w:type="dxa"/>
            <w:gridSpan w:val="2"/>
            <w:noWrap w:val="0"/>
            <w:vAlign w:val="center"/>
          </w:tcPr>
          <w:p>
            <w:pPr>
              <w:keepNext w:val="0"/>
              <w:keepLines w:val="0"/>
              <w:pageBreakBefore w:val="0"/>
              <w:widowControl w:val="0"/>
              <w:kinsoku/>
              <w:wordWrap/>
              <w:overflowPunct/>
              <w:topLinePunct w:val="0"/>
              <w:autoSpaceDE/>
              <w:autoSpaceDN/>
              <w:bidi w:val="0"/>
              <w:adjustRightInd/>
              <w:snapToGrid/>
              <w:spacing w:line="20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其他资金</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47" w:hRule="atLeast"/>
        </w:trPr>
        <w:tc>
          <w:tcPr>
            <w:tcW w:w="1075"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06" w:lineRule="auto"/>
              <w:ind w:left="0" w:right="0" w:hanging="20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年度总体</w:t>
            </w:r>
          </w:p>
          <w:p>
            <w:pPr>
              <w:keepNext w:val="0"/>
              <w:keepLines w:val="0"/>
              <w:pageBreakBefore w:val="0"/>
              <w:widowControl w:val="0"/>
              <w:kinsoku/>
              <w:wordWrap/>
              <w:overflowPunct/>
              <w:topLinePunct w:val="0"/>
              <w:autoSpaceDE/>
              <w:autoSpaceDN/>
              <w:bidi w:val="0"/>
              <w:adjustRightInd/>
              <w:snapToGrid/>
              <w:spacing w:line="206" w:lineRule="auto"/>
              <w:ind w:left="0" w:right="0" w:hanging="20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目标</w:t>
            </w:r>
          </w:p>
        </w:tc>
        <w:tc>
          <w:tcPr>
            <w:tcW w:w="4520"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20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预期目标</w:t>
            </w:r>
          </w:p>
        </w:tc>
        <w:tc>
          <w:tcPr>
            <w:tcW w:w="3985"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20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实际完成情况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5" w:hRule="atLeast"/>
        </w:trPr>
        <w:tc>
          <w:tcPr>
            <w:tcW w:w="1075" w:type="dxa"/>
            <w:vMerge w:val="continue"/>
            <w:tcBorders>
              <w:top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4520"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3985" w:type="dxa"/>
            <w:gridSpan w:val="4"/>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573" w:hRule="atLeast"/>
        </w:trPr>
        <w:tc>
          <w:tcPr>
            <w:tcW w:w="1075" w:type="dxa"/>
            <w:vMerge w:val="restart"/>
            <w:tcBorders>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spacing w:line="217"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绩</w:t>
            </w: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效</w:t>
            </w: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指</w:t>
            </w: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标</w:t>
            </w:r>
          </w:p>
        </w:tc>
        <w:tc>
          <w:tcPr>
            <w:tcW w:w="108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一级指标</w:t>
            </w:r>
          </w:p>
        </w:tc>
        <w:tc>
          <w:tcPr>
            <w:tcW w:w="108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二级指标</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三级指标</w:t>
            </w: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年度</w:t>
            </w:r>
          </w:p>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指标值</w:t>
            </w: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实际</w:t>
            </w:r>
          </w:p>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完成值</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分值</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得分</w:t>
            </w: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hanging="9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hint="eastAsia" w:ascii="宋体" w:hAnsi="宋体" w:eastAsia="宋体" w:cs="宋体"/>
                <w:color w:val="000000" w:themeColor="text1"/>
                <w:spacing w:val="0"/>
                <w:sz w:val="21"/>
                <w:szCs w:val="21"/>
                <w:lang w:val="en-US" w:eastAsia="zh-CN"/>
                <w14:textFill>
                  <w14:solidFill>
                    <w14:schemeClr w14:val="tx1"/>
                  </w14:solidFill>
                </w14:textFill>
              </w:rPr>
              <w:t xml:space="preserve"> </w:t>
            </w:r>
            <w:r>
              <w:rPr>
                <w:rFonts w:ascii="宋体" w:hAnsi="宋体" w:eastAsia="宋体" w:cs="宋体"/>
                <w:color w:val="000000" w:themeColor="text1"/>
                <w:spacing w:val="0"/>
                <w:sz w:val="21"/>
                <w:szCs w:val="21"/>
                <w14:textFill>
                  <w14:solidFill>
                    <w14:schemeClr w14:val="tx1"/>
                  </w14:solidFill>
                </w14:textFill>
              </w:rPr>
              <w:t>偏差原因分析 及改进措施</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25"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56"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57"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57"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257"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50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position w:val="22"/>
                <w:sz w:val="21"/>
                <w:szCs w:val="21"/>
                <w14:textFill>
                  <w14:solidFill>
                    <w14:schemeClr w14:val="tx1"/>
                  </w14:solidFill>
                </w14:textFill>
              </w:rPr>
              <w:t>产出指标</w:t>
            </w: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(50分)</w:t>
            </w:r>
          </w:p>
        </w:tc>
        <w:tc>
          <w:tcPr>
            <w:tcW w:w="1080"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数量指标</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19"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质量指标</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2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5"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时效指标</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2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19"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成本指标</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5"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2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5"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300"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301"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301" w:lineRule="auto"/>
              <w:ind w:left="0" w:right="0"/>
              <w:jc w:val="center"/>
              <w:textAlignment w:val="auto"/>
              <w:rPr>
                <w:rFonts w:ascii="Arial"/>
                <w:color w:val="000000" w:themeColor="text1"/>
                <w:spacing w:val="0"/>
                <w:sz w:val="21"/>
                <w:szCs w:val="21"/>
                <w14:textFill>
                  <w14:solidFill>
                    <w14:schemeClr w14:val="tx1"/>
                  </w14:solidFill>
                </w14:textFill>
              </w:rPr>
            </w:pPr>
          </w:p>
          <w:p>
            <w:pPr>
              <w:keepNext w:val="0"/>
              <w:keepLines w:val="0"/>
              <w:pageBreakBefore w:val="0"/>
              <w:widowControl w:val="0"/>
              <w:kinsoku/>
              <w:wordWrap/>
              <w:overflowPunct/>
              <w:topLinePunct w:val="0"/>
              <w:autoSpaceDE/>
              <w:autoSpaceDN/>
              <w:bidi w:val="0"/>
              <w:adjustRightInd/>
              <w:snapToGrid/>
              <w:spacing w:line="49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position w:val="21"/>
                <w:sz w:val="21"/>
                <w:szCs w:val="21"/>
                <w14:textFill>
                  <w14:solidFill>
                    <w14:schemeClr w14:val="tx1"/>
                  </w14:solidFill>
                </w14:textFill>
              </w:rPr>
              <w:t>效益指标</w:t>
            </w: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(30分)</w:t>
            </w:r>
          </w:p>
        </w:tc>
        <w:tc>
          <w:tcPr>
            <w:tcW w:w="1080"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position w:val="4"/>
                <w:sz w:val="21"/>
                <w:szCs w:val="21"/>
                <w14:textFill>
                  <w14:solidFill>
                    <w14:schemeClr w14:val="tx1"/>
                  </w14:solidFill>
                </w14:textFill>
              </w:rPr>
              <w:t>经济效</w:t>
            </w: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益指标</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2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54"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2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社会效</w:t>
            </w: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益指标</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5"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9"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65"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37"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生态效</w:t>
            </w:r>
          </w:p>
          <w:p>
            <w:pPr>
              <w:keepNext w:val="0"/>
              <w:keepLines w:val="0"/>
              <w:pageBreakBefore w:val="0"/>
              <w:widowControl w:val="0"/>
              <w:kinsoku/>
              <w:wordWrap/>
              <w:overflowPunct/>
              <w:topLinePunct w:val="0"/>
              <w:autoSpaceDE/>
              <w:autoSpaceDN/>
              <w:bidi w:val="0"/>
              <w:adjustRightInd/>
              <w:snapToGrid/>
              <w:spacing w:line="220"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益指标</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77"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16" w:lineRule="auto"/>
              <w:ind w:left="0" w:right="0" w:hanging="9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可持续</w:t>
            </w:r>
          </w:p>
          <w:p>
            <w:pPr>
              <w:keepNext w:val="0"/>
              <w:keepLines w:val="0"/>
              <w:pageBreakBefore w:val="0"/>
              <w:widowControl w:val="0"/>
              <w:kinsoku/>
              <w:wordWrap/>
              <w:overflowPunct/>
              <w:topLinePunct w:val="0"/>
              <w:autoSpaceDE/>
              <w:autoSpaceDN/>
              <w:bidi w:val="0"/>
              <w:adjustRightInd/>
              <w:snapToGrid/>
              <w:spacing w:line="216" w:lineRule="auto"/>
              <w:ind w:left="0" w:right="0" w:hanging="99"/>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影响指标</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9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2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4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满意度</w:t>
            </w:r>
          </w:p>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指标</w:t>
            </w:r>
          </w:p>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(10分)</w:t>
            </w:r>
          </w:p>
        </w:tc>
        <w:tc>
          <w:tcPr>
            <w:tcW w:w="1080" w:type="dxa"/>
            <w:vMerge w:val="restart"/>
            <w:tcBorders>
              <w:bottom w:val="nil"/>
            </w:tcBorders>
            <w:noWrap w:val="0"/>
            <w:vAlign w:val="center"/>
          </w:tcPr>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服务对象</w:t>
            </w:r>
          </w:p>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满意度</w:t>
            </w:r>
          </w:p>
          <w:p>
            <w:pPr>
              <w:keepNext w:val="0"/>
              <w:keepLines w:val="0"/>
              <w:pageBreakBefore w:val="0"/>
              <w:widowControl w:val="0"/>
              <w:kinsoku/>
              <w:wordWrap/>
              <w:overflowPunct/>
              <w:topLinePunct w:val="0"/>
              <w:autoSpaceDE/>
              <w:autoSpaceDN/>
              <w:bidi w:val="0"/>
              <w:adjustRightInd/>
              <w:snapToGrid/>
              <w:spacing w:line="280" w:lineRule="exact"/>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指标</w:t>
            </w: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4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36" w:hRule="atLeast"/>
        </w:trPr>
        <w:tc>
          <w:tcPr>
            <w:tcW w:w="1075" w:type="dxa"/>
            <w:vMerge w:val="continue"/>
            <w:tcBorders>
              <w:top w:val="nil"/>
              <w:bottom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bottom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spacing w:line="230" w:lineRule="exact"/>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13" w:hRule="atLeast"/>
        </w:trPr>
        <w:tc>
          <w:tcPr>
            <w:tcW w:w="1075" w:type="dxa"/>
            <w:vMerge w:val="continue"/>
            <w:tcBorders>
              <w:top w:val="nil"/>
            </w:tcBorders>
            <w:noWrap w:val="0"/>
            <w:textDirection w:val="tbRlV"/>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080" w:type="dxa"/>
            <w:vMerge w:val="continue"/>
            <w:tcBorders>
              <w:top w:val="nil"/>
            </w:tcBorders>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229"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131"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140"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14" w:hRule="atLeast"/>
        </w:trPr>
        <w:tc>
          <w:tcPr>
            <w:tcW w:w="6735" w:type="dxa"/>
            <w:gridSpan w:val="6"/>
            <w:noWrap w:val="0"/>
            <w:vAlign w:val="center"/>
          </w:tcPr>
          <w:p>
            <w:pPr>
              <w:keepNext w:val="0"/>
              <w:keepLines w:val="0"/>
              <w:pageBreakBefore w:val="0"/>
              <w:widowControl w:val="0"/>
              <w:kinsoku/>
              <w:wordWrap/>
              <w:overflowPunct/>
              <w:topLinePunct w:val="0"/>
              <w:autoSpaceDE/>
              <w:autoSpaceDN/>
              <w:bidi w:val="0"/>
              <w:adjustRightInd/>
              <w:snapToGrid/>
              <w:spacing w:line="260" w:lineRule="exact"/>
              <w:ind w:left="0" w:right="0" w:firstLine="3145"/>
              <w:jc w:val="center"/>
              <w:textAlignment w:val="auto"/>
              <w:rPr>
                <w:rFonts w:hint="eastAsia" w:eastAsiaTheme="minorEastAsia"/>
                <w:color w:val="000000" w:themeColor="text1"/>
                <w:spacing w:val="0"/>
                <w:sz w:val="21"/>
                <w:szCs w:val="21"/>
                <w:lang w:eastAsia="zh-CN"/>
                <w14:textFill>
                  <w14:solidFill>
                    <w14:schemeClr w14:val="tx1"/>
                  </w14:solidFill>
                </w14:textFill>
              </w:rPr>
            </w:pPr>
            <w:r>
              <w:rPr>
                <w:rFonts w:hint="eastAsia"/>
                <w:color w:val="000000" w:themeColor="text1"/>
                <w:spacing w:val="0"/>
                <w:sz w:val="21"/>
                <w:szCs w:val="21"/>
                <w:lang w:eastAsia="zh-CN"/>
                <w14:textFill>
                  <w14:solidFill>
                    <w14:schemeClr w14:val="tx1"/>
                  </w14:solidFill>
                </w14:textFill>
              </w:rPr>
              <w:t>总分</w:t>
            </w:r>
          </w:p>
        </w:tc>
        <w:tc>
          <w:tcPr>
            <w:tcW w:w="685" w:type="dxa"/>
            <w:noWrap w:val="0"/>
            <w:vAlign w:val="center"/>
          </w:tcPr>
          <w:p>
            <w:pPr>
              <w:keepNext w:val="0"/>
              <w:keepLines w:val="0"/>
              <w:pageBreakBefore w:val="0"/>
              <w:widowControl w:val="0"/>
              <w:kinsoku/>
              <w:wordWrap/>
              <w:overflowPunct/>
              <w:topLinePunct w:val="0"/>
              <w:autoSpaceDE/>
              <w:autoSpaceDN/>
              <w:bidi w:val="0"/>
              <w:adjustRightInd/>
              <w:snapToGrid/>
              <w:spacing w:line="161" w:lineRule="auto"/>
              <w:ind w:left="0" w:right="0"/>
              <w:jc w:val="center"/>
              <w:textAlignment w:val="auto"/>
              <w:rPr>
                <w:rFonts w:ascii="宋体" w:hAnsi="宋体" w:eastAsia="宋体" w:cs="宋体"/>
                <w:color w:val="000000" w:themeColor="text1"/>
                <w:spacing w:val="0"/>
                <w:sz w:val="21"/>
                <w:szCs w:val="21"/>
                <w14:textFill>
                  <w14:solidFill>
                    <w14:schemeClr w14:val="tx1"/>
                  </w14:solidFill>
                </w14:textFill>
              </w:rPr>
            </w:pPr>
            <w:r>
              <w:rPr>
                <w:rFonts w:ascii="宋体" w:hAnsi="宋体" w:eastAsia="宋体" w:cs="宋体"/>
                <w:color w:val="000000" w:themeColor="text1"/>
                <w:spacing w:val="0"/>
                <w:sz w:val="21"/>
                <w:szCs w:val="21"/>
                <w14:textFill>
                  <w14:solidFill>
                    <w14:schemeClr w14:val="tx1"/>
                  </w14:solidFill>
                </w14:textFill>
              </w:rPr>
              <w:t>100</w:t>
            </w:r>
          </w:p>
        </w:tc>
        <w:tc>
          <w:tcPr>
            <w:tcW w:w="79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hint="eastAsia" w:ascii="Arial" w:eastAsiaTheme="minorEastAsia"/>
                <w:color w:val="000000" w:themeColor="text1"/>
                <w:spacing w:val="0"/>
                <w:sz w:val="21"/>
                <w:szCs w:val="21"/>
                <w:lang w:val="en-US" w:eastAsia="zh-CN"/>
                <w14:textFill>
                  <w14:solidFill>
                    <w14:schemeClr w14:val="tx1"/>
                  </w14:solidFill>
                </w14:textFill>
              </w:rPr>
            </w:pPr>
            <w:r>
              <w:rPr>
                <w:rFonts w:hint="eastAsia" w:ascii="Arial"/>
                <w:color w:val="000000" w:themeColor="text1"/>
                <w:spacing w:val="0"/>
                <w:sz w:val="21"/>
                <w:szCs w:val="21"/>
                <w:lang w:val="en-US" w:eastAsia="zh-CN"/>
                <w14:textFill>
                  <w14:solidFill>
                    <w14:schemeClr w14:val="tx1"/>
                  </w14:solidFill>
                </w14:textFill>
              </w:rPr>
              <w:t>/</w:t>
            </w:r>
            <w:bookmarkStart w:id="0" w:name="_GoBack"/>
            <w:bookmarkEnd w:id="0"/>
          </w:p>
        </w:tc>
        <w:tc>
          <w:tcPr>
            <w:tcW w:w="1365" w:type="dxa"/>
            <w:noWrap w:val="0"/>
            <w:vAlign w:val="center"/>
          </w:tcPr>
          <w:p>
            <w:pPr>
              <w:keepNext w:val="0"/>
              <w:keepLines w:val="0"/>
              <w:pageBreakBefore w:val="0"/>
              <w:widowControl w:val="0"/>
              <w:kinsoku/>
              <w:wordWrap/>
              <w:overflowPunct/>
              <w:topLinePunct w:val="0"/>
              <w:autoSpaceDE/>
              <w:autoSpaceDN/>
              <w:bidi w:val="0"/>
              <w:adjustRightInd/>
              <w:snapToGrid/>
              <w:ind w:left="0" w:right="0"/>
              <w:jc w:val="center"/>
              <w:textAlignment w:val="auto"/>
              <w:rPr>
                <w:rFonts w:ascii="Arial"/>
                <w:color w:val="000000" w:themeColor="text1"/>
                <w:spacing w:val="0"/>
                <w:sz w:val="21"/>
                <w:szCs w:val="21"/>
                <w14:textFill>
                  <w14:solidFill>
                    <w14:schemeClr w14:val="tx1"/>
                  </w14:solidFill>
                </w14:textFill>
              </w:rPr>
            </w:pPr>
          </w:p>
        </w:tc>
      </w:tr>
    </w:tbl>
    <w:p>
      <w:pPr>
        <w:spacing w:line="252" w:lineRule="auto"/>
        <w:rPr>
          <w:rFonts w:ascii="Arial"/>
          <w:color w:val="000000" w:themeColor="text1"/>
          <w:sz w:val="21"/>
          <w14:textFill>
            <w14:solidFill>
              <w14:schemeClr w14:val="tx1"/>
            </w14:solidFill>
          </w14:textFill>
        </w:rPr>
      </w:pPr>
    </w:p>
    <w:p>
      <w:pPr>
        <w:spacing w:before="75" w:line="230" w:lineRule="auto"/>
        <w:rPr>
          <w:rFonts w:hint="default" w:ascii="仿宋_GB2312" w:hAnsi="仿宋_GB2312" w:eastAsia="仿宋_GB2312" w:cs="仿宋_GB2312"/>
          <w:color w:val="000000" w:themeColor="text1"/>
          <w:spacing w:val="0"/>
          <w:position w:val="0"/>
          <w:sz w:val="32"/>
          <w:szCs w:val="32"/>
          <w:lang w:val="en-US" w:eastAsia="zh-CN"/>
          <w14:textFill>
            <w14:solidFill>
              <w14:schemeClr w14:val="tx1"/>
            </w14:solidFill>
          </w14:textFill>
        </w:rPr>
        <w:sectPr>
          <w:pgSz w:w="11906" w:h="16838"/>
          <w:pgMar w:top="1417" w:right="1417" w:bottom="1417" w:left="1417" w:header="851" w:footer="992" w:gutter="0"/>
          <w:pgNumType w:fmt="decimal"/>
          <w:cols w:space="0" w:num="1"/>
          <w:rtlGutter w:val="0"/>
          <w:docGrid w:type="lines" w:linePitch="312" w:charSpace="0"/>
        </w:sectPr>
      </w:pPr>
      <w:r>
        <w:rPr>
          <w:rFonts w:ascii="仿宋" w:hAnsi="仿宋" w:eastAsia="仿宋" w:cs="仿宋"/>
          <w:color w:val="000000" w:themeColor="text1"/>
          <w:spacing w:val="-26"/>
          <w:sz w:val="23"/>
          <w:szCs w:val="23"/>
          <w14:textFill>
            <w14:solidFill>
              <w14:schemeClr w14:val="tx1"/>
            </w14:solidFill>
          </w14:textFill>
        </w:rPr>
        <w:t>填表人：</w:t>
      </w:r>
      <w:r>
        <w:rPr>
          <w:rFonts w:ascii="仿宋" w:hAnsi="仿宋" w:eastAsia="仿宋" w:cs="仿宋"/>
          <w:color w:val="000000" w:themeColor="text1"/>
          <w:spacing w:val="15"/>
          <w:sz w:val="23"/>
          <w:szCs w:val="23"/>
          <w14:textFill>
            <w14:solidFill>
              <w14:schemeClr w14:val="tx1"/>
            </w14:solidFill>
          </w14:textFill>
        </w:rPr>
        <w:t xml:space="preserve">  </w:t>
      </w:r>
      <w:r>
        <w:rPr>
          <w:rFonts w:ascii="仿宋" w:hAnsi="仿宋" w:eastAsia="仿宋" w:cs="仿宋"/>
          <w:color w:val="000000" w:themeColor="text1"/>
          <w:spacing w:val="4"/>
          <w:sz w:val="23"/>
          <w:szCs w:val="23"/>
          <w14:textFill>
            <w14:solidFill>
              <w14:schemeClr w14:val="tx1"/>
            </w14:solidFill>
          </w14:textFill>
        </w:rPr>
        <w:t xml:space="preserve">         </w:t>
      </w:r>
      <w:r>
        <w:rPr>
          <w:rFonts w:ascii="仿宋" w:hAnsi="仿宋" w:eastAsia="仿宋" w:cs="仿宋"/>
          <w:color w:val="000000" w:themeColor="text1"/>
          <w:spacing w:val="-26"/>
          <w:sz w:val="23"/>
          <w:szCs w:val="23"/>
          <w14:textFill>
            <w14:solidFill>
              <w14:schemeClr w14:val="tx1"/>
            </w14:solidFill>
          </w14:textFill>
        </w:rPr>
        <w:t>联系电话：</w:t>
      </w:r>
      <w:r>
        <w:rPr>
          <w:rFonts w:ascii="仿宋" w:hAnsi="仿宋" w:eastAsia="仿宋" w:cs="仿宋"/>
          <w:color w:val="000000" w:themeColor="text1"/>
          <w:spacing w:val="3"/>
          <w:sz w:val="23"/>
          <w:szCs w:val="23"/>
          <w14:textFill>
            <w14:solidFill>
              <w14:schemeClr w14:val="tx1"/>
            </w14:solidFill>
          </w14:textFill>
        </w:rPr>
        <w:t xml:space="preserve">            </w:t>
      </w:r>
      <w:r>
        <w:rPr>
          <w:rFonts w:ascii="仿宋" w:hAnsi="仿宋" w:eastAsia="仿宋" w:cs="仿宋"/>
          <w:color w:val="000000" w:themeColor="text1"/>
          <w:spacing w:val="-26"/>
          <w:sz w:val="23"/>
          <w:szCs w:val="23"/>
          <w14:textFill>
            <w14:solidFill>
              <w14:schemeClr w14:val="tx1"/>
            </w14:solidFill>
          </w14:textFill>
        </w:rPr>
        <w:t>单位负责人签字：</w:t>
      </w:r>
      <w:r>
        <w:rPr>
          <w:rFonts w:hint="eastAsia" w:ascii="仿宋" w:hAnsi="仿宋" w:eastAsia="仿宋" w:cs="仿宋"/>
          <w:color w:val="000000" w:themeColor="text1"/>
          <w:spacing w:val="-26"/>
          <w:sz w:val="23"/>
          <w:szCs w:val="23"/>
          <w:lang w:val="en-US" w:eastAsia="zh-CN"/>
          <w14:textFill>
            <w14:solidFill>
              <w14:schemeClr w14:val="tx1"/>
            </w14:solidFill>
          </w14:textFill>
        </w:rPr>
        <w:t xml:space="preserve">                 </w:t>
      </w:r>
      <w:r>
        <w:rPr>
          <w:rFonts w:ascii="仿宋" w:hAnsi="仿宋" w:eastAsia="仿宋" w:cs="仿宋"/>
          <w:color w:val="000000" w:themeColor="text1"/>
          <w:spacing w:val="15"/>
          <w:sz w:val="23"/>
          <w:szCs w:val="23"/>
          <w14:textFill>
            <w14:solidFill>
              <w14:schemeClr w14:val="tx1"/>
            </w14:solidFill>
          </w14:textFill>
        </w:rPr>
        <w:t xml:space="preserve"> </w:t>
      </w:r>
      <w:r>
        <w:rPr>
          <w:rFonts w:ascii="仿宋" w:hAnsi="仿宋" w:eastAsia="仿宋" w:cs="仿宋"/>
          <w:color w:val="000000" w:themeColor="text1"/>
          <w:spacing w:val="-26"/>
          <w:sz w:val="23"/>
          <w:szCs w:val="23"/>
          <w14:textFill>
            <w14:solidFill>
              <w14:schemeClr w14:val="tx1"/>
            </w14:solidFill>
          </w14:textFill>
        </w:rPr>
        <w:t>填报日期：</w:t>
      </w:r>
      <w:r>
        <w:rPr>
          <w:rFonts w:ascii="仿宋" w:hAnsi="仿宋" w:eastAsia="仿宋" w:cs="仿宋"/>
          <w:color w:val="000000" w:themeColor="text1"/>
          <w:spacing w:val="4"/>
          <w:sz w:val="23"/>
          <w:szCs w:val="23"/>
          <w14:textFill>
            <w14:solidFill>
              <w14:schemeClr w14:val="tx1"/>
            </w14:solidFill>
          </w14:textFill>
        </w:rPr>
        <w:t xml:space="preserve"> </w:t>
      </w:r>
    </w:p>
    <w:p>
      <w:pPr>
        <w:keepNext w:val="0"/>
        <w:keepLines w:val="0"/>
        <w:pageBreakBefore w:val="0"/>
        <w:widowControl w:val="0"/>
        <w:kinsoku/>
        <w:wordWrap/>
        <w:overflowPunct/>
        <w:topLinePunct w:val="0"/>
        <w:autoSpaceDE/>
        <w:autoSpaceDN/>
        <w:bidi w:val="0"/>
        <w:adjustRightInd/>
        <w:snapToGrid/>
        <w:spacing w:line="240" w:lineRule="auto"/>
        <w:textAlignment w:val="auto"/>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pPr>
      <w:r>
        <w:rPr>
          <w:rFonts w:hint="eastAsia" w:ascii="黑体" w:hAnsi="黑体" w:eastAsia="黑体" w:cs="黑体"/>
          <w:b w:val="0"/>
          <w:bCs w:val="0"/>
          <w:color w:val="000000" w:themeColor="text1"/>
          <w:spacing w:val="10"/>
          <w:sz w:val="32"/>
          <w:szCs w:val="32"/>
          <w:lang w:val="en-US" w:eastAsia="zh-CN"/>
          <w14:textFill>
            <w14:solidFill>
              <w14:schemeClr w14:val="tx1"/>
            </w14:solidFill>
          </w14:textFill>
        </w:rPr>
        <w:t>附件5</w:t>
      </w:r>
    </w:p>
    <w:p>
      <w:pPr>
        <w:ind w:firstLine="1440" w:firstLineChars="400"/>
        <w:jc w:val="both"/>
        <w:rPr>
          <w:rFonts w:hint="eastAsia" w:eastAsia="方正小标宋简体"/>
          <w:sz w:val="36"/>
          <w:szCs w:val="36"/>
          <w:lang w:eastAsia="zh-CN"/>
        </w:rPr>
      </w:pPr>
    </w:p>
    <w:p>
      <w:pPr>
        <w:ind w:firstLine="1440" w:firstLineChars="400"/>
        <w:jc w:val="both"/>
        <w:rPr>
          <w:rFonts w:eastAsia="方正小标宋简体"/>
          <w:spacing w:val="-6"/>
          <w:sz w:val="36"/>
          <w:szCs w:val="36"/>
        </w:rPr>
      </w:pPr>
      <w:r>
        <w:rPr>
          <w:rFonts w:hint="eastAsia" w:eastAsia="方正小标宋简体"/>
          <w:sz w:val="36"/>
          <w:szCs w:val="36"/>
          <w:lang w:eastAsia="zh-CN"/>
        </w:rPr>
        <w:t>区级</w:t>
      </w:r>
      <w:r>
        <w:rPr>
          <w:rFonts w:eastAsia="方正小标宋简体"/>
          <w:sz w:val="36"/>
          <w:szCs w:val="36"/>
        </w:rPr>
        <w:t>预算</w:t>
      </w:r>
      <w:r>
        <w:rPr>
          <w:rFonts w:hint="eastAsia" w:eastAsia="方正小标宋简体"/>
          <w:sz w:val="36"/>
          <w:szCs w:val="36"/>
          <w:lang w:eastAsia="zh-CN"/>
        </w:rPr>
        <w:t>单位</w:t>
      </w:r>
      <w:r>
        <w:rPr>
          <w:rFonts w:eastAsia="方正小标宋简体"/>
          <w:spacing w:val="-6"/>
          <w:sz w:val="36"/>
          <w:szCs w:val="36"/>
        </w:rPr>
        <w:t>绩效自评工作考核评分表</w:t>
      </w:r>
    </w:p>
    <w:tbl>
      <w:tblPr>
        <w:tblStyle w:val="11"/>
        <w:tblW w:w="9510" w:type="dxa"/>
        <w:jc w:val="center"/>
        <w:tblLayout w:type="fixed"/>
        <w:tblCellMar>
          <w:top w:w="0" w:type="dxa"/>
          <w:left w:w="108" w:type="dxa"/>
          <w:bottom w:w="0" w:type="dxa"/>
          <w:right w:w="108" w:type="dxa"/>
        </w:tblCellMar>
      </w:tblPr>
      <w:tblGrid>
        <w:gridCol w:w="774"/>
        <w:gridCol w:w="1501"/>
        <w:gridCol w:w="6482"/>
        <w:gridCol w:w="753"/>
      </w:tblGrid>
      <w:tr>
        <w:tblPrEx>
          <w:tblCellMar>
            <w:top w:w="0" w:type="dxa"/>
            <w:left w:w="108" w:type="dxa"/>
            <w:bottom w:w="0" w:type="dxa"/>
            <w:right w:w="108" w:type="dxa"/>
          </w:tblCellMar>
        </w:tblPrEx>
        <w:trPr>
          <w:trHeight w:val="630" w:hRule="atLeast"/>
          <w:tblHeader/>
          <w:jc w:val="center"/>
        </w:trPr>
        <w:tc>
          <w:tcPr>
            <w:tcW w:w="774" w:type="dxa"/>
            <w:tcBorders>
              <w:top w:val="single" w:color="auto" w:sz="4" w:space="0"/>
              <w:left w:val="single" w:color="auto" w:sz="4" w:space="0"/>
              <w:bottom w:val="single" w:color="auto" w:sz="4" w:space="0"/>
              <w:right w:val="single" w:color="auto" w:sz="4" w:space="0"/>
            </w:tcBorders>
            <w:noWrap w:val="0"/>
            <w:vAlign w:val="center"/>
          </w:tcPr>
          <w:p>
            <w:pPr>
              <w:spacing w:line="240" w:lineRule="exact"/>
              <w:jc w:val="center"/>
              <w:rPr>
                <w:rFonts w:eastAsia="黑体"/>
                <w:szCs w:val="21"/>
              </w:rPr>
            </w:pPr>
            <w:r>
              <w:rPr>
                <w:rFonts w:eastAsia="黑体"/>
                <w:szCs w:val="21"/>
              </w:rPr>
              <w:t>一级指标</w:t>
            </w:r>
          </w:p>
        </w:tc>
        <w:tc>
          <w:tcPr>
            <w:tcW w:w="1501" w:type="dxa"/>
            <w:tcBorders>
              <w:top w:val="single" w:color="auto" w:sz="4" w:space="0"/>
              <w:left w:val="nil"/>
              <w:bottom w:val="single" w:color="auto" w:sz="4" w:space="0"/>
              <w:right w:val="single" w:color="auto" w:sz="4" w:space="0"/>
            </w:tcBorders>
            <w:noWrap w:val="0"/>
            <w:vAlign w:val="center"/>
          </w:tcPr>
          <w:p>
            <w:pPr>
              <w:spacing w:line="240" w:lineRule="exact"/>
              <w:jc w:val="center"/>
              <w:rPr>
                <w:rFonts w:eastAsia="黑体"/>
                <w:szCs w:val="21"/>
              </w:rPr>
            </w:pPr>
            <w:r>
              <w:rPr>
                <w:rFonts w:eastAsia="黑体"/>
                <w:szCs w:val="21"/>
              </w:rPr>
              <w:t>二级指标</w:t>
            </w:r>
          </w:p>
        </w:tc>
        <w:tc>
          <w:tcPr>
            <w:tcW w:w="6482" w:type="dxa"/>
            <w:tcBorders>
              <w:top w:val="single" w:color="auto" w:sz="4" w:space="0"/>
              <w:left w:val="nil"/>
              <w:bottom w:val="single" w:color="auto" w:sz="4" w:space="0"/>
              <w:right w:val="single" w:color="auto" w:sz="4" w:space="0"/>
            </w:tcBorders>
            <w:noWrap w:val="0"/>
            <w:vAlign w:val="center"/>
          </w:tcPr>
          <w:p>
            <w:pPr>
              <w:spacing w:line="240" w:lineRule="exact"/>
              <w:jc w:val="center"/>
              <w:rPr>
                <w:rFonts w:eastAsia="黑体"/>
                <w:szCs w:val="21"/>
              </w:rPr>
            </w:pPr>
            <w:r>
              <w:rPr>
                <w:rFonts w:eastAsia="黑体"/>
                <w:szCs w:val="21"/>
              </w:rPr>
              <w:t>评分标准</w:t>
            </w:r>
          </w:p>
        </w:tc>
        <w:tc>
          <w:tcPr>
            <w:tcW w:w="753" w:type="dxa"/>
            <w:tcBorders>
              <w:top w:val="single" w:color="auto" w:sz="4" w:space="0"/>
              <w:left w:val="nil"/>
              <w:bottom w:val="single" w:color="auto" w:sz="4" w:space="0"/>
              <w:right w:val="single" w:color="auto" w:sz="4" w:space="0"/>
            </w:tcBorders>
            <w:noWrap w:val="0"/>
            <w:vAlign w:val="center"/>
          </w:tcPr>
          <w:p>
            <w:pPr>
              <w:spacing w:line="240" w:lineRule="exact"/>
              <w:jc w:val="center"/>
              <w:rPr>
                <w:rFonts w:eastAsia="黑体"/>
                <w:szCs w:val="21"/>
              </w:rPr>
            </w:pPr>
            <w:r>
              <w:rPr>
                <w:rFonts w:eastAsia="黑体"/>
                <w:szCs w:val="21"/>
              </w:rPr>
              <w:t>评分</w:t>
            </w:r>
          </w:p>
        </w:tc>
      </w:tr>
      <w:tr>
        <w:tblPrEx>
          <w:tblCellMar>
            <w:top w:w="0" w:type="dxa"/>
            <w:left w:w="108" w:type="dxa"/>
            <w:bottom w:w="0" w:type="dxa"/>
            <w:right w:w="108" w:type="dxa"/>
          </w:tblCellMar>
        </w:tblPrEx>
        <w:trPr>
          <w:trHeight w:val="1234" w:hRule="atLeast"/>
          <w:jc w:val="center"/>
        </w:trPr>
        <w:tc>
          <w:tcPr>
            <w:tcW w:w="774" w:type="dxa"/>
            <w:vMerge w:val="restart"/>
            <w:tcBorders>
              <w:top w:val="single" w:color="auto" w:sz="4" w:space="0"/>
              <w:left w:val="single" w:color="auto" w:sz="4" w:space="0"/>
              <w:bottom w:val="single" w:color="auto" w:sz="4" w:space="0"/>
              <w:right w:val="single" w:color="auto" w:sz="4" w:space="0"/>
            </w:tcBorders>
            <w:noWrap w:val="0"/>
            <w:vAlign w:val="center"/>
          </w:tcPr>
          <w:p>
            <w:pPr>
              <w:spacing w:line="320" w:lineRule="exact"/>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rPr>
              <w:t>实施评价</w:t>
            </w:r>
          </w:p>
          <w:p>
            <w:pPr>
              <w:spacing w:line="320" w:lineRule="exact"/>
              <w:jc w:val="center"/>
              <w:rPr>
                <w:rFonts w:hint="eastAsia" w:asciiTheme="majorEastAsia" w:hAnsiTheme="majorEastAsia" w:eastAsiaTheme="majorEastAsia" w:cstheme="majorEastAsia"/>
                <w:szCs w:val="21"/>
              </w:rPr>
            </w:pPr>
          </w:p>
          <w:p>
            <w:pPr>
              <w:spacing w:line="320" w:lineRule="exact"/>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rPr>
              <w:t>30分</w:t>
            </w:r>
          </w:p>
        </w:tc>
        <w:tc>
          <w:tcPr>
            <w:tcW w:w="1501" w:type="dxa"/>
            <w:tcBorders>
              <w:top w:val="single" w:color="auto" w:sz="4" w:space="0"/>
              <w:left w:val="nil"/>
              <w:bottom w:val="single" w:color="auto" w:sz="4" w:space="0"/>
              <w:right w:val="single" w:color="auto" w:sz="4" w:space="0"/>
            </w:tcBorders>
            <w:noWrap w:val="0"/>
            <w:vAlign w:val="center"/>
          </w:tcPr>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单位自查</w:t>
            </w:r>
          </w:p>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（20分）</w:t>
            </w:r>
          </w:p>
        </w:tc>
        <w:tc>
          <w:tcPr>
            <w:tcW w:w="6482" w:type="dxa"/>
            <w:tcBorders>
              <w:top w:val="single" w:color="auto" w:sz="4" w:space="0"/>
              <w:left w:val="nil"/>
              <w:bottom w:val="single" w:color="auto" w:sz="4" w:space="0"/>
              <w:right w:val="single" w:color="auto" w:sz="4" w:space="0"/>
            </w:tcBorders>
            <w:noWrap w:val="0"/>
            <w:vAlign w:val="center"/>
          </w:tcPr>
          <w:p>
            <w:pPr>
              <w:spacing w:line="240" w:lineRule="exact"/>
              <w:ind w:firstLine="210" w:firstLineChars="100"/>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lang w:eastAsia="zh-CN"/>
              </w:rPr>
              <w:t>区</w:t>
            </w:r>
            <w:r>
              <w:rPr>
                <w:rFonts w:hint="eastAsia" w:asciiTheme="majorEastAsia" w:hAnsiTheme="majorEastAsia" w:eastAsiaTheme="majorEastAsia" w:cstheme="majorEastAsia"/>
                <w:sz w:val="21"/>
                <w:szCs w:val="21"/>
              </w:rPr>
              <w:t>级预算单位都要开展绩效自查，转移支付项目单位都要开展绩效自查，区级主管部门都要汇总本区域转移支付情况；以上各项每发现一个单位没有做相应工作的，扣1分，最多扣20分。</w:t>
            </w:r>
          </w:p>
        </w:tc>
        <w:tc>
          <w:tcPr>
            <w:tcW w:w="753" w:type="dxa"/>
            <w:tcBorders>
              <w:top w:val="single" w:color="auto" w:sz="4" w:space="0"/>
              <w:left w:val="nil"/>
              <w:bottom w:val="single" w:color="auto" w:sz="4" w:space="0"/>
              <w:right w:val="single" w:color="auto" w:sz="4" w:space="0"/>
            </w:tcBorders>
            <w:noWrap w:val="0"/>
            <w:vAlign w:val="center"/>
          </w:tcPr>
          <w:p>
            <w:pPr>
              <w:spacing w:line="240" w:lineRule="exact"/>
              <w:rPr>
                <w:rFonts w:hint="default" w:asciiTheme="majorEastAsia" w:hAnsiTheme="majorEastAsia" w:eastAsiaTheme="majorEastAsia" w:cstheme="majorEastAsia"/>
                <w:szCs w:val="21"/>
                <w:lang w:val="en-US" w:eastAsia="zh-CN"/>
              </w:rPr>
            </w:pPr>
            <w:r>
              <w:rPr>
                <w:rFonts w:hint="eastAsia" w:asciiTheme="majorEastAsia" w:hAnsiTheme="majorEastAsia" w:eastAsiaTheme="majorEastAsia" w:cstheme="majorEastAsia"/>
                <w:szCs w:val="21"/>
              </w:rPr>
              <w:t>　</w:t>
            </w:r>
            <w:r>
              <w:rPr>
                <w:rFonts w:hint="eastAsia" w:asciiTheme="majorEastAsia" w:hAnsiTheme="majorEastAsia" w:eastAsiaTheme="majorEastAsia" w:cstheme="majorEastAsia"/>
                <w:szCs w:val="21"/>
                <w:lang w:val="en-US" w:eastAsia="zh-CN"/>
              </w:rPr>
              <w:t>20</w:t>
            </w:r>
          </w:p>
        </w:tc>
      </w:tr>
      <w:tr>
        <w:tblPrEx>
          <w:tblCellMar>
            <w:top w:w="0" w:type="dxa"/>
            <w:left w:w="108" w:type="dxa"/>
            <w:bottom w:w="0" w:type="dxa"/>
            <w:right w:w="108" w:type="dxa"/>
          </w:tblCellMar>
        </w:tblPrEx>
        <w:trPr>
          <w:trHeight w:val="682" w:hRule="atLeast"/>
          <w:jc w:val="center"/>
        </w:trPr>
        <w:tc>
          <w:tcPr>
            <w:tcW w:w="774"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jc w:val="left"/>
              <w:rPr>
                <w:rFonts w:hint="eastAsia" w:asciiTheme="majorEastAsia" w:hAnsiTheme="majorEastAsia" w:eastAsiaTheme="majorEastAsia" w:cstheme="majorEastAsia"/>
                <w:szCs w:val="21"/>
              </w:rPr>
            </w:pPr>
          </w:p>
        </w:tc>
        <w:tc>
          <w:tcPr>
            <w:tcW w:w="1501" w:type="dxa"/>
            <w:tcBorders>
              <w:top w:val="nil"/>
              <w:left w:val="nil"/>
              <w:bottom w:val="single" w:color="auto" w:sz="4" w:space="0"/>
              <w:right w:val="single" w:color="auto" w:sz="4" w:space="0"/>
            </w:tcBorders>
            <w:noWrap w:val="0"/>
            <w:vAlign w:val="center"/>
          </w:tcPr>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提交报告</w:t>
            </w:r>
          </w:p>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（10分）</w:t>
            </w:r>
          </w:p>
        </w:tc>
        <w:tc>
          <w:tcPr>
            <w:tcW w:w="6482" w:type="dxa"/>
            <w:tcBorders>
              <w:top w:val="nil"/>
              <w:left w:val="nil"/>
              <w:bottom w:val="single" w:color="auto" w:sz="4" w:space="0"/>
              <w:right w:val="single" w:color="auto" w:sz="4" w:space="0"/>
            </w:tcBorders>
            <w:noWrap w:val="0"/>
            <w:vAlign w:val="center"/>
          </w:tcPr>
          <w:p>
            <w:pPr>
              <w:spacing w:line="240" w:lineRule="exact"/>
              <w:ind w:firstLine="210" w:firstLineChars="100"/>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按时向</w:t>
            </w:r>
            <w:r>
              <w:rPr>
                <w:rFonts w:hint="eastAsia" w:asciiTheme="majorEastAsia" w:hAnsiTheme="majorEastAsia" w:eastAsiaTheme="majorEastAsia" w:cstheme="majorEastAsia"/>
                <w:sz w:val="21"/>
                <w:szCs w:val="21"/>
                <w:lang w:eastAsia="zh-CN"/>
              </w:rPr>
              <w:t>区</w:t>
            </w:r>
            <w:r>
              <w:rPr>
                <w:rFonts w:hint="eastAsia" w:asciiTheme="majorEastAsia" w:hAnsiTheme="majorEastAsia" w:eastAsiaTheme="majorEastAsia" w:cstheme="majorEastAsia"/>
                <w:sz w:val="21"/>
                <w:szCs w:val="21"/>
              </w:rPr>
              <w:t>财政局报送报告的得10分；每推迟一天报送报告的扣1分，最多扣10分。</w:t>
            </w:r>
          </w:p>
        </w:tc>
        <w:tc>
          <w:tcPr>
            <w:tcW w:w="753" w:type="dxa"/>
            <w:tcBorders>
              <w:top w:val="nil"/>
              <w:left w:val="nil"/>
              <w:bottom w:val="single" w:color="auto" w:sz="4" w:space="0"/>
              <w:right w:val="single" w:color="auto" w:sz="4" w:space="0"/>
            </w:tcBorders>
            <w:noWrap w:val="0"/>
            <w:vAlign w:val="center"/>
          </w:tcPr>
          <w:p>
            <w:pPr>
              <w:spacing w:line="240" w:lineRule="exact"/>
              <w:rPr>
                <w:rFonts w:hint="default" w:asciiTheme="majorEastAsia" w:hAnsiTheme="majorEastAsia" w:eastAsiaTheme="majorEastAsia" w:cstheme="majorEastAsia"/>
                <w:szCs w:val="21"/>
                <w:lang w:val="en-US" w:eastAsia="zh-CN"/>
              </w:rPr>
            </w:pPr>
            <w:r>
              <w:rPr>
                <w:rFonts w:hint="eastAsia" w:asciiTheme="majorEastAsia" w:hAnsiTheme="majorEastAsia" w:eastAsiaTheme="majorEastAsia" w:cstheme="majorEastAsia"/>
                <w:szCs w:val="21"/>
                <w:lang w:val="en-US" w:eastAsia="zh-CN"/>
              </w:rPr>
              <w:t>10</w:t>
            </w:r>
          </w:p>
        </w:tc>
      </w:tr>
      <w:tr>
        <w:tblPrEx>
          <w:tblCellMar>
            <w:top w:w="0" w:type="dxa"/>
            <w:left w:w="108" w:type="dxa"/>
            <w:bottom w:w="0" w:type="dxa"/>
            <w:right w:w="108" w:type="dxa"/>
          </w:tblCellMar>
        </w:tblPrEx>
        <w:trPr>
          <w:trHeight w:val="1408" w:hRule="atLeast"/>
          <w:jc w:val="center"/>
        </w:trPr>
        <w:tc>
          <w:tcPr>
            <w:tcW w:w="774" w:type="dxa"/>
            <w:vMerge w:val="restart"/>
            <w:tcBorders>
              <w:top w:val="single" w:color="auto" w:sz="4" w:space="0"/>
              <w:left w:val="single" w:color="auto" w:sz="4" w:space="0"/>
              <w:bottom w:val="single" w:color="auto" w:sz="4" w:space="0"/>
              <w:right w:val="single" w:color="auto" w:sz="4" w:space="0"/>
            </w:tcBorders>
            <w:noWrap w:val="0"/>
            <w:vAlign w:val="center"/>
          </w:tcPr>
          <w:p>
            <w:pPr>
              <w:spacing w:line="240" w:lineRule="exact"/>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rPr>
              <w:t>自评报告</w:t>
            </w:r>
          </w:p>
          <w:p>
            <w:pPr>
              <w:spacing w:line="240" w:lineRule="exact"/>
              <w:jc w:val="center"/>
              <w:rPr>
                <w:rFonts w:hint="eastAsia" w:asciiTheme="majorEastAsia" w:hAnsiTheme="majorEastAsia" w:eastAsiaTheme="majorEastAsia" w:cstheme="majorEastAsia"/>
                <w:szCs w:val="21"/>
              </w:rPr>
            </w:pPr>
          </w:p>
          <w:p>
            <w:pPr>
              <w:spacing w:line="240" w:lineRule="exact"/>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lang w:val="en-US" w:eastAsia="zh-CN"/>
              </w:rPr>
              <w:t>70</w:t>
            </w:r>
            <w:r>
              <w:rPr>
                <w:rFonts w:hint="eastAsia" w:asciiTheme="majorEastAsia" w:hAnsiTheme="majorEastAsia" w:eastAsiaTheme="majorEastAsia" w:cstheme="majorEastAsia"/>
                <w:szCs w:val="21"/>
              </w:rPr>
              <w:t>分</w:t>
            </w:r>
          </w:p>
        </w:tc>
        <w:tc>
          <w:tcPr>
            <w:tcW w:w="1501" w:type="dxa"/>
            <w:tcBorders>
              <w:top w:val="single" w:color="auto" w:sz="4" w:space="0"/>
              <w:left w:val="nil"/>
              <w:bottom w:val="single" w:color="auto" w:sz="4" w:space="0"/>
              <w:right w:val="single" w:color="auto" w:sz="4" w:space="0"/>
            </w:tcBorders>
            <w:noWrap w:val="0"/>
            <w:vAlign w:val="center"/>
          </w:tcPr>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自评报告</w:t>
            </w:r>
          </w:p>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的完整性</w:t>
            </w:r>
          </w:p>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（15分）</w:t>
            </w:r>
          </w:p>
        </w:tc>
        <w:tc>
          <w:tcPr>
            <w:tcW w:w="6482" w:type="dxa"/>
            <w:tcBorders>
              <w:top w:val="single" w:color="auto" w:sz="4" w:space="0"/>
              <w:left w:val="nil"/>
              <w:bottom w:val="single" w:color="auto" w:sz="4" w:space="0"/>
              <w:right w:val="single" w:color="auto" w:sz="4" w:space="0"/>
            </w:tcBorders>
            <w:noWrap w:val="0"/>
            <w:vAlign w:val="center"/>
          </w:tcPr>
          <w:p>
            <w:pPr>
              <w:spacing w:line="240" w:lineRule="exact"/>
              <w:ind w:firstLine="210" w:firstLineChars="100"/>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1.绩效自评报告正文部分内容齐全的，得8分；否则每少一个部分扣2分，最多扣8分。</w:t>
            </w:r>
          </w:p>
          <w:p>
            <w:pPr>
              <w:spacing w:line="240" w:lineRule="exact"/>
              <w:ind w:firstLine="210" w:firstLineChars="100"/>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2.绩效自评报告附件部分内容齐全的，得7分；否则每少一个部分扣2分，最多扣7分。</w:t>
            </w:r>
          </w:p>
        </w:tc>
        <w:tc>
          <w:tcPr>
            <w:tcW w:w="753" w:type="dxa"/>
            <w:tcBorders>
              <w:top w:val="single" w:color="auto" w:sz="4" w:space="0"/>
              <w:left w:val="nil"/>
              <w:bottom w:val="single" w:color="auto" w:sz="4" w:space="0"/>
              <w:right w:val="single" w:color="auto" w:sz="4" w:space="0"/>
            </w:tcBorders>
            <w:noWrap w:val="0"/>
            <w:vAlign w:val="center"/>
          </w:tcPr>
          <w:p>
            <w:pPr>
              <w:spacing w:line="240" w:lineRule="exact"/>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lang w:val="en-US" w:eastAsia="zh-CN"/>
              </w:rPr>
              <w:t>15</w:t>
            </w:r>
            <w:r>
              <w:rPr>
                <w:rFonts w:hint="eastAsia" w:asciiTheme="majorEastAsia" w:hAnsiTheme="majorEastAsia" w:eastAsiaTheme="majorEastAsia" w:cstheme="majorEastAsia"/>
                <w:szCs w:val="21"/>
              </w:rPr>
              <w:t>　</w:t>
            </w:r>
          </w:p>
        </w:tc>
      </w:tr>
      <w:tr>
        <w:tblPrEx>
          <w:tblCellMar>
            <w:top w:w="0" w:type="dxa"/>
            <w:left w:w="108" w:type="dxa"/>
            <w:bottom w:w="0" w:type="dxa"/>
            <w:right w:w="108" w:type="dxa"/>
          </w:tblCellMar>
        </w:tblPrEx>
        <w:trPr>
          <w:trHeight w:val="3405" w:hRule="atLeast"/>
          <w:jc w:val="center"/>
        </w:trPr>
        <w:tc>
          <w:tcPr>
            <w:tcW w:w="774"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jc w:val="left"/>
              <w:rPr>
                <w:rFonts w:hint="eastAsia" w:asciiTheme="majorEastAsia" w:hAnsiTheme="majorEastAsia" w:eastAsiaTheme="majorEastAsia" w:cstheme="majorEastAsia"/>
                <w:szCs w:val="21"/>
              </w:rPr>
            </w:pPr>
          </w:p>
        </w:tc>
        <w:tc>
          <w:tcPr>
            <w:tcW w:w="1501" w:type="dxa"/>
            <w:tcBorders>
              <w:top w:val="single" w:color="auto" w:sz="4" w:space="0"/>
              <w:left w:val="nil"/>
              <w:bottom w:val="nil"/>
              <w:right w:val="single" w:color="auto" w:sz="4" w:space="0"/>
            </w:tcBorders>
            <w:noWrap w:val="0"/>
            <w:vAlign w:val="center"/>
          </w:tcPr>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绩效自评表</w:t>
            </w:r>
          </w:p>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w:t>
            </w:r>
            <w:r>
              <w:rPr>
                <w:rFonts w:hint="eastAsia" w:asciiTheme="majorEastAsia" w:hAnsiTheme="majorEastAsia" w:eastAsiaTheme="majorEastAsia" w:cstheme="majorEastAsia"/>
                <w:sz w:val="21"/>
                <w:szCs w:val="21"/>
                <w:lang w:val="en-US" w:eastAsia="zh-CN"/>
              </w:rPr>
              <w:t>20</w:t>
            </w:r>
            <w:r>
              <w:rPr>
                <w:rFonts w:hint="eastAsia" w:asciiTheme="majorEastAsia" w:hAnsiTheme="majorEastAsia" w:eastAsiaTheme="majorEastAsia" w:cstheme="majorEastAsia"/>
                <w:sz w:val="21"/>
                <w:szCs w:val="21"/>
              </w:rPr>
              <w:t>分）</w:t>
            </w:r>
          </w:p>
        </w:tc>
        <w:tc>
          <w:tcPr>
            <w:tcW w:w="6482" w:type="dxa"/>
            <w:tcBorders>
              <w:top w:val="single" w:color="auto" w:sz="4" w:space="0"/>
              <w:left w:val="nil"/>
              <w:bottom w:val="single" w:color="auto" w:sz="4" w:space="0"/>
              <w:right w:val="single" w:color="auto" w:sz="4" w:space="0"/>
            </w:tcBorders>
            <w:noWrap w:val="0"/>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firstLine="420" w:firstLineChars="200"/>
              <w:jc w:val="left"/>
              <w:textAlignment w:val="auto"/>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1.部门整体支出和项目支出绩效指标反映产出、效益、服务对象满意度方面的指标和预算执行率的权重符合</w:t>
            </w:r>
            <w:r>
              <w:rPr>
                <w:rFonts w:hint="eastAsia" w:asciiTheme="majorEastAsia" w:hAnsiTheme="majorEastAsia" w:eastAsiaTheme="majorEastAsia" w:cstheme="majorEastAsia"/>
                <w:sz w:val="21"/>
                <w:szCs w:val="21"/>
                <w:lang w:eastAsia="zh-CN"/>
              </w:rPr>
              <w:t>《</w:t>
            </w:r>
            <w:r>
              <w:rPr>
                <w:rFonts w:hint="eastAsia" w:asciiTheme="majorEastAsia" w:hAnsiTheme="majorEastAsia" w:eastAsiaTheme="majorEastAsia" w:cstheme="majorEastAsia"/>
                <w:sz w:val="21"/>
                <w:szCs w:val="21"/>
              </w:rPr>
              <w:t>岳阳市市级预算部门绩效自评操作规程</w:t>
            </w:r>
            <w:r>
              <w:rPr>
                <w:rFonts w:hint="eastAsia" w:asciiTheme="majorEastAsia" w:hAnsiTheme="majorEastAsia" w:eastAsiaTheme="majorEastAsia" w:cstheme="majorEastAsia"/>
                <w:sz w:val="21"/>
                <w:szCs w:val="21"/>
                <w:lang w:eastAsia="zh-CN"/>
              </w:rPr>
              <w:t>》</w:t>
            </w:r>
            <w:r>
              <w:rPr>
                <w:rFonts w:hint="eastAsia" w:asciiTheme="majorEastAsia" w:hAnsiTheme="majorEastAsia" w:eastAsiaTheme="majorEastAsia" w:cstheme="majorEastAsia"/>
                <w:sz w:val="21"/>
                <w:szCs w:val="21"/>
              </w:rPr>
              <w:t>的，得</w:t>
            </w:r>
            <w:r>
              <w:rPr>
                <w:rFonts w:hint="eastAsia" w:asciiTheme="majorEastAsia" w:hAnsiTheme="majorEastAsia" w:eastAsiaTheme="majorEastAsia" w:cstheme="majorEastAsia"/>
                <w:sz w:val="21"/>
                <w:szCs w:val="21"/>
                <w:lang w:val="en-US" w:eastAsia="zh-CN"/>
              </w:rPr>
              <w:t>5</w:t>
            </w:r>
            <w:r>
              <w:rPr>
                <w:rFonts w:hint="eastAsia" w:asciiTheme="majorEastAsia" w:hAnsiTheme="majorEastAsia" w:eastAsiaTheme="majorEastAsia" w:cstheme="majorEastAsia"/>
                <w:sz w:val="21"/>
                <w:szCs w:val="21"/>
              </w:rPr>
              <w:t>分，否则按比例扣除相应的分数。</w:t>
            </w:r>
          </w:p>
          <w:p>
            <w:pPr>
              <w:keepNext w:val="0"/>
              <w:keepLines w:val="0"/>
              <w:pageBreakBefore w:val="0"/>
              <w:widowControl w:val="0"/>
              <w:kinsoku/>
              <w:wordWrap/>
              <w:overflowPunct/>
              <w:topLinePunct w:val="0"/>
              <w:autoSpaceDE/>
              <w:autoSpaceDN/>
              <w:bidi w:val="0"/>
              <w:spacing w:line="240" w:lineRule="auto"/>
              <w:ind w:firstLine="420" w:firstLineChars="200"/>
              <w:jc w:val="left"/>
              <w:textAlignment w:val="auto"/>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2.部门整体支出和项目支出绩效指标全部细化到三级指标的，得</w:t>
            </w:r>
            <w:r>
              <w:rPr>
                <w:rFonts w:hint="eastAsia" w:asciiTheme="majorEastAsia" w:hAnsiTheme="majorEastAsia" w:eastAsiaTheme="majorEastAsia" w:cstheme="majorEastAsia"/>
                <w:sz w:val="21"/>
                <w:szCs w:val="21"/>
                <w:lang w:val="en-US" w:eastAsia="zh-CN"/>
              </w:rPr>
              <w:t>5</w:t>
            </w:r>
            <w:r>
              <w:rPr>
                <w:rFonts w:hint="eastAsia" w:asciiTheme="majorEastAsia" w:hAnsiTheme="majorEastAsia" w:eastAsiaTheme="majorEastAsia" w:cstheme="majorEastAsia"/>
                <w:sz w:val="21"/>
                <w:szCs w:val="21"/>
              </w:rPr>
              <w:t>分；部分细化的，酌情扣分；没有细化的，不得分。</w:t>
            </w:r>
          </w:p>
          <w:p>
            <w:pPr>
              <w:keepNext w:val="0"/>
              <w:keepLines w:val="0"/>
              <w:pageBreakBefore w:val="0"/>
              <w:widowControl w:val="0"/>
              <w:kinsoku/>
              <w:wordWrap/>
              <w:overflowPunct/>
              <w:topLinePunct w:val="0"/>
              <w:autoSpaceDE/>
              <w:autoSpaceDN/>
              <w:bidi w:val="0"/>
              <w:spacing w:line="240" w:lineRule="auto"/>
              <w:ind w:firstLine="420" w:firstLineChars="200"/>
              <w:jc w:val="left"/>
              <w:textAlignment w:val="auto"/>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3.部门整体支出和项目支出三级绩效指标内涵明确、具体、可衡量的得5分；突出核心指标，精简实用的得3分；指标与部门整体支出和项目支出密切相关，全面反映产出和效益的得2分；否则每项酌情扣分，最多扣10分。</w:t>
            </w:r>
          </w:p>
        </w:tc>
        <w:tc>
          <w:tcPr>
            <w:tcW w:w="753" w:type="dxa"/>
            <w:tcBorders>
              <w:top w:val="single" w:color="auto" w:sz="4" w:space="0"/>
              <w:left w:val="nil"/>
              <w:bottom w:val="single" w:color="auto" w:sz="4" w:space="0"/>
              <w:right w:val="single" w:color="auto" w:sz="4" w:space="0"/>
            </w:tcBorders>
            <w:noWrap w:val="0"/>
            <w:vAlign w:val="center"/>
          </w:tcPr>
          <w:p>
            <w:pPr>
              <w:spacing w:line="240" w:lineRule="exact"/>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lang w:val="en-US" w:eastAsia="zh-CN"/>
              </w:rPr>
              <w:t>19</w:t>
            </w:r>
            <w:r>
              <w:rPr>
                <w:rFonts w:hint="eastAsia" w:asciiTheme="majorEastAsia" w:hAnsiTheme="majorEastAsia" w:eastAsiaTheme="majorEastAsia" w:cstheme="majorEastAsia"/>
                <w:szCs w:val="21"/>
              </w:rPr>
              <w:t>　</w:t>
            </w:r>
          </w:p>
        </w:tc>
      </w:tr>
      <w:tr>
        <w:tblPrEx>
          <w:tblCellMar>
            <w:top w:w="0" w:type="dxa"/>
            <w:left w:w="108" w:type="dxa"/>
            <w:bottom w:w="0" w:type="dxa"/>
            <w:right w:w="108" w:type="dxa"/>
          </w:tblCellMar>
        </w:tblPrEx>
        <w:trPr>
          <w:trHeight w:val="1640" w:hRule="atLeast"/>
          <w:jc w:val="center"/>
        </w:trPr>
        <w:tc>
          <w:tcPr>
            <w:tcW w:w="774"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jc w:val="left"/>
              <w:rPr>
                <w:rFonts w:hint="eastAsia" w:asciiTheme="majorEastAsia" w:hAnsiTheme="majorEastAsia" w:eastAsiaTheme="majorEastAsia" w:cstheme="majorEastAsia"/>
                <w:szCs w:val="21"/>
              </w:rPr>
            </w:pPr>
          </w:p>
        </w:tc>
        <w:tc>
          <w:tcPr>
            <w:tcW w:w="1501" w:type="dxa"/>
            <w:tcBorders>
              <w:top w:val="single" w:color="auto" w:sz="4" w:space="0"/>
              <w:left w:val="nil"/>
              <w:bottom w:val="single" w:color="auto" w:sz="4" w:space="0"/>
              <w:right w:val="single" w:color="auto" w:sz="4" w:space="0"/>
            </w:tcBorders>
            <w:noWrap w:val="0"/>
            <w:vAlign w:val="center"/>
          </w:tcPr>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绩效评价</w:t>
            </w:r>
          </w:p>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报告反映</w:t>
            </w:r>
          </w:p>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问题情况</w:t>
            </w:r>
          </w:p>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w:t>
            </w:r>
            <w:r>
              <w:rPr>
                <w:rFonts w:hint="eastAsia" w:asciiTheme="majorEastAsia" w:hAnsiTheme="majorEastAsia" w:eastAsiaTheme="majorEastAsia" w:cstheme="majorEastAsia"/>
                <w:sz w:val="21"/>
                <w:szCs w:val="21"/>
                <w:lang w:val="en-US" w:eastAsia="zh-CN"/>
              </w:rPr>
              <w:t>20</w:t>
            </w:r>
            <w:r>
              <w:rPr>
                <w:rFonts w:hint="eastAsia" w:asciiTheme="majorEastAsia" w:hAnsiTheme="majorEastAsia" w:eastAsiaTheme="majorEastAsia" w:cstheme="majorEastAsia"/>
                <w:sz w:val="21"/>
                <w:szCs w:val="21"/>
              </w:rPr>
              <w:t>分）</w:t>
            </w:r>
          </w:p>
        </w:tc>
        <w:tc>
          <w:tcPr>
            <w:tcW w:w="6482" w:type="dxa"/>
            <w:tcBorders>
              <w:top w:val="single" w:color="auto" w:sz="4" w:space="0"/>
              <w:left w:val="nil"/>
              <w:bottom w:val="single" w:color="auto" w:sz="4" w:space="0"/>
              <w:right w:val="single" w:color="auto" w:sz="4" w:space="0"/>
            </w:tcBorders>
            <w:noWrap w:val="0"/>
            <w:vAlign w:val="center"/>
          </w:tcPr>
          <w:p>
            <w:pPr>
              <w:spacing w:line="240" w:lineRule="exact"/>
              <w:ind w:firstLine="230" w:firstLineChars="100"/>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pacing w:val="10"/>
                <w:sz w:val="21"/>
                <w:szCs w:val="21"/>
              </w:rPr>
              <w:t>从预算和预算绩效管理，部门履职效能，资金分</w:t>
            </w:r>
            <w:r>
              <w:rPr>
                <w:rFonts w:hint="eastAsia" w:asciiTheme="majorEastAsia" w:hAnsiTheme="majorEastAsia" w:eastAsiaTheme="majorEastAsia" w:cstheme="majorEastAsia"/>
                <w:spacing w:val="9"/>
                <w:sz w:val="21"/>
                <w:szCs w:val="21"/>
              </w:rPr>
              <w:t>配、使用和管理，资产和财务管理，政府</w:t>
            </w:r>
            <w:r>
              <w:rPr>
                <w:rFonts w:hint="eastAsia" w:asciiTheme="majorEastAsia" w:hAnsiTheme="majorEastAsia" w:eastAsiaTheme="majorEastAsia" w:cstheme="majorEastAsia"/>
                <w:sz w:val="21"/>
                <w:szCs w:val="21"/>
              </w:rPr>
              <w:t xml:space="preserve">  </w:t>
            </w:r>
            <w:r>
              <w:rPr>
                <w:rFonts w:hint="eastAsia" w:asciiTheme="majorEastAsia" w:hAnsiTheme="majorEastAsia" w:eastAsiaTheme="majorEastAsia" w:cstheme="majorEastAsia"/>
                <w:spacing w:val="7"/>
                <w:sz w:val="21"/>
                <w:szCs w:val="21"/>
              </w:rPr>
              <w:t>采购等方面归纳问题、分析原因全面的，得20分；反映问题、分析原因较</w:t>
            </w:r>
            <w:r>
              <w:rPr>
                <w:rFonts w:hint="eastAsia" w:asciiTheme="majorEastAsia" w:hAnsiTheme="majorEastAsia" w:eastAsiaTheme="majorEastAsia" w:cstheme="majorEastAsia"/>
                <w:spacing w:val="6"/>
                <w:sz w:val="21"/>
                <w:szCs w:val="21"/>
              </w:rPr>
              <w:t>全面的，得16—</w:t>
            </w:r>
            <w:r>
              <w:rPr>
                <w:rFonts w:hint="eastAsia" w:asciiTheme="majorEastAsia" w:hAnsiTheme="majorEastAsia" w:eastAsiaTheme="majorEastAsia" w:cstheme="majorEastAsia"/>
                <w:spacing w:val="-73"/>
                <w:sz w:val="21"/>
                <w:szCs w:val="21"/>
              </w:rPr>
              <w:t xml:space="preserve"> </w:t>
            </w:r>
            <w:r>
              <w:rPr>
                <w:rFonts w:hint="eastAsia" w:asciiTheme="majorEastAsia" w:hAnsiTheme="majorEastAsia" w:eastAsiaTheme="majorEastAsia" w:cstheme="majorEastAsia"/>
                <w:spacing w:val="6"/>
                <w:sz w:val="21"/>
                <w:szCs w:val="21"/>
              </w:rPr>
              <w:t>18</w:t>
            </w:r>
            <w:r>
              <w:rPr>
                <w:rFonts w:hint="eastAsia" w:asciiTheme="majorEastAsia" w:hAnsiTheme="majorEastAsia" w:eastAsiaTheme="majorEastAsia" w:cstheme="majorEastAsia"/>
                <w:sz w:val="21"/>
                <w:szCs w:val="21"/>
              </w:rPr>
              <w:t xml:space="preserve"> </w:t>
            </w:r>
            <w:r>
              <w:rPr>
                <w:rFonts w:hint="eastAsia" w:asciiTheme="majorEastAsia" w:hAnsiTheme="majorEastAsia" w:eastAsiaTheme="majorEastAsia" w:cstheme="majorEastAsia"/>
                <w:spacing w:val="12"/>
                <w:sz w:val="21"/>
                <w:szCs w:val="21"/>
              </w:rPr>
              <w:t>分；反映问题、分析原因不全面的，得13—</w:t>
            </w:r>
            <w:r>
              <w:rPr>
                <w:rFonts w:hint="eastAsia" w:asciiTheme="majorEastAsia" w:hAnsiTheme="majorEastAsia" w:eastAsiaTheme="majorEastAsia" w:cstheme="majorEastAsia"/>
                <w:spacing w:val="-68"/>
                <w:sz w:val="21"/>
                <w:szCs w:val="21"/>
              </w:rPr>
              <w:t xml:space="preserve"> </w:t>
            </w:r>
            <w:r>
              <w:rPr>
                <w:rFonts w:hint="eastAsia" w:asciiTheme="majorEastAsia" w:hAnsiTheme="majorEastAsia" w:eastAsiaTheme="majorEastAsia" w:cstheme="majorEastAsia"/>
                <w:spacing w:val="12"/>
                <w:sz w:val="21"/>
                <w:szCs w:val="21"/>
              </w:rPr>
              <w:t>15分；问题未归纳</w:t>
            </w:r>
            <w:r>
              <w:rPr>
                <w:rFonts w:hint="eastAsia" w:asciiTheme="majorEastAsia" w:hAnsiTheme="majorEastAsia" w:eastAsiaTheme="majorEastAsia" w:cstheme="majorEastAsia"/>
                <w:spacing w:val="11"/>
                <w:sz w:val="21"/>
                <w:szCs w:val="21"/>
              </w:rPr>
              <w:t>且过于简单的，得10—</w:t>
            </w:r>
            <w:r>
              <w:rPr>
                <w:rFonts w:hint="eastAsia" w:asciiTheme="majorEastAsia" w:hAnsiTheme="majorEastAsia" w:eastAsiaTheme="majorEastAsia" w:cstheme="majorEastAsia"/>
                <w:spacing w:val="-68"/>
                <w:sz w:val="21"/>
                <w:szCs w:val="21"/>
              </w:rPr>
              <w:t xml:space="preserve"> </w:t>
            </w:r>
            <w:r>
              <w:rPr>
                <w:rFonts w:hint="eastAsia" w:asciiTheme="majorEastAsia" w:hAnsiTheme="majorEastAsia" w:eastAsiaTheme="majorEastAsia" w:cstheme="majorEastAsia"/>
                <w:spacing w:val="11"/>
                <w:sz w:val="21"/>
                <w:szCs w:val="21"/>
              </w:rPr>
              <w:t>12</w:t>
            </w:r>
            <w:r>
              <w:rPr>
                <w:rFonts w:hint="eastAsia" w:asciiTheme="majorEastAsia" w:hAnsiTheme="majorEastAsia" w:eastAsiaTheme="majorEastAsia" w:cstheme="majorEastAsia"/>
                <w:sz w:val="21"/>
                <w:szCs w:val="21"/>
              </w:rPr>
              <w:t xml:space="preserve">  </w:t>
            </w:r>
            <w:r>
              <w:rPr>
                <w:rFonts w:hint="eastAsia" w:asciiTheme="majorEastAsia" w:hAnsiTheme="majorEastAsia" w:eastAsiaTheme="majorEastAsia" w:cstheme="majorEastAsia"/>
                <w:spacing w:val="13"/>
                <w:sz w:val="21"/>
                <w:szCs w:val="21"/>
              </w:rPr>
              <w:t>分；只提出资金不足问题的不得分；其他情况酌情扣分，</w:t>
            </w:r>
          </w:p>
        </w:tc>
        <w:tc>
          <w:tcPr>
            <w:tcW w:w="753" w:type="dxa"/>
            <w:tcBorders>
              <w:top w:val="single" w:color="auto" w:sz="4" w:space="0"/>
              <w:left w:val="nil"/>
              <w:bottom w:val="single" w:color="auto" w:sz="4" w:space="0"/>
              <w:right w:val="single" w:color="auto" w:sz="4" w:space="0"/>
            </w:tcBorders>
            <w:noWrap w:val="0"/>
            <w:vAlign w:val="center"/>
          </w:tcPr>
          <w:p>
            <w:pPr>
              <w:spacing w:line="240" w:lineRule="exact"/>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lang w:val="en-US" w:eastAsia="zh-CN"/>
              </w:rPr>
              <w:t>18</w:t>
            </w:r>
            <w:r>
              <w:rPr>
                <w:rFonts w:hint="eastAsia" w:asciiTheme="majorEastAsia" w:hAnsiTheme="majorEastAsia" w:eastAsiaTheme="majorEastAsia" w:cstheme="majorEastAsia"/>
                <w:szCs w:val="21"/>
              </w:rPr>
              <w:t>　</w:t>
            </w:r>
          </w:p>
        </w:tc>
      </w:tr>
      <w:tr>
        <w:tblPrEx>
          <w:tblCellMar>
            <w:top w:w="0" w:type="dxa"/>
            <w:left w:w="108" w:type="dxa"/>
            <w:bottom w:w="0" w:type="dxa"/>
            <w:right w:w="108" w:type="dxa"/>
          </w:tblCellMar>
        </w:tblPrEx>
        <w:trPr>
          <w:trHeight w:val="1313" w:hRule="atLeast"/>
          <w:jc w:val="center"/>
        </w:trPr>
        <w:tc>
          <w:tcPr>
            <w:tcW w:w="774" w:type="dxa"/>
            <w:vMerge w:val="continue"/>
            <w:tcBorders>
              <w:top w:val="single" w:color="auto" w:sz="4" w:space="0"/>
              <w:left w:val="single" w:color="auto" w:sz="4" w:space="0"/>
              <w:bottom w:val="single" w:color="auto" w:sz="4" w:space="0"/>
              <w:right w:val="single" w:color="auto" w:sz="4" w:space="0"/>
            </w:tcBorders>
            <w:noWrap w:val="0"/>
            <w:vAlign w:val="center"/>
          </w:tcPr>
          <w:p>
            <w:pPr>
              <w:widowControl/>
              <w:jc w:val="left"/>
              <w:rPr>
                <w:rFonts w:hint="eastAsia" w:asciiTheme="majorEastAsia" w:hAnsiTheme="majorEastAsia" w:eastAsiaTheme="majorEastAsia" w:cstheme="majorEastAsia"/>
                <w:szCs w:val="21"/>
              </w:rPr>
            </w:pPr>
          </w:p>
        </w:tc>
        <w:tc>
          <w:tcPr>
            <w:tcW w:w="1501" w:type="dxa"/>
            <w:tcBorders>
              <w:top w:val="single" w:color="auto" w:sz="4" w:space="0"/>
              <w:left w:val="nil"/>
              <w:bottom w:val="single" w:color="auto" w:sz="4" w:space="0"/>
              <w:right w:val="single" w:color="auto" w:sz="4" w:space="0"/>
            </w:tcBorders>
            <w:noWrap w:val="0"/>
            <w:vAlign w:val="center"/>
          </w:tcPr>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针对问题</w:t>
            </w:r>
          </w:p>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提出可行性建议的情况</w:t>
            </w:r>
          </w:p>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（15分）</w:t>
            </w:r>
          </w:p>
        </w:tc>
        <w:tc>
          <w:tcPr>
            <w:tcW w:w="6482" w:type="dxa"/>
            <w:tcBorders>
              <w:top w:val="single" w:color="auto" w:sz="4" w:space="0"/>
              <w:left w:val="nil"/>
              <w:bottom w:val="single" w:color="auto" w:sz="4" w:space="0"/>
              <w:right w:val="single" w:color="auto" w:sz="4" w:space="0"/>
            </w:tcBorders>
            <w:noWrap w:val="0"/>
            <w:vAlign w:val="center"/>
          </w:tcPr>
          <w:p>
            <w:pPr>
              <w:spacing w:line="240" w:lineRule="exact"/>
              <w:ind w:firstLine="216" w:firstLineChars="100"/>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pacing w:val="3"/>
                <w:sz w:val="21"/>
                <w:szCs w:val="21"/>
              </w:rPr>
              <w:t>建议与问题对应且全面的得15分，建议比较全面的得12—</w:t>
            </w:r>
            <w:r>
              <w:rPr>
                <w:rFonts w:hint="eastAsia" w:asciiTheme="majorEastAsia" w:hAnsiTheme="majorEastAsia" w:eastAsiaTheme="majorEastAsia" w:cstheme="majorEastAsia"/>
                <w:spacing w:val="-55"/>
                <w:sz w:val="21"/>
                <w:szCs w:val="21"/>
              </w:rPr>
              <w:t xml:space="preserve"> </w:t>
            </w:r>
            <w:r>
              <w:rPr>
                <w:rFonts w:hint="eastAsia" w:asciiTheme="majorEastAsia" w:hAnsiTheme="majorEastAsia" w:eastAsiaTheme="majorEastAsia" w:cstheme="majorEastAsia"/>
                <w:spacing w:val="3"/>
                <w:sz w:val="21"/>
                <w:szCs w:val="21"/>
              </w:rPr>
              <w:t>14分，建议不全面的得9—</w:t>
            </w:r>
            <w:r>
              <w:rPr>
                <w:rFonts w:hint="eastAsia" w:asciiTheme="majorEastAsia" w:hAnsiTheme="majorEastAsia" w:eastAsiaTheme="majorEastAsia" w:cstheme="majorEastAsia"/>
                <w:spacing w:val="-72"/>
                <w:sz w:val="21"/>
                <w:szCs w:val="21"/>
              </w:rPr>
              <w:t xml:space="preserve"> </w:t>
            </w:r>
            <w:r>
              <w:rPr>
                <w:rFonts w:hint="eastAsia" w:asciiTheme="majorEastAsia" w:hAnsiTheme="majorEastAsia" w:eastAsiaTheme="majorEastAsia" w:cstheme="majorEastAsia"/>
                <w:spacing w:val="3"/>
                <w:sz w:val="21"/>
                <w:szCs w:val="21"/>
              </w:rPr>
              <w:t>11</w:t>
            </w:r>
            <w:r>
              <w:rPr>
                <w:rFonts w:hint="eastAsia" w:asciiTheme="majorEastAsia" w:hAnsiTheme="majorEastAsia" w:eastAsiaTheme="majorEastAsia" w:cstheme="majorEastAsia"/>
                <w:sz w:val="21"/>
                <w:szCs w:val="21"/>
              </w:rPr>
              <w:t xml:space="preserve">   </w:t>
            </w:r>
            <w:r>
              <w:rPr>
                <w:rFonts w:hint="eastAsia" w:asciiTheme="majorEastAsia" w:hAnsiTheme="majorEastAsia" w:eastAsiaTheme="majorEastAsia" w:cstheme="majorEastAsia"/>
                <w:spacing w:val="2"/>
                <w:sz w:val="21"/>
                <w:szCs w:val="21"/>
              </w:rPr>
              <w:t>分，建议过于简单的得6—8分，只提出加大资金投入建议的不得分；其他情况酌情扣分</w:t>
            </w:r>
          </w:p>
        </w:tc>
        <w:tc>
          <w:tcPr>
            <w:tcW w:w="753" w:type="dxa"/>
            <w:tcBorders>
              <w:top w:val="single" w:color="auto" w:sz="4" w:space="0"/>
              <w:left w:val="nil"/>
              <w:bottom w:val="single" w:color="auto" w:sz="4" w:space="0"/>
              <w:right w:val="single" w:color="auto" w:sz="4" w:space="0"/>
            </w:tcBorders>
            <w:noWrap w:val="0"/>
            <w:vAlign w:val="center"/>
          </w:tcPr>
          <w:p>
            <w:pPr>
              <w:spacing w:line="240" w:lineRule="exact"/>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lang w:val="en-US" w:eastAsia="zh-CN"/>
              </w:rPr>
              <w:t>14</w:t>
            </w:r>
            <w:r>
              <w:rPr>
                <w:rFonts w:hint="eastAsia" w:asciiTheme="majorEastAsia" w:hAnsiTheme="majorEastAsia" w:eastAsiaTheme="majorEastAsia" w:cstheme="majorEastAsia"/>
                <w:szCs w:val="21"/>
              </w:rPr>
              <w:t>　</w:t>
            </w:r>
          </w:p>
        </w:tc>
      </w:tr>
      <w:tr>
        <w:tblPrEx>
          <w:tblCellMar>
            <w:top w:w="0" w:type="dxa"/>
            <w:left w:w="108" w:type="dxa"/>
            <w:bottom w:w="0" w:type="dxa"/>
            <w:right w:w="108" w:type="dxa"/>
          </w:tblCellMar>
        </w:tblPrEx>
        <w:trPr>
          <w:trHeight w:val="540" w:hRule="atLeast"/>
          <w:jc w:val="center"/>
        </w:trPr>
        <w:tc>
          <w:tcPr>
            <w:tcW w:w="774" w:type="dxa"/>
            <w:tcBorders>
              <w:top w:val="single" w:color="auto" w:sz="4" w:space="0"/>
              <w:left w:val="single" w:color="auto" w:sz="4" w:space="0"/>
              <w:bottom w:val="single" w:color="auto" w:sz="4" w:space="0"/>
              <w:right w:val="single" w:color="auto" w:sz="4" w:space="0"/>
            </w:tcBorders>
            <w:noWrap w:val="0"/>
            <w:vAlign w:val="center"/>
          </w:tcPr>
          <w:p>
            <w:pPr>
              <w:spacing w:line="240" w:lineRule="exact"/>
              <w:jc w:val="center"/>
              <w:rPr>
                <w:rFonts w:hint="eastAsia" w:asciiTheme="majorEastAsia" w:hAnsiTheme="majorEastAsia" w:eastAsiaTheme="majorEastAsia" w:cstheme="majorEastAsia"/>
                <w:szCs w:val="21"/>
              </w:rPr>
            </w:pPr>
            <w:r>
              <w:rPr>
                <w:rFonts w:hint="eastAsia" w:asciiTheme="majorEastAsia" w:hAnsiTheme="majorEastAsia" w:eastAsiaTheme="majorEastAsia" w:cstheme="majorEastAsia"/>
                <w:szCs w:val="21"/>
              </w:rPr>
              <w:t>合计</w:t>
            </w:r>
          </w:p>
        </w:tc>
        <w:tc>
          <w:tcPr>
            <w:tcW w:w="1501" w:type="dxa"/>
            <w:tcBorders>
              <w:top w:val="single" w:color="auto" w:sz="4" w:space="0"/>
              <w:left w:val="single" w:color="auto" w:sz="4" w:space="0"/>
              <w:bottom w:val="single" w:color="auto" w:sz="4" w:space="0"/>
              <w:right w:val="single" w:color="auto" w:sz="4" w:space="0"/>
            </w:tcBorders>
            <w:noWrap w:val="0"/>
            <w:vAlign w:val="center"/>
          </w:tcPr>
          <w:p>
            <w:pPr>
              <w:spacing w:line="240" w:lineRule="exact"/>
              <w:jc w:val="center"/>
              <w:rPr>
                <w:rFonts w:hint="eastAsia" w:asciiTheme="majorEastAsia" w:hAnsiTheme="majorEastAsia" w:eastAsiaTheme="majorEastAsia" w:cstheme="majorEastAsia"/>
                <w:sz w:val="21"/>
                <w:szCs w:val="21"/>
              </w:rPr>
            </w:pPr>
            <w:r>
              <w:rPr>
                <w:rFonts w:hint="eastAsia" w:asciiTheme="majorEastAsia" w:hAnsiTheme="majorEastAsia" w:eastAsiaTheme="majorEastAsia" w:cstheme="majorEastAsia"/>
                <w:sz w:val="21"/>
                <w:szCs w:val="21"/>
              </w:rPr>
              <w:t>100分</w:t>
            </w:r>
          </w:p>
        </w:tc>
        <w:tc>
          <w:tcPr>
            <w:tcW w:w="6482" w:type="dxa"/>
            <w:tcBorders>
              <w:top w:val="single" w:color="auto" w:sz="4" w:space="0"/>
              <w:left w:val="single" w:color="auto" w:sz="4" w:space="0"/>
              <w:bottom w:val="single" w:color="auto" w:sz="4" w:space="0"/>
              <w:right w:val="single" w:color="auto" w:sz="4" w:space="0"/>
            </w:tcBorders>
            <w:noWrap w:val="0"/>
            <w:vAlign w:val="center"/>
          </w:tcPr>
          <w:p>
            <w:pPr>
              <w:spacing w:line="240" w:lineRule="exact"/>
              <w:rPr>
                <w:rFonts w:hint="eastAsia" w:asciiTheme="majorEastAsia" w:hAnsiTheme="majorEastAsia" w:eastAsiaTheme="majorEastAsia" w:cstheme="majorEastAsia"/>
                <w:sz w:val="21"/>
                <w:szCs w:val="21"/>
              </w:rPr>
            </w:pPr>
          </w:p>
        </w:tc>
        <w:tc>
          <w:tcPr>
            <w:tcW w:w="753" w:type="dxa"/>
            <w:tcBorders>
              <w:top w:val="single" w:color="auto" w:sz="4" w:space="0"/>
              <w:left w:val="single" w:color="auto" w:sz="4" w:space="0"/>
              <w:bottom w:val="single" w:color="auto" w:sz="4" w:space="0"/>
              <w:right w:val="single" w:color="auto" w:sz="4" w:space="0"/>
            </w:tcBorders>
            <w:noWrap w:val="0"/>
            <w:vAlign w:val="center"/>
          </w:tcPr>
          <w:p>
            <w:pPr>
              <w:spacing w:line="240" w:lineRule="exact"/>
              <w:rPr>
                <w:rFonts w:hint="default" w:asciiTheme="majorEastAsia" w:hAnsiTheme="majorEastAsia" w:eastAsiaTheme="majorEastAsia" w:cstheme="majorEastAsia"/>
                <w:szCs w:val="21"/>
                <w:lang w:val="en-US" w:eastAsia="zh-CN"/>
              </w:rPr>
            </w:pPr>
            <w:r>
              <w:rPr>
                <w:rFonts w:hint="eastAsia" w:asciiTheme="majorEastAsia" w:hAnsiTheme="majorEastAsia" w:eastAsiaTheme="majorEastAsia" w:cstheme="majorEastAsia"/>
                <w:szCs w:val="21"/>
              </w:rPr>
              <w:t>　</w:t>
            </w:r>
            <w:r>
              <w:rPr>
                <w:rFonts w:hint="eastAsia" w:asciiTheme="majorEastAsia" w:hAnsiTheme="majorEastAsia" w:eastAsiaTheme="majorEastAsia" w:cstheme="majorEastAsia"/>
                <w:szCs w:val="21"/>
                <w:lang w:val="en-US" w:eastAsia="zh-CN"/>
              </w:rPr>
              <w:t>96</w:t>
            </w:r>
          </w:p>
        </w:tc>
      </w:tr>
    </w:tbl>
    <w:p>
      <w:pPr>
        <w:keepNext w:val="0"/>
        <w:keepLines w:val="0"/>
        <w:pageBreakBefore w:val="0"/>
        <w:widowControl w:val="0"/>
        <w:kinsoku/>
        <w:wordWrap/>
        <w:overflowPunct/>
        <w:topLinePunct w:val="0"/>
        <w:autoSpaceDE/>
        <w:autoSpaceDN/>
        <w:bidi w:val="0"/>
        <w:adjustRightInd/>
        <w:snapToGrid/>
        <w:ind w:firstLine="640" w:firstLineChars="200"/>
        <w:jc w:val="left"/>
        <w:textAlignment w:val="auto"/>
        <w:rPr>
          <w:rFonts w:hint="eastAsia" w:ascii="仿宋_GB2312" w:hAnsi="仿宋_GB2312" w:eastAsia="仿宋_GB2312" w:cs="仿宋_GB2312"/>
          <w:color w:val="000000" w:themeColor="text1"/>
          <w:spacing w:val="0"/>
          <w:position w:val="0"/>
          <w:sz w:val="32"/>
          <w:szCs w:val="32"/>
          <w:lang w:val="en-US" w:eastAsia="zh-CN"/>
          <w14:textFill>
            <w14:solidFill>
              <w14:schemeClr w14:val="tx1"/>
            </w14:solidFill>
          </w14:textFill>
        </w:rPr>
      </w:pPr>
    </w:p>
    <w:sectPr>
      <w:pgSz w:w="11906" w:h="16838"/>
      <w:pgMar w:top="1701" w:right="1701" w:bottom="1701" w:left="1701" w:header="851" w:footer="992" w:gutter="0"/>
      <w:pgNumType w:fmt="decimal"/>
      <w:cols w:space="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等线">
    <w:panose1 w:val="02010600030101010101"/>
    <w:charset w:val="86"/>
    <w:family w:val="auto"/>
    <w:pitch w:val="default"/>
    <w:sig w:usb0="A00002BF" w:usb1="38CF7CFA" w:usb2="00000016" w:usb3="00000000" w:csb0="0004000F" w:csb1="00000000"/>
  </w:font>
  <w:font w:name="方正小标宋简体">
    <w:altName w:val="黑体"/>
    <w:panose1 w:val="00000600000000000000"/>
    <w:charset w:val="86"/>
    <w:family w:val="auto"/>
    <w:pitch w:val="default"/>
    <w:sig w:usb0="00000000" w:usb1="00000000" w:usb2="00000012" w:usb3="00000000" w:csb0="00160001" w:csb1="12030000"/>
  </w:font>
  <w:font w:name="仿宋">
    <w:panose1 w:val="02010609060101010101"/>
    <w:charset w:val="86"/>
    <w:family w:val="auto"/>
    <w:pitch w:val="default"/>
    <w:sig w:usb0="800002BF" w:usb1="38CF7CFA" w:usb2="00000016" w:usb3="00000000" w:csb0="00040001" w:csb1="00000000"/>
  </w:font>
  <w:font w:name="楷体_GB2312">
    <w:altName w:val="楷体"/>
    <w:panose1 w:val="02010609030101010101"/>
    <w:charset w:val="86"/>
    <w:family w:val="auto"/>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仿宋_GB2312">
    <w:altName w:val="仿宋"/>
    <w:panose1 w:val="02010609030101010101"/>
    <w:charset w:val="86"/>
    <w:family w:val="auto"/>
    <w:pitch w:val="default"/>
    <w:sig w:usb0="00000000" w:usb1="0000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4" w:lineRule="auto"/>
      <w:rPr>
        <w:rFonts w:ascii="Arial"/>
        <w:sz w:val="2"/>
      </w:rPr>
    </w:pPr>
    <w:r>
      <w:rPr>
        <w:sz w:val="2"/>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7"/>
                          </w:pPr>
                          <w:r>
                            <w:rPr>
                              <w:rFonts w:hint="eastAsia" w:asciiTheme="majorEastAsia" w:hAnsiTheme="majorEastAsia" w:eastAsiaTheme="majorEastAsia" w:cstheme="majorEastAsia"/>
                              <w:sz w:val="28"/>
                              <w:szCs w:val="28"/>
                            </w:rPr>
                            <w:t xml:space="preserve">— </w:t>
                          </w:r>
                          <w:r>
                            <w:rPr>
                              <w:rFonts w:hint="eastAsia" w:asciiTheme="majorEastAsia" w:hAnsiTheme="majorEastAsia" w:eastAsiaTheme="majorEastAsia" w:cstheme="majorEastAsia"/>
                              <w:sz w:val="28"/>
                              <w:szCs w:val="28"/>
                            </w:rPr>
                            <w:fldChar w:fldCharType="begin"/>
                          </w:r>
                          <w:r>
                            <w:rPr>
                              <w:rFonts w:hint="eastAsia" w:asciiTheme="majorEastAsia" w:hAnsiTheme="majorEastAsia" w:eastAsiaTheme="majorEastAsia" w:cstheme="majorEastAsia"/>
                              <w:sz w:val="28"/>
                              <w:szCs w:val="28"/>
                            </w:rPr>
                            <w:instrText xml:space="preserve"> PAGE  \* MERGEFORMAT </w:instrText>
                          </w:r>
                          <w:r>
                            <w:rPr>
                              <w:rFonts w:hint="eastAsia" w:asciiTheme="majorEastAsia" w:hAnsiTheme="majorEastAsia" w:eastAsiaTheme="majorEastAsia" w:cstheme="majorEastAsia"/>
                              <w:sz w:val="28"/>
                              <w:szCs w:val="28"/>
                            </w:rPr>
                            <w:fldChar w:fldCharType="separate"/>
                          </w:r>
                          <w:r>
                            <w:rPr>
                              <w:rFonts w:hint="eastAsia" w:asciiTheme="majorEastAsia" w:hAnsiTheme="majorEastAsia" w:eastAsiaTheme="majorEastAsia" w:cstheme="majorEastAsia"/>
                              <w:sz w:val="28"/>
                              <w:szCs w:val="28"/>
                            </w:rPr>
                            <w:t>7</w:t>
                          </w:r>
                          <w:r>
                            <w:rPr>
                              <w:rFonts w:hint="eastAsia" w:asciiTheme="majorEastAsia" w:hAnsiTheme="majorEastAsia" w:eastAsiaTheme="majorEastAsia" w:cstheme="majorEastAsia"/>
                              <w:sz w:val="28"/>
                              <w:szCs w:val="28"/>
                            </w:rPr>
                            <w:fldChar w:fldCharType="end"/>
                          </w:r>
                          <w:r>
                            <w:rPr>
                              <w:rFonts w:hint="eastAsia" w:asciiTheme="majorEastAsia" w:hAnsiTheme="majorEastAsia" w:eastAsiaTheme="majorEastAsia" w:cstheme="majorEastAsia"/>
                              <w:sz w:val="28"/>
                              <w:szCs w:val="28"/>
                            </w:rP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OrREyAgAAYQQAAA4AAABkcnMvZTJvRG9jLnhtbK1UzY7TMBC+I/EO&#10;lu80aVFX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3k7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f46tETICAABhBAAADgAAAAAAAAABACAAAAAfAQAAZHJzL2Uyb0RvYy54bWxQSwUG&#10;AAAAAAYABgBZAQAAwwUAAAAA&#10;">
              <v:fill on="f" focussize="0,0"/>
              <v:stroke on="f" weight="0.5pt"/>
              <v:imagedata o:title=""/>
              <o:lock v:ext="edit" aspectratio="f"/>
              <v:textbox inset="0mm,0mm,0mm,0mm" style="mso-fit-shape-to-text:t;">
                <w:txbxContent>
                  <w:p>
                    <w:pPr>
                      <w:pStyle w:val="7"/>
                    </w:pPr>
                    <w:r>
                      <w:rPr>
                        <w:rFonts w:hint="eastAsia" w:asciiTheme="majorEastAsia" w:hAnsiTheme="majorEastAsia" w:eastAsiaTheme="majorEastAsia" w:cstheme="majorEastAsia"/>
                        <w:sz w:val="28"/>
                        <w:szCs w:val="28"/>
                      </w:rPr>
                      <w:t xml:space="preserve">— </w:t>
                    </w:r>
                    <w:r>
                      <w:rPr>
                        <w:rFonts w:hint="eastAsia" w:asciiTheme="majorEastAsia" w:hAnsiTheme="majorEastAsia" w:eastAsiaTheme="majorEastAsia" w:cstheme="majorEastAsia"/>
                        <w:sz w:val="28"/>
                        <w:szCs w:val="28"/>
                      </w:rPr>
                      <w:fldChar w:fldCharType="begin"/>
                    </w:r>
                    <w:r>
                      <w:rPr>
                        <w:rFonts w:hint="eastAsia" w:asciiTheme="majorEastAsia" w:hAnsiTheme="majorEastAsia" w:eastAsiaTheme="majorEastAsia" w:cstheme="majorEastAsia"/>
                        <w:sz w:val="28"/>
                        <w:szCs w:val="28"/>
                      </w:rPr>
                      <w:instrText xml:space="preserve"> PAGE  \* MERGEFORMAT </w:instrText>
                    </w:r>
                    <w:r>
                      <w:rPr>
                        <w:rFonts w:hint="eastAsia" w:asciiTheme="majorEastAsia" w:hAnsiTheme="majorEastAsia" w:eastAsiaTheme="majorEastAsia" w:cstheme="majorEastAsia"/>
                        <w:sz w:val="28"/>
                        <w:szCs w:val="28"/>
                      </w:rPr>
                      <w:fldChar w:fldCharType="separate"/>
                    </w:r>
                    <w:r>
                      <w:rPr>
                        <w:rFonts w:hint="eastAsia" w:asciiTheme="majorEastAsia" w:hAnsiTheme="majorEastAsia" w:eastAsiaTheme="majorEastAsia" w:cstheme="majorEastAsia"/>
                        <w:sz w:val="28"/>
                        <w:szCs w:val="28"/>
                      </w:rPr>
                      <w:t>7</w:t>
                    </w:r>
                    <w:r>
                      <w:rPr>
                        <w:rFonts w:hint="eastAsia" w:asciiTheme="majorEastAsia" w:hAnsiTheme="majorEastAsia" w:eastAsiaTheme="majorEastAsia" w:cstheme="majorEastAsia"/>
                        <w:sz w:val="28"/>
                        <w:szCs w:val="28"/>
                      </w:rPr>
                      <w:fldChar w:fldCharType="end"/>
                    </w:r>
                    <w:r>
                      <w:rPr>
                        <w:rFonts w:hint="eastAsia" w:asciiTheme="majorEastAsia" w:hAnsiTheme="majorEastAsia" w:eastAsiaTheme="majorEastAsia" w:cstheme="majorEastAsia"/>
                        <w:sz w:val="28"/>
                        <w:szCs w:val="28"/>
                      </w:rPr>
                      <w:t xml:space="preserve"> —</w:t>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E321C3E"/>
    <w:multiLevelType w:val="singleLevel"/>
    <w:tmpl w:val="8E321C3E"/>
    <w:lvl w:ilvl="0" w:tentative="0">
      <w:start w:val="1"/>
      <w:numFmt w:val="chineseCounting"/>
      <w:suff w:val="nothing"/>
      <w:lvlText w:val="%1、"/>
      <w:lvlJc w:val="left"/>
      <w:rPr>
        <w:rFonts w:hint="eastAsia"/>
      </w:rPr>
    </w:lvl>
  </w:abstractNum>
  <w:abstractNum w:abstractNumId="1">
    <w:nsid w:val="E4A2E93D"/>
    <w:multiLevelType w:val="singleLevel"/>
    <w:tmpl w:val="E4A2E93D"/>
    <w:lvl w:ilvl="0" w:tentative="0">
      <w:start w:val="2"/>
      <w:numFmt w:val="chineseCounting"/>
      <w:lvlText w:val="(%1)"/>
      <w:lvlJc w:val="left"/>
      <w:pPr>
        <w:tabs>
          <w:tab w:val="left" w:pos="312"/>
        </w:tabs>
      </w:pPr>
      <w:rPr>
        <w:rFonts w:hint="eastAsia"/>
      </w:rPr>
    </w:lvl>
  </w:abstractNum>
  <w:abstractNum w:abstractNumId="2">
    <w:nsid w:val="0F0BB7E7"/>
    <w:multiLevelType w:val="singleLevel"/>
    <w:tmpl w:val="0F0BB7E7"/>
    <w:lvl w:ilvl="0" w:tentative="0">
      <w:start w:val="4"/>
      <w:numFmt w:val="chineseCounting"/>
      <w:suff w:val="nothing"/>
      <w:lvlText w:val="%1、"/>
      <w:lvlJc w:val="left"/>
      <w:rPr>
        <w:rFonts w:hint="eastAsia"/>
      </w:rPr>
    </w:lvl>
  </w:abstractNum>
  <w:num w:numId="1">
    <w:abstractNumId w:val="0"/>
  </w:num>
  <w:num w:numId="2">
    <w:abstractNumId w:val="1"/>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TQ2Yjk5NzBlNjIxNDhmODM4OGU0YzM5ZWM3YTY4OTAifQ=="/>
  </w:docVars>
  <w:rsids>
    <w:rsidRoot w:val="53FC3987"/>
    <w:rsid w:val="000A3765"/>
    <w:rsid w:val="001D7282"/>
    <w:rsid w:val="0039081D"/>
    <w:rsid w:val="005E6ECB"/>
    <w:rsid w:val="00742F6F"/>
    <w:rsid w:val="00744EA1"/>
    <w:rsid w:val="0078768E"/>
    <w:rsid w:val="009419CA"/>
    <w:rsid w:val="00955854"/>
    <w:rsid w:val="009C7330"/>
    <w:rsid w:val="00A00FBB"/>
    <w:rsid w:val="00BF0721"/>
    <w:rsid w:val="00C03795"/>
    <w:rsid w:val="00CE3756"/>
    <w:rsid w:val="00D27A74"/>
    <w:rsid w:val="00E831C8"/>
    <w:rsid w:val="00EF287A"/>
    <w:rsid w:val="01057CDE"/>
    <w:rsid w:val="010B4A82"/>
    <w:rsid w:val="01192786"/>
    <w:rsid w:val="01201E6A"/>
    <w:rsid w:val="012D57C0"/>
    <w:rsid w:val="013160B5"/>
    <w:rsid w:val="01457029"/>
    <w:rsid w:val="014900E3"/>
    <w:rsid w:val="014F5749"/>
    <w:rsid w:val="01521E95"/>
    <w:rsid w:val="01727F7E"/>
    <w:rsid w:val="01764DBE"/>
    <w:rsid w:val="01806F8C"/>
    <w:rsid w:val="0182483A"/>
    <w:rsid w:val="018356BA"/>
    <w:rsid w:val="01863406"/>
    <w:rsid w:val="018D011E"/>
    <w:rsid w:val="019614B0"/>
    <w:rsid w:val="019C71AC"/>
    <w:rsid w:val="01BF03AA"/>
    <w:rsid w:val="01C33E74"/>
    <w:rsid w:val="01D447A3"/>
    <w:rsid w:val="01DF3C26"/>
    <w:rsid w:val="01EE0A2C"/>
    <w:rsid w:val="0200044D"/>
    <w:rsid w:val="020250A8"/>
    <w:rsid w:val="020654E4"/>
    <w:rsid w:val="020C72F8"/>
    <w:rsid w:val="02121B7C"/>
    <w:rsid w:val="021813DE"/>
    <w:rsid w:val="021B6B30"/>
    <w:rsid w:val="02363BD8"/>
    <w:rsid w:val="023809F7"/>
    <w:rsid w:val="02431066"/>
    <w:rsid w:val="02595CF1"/>
    <w:rsid w:val="025C47D6"/>
    <w:rsid w:val="0263675C"/>
    <w:rsid w:val="02656E75"/>
    <w:rsid w:val="026620E1"/>
    <w:rsid w:val="027431E5"/>
    <w:rsid w:val="02B544DB"/>
    <w:rsid w:val="02CB5D99"/>
    <w:rsid w:val="02D2429A"/>
    <w:rsid w:val="02F61D91"/>
    <w:rsid w:val="02FA438B"/>
    <w:rsid w:val="02FC4679"/>
    <w:rsid w:val="02FE5E0A"/>
    <w:rsid w:val="0347190C"/>
    <w:rsid w:val="034760CE"/>
    <w:rsid w:val="03487959"/>
    <w:rsid w:val="0350044F"/>
    <w:rsid w:val="03505BE1"/>
    <w:rsid w:val="036D41A2"/>
    <w:rsid w:val="037F229C"/>
    <w:rsid w:val="03911277"/>
    <w:rsid w:val="03992A2D"/>
    <w:rsid w:val="039A540B"/>
    <w:rsid w:val="03BD010E"/>
    <w:rsid w:val="03E2685C"/>
    <w:rsid w:val="03E66326"/>
    <w:rsid w:val="03F24543"/>
    <w:rsid w:val="03FF6E0F"/>
    <w:rsid w:val="0404259A"/>
    <w:rsid w:val="04051601"/>
    <w:rsid w:val="04150B3B"/>
    <w:rsid w:val="04327F62"/>
    <w:rsid w:val="04344800"/>
    <w:rsid w:val="044C7A61"/>
    <w:rsid w:val="045F666C"/>
    <w:rsid w:val="0460075C"/>
    <w:rsid w:val="04613BEE"/>
    <w:rsid w:val="0462054D"/>
    <w:rsid w:val="04675C34"/>
    <w:rsid w:val="046C0B29"/>
    <w:rsid w:val="04816E5C"/>
    <w:rsid w:val="048924DD"/>
    <w:rsid w:val="04914D95"/>
    <w:rsid w:val="0495144B"/>
    <w:rsid w:val="04AC07A1"/>
    <w:rsid w:val="04B91614"/>
    <w:rsid w:val="04C60A3C"/>
    <w:rsid w:val="04C63115"/>
    <w:rsid w:val="04CF5236"/>
    <w:rsid w:val="04CF5AF0"/>
    <w:rsid w:val="04D24FF1"/>
    <w:rsid w:val="04DE1BAB"/>
    <w:rsid w:val="04E411E4"/>
    <w:rsid w:val="04F37BBA"/>
    <w:rsid w:val="05085366"/>
    <w:rsid w:val="05145F64"/>
    <w:rsid w:val="05241004"/>
    <w:rsid w:val="054037EF"/>
    <w:rsid w:val="054E7FFF"/>
    <w:rsid w:val="05621117"/>
    <w:rsid w:val="058C5045"/>
    <w:rsid w:val="059C7C89"/>
    <w:rsid w:val="05A50C70"/>
    <w:rsid w:val="05B525CA"/>
    <w:rsid w:val="05C4448F"/>
    <w:rsid w:val="05CE7E5C"/>
    <w:rsid w:val="05E616EC"/>
    <w:rsid w:val="06146BAF"/>
    <w:rsid w:val="06286BB6"/>
    <w:rsid w:val="06405E9C"/>
    <w:rsid w:val="064D5380"/>
    <w:rsid w:val="064E0F6B"/>
    <w:rsid w:val="06617309"/>
    <w:rsid w:val="06650E6A"/>
    <w:rsid w:val="06854A05"/>
    <w:rsid w:val="068B5259"/>
    <w:rsid w:val="06986D10"/>
    <w:rsid w:val="06A14716"/>
    <w:rsid w:val="06C90184"/>
    <w:rsid w:val="06C9437B"/>
    <w:rsid w:val="06D3561E"/>
    <w:rsid w:val="06ED564C"/>
    <w:rsid w:val="06F22A7B"/>
    <w:rsid w:val="07023424"/>
    <w:rsid w:val="07032B0D"/>
    <w:rsid w:val="07043735"/>
    <w:rsid w:val="0725074E"/>
    <w:rsid w:val="07313C60"/>
    <w:rsid w:val="07331F0A"/>
    <w:rsid w:val="076971BD"/>
    <w:rsid w:val="076D43AE"/>
    <w:rsid w:val="077323CA"/>
    <w:rsid w:val="0775145F"/>
    <w:rsid w:val="07967DE0"/>
    <w:rsid w:val="07970994"/>
    <w:rsid w:val="079D625C"/>
    <w:rsid w:val="07B913B4"/>
    <w:rsid w:val="07BA1C6A"/>
    <w:rsid w:val="07BD44A3"/>
    <w:rsid w:val="07CE6155"/>
    <w:rsid w:val="07E11DA2"/>
    <w:rsid w:val="07E23B26"/>
    <w:rsid w:val="07E31891"/>
    <w:rsid w:val="07E40515"/>
    <w:rsid w:val="07EE6091"/>
    <w:rsid w:val="08017E70"/>
    <w:rsid w:val="0805190B"/>
    <w:rsid w:val="080C52E3"/>
    <w:rsid w:val="082A5F7E"/>
    <w:rsid w:val="08391F38"/>
    <w:rsid w:val="083A18D9"/>
    <w:rsid w:val="0848472A"/>
    <w:rsid w:val="084D20E7"/>
    <w:rsid w:val="08674899"/>
    <w:rsid w:val="08711D3A"/>
    <w:rsid w:val="08754155"/>
    <w:rsid w:val="087625D2"/>
    <w:rsid w:val="087B77E7"/>
    <w:rsid w:val="087D3D34"/>
    <w:rsid w:val="0889236C"/>
    <w:rsid w:val="088E051E"/>
    <w:rsid w:val="08935A7B"/>
    <w:rsid w:val="08A91E6C"/>
    <w:rsid w:val="08BA1B19"/>
    <w:rsid w:val="08D059DD"/>
    <w:rsid w:val="08D7088E"/>
    <w:rsid w:val="08DC08E7"/>
    <w:rsid w:val="092D1C9E"/>
    <w:rsid w:val="09377E5E"/>
    <w:rsid w:val="09383E9F"/>
    <w:rsid w:val="0939426E"/>
    <w:rsid w:val="09504F8C"/>
    <w:rsid w:val="09616470"/>
    <w:rsid w:val="096C1F5A"/>
    <w:rsid w:val="096C76C1"/>
    <w:rsid w:val="09906B28"/>
    <w:rsid w:val="09912E95"/>
    <w:rsid w:val="099C1A23"/>
    <w:rsid w:val="09A948AF"/>
    <w:rsid w:val="09AC2A76"/>
    <w:rsid w:val="09B04837"/>
    <w:rsid w:val="09C95891"/>
    <w:rsid w:val="09CD698F"/>
    <w:rsid w:val="09D8005F"/>
    <w:rsid w:val="09F91116"/>
    <w:rsid w:val="0A002E0D"/>
    <w:rsid w:val="0A140987"/>
    <w:rsid w:val="0A241A5C"/>
    <w:rsid w:val="0A2C4C78"/>
    <w:rsid w:val="0A2E3566"/>
    <w:rsid w:val="0A393280"/>
    <w:rsid w:val="0A5F2F6C"/>
    <w:rsid w:val="0A670B4E"/>
    <w:rsid w:val="0A851E03"/>
    <w:rsid w:val="0A985A6F"/>
    <w:rsid w:val="0A98731F"/>
    <w:rsid w:val="0AA808AF"/>
    <w:rsid w:val="0ABD142C"/>
    <w:rsid w:val="0AC644AE"/>
    <w:rsid w:val="0ACB61B4"/>
    <w:rsid w:val="0ACD4157"/>
    <w:rsid w:val="0AE73347"/>
    <w:rsid w:val="0AE964B0"/>
    <w:rsid w:val="0B163034"/>
    <w:rsid w:val="0B1F5B6D"/>
    <w:rsid w:val="0B292074"/>
    <w:rsid w:val="0B2F4AF7"/>
    <w:rsid w:val="0B3312B6"/>
    <w:rsid w:val="0B4064B3"/>
    <w:rsid w:val="0B4106DE"/>
    <w:rsid w:val="0B640DAA"/>
    <w:rsid w:val="0B6E529C"/>
    <w:rsid w:val="0B701D27"/>
    <w:rsid w:val="0B7245CE"/>
    <w:rsid w:val="0B943886"/>
    <w:rsid w:val="0B9C3CD1"/>
    <w:rsid w:val="0BB324D8"/>
    <w:rsid w:val="0BB447B1"/>
    <w:rsid w:val="0BB672C7"/>
    <w:rsid w:val="0BC07BBF"/>
    <w:rsid w:val="0BC429EF"/>
    <w:rsid w:val="0BCE65D1"/>
    <w:rsid w:val="0BD27A8E"/>
    <w:rsid w:val="0BD60937"/>
    <w:rsid w:val="0BD912A4"/>
    <w:rsid w:val="0BE135FA"/>
    <w:rsid w:val="0BEE4F6B"/>
    <w:rsid w:val="0C03261E"/>
    <w:rsid w:val="0C0439FA"/>
    <w:rsid w:val="0C0B17DF"/>
    <w:rsid w:val="0C0F382B"/>
    <w:rsid w:val="0C160980"/>
    <w:rsid w:val="0C1B4EF7"/>
    <w:rsid w:val="0C1C297E"/>
    <w:rsid w:val="0C1D4988"/>
    <w:rsid w:val="0C263DA4"/>
    <w:rsid w:val="0C297E69"/>
    <w:rsid w:val="0C55038F"/>
    <w:rsid w:val="0C6B7DF9"/>
    <w:rsid w:val="0C6E2A56"/>
    <w:rsid w:val="0C734816"/>
    <w:rsid w:val="0C7A708D"/>
    <w:rsid w:val="0C8E09E9"/>
    <w:rsid w:val="0CCA7495"/>
    <w:rsid w:val="0CD16BA2"/>
    <w:rsid w:val="0CD745A0"/>
    <w:rsid w:val="0CDE4E30"/>
    <w:rsid w:val="0D012A51"/>
    <w:rsid w:val="0D094F84"/>
    <w:rsid w:val="0D280615"/>
    <w:rsid w:val="0D2C07EB"/>
    <w:rsid w:val="0D2D174A"/>
    <w:rsid w:val="0D2F57DE"/>
    <w:rsid w:val="0D353632"/>
    <w:rsid w:val="0D392C4E"/>
    <w:rsid w:val="0D482FA9"/>
    <w:rsid w:val="0D4A4299"/>
    <w:rsid w:val="0D564ED5"/>
    <w:rsid w:val="0D5F1E28"/>
    <w:rsid w:val="0D671080"/>
    <w:rsid w:val="0D783B34"/>
    <w:rsid w:val="0D81754C"/>
    <w:rsid w:val="0DBE6AB7"/>
    <w:rsid w:val="0DBF116A"/>
    <w:rsid w:val="0DC00E38"/>
    <w:rsid w:val="0DC8400B"/>
    <w:rsid w:val="0DD34552"/>
    <w:rsid w:val="0DDF6EFF"/>
    <w:rsid w:val="0DE03EAA"/>
    <w:rsid w:val="0DE12394"/>
    <w:rsid w:val="0DF36262"/>
    <w:rsid w:val="0E0E69D0"/>
    <w:rsid w:val="0E1E619E"/>
    <w:rsid w:val="0E267F81"/>
    <w:rsid w:val="0E365DE9"/>
    <w:rsid w:val="0E3E4633"/>
    <w:rsid w:val="0E463344"/>
    <w:rsid w:val="0E4822EE"/>
    <w:rsid w:val="0E4E185D"/>
    <w:rsid w:val="0E522FBE"/>
    <w:rsid w:val="0E5D141B"/>
    <w:rsid w:val="0E5D1762"/>
    <w:rsid w:val="0E8648D6"/>
    <w:rsid w:val="0E8C08DC"/>
    <w:rsid w:val="0E8E43C0"/>
    <w:rsid w:val="0E964CBE"/>
    <w:rsid w:val="0EAC50D3"/>
    <w:rsid w:val="0EB05323"/>
    <w:rsid w:val="0EBE40CB"/>
    <w:rsid w:val="0EC36A56"/>
    <w:rsid w:val="0EC62499"/>
    <w:rsid w:val="0ECE4E6F"/>
    <w:rsid w:val="0EDA5C56"/>
    <w:rsid w:val="0EFE4287"/>
    <w:rsid w:val="0F0D525E"/>
    <w:rsid w:val="0F1D1622"/>
    <w:rsid w:val="0F296723"/>
    <w:rsid w:val="0F2A2A37"/>
    <w:rsid w:val="0F2E6C95"/>
    <w:rsid w:val="0F4675CA"/>
    <w:rsid w:val="0F471A79"/>
    <w:rsid w:val="0F500384"/>
    <w:rsid w:val="0F5B4015"/>
    <w:rsid w:val="0F6071C8"/>
    <w:rsid w:val="0F6E05DA"/>
    <w:rsid w:val="0F7B0394"/>
    <w:rsid w:val="0FA00CB6"/>
    <w:rsid w:val="0FA434D3"/>
    <w:rsid w:val="0FB471F7"/>
    <w:rsid w:val="0FB87AA7"/>
    <w:rsid w:val="0FC95C51"/>
    <w:rsid w:val="0FC965F5"/>
    <w:rsid w:val="0FCD6B4B"/>
    <w:rsid w:val="0FCF7138"/>
    <w:rsid w:val="0FD35AB6"/>
    <w:rsid w:val="0FE017B9"/>
    <w:rsid w:val="0FE04B17"/>
    <w:rsid w:val="0FEC2891"/>
    <w:rsid w:val="0FF71EB7"/>
    <w:rsid w:val="10225AB2"/>
    <w:rsid w:val="102D74F0"/>
    <w:rsid w:val="103C47DA"/>
    <w:rsid w:val="103D5CB0"/>
    <w:rsid w:val="1043497A"/>
    <w:rsid w:val="104B6B58"/>
    <w:rsid w:val="105552F6"/>
    <w:rsid w:val="108449FF"/>
    <w:rsid w:val="108B34B0"/>
    <w:rsid w:val="10950D99"/>
    <w:rsid w:val="109E2943"/>
    <w:rsid w:val="10C8346E"/>
    <w:rsid w:val="10FE6AB1"/>
    <w:rsid w:val="1112624E"/>
    <w:rsid w:val="11153798"/>
    <w:rsid w:val="11297158"/>
    <w:rsid w:val="114B2C9B"/>
    <w:rsid w:val="115D78BB"/>
    <w:rsid w:val="116001E2"/>
    <w:rsid w:val="11793618"/>
    <w:rsid w:val="11813452"/>
    <w:rsid w:val="118447F4"/>
    <w:rsid w:val="11913DD4"/>
    <w:rsid w:val="11961E43"/>
    <w:rsid w:val="11987ED2"/>
    <w:rsid w:val="119969A0"/>
    <w:rsid w:val="11A91B68"/>
    <w:rsid w:val="11B76464"/>
    <w:rsid w:val="11BC2DF3"/>
    <w:rsid w:val="11C43676"/>
    <w:rsid w:val="11EA3CA0"/>
    <w:rsid w:val="11F403BB"/>
    <w:rsid w:val="11FA6A1C"/>
    <w:rsid w:val="120B6973"/>
    <w:rsid w:val="12155876"/>
    <w:rsid w:val="12183A1B"/>
    <w:rsid w:val="122A11A6"/>
    <w:rsid w:val="123D1BD2"/>
    <w:rsid w:val="123E6D4D"/>
    <w:rsid w:val="125406B2"/>
    <w:rsid w:val="125613C2"/>
    <w:rsid w:val="125D4EF7"/>
    <w:rsid w:val="12637C4E"/>
    <w:rsid w:val="127030C8"/>
    <w:rsid w:val="12A15E33"/>
    <w:rsid w:val="12B310FA"/>
    <w:rsid w:val="12B422BC"/>
    <w:rsid w:val="12B7582D"/>
    <w:rsid w:val="12C621E8"/>
    <w:rsid w:val="12CF0716"/>
    <w:rsid w:val="12D95227"/>
    <w:rsid w:val="12E33197"/>
    <w:rsid w:val="12EE1C9C"/>
    <w:rsid w:val="12F863E6"/>
    <w:rsid w:val="13094CA6"/>
    <w:rsid w:val="132156D8"/>
    <w:rsid w:val="132911E2"/>
    <w:rsid w:val="133868AE"/>
    <w:rsid w:val="135133AE"/>
    <w:rsid w:val="13914897"/>
    <w:rsid w:val="13A141FF"/>
    <w:rsid w:val="13A55CD5"/>
    <w:rsid w:val="13AE357C"/>
    <w:rsid w:val="13B654E3"/>
    <w:rsid w:val="13B819E6"/>
    <w:rsid w:val="13BC4189"/>
    <w:rsid w:val="13C169EC"/>
    <w:rsid w:val="13CA717D"/>
    <w:rsid w:val="13CE022A"/>
    <w:rsid w:val="13DF25B8"/>
    <w:rsid w:val="13E2403C"/>
    <w:rsid w:val="14047D3B"/>
    <w:rsid w:val="141A00EA"/>
    <w:rsid w:val="143A1FCF"/>
    <w:rsid w:val="14430D66"/>
    <w:rsid w:val="14477E65"/>
    <w:rsid w:val="14633DE5"/>
    <w:rsid w:val="14710CBF"/>
    <w:rsid w:val="14791934"/>
    <w:rsid w:val="147D213D"/>
    <w:rsid w:val="14862BCB"/>
    <w:rsid w:val="149F64D6"/>
    <w:rsid w:val="14A04833"/>
    <w:rsid w:val="14A44C48"/>
    <w:rsid w:val="14B0163C"/>
    <w:rsid w:val="14B12779"/>
    <w:rsid w:val="14B37576"/>
    <w:rsid w:val="14BC079B"/>
    <w:rsid w:val="14F4219E"/>
    <w:rsid w:val="150135C1"/>
    <w:rsid w:val="151C632A"/>
    <w:rsid w:val="152E4EB1"/>
    <w:rsid w:val="153E3566"/>
    <w:rsid w:val="154034C3"/>
    <w:rsid w:val="156B6CDB"/>
    <w:rsid w:val="15726626"/>
    <w:rsid w:val="15820278"/>
    <w:rsid w:val="158D1367"/>
    <w:rsid w:val="15914EE6"/>
    <w:rsid w:val="15A42FA4"/>
    <w:rsid w:val="15A6418F"/>
    <w:rsid w:val="15AA091B"/>
    <w:rsid w:val="15BC6BD3"/>
    <w:rsid w:val="15CF095E"/>
    <w:rsid w:val="15D35BCA"/>
    <w:rsid w:val="15DA1440"/>
    <w:rsid w:val="15DA784E"/>
    <w:rsid w:val="15DB017B"/>
    <w:rsid w:val="15E6370B"/>
    <w:rsid w:val="15E835FB"/>
    <w:rsid w:val="15E84717"/>
    <w:rsid w:val="15F723D3"/>
    <w:rsid w:val="160F0091"/>
    <w:rsid w:val="16144614"/>
    <w:rsid w:val="163E3AB2"/>
    <w:rsid w:val="165E3F72"/>
    <w:rsid w:val="166D0110"/>
    <w:rsid w:val="167050F1"/>
    <w:rsid w:val="16713DA7"/>
    <w:rsid w:val="16797776"/>
    <w:rsid w:val="16952546"/>
    <w:rsid w:val="16A30A62"/>
    <w:rsid w:val="16AB3FBF"/>
    <w:rsid w:val="16AC1654"/>
    <w:rsid w:val="16B12C6E"/>
    <w:rsid w:val="16BF0789"/>
    <w:rsid w:val="16C04307"/>
    <w:rsid w:val="16CD5BA2"/>
    <w:rsid w:val="16D42F73"/>
    <w:rsid w:val="16DA34D2"/>
    <w:rsid w:val="16DA4E41"/>
    <w:rsid w:val="16F042AC"/>
    <w:rsid w:val="16F626B5"/>
    <w:rsid w:val="16FB005D"/>
    <w:rsid w:val="16FC4F3B"/>
    <w:rsid w:val="171630EB"/>
    <w:rsid w:val="17435DB3"/>
    <w:rsid w:val="174849B3"/>
    <w:rsid w:val="175075E0"/>
    <w:rsid w:val="175D3461"/>
    <w:rsid w:val="175F4C67"/>
    <w:rsid w:val="175F580B"/>
    <w:rsid w:val="17665207"/>
    <w:rsid w:val="176E31A1"/>
    <w:rsid w:val="17794395"/>
    <w:rsid w:val="17856EC1"/>
    <w:rsid w:val="178D50A9"/>
    <w:rsid w:val="178F0FE3"/>
    <w:rsid w:val="17B85018"/>
    <w:rsid w:val="17E339CC"/>
    <w:rsid w:val="17F33C57"/>
    <w:rsid w:val="181D4FAC"/>
    <w:rsid w:val="182B38C1"/>
    <w:rsid w:val="18351597"/>
    <w:rsid w:val="18353961"/>
    <w:rsid w:val="183B1CB5"/>
    <w:rsid w:val="18474510"/>
    <w:rsid w:val="184F1D16"/>
    <w:rsid w:val="1852374B"/>
    <w:rsid w:val="185629F1"/>
    <w:rsid w:val="185632CE"/>
    <w:rsid w:val="186720C3"/>
    <w:rsid w:val="18685D91"/>
    <w:rsid w:val="186A0F81"/>
    <w:rsid w:val="188F0DAB"/>
    <w:rsid w:val="18905464"/>
    <w:rsid w:val="18910B5C"/>
    <w:rsid w:val="18A62960"/>
    <w:rsid w:val="18BD3DC4"/>
    <w:rsid w:val="18C149F3"/>
    <w:rsid w:val="18D233DB"/>
    <w:rsid w:val="18D36CD5"/>
    <w:rsid w:val="18DC433F"/>
    <w:rsid w:val="18DC5635"/>
    <w:rsid w:val="18DD0C18"/>
    <w:rsid w:val="18DE4BF6"/>
    <w:rsid w:val="18EC1CA5"/>
    <w:rsid w:val="18F23C9D"/>
    <w:rsid w:val="18F554AB"/>
    <w:rsid w:val="18FE49D5"/>
    <w:rsid w:val="190F3527"/>
    <w:rsid w:val="19100497"/>
    <w:rsid w:val="19183CAC"/>
    <w:rsid w:val="19241D0A"/>
    <w:rsid w:val="193964B7"/>
    <w:rsid w:val="19521C94"/>
    <w:rsid w:val="195657BB"/>
    <w:rsid w:val="196B19EB"/>
    <w:rsid w:val="19717C66"/>
    <w:rsid w:val="198E7C2B"/>
    <w:rsid w:val="199945D5"/>
    <w:rsid w:val="199B5065"/>
    <w:rsid w:val="19D37D58"/>
    <w:rsid w:val="19DD0438"/>
    <w:rsid w:val="19EB665F"/>
    <w:rsid w:val="19F811CC"/>
    <w:rsid w:val="1A0A04E6"/>
    <w:rsid w:val="1A187AC0"/>
    <w:rsid w:val="1A213466"/>
    <w:rsid w:val="1A3F3F76"/>
    <w:rsid w:val="1A4B4BAE"/>
    <w:rsid w:val="1A5F35C0"/>
    <w:rsid w:val="1A8006B2"/>
    <w:rsid w:val="1A841A42"/>
    <w:rsid w:val="1A8D640E"/>
    <w:rsid w:val="1A974192"/>
    <w:rsid w:val="1AA834CA"/>
    <w:rsid w:val="1AC612CA"/>
    <w:rsid w:val="1ACA62AD"/>
    <w:rsid w:val="1ADA675E"/>
    <w:rsid w:val="1AE11CDA"/>
    <w:rsid w:val="1AFA553B"/>
    <w:rsid w:val="1B113A6D"/>
    <w:rsid w:val="1B144B8D"/>
    <w:rsid w:val="1B17013D"/>
    <w:rsid w:val="1B1B14D3"/>
    <w:rsid w:val="1B1F6AF1"/>
    <w:rsid w:val="1B250DAE"/>
    <w:rsid w:val="1B26261F"/>
    <w:rsid w:val="1B2A34EB"/>
    <w:rsid w:val="1B2B0F4C"/>
    <w:rsid w:val="1B2D2734"/>
    <w:rsid w:val="1B324C1D"/>
    <w:rsid w:val="1B3860E1"/>
    <w:rsid w:val="1B3F36F6"/>
    <w:rsid w:val="1B422830"/>
    <w:rsid w:val="1B4B369E"/>
    <w:rsid w:val="1B5271D4"/>
    <w:rsid w:val="1B6D7C0D"/>
    <w:rsid w:val="1B84594F"/>
    <w:rsid w:val="1B884364"/>
    <w:rsid w:val="1BA912AB"/>
    <w:rsid w:val="1BC17CE4"/>
    <w:rsid w:val="1BC74329"/>
    <w:rsid w:val="1BC90A36"/>
    <w:rsid w:val="1BD0347B"/>
    <w:rsid w:val="1BD40AF3"/>
    <w:rsid w:val="1BD802A4"/>
    <w:rsid w:val="1BDF236A"/>
    <w:rsid w:val="1C0435DD"/>
    <w:rsid w:val="1C044A22"/>
    <w:rsid w:val="1C0500B1"/>
    <w:rsid w:val="1C165874"/>
    <w:rsid w:val="1C1D4C3D"/>
    <w:rsid w:val="1C212C7F"/>
    <w:rsid w:val="1C4B14C5"/>
    <w:rsid w:val="1C4C28F3"/>
    <w:rsid w:val="1C71314E"/>
    <w:rsid w:val="1C82672C"/>
    <w:rsid w:val="1C89138D"/>
    <w:rsid w:val="1C8E76D2"/>
    <w:rsid w:val="1C937172"/>
    <w:rsid w:val="1C9542D8"/>
    <w:rsid w:val="1C975C4B"/>
    <w:rsid w:val="1CA27BB1"/>
    <w:rsid w:val="1CAF7DCF"/>
    <w:rsid w:val="1CB07D7A"/>
    <w:rsid w:val="1CDA4D56"/>
    <w:rsid w:val="1CF810AC"/>
    <w:rsid w:val="1D0B3755"/>
    <w:rsid w:val="1D124C24"/>
    <w:rsid w:val="1D2C6C65"/>
    <w:rsid w:val="1D402518"/>
    <w:rsid w:val="1D4E7169"/>
    <w:rsid w:val="1D554265"/>
    <w:rsid w:val="1D660B43"/>
    <w:rsid w:val="1D69344A"/>
    <w:rsid w:val="1D6B31E8"/>
    <w:rsid w:val="1D6B7F83"/>
    <w:rsid w:val="1D776C3D"/>
    <w:rsid w:val="1D807C8E"/>
    <w:rsid w:val="1D95321A"/>
    <w:rsid w:val="1DB85E5C"/>
    <w:rsid w:val="1DC46662"/>
    <w:rsid w:val="1DCA5E3A"/>
    <w:rsid w:val="1DCF5405"/>
    <w:rsid w:val="1DD75183"/>
    <w:rsid w:val="1DDE2626"/>
    <w:rsid w:val="1DFD7C50"/>
    <w:rsid w:val="1E080AB5"/>
    <w:rsid w:val="1E0E0D58"/>
    <w:rsid w:val="1E157818"/>
    <w:rsid w:val="1E2A197B"/>
    <w:rsid w:val="1E35255F"/>
    <w:rsid w:val="1E3C5A5F"/>
    <w:rsid w:val="1E475D36"/>
    <w:rsid w:val="1E4E24A0"/>
    <w:rsid w:val="1E502588"/>
    <w:rsid w:val="1E53413D"/>
    <w:rsid w:val="1E550992"/>
    <w:rsid w:val="1E5A7A32"/>
    <w:rsid w:val="1E671817"/>
    <w:rsid w:val="1E6C3B44"/>
    <w:rsid w:val="1E71779F"/>
    <w:rsid w:val="1E7A4122"/>
    <w:rsid w:val="1E8879EE"/>
    <w:rsid w:val="1EB95D76"/>
    <w:rsid w:val="1EC54236"/>
    <w:rsid w:val="1EC92424"/>
    <w:rsid w:val="1ED464CA"/>
    <w:rsid w:val="1EDA5DF7"/>
    <w:rsid w:val="1EED4A44"/>
    <w:rsid w:val="1EFA39EA"/>
    <w:rsid w:val="1F00206F"/>
    <w:rsid w:val="1F0177DA"/>
    <w:rsid w:val="1F18467A"/>
    <w:rsid w:val="1F232A42"/>
    <w:rsid w:val="1F2645A8"/>
    <w:rsid w:val="1F4B71B8"/>
    <w:rsid w:val="1F4C39A9"/>
    <w:rsid w:val="1F5009C3"/>
    <w:rsid w:val="1F5665AD"/>
    <w:rsid w:val="1F692382"/>
    <w:rsid w:val="1F8815CD"/>
    <w:rsid w:val="1F8D1995"/>
    <w:rsid w:val="1F935BDD"/>
    <w:rsid w:val="1F9730E6"/>
    <w:rsid w:val="1FA470FB"/>
    <w:rsid w:val="1FDE0273"/>
    <w:rsid w:val="1FEF73C9"/>
    <w:rsid w:val="1FFA024A"/>
    <w:rsid w:val="20020491"/>
    <w:rsid w:val="20303E66"/>
    <w:rsid w:val="203640A2"/>
    <w:rsid w:val="203A1A3B"/>
    <w:rsid w:val="203C7C11"/>
    <w:rsid w:val="20421AEB"/>
    <w:rsid w:val="20471AED"/>
    <w:rsid w:val="20487E48"/>
    <w:rsid w:val="20666EBF"/>
    <w:rsid w:val="206F239E"/>
    <w:rsid w:val="2086258B"/>
    <w:rsid w:val="20A45C99"/>
    <w:rsid w:val="20AD18F5"/>
    <w:rsid w:val="20B77D0F"/>
    <w:rsid w:val="20BB288C"/>
    <w:rsid w:val="20D06EB4"/>
    <w:rsid w:val="20E40557"/>
    <w:rsid w:val="20EF04D3"/>
    <w:rsid w:val="210C69CF"/>
    <w:rsid w:val="21107C1A"/>
    <w:rsid w:val="213018E1"/>
    <w:rsid w:val="21392BC1"/>
    <w:rsid w:val="21431802"/>
    <w:rsid w:val="21463D2C"/>
    <w:rsid w:val="2151198F"/>
    <w:rsid w:val="21657B00"/>
    <w:rsid w:val="2172070D"/>
    <w:rsid w:val="217B2C80"/>
    <w:rsid w:val="217D2EA2"/>
    <w:rsid w:val="21851E83"/>
    <w:rsid w:val="21861507"/>
    <w:rsid w:val="219020E3"/>
    <w:rsid w:val="21916EE8"/>
    <w:rsid w:val="219A308D"/>
    <w:rsid w:val="219F5834"/>
    <w:rsid w:val="21A35D48"/>
    <w:rsid w:val="21C12688"/>
    <w:rsid w:val="21CC4855"/>
    <w:rsid w:val="21E233A3"/>
    <w:rsid w:val="21E23F6C"/>
    <w:rsid w:val="21E345FD"/>
    <w:rsid w:val="22171E1E"/>
    <w:rsid w:val="22383B4D"/>
    <w:rsid w:val="22466CD3"/>
    <w:rsid w:val="225D1D49"/>
    <w:rsid w:val="225D33C8"/>
    <w:rsid w:val="226239FE"/>
    <w:rsid w:val="22626562"/>
    <w:rsid w:val="226A76AE"/>
    <w:rsid w:val="22733EB6"/>
    <w:rsid w:val="22906578"/>
    <w:rsid w:val="22973E77"/>
    <w:rsid w:val="22AB58F3"/>
    <w:rsid w:val="22C13FD4"/>
    <w:rsid w:val="22C24771"/>
    <w:rsid w:val="22CB0895"/>
    <w:rsid w:val="230A01C2"/>
    <w:rsid w:val="231527D7"/>
    <w:rsid w:val="23185AD8"/>
    <w:rsid w:val="23336451"/>
    <w:rsid w:val="23474320"/>
    <w:rsid w:val="23492735"/>
    <w:rsid w:val="235B5F37"/>
    <w:rsid w:val="235C3EA6"/>
    <w:rsid w:val="23604810"/>
    <w:rsid w:val="23796902"/>
    <w:rsid w:val="237A7609"/>
    <w:rsid w:val="237F295E"/>
    <w:rsid w:val="23BE4330"/>
    <w:rsid w:val="23BF0A62"/>
    <w:rsid w:val="23C263BB"/>
    <w:rsid w:val="23CB14F2"/>
    <w:rsid w:val="23D04F68"/>
    <w:rsid w:val="23D50A64"/>
    <w:rsid w:val="23FC0268"/>
    <w:rsid w:val="240B4621"/>
    <w:rsid w:val="241061D3"/>
    <w:rsid w:val="24114322"/>
    <w:rsid w:val="24122F3C"/>
    <w:rsid w:val="24181A61"/>
    <w:rsid w:val="241A4D23"/>
    <w:rsid w:val="244328F6"/>
    <w:rsid w:val="245032E9"/>
    <w:rsid w:val="24536196"/>
    <w:rsid w:val="24626203"/>
    <w:rsid w:val="247573F6"/>
    <w:rsid w:val="247A4BE7"/>
    <w:rsid w:val="24806762"/>
    <w:rsid w:val="24814D5C"/>
    <w:rsid w:val="24831C33"/>
    <w:rsid w:val="248601CB"/>
    <w:rsid w:val="24917BA8"/>
    <w:rsid w:val="24981483"/>
    <w:rsid w:val="249B0370"/>
    <w:rsid w:val="24A24AC6"/>
    <w:rsid w:val="24B93055"/>
    <w:rsid w:val="24C252E5"/>
    <w:rsid w:val="24C93BB5"/>
    <w:rsid w:val="24D02E03"/>
    <w:rsid w:val="24F86BC7"/>
    <w:rsid w:val="250F44FD"/>
    <w:rsid w:val="2514288A"/>
    <w:rsid w:val="252E01A9"/>
    <w:rsid w:val="253B3382"/>
    <w:rsid w:val="256609A5"/>
    <w:rsid w:val="25781237"/>
    <w:rsid w:val="257A6914"/>
    <w:rsid w:val="2588530F"/>
    <w:rsid w:val="25963C8A"/>
    <w:rsid w:val="25AB3731"/>
    <w:rsid w:val="25B464A2"/>
    <w:rsid w:val="25BA0209"/>
    <w:rsid w:val="25BB4BF0"/>
    <w:rsid w:val="25E62DA9"/>
    <w:rsid w:val="25F465E7"/>
    <w:rsid w:val="25F6641C"/>
    <w:rsid w:val="25F74FA1"/>
    <w:rsid w:val="25FC3091"/>
    <w:rsid w:val="25FD11FA"/>
    <w:rsid w:val="25FF3210"/>
    <w:rsid w:val="2610789E"/>
    <w:rsid w:val="2611098A"/>
    <w:rsid w:val="264221C6"/>
    <w:rsid w:val="265D3370"/>
    <w:rsid w:val="26666555"/>
    <w:rsid w:val="26677154"/>
    <w:rsid w:val="266E1AF0"/>
    <w:rsid w:val="268B7C99"/>
    <w:rsid w:val="268C4A4A"/>
    <w:rsid w:val="268F259F"/>
    <w:rsid w:val="269A7501"/>
    <w:rsid w:val="26A10AA6"/>
    <w:rsid w:val="26A3584F"/>
    <w:rsid w:val="26A66B0A"/>
    <w:rsid w:val="26A73989"/>
    <w:rsid w:val="26A86D42"/>
    <w:rsid w:val="26C30557"/>
    <w:rsid w:val="26CB2EBC"/>
    <w:rsid w:val="26CB4B73"/>
    <w:rsid w:val="26E34A7B"/>
    <w:rsid w:val="26E9756C"/>
    <w:rsid w:val="26FA4570"/>
    <w:rsid w:val="27217FF0"/>
    <w:rsid w:val="27242893"/>
    <w:rsid w:val="2729330D"/>
    <w:rsid w:val="273612F4"/>
    <w:rsid w:val="27445146"/>
    <w:rsid w:val="275C112F"/>
    <w:rsid w:val="277602F5"/>
    <w:rsid w:val="278038CA"/>
    <w:rsid w:val="27B71D93"/>
    <w:rsid w:val="27C33BB0"/>
    <w:rsid w:val="27C55F98"/>
    <w:rsid w:val="27CC0CD0"/>
    <w:rsid w:val="27D071BC"/>
    <w:rsid w:val="27D4538F"/>
    <w:rsid w:val="27D668C5"/>
    <w:rsid w:val="27DE15AE"/>
    <w:rsid w:val="27E03A2F"/>
    <w:rsid w:val="28064A27"/>
    <w:rsid w:val="280D297A"/>
    <w:rsid w:val="281440EE"/>
    <w:rsid w:val="28276A98"/>
    <w:rsid w:val="285710C8"/>
    <w:rsid w:val="285C4BAF"/>
    <w:rsid w:val="285D0F42"/>
    <w:rsid w:val="28703320"/>
    <w:rsid w:val="287E69B4"/>
    <w:rsid w:val="289539A5"/>
    <w:rsid w:val="289F019A"/>
    <w:rsid w:val="28AC041F"/>
    <w:rsid w:val="28B556D0"/>
    <w:rsid w:val="28CC6ED5"/>
    <w:rsid w:val="28F010D9"/>
    <w:rsid w:val="28F05C88"/>
    <w:rsid w:val="29045F7F"/>
    <w:rsid w:val="29082E70"/>
    <w:rsid w:val="291343EF"/>
    <w:rsid w:val="29166F16"/>
    <w:rsid w:val="294D5371"/>
    <w:rsid w:val="295A5964"/>
    <w:rsid w:val="29626133"/>
    <w:rsid w:val="29702C6A"/>
    <w:rsid w:val="298756CC"/>
    <w:rsid w:val="29A81FA5"/>
    <w:rsid w:val="29AB297C"/>
    <w:rsid w:val="29C535D7"/>
    <w:rsid w:val="29C65905"/>
    <w:rsid w:val="29D552F0"/>
    <w:rsid w:val="29DA5777"/>
    <w:rsid w:val="29DF2425"/>
    <w:rsid w:val="29FF7839"/>
    <w:rsid w:val="2A0E6FDD"/>
    <w:rsid w:val="2A142C99"/>
    <w:rsid w:val="2A1E4871"/>
    <w:rsid w:val="2A214539"/>
    <w:rsid w:val="2A367BB2"/>
    <w:rsid w:val="2A3D54FD"/>
    <w:rsid w:val="2A410FE5"/>
    <w:rsid w:val="2A4173A1"/>
    <w:rsid w:val="2A596631"/>
    <w:rsid w:val="2A5A05BF"/>
    <w:rsid w:val="2A5F2983"/>
    <w:rsid w:val="2A601F6F"/>
    <w:rsid w:val="2A602297"/>
    <w:rsid w:val="2A7A07C0"/>
    <w:rsid w:val="2AB17620"/>
    <w:rsid w:val="2AB30FEA"/>
    <w:rsid w:val="2AB657B1"/>
    <w:rsid w:val="2AB73944"/>
    <w:rsid w:val="2AE07913"/>
    <w:rsid w:val="2AEA3FC0"/>
    <w:rsid w:val="2AEA4AC4"/>
    <w:rsid w:val="2AF876BF"/>
    <w:rsid w:val="2B0E64B5"/>
    <w:rsid w:val="2B166BF6"/>
    <w:rsid w:val="2B2B0DE1"/>
    <w:rsid w:val="2B3E1E16"/>
    <w:rsid w:val="2B5D0E3B"/>
    <w:rsid w:val="2B5E2134"/>
    <w:rsid w:val="2B6C53A9"/>
    <w:rsid w:val="2B6F3EEE"/>
    <w:rsid w:val="2B70774D"/>
    <w:rsid w:val="2B7D446F"/>
    <w:rsid w:val="2B8D4A3E"/>
    <w:rsid w:val="2BCC1BD6"/>
    <w:rsid w:val="2BDF0CFB"/>
    <w:rsid w:val="2BE234F2"/>
    <w:rsid w:val="2BE33AA6"/>
    <w:rsid w:val="2BE40B44"/>
    <w:rsid w:val="2BEF68A7"/>
    <w:rsid w:val="2BF22DBE"/>
    <w:rsid w:val="2BF73785"/>
    <w:rsid w:val="2BFD25E1"/>
    <w:rsid w:val="2C0B25BF"/>
    <w:rsid w:val="2C0F30B3"/>
    <w:rsid w:val="2C1235EB"/>
    <w:rsid w:val="2C162BEC"/>
    <w:rsid w:val="2C2F0BC4"/>
    <w:rsid w:val="2C391765"/>
    <w:rsid w:val="2C3C2B6A"/>
    <w:rsid w:val="2C3D18DD"/>
    <w:rsid w:val="2C3D5EB9"/>
    <w:rsid w:val="2C4C0F0A"/>
    <w:rsid w:val="2C5254C3"/>
    <w:rsid w:val="2C532EF2"/>
    <w:rsid w:val="2C5C500F"/>
    <w:rsid w:val="2C6E3526"/>
    <w:rsid w:val="2C6F1E54"/>
    <w:rsid w:val="2C993631"/>
    <w:rsid w:val="2C9B7E11"/>
    <w:rsid w:val="2CAF1058"/>
    <w:rsid w:val="2CB32C99"/>
    <w:rsid w:val="2CBC36F5"/>
    <w:rsid w:val="2CC907F0"/>
    <w:rsid w:val="2CCC5126"/>
    <w:rsid w:val="2CEC2829"/>
    <w:rsid w:val="2CF756B7"/>
    <w:rsid w:val="2CF9252D"/>
    <w:rsid w:val="2CF94F11"/>
    <w:rsid w:val="2CF97782"/>
    <w:rsid w:val="2D107154"/>
    <w:rsid w:val="2D143281"/>
    <w:rsid w:val="2D1C79F8"/>
    <w:rsid w:val="2D214E0A"/>
    <w:rsid w:val="2D324177"/>
    <w:rsid w:val="2D3A0EFB"/>
    <w:rsid w:val="2D5A7835"/>
    <w:rsid w:val="2D6578A0"/>
    <w:rsid w:val="2D7343C9"/>
    <w:rsid w:val="2DE44256"/>
    <w:rsid w:val="2DE557EB"/>
    <w:rsid w:val="2DE735DA"/>
    <w:rsid w:val="2DEE74F1"/>
    <w:rsid w:val="2E020414"/>
    <w:rsid w:val="2E0E6D42"/>
    <w:rsid w:val="2E0F4249"/>
    <w:rsid w:val="2E2F0A58"/>
    <w:rsid w:val="2E447583"/>
    <w:rsid w:val="2E4B4467"/>
    <w:rsid w:val="2E5520B9"/>
    <w:rsid w:val="2E63548C"/>
    <w:rsid w:val="2E640C1C"/>
    <w:rsid w:val="2E6B523D"/>
    <w:rsid w:val="2E7A08F9"/>
    <w:rsid w:val="2E7B33BD"/>
    <w:rsid w:val="2E836803"/>
    <w:rsid w:val="2E96363C"/>
    <w:rsid w:val="2EB0190E"/>
    <w:rsid w:val="2EB86707"/>
    <w:rsid w:val="2EC92184"/>
    <w:rsid w:val="2ECD27F6"/>
    <w:rsid w:val="2F0228B0"/>
    <w:rsid w:val="2F0E1C14"/>
    <w:rsid w:val="2F366FC1"/>
    <w:rsid w:val="2F5034C7"/>
    <w:rsid w:val="2F866106"/>
    <w:rsid w:val="2FA3249D"/>
    <w:rsid w:val="2FAD690D"/>
    <w:rsid w:val="2FC05B92"/>
    <w:rsid w:val="2FDE3BE4"/>
    <w:rsid w:val="2FEC1413"/>
    <w:rsid w:val="2FEF5C51"/>
    <w:rsid w:val="301F1E0F"/>
    <w:rsid w:val="302E6295"/>
    <w:rsid w:val="303329F0"/>
    <w:rsid w:val="303818E5"/>
    <w:rsid w:val="303B4884"/>
    <w:rsid w:val="303F1851"/>
    <w:rsid w:val="303F79AD"/>
    <w:rsid w:val="30492212"/>
    <w:rsid w:val="304C3A2B"/>
    <w:rsid w:val="30596318"/>
    <w:rsid w:val="306F339C"/>
    <w:rsid w:val="30762710"/>
    <w:rsid w:val="30814CF1"/>
    <w:rsid w:val="308E4163"/>
    <w:rsid w:val="30A71077"/>
    <w:rsid w:val="30AC18CA"/>
    <w:rsid w:val="30C20BA4"/>
    <w:rsid w:val="30C478ED"/>
    <w:rsid w:val="30EC01FB"/>
    <w:rsid w:val="30F54D00"/>
    <w:rsid w:val="31026564"/>
    <w:rsid w:val="310A5122"/>
    <w:rsid w:val="312107CD"/>
    <w:rsid w:val="31210CA8"/>
    <w:rsid w:val="31215285"/>
    <w:rsid w:val="312D0344"/>
    <w:rsid w:val="31346C1B"/>
    <w:rsid w:val="314A407E"/>
    <w:rsid w:val="314E2EDF"/>
    <w:rsid w:val="31686F7D"/>
    <w:rsid w:val="317038BB"/>
    <w:rsid w:val="317958D0"/>
    <w:rsid w:val="318D218C"/>
    <w:rsid w:val="31964319"/>
    <w:rsid w:val="319A32FE"/>
    <w:rsid w:val="31A53AB7"/>
    <w:rsid w:val="31A801F9"/>
    <w:rsid w:val="31C57FB2"/>
    <w:rsid w:val="31C932E2"/>
    <w:rsid w:val="31F61F62"/>
    <w:rsid w:val="320358D0"/>
    <w:rsid w:val="32052FE4"/>
    <w:rsid w:val="320B77FD"/>
    <w:rsid w:val="321976B1"/>
    <w:rsid w:val="321D6876"/>
    <w:rsid w:val="3220390C"/>
    <w:rsid w:val="322B51BC"/>
    <w:rsid w:val="322F26BF"/>
    <w:rsid w:val="32313F22"/>
    <w:rsid w:val="32643522"/>
    <w:rsid w:val="326470BA"/>
    <w:rsid w:val="32744A8B"/>
    <w:rsid w:val="32753DA5"/>
    <w:rsid w:val="32821314"/>
    <w:rsid w:val="32886DB3"/>
    <w:rsid w:val="32895C45"/>
    <w:rsid w:val="32A43D99"/>
    <w:rsid w:val="32B141E0"/>
    <w:rsid w:val="32B44D2D"/>
    <w:rsid w:val="32B45C4C"/>
    <w:rsid w:val="32C90A49"/>
    <w:rsid w:val="32FA2D7F"/>
    <w:rsid w:val="32FC6C4E"/>
    <w:rsid w:val="33085CC5"/>
    <w:rsid w:val="33262CBA"/>
    <w:rsid w:val="332B323C"/>
    <w:rsid w:val="332E3189"/>
    <w:rsid w:val="334E650C"/>
    <w:rsid w:val="335B62EC"/>
    <w:rsid w:val="335E79BA"/>
    <w:rsid w:val="3360061D"/>
    <w:rsid w:val="336549AB"/>
    <w:rsid w:val="33782709"/>
    <w:rsid w:val="338A259F"/>
    <w:rsid w:val="3392025F"/>
    <w:rsid w:val="33A8285D"/>
    <w:rsid w:val="33AC1E29"/>
    <w:rsid w:val="33B17041"/>
    <w:rsid w:val="33B202F3"/>
    <w:rsid w:val="33B20F64"/>
    <w:rsid w:val="33E35D08"/>
    <w:rsid w:val="33EE53FA"/>
    <w:rsid w:val="33FD7485"/>
    <w:rsid w:val="34012F1B"/>
    <w:rsid w:val="34467089"/>
    <w:rsid w:val="34523AB5"/>
    <w:rsid w:val="346B4B47"/>
    <w:rsid w:val="346E4F77"/>
    <w:rsid w:val="34762AAC"/>
    <w:rsid w:val="348402A8"/>
    <w:rsid w:val="34B510BB"/>
    <w:rsid w:val="34BB2714"/>
    <w:rsid w:val="34BD790F"/>
    <w:rsid w:val="34C25EF7"/>
    <w:rsid w:val="34D20F28"/>
    <w:rsid w:val="34DF0B7F"/>
    <w:rsid w:val="34E22DC0"/>
    <w:rsid w:val="350233D4"/>
    <w:rsid w:val="35195F01"/>
    <w:rsid w:val="35313A72"/>
    <w:rsid w:val="35493C91"/>
    <w:rsid w:val="355C0228"/>
    <w:rsid w:val="356566F3"/>
    <w:rsid w:val="357800DF"/>
    <w:rsid w:val="358527FB"/>
    <w:rsid w:val="358B5BCF"/>
    <w:rsid w:val="359A77E8"/>
    <w:rsid w:val="35A1790B"/>
    <w:rsid w:val="35A45B99"/>
    <w:rsid w:val="35B01090"/>
    <w:rsid w:val="35B41C29"/>
    <w:rsid w:val="35DD2073"/>
    <w:rsid w:val="35DF75FB"/>
    <w:rsid w:val="35EB21A5"/>
    <w:rsid w:val="35EC7269"/>
    <w:rsid w:val="35F52D00"/>
    <w:rsid w:val="35FF153A"/>
    <w:rsid w:val="3606622C"/>
    <w:rsid w:val="36077316"/>
    <w:rsid w:val="3613278E"/>
    <w:rsid w:val="36356D4F"/>
    <w:rsid w:val="36405687"/>
    <w:rsid w:val="36414112"/>
    <w:rsid w:val="365F3D60"/>
    <w:rsid w:val="36645530"/>
    <w:rsid w:val="367851C1"/>
    <w:rsid w:val="369510BC"/>
    <w:rsid w:val="36973632"/>
    <w:rsid w:val="369F3680"/>
    <w:rsid w:val="36A30194"/>
    <w:rsid w:val="36D21A02"/>
    <w:rsid w:val="36F32FEF"/>
    <w:rsid w:val="37104DEB"/>
    <w:rsid w:val="372D0977"/>
    <w:rsid w:val="37337382"/>
    <w:rsid w:val="374D5647"/>
    <w:rsid w:val="374F42A7"/>
    <w:rsid w:val="37506DBE"/>
    <w:rsid w:val="3759338C"/>
    <w:rsid w:val="37654002"/>
    <w:rsid w:val="37814BB7"/>
    <w:rsid w:val="378E3E66"/>
    <w:rsid w:val="37C244FC"/>
    <w:rsid w:val="37D95C79"/>
    <w:rsid w:val="37DA67DD"/>
    <w:rsid w:val="37DD4C41"/>
    <w:rsid w:val="37E81F7B"/>
    <w:rsid w:val="38026A1B"/>
    <w:rsid w:val="38197832"/>
    <w:rsid w:val="383903C6"/>
    <w:rsid w:val="383C423B"/>
    <w:rsid w:val="38415136"/>
    <w:rsid w:val="38504C90"/>
    <w:rsid w:val="386C1D38"/>
    <w:rsid w:val="387A25A5"/>
    <w:rsid w:val="38963295"/>
    <w:rsid w:val="389D2F53"/>
    <w:rsid w:val="38A945B7"/>
    <w:rsid w:val="38CC2A09"/>
    <w:rsid w:val="38D677A2"/>
    <w:rsid w:val="38D770AE"/>
    <w:rsid w:val="38F06EDE"/>
    <w:rsid w:val="38F70050"/>
    <w:rsid w:val="38FC33FC"/>
    <w:rsid w:val="38FD0E84"/>
    <w:rsid w:val="38FF1B5B"/>
    <w:rsid w:val="390273B1"/>
    <w:rsid w:val="39153767"/>
    <w:rsid w:val="39225CA9"/>
    <w:rsid w:val="3923070B"/>
    <w:rsid w:val="392C49BB"/>
    <w:rsid w:val="39381E2B"/>
    <w:rsid w:val="3942282F"/>
    <w:rsid w:val="3953338B"/>
    <w:rsid w:val="395A11C2"/>
    <w:rsid w:val="396B7002"/>
    <w:rsid w:val="396C2A15"/>
    <w:rsid w:val="39A95BE7"/>
    <w:rsid w:val="39AC01F9"/>
    <w:rsid w:val="39B73BAC"/>
    <w:rsid w:val="39B7517F"/>
    <w:rsid w:val="39BA3B51"/>
    <w:rsid w:val="39C20795"/>
    <w:rsid w:val="39E77318"/>
    <w:rsid w:val="39E90E2B"/>
    <w:rsid w:val="39E94D86"/>
    <w:rsid w:val="39F1638E"/>
    <w:rsid w:val="3A001C79"/>
    <w:rsid w:val="3A1513BA"/>
    <w:rsid w:val="3A2E618D"/>
    <w:rsid w:val="3A4109A1"/>
    <w:rsid w:val="3A5042B3"/>
    <w:rsid w:val="3A742C8C"/>
    <w:rsid w:val="3A797CAF"/>
    <w:rsid w:val="3A7B2702"/>
    <w:rsid w:val="3A896EEE"/>
    <w:rsid w:val="3AAA2893"/>
    <w:rsid w:val="3ABB15C7"/>
    <w:rsid w:val="3ABE79AB"/>
    <w:rsid w:val="3AD8279E"/>
    <w:rsid w:val="3AE73EDB"/>
    <w:rsid w:val="3B08641D"/>
    <w:rsid w:val="3B097D0D"/>
    <w:rsid w:val="3B1C7A19"/>
    <w:rsid w:val="3B2B5582"/>
    <w:rsid w:val="3B4234D4"/>
    <w:rsid w:val="3B5068F7"/>
    <w:rsid w:val="3B7622BA"/>
    <w:rsid w:val="3B7C1C88"/>
    <w:rsid w:val="3B8107C8"/>
    <w:rsid w:val="3B8972AA"/>
    <w:rsid w:val="3BA219B8"/>
    <w:rsid w:val="3BA96003"/>
    <w:rsid w:val="3BC61A51"/>
    <w:rsid w:val="3BCC6963"/>
    <w:rsid w:val="3BE14893"/>
    <w:rsid w:val="3BE8265C"/>
    <w:rsid w:val="3BE92A35"/>
    <w:rsid w:val="3BEB460F"/>
    <w:rsid w:val="3BEF1DA2"/>
    <w:rsid w:val="3BF64635"/>
    <w:rsid w:val="3BF956C3"/>
    <w:rsid w:val="3C0651CD"/>
    <w:rsid w:val="3C0E5CDB"/>
    <w:rsid w:val="3C4D3B02"/>
    <w:rsid w:val="3C5B1D89"/>
    <w:rsid w:val="3C85498F"/>
    <w:rsid w:val="3C8946A5"/>
    <w:rsid w:val="3CA372A1"/>
    <w:rsid w:val="3CA600E0"/>
    <w:rsid w:val="3CB765A9"/>
    <w:rsid w:val="3CBA4326"/>
    <w:rsid w:val="3CBC0BE3"/>
    <w:rsid w:val="3CC614DA"/>
    <w:rsid w:val="3CD01DA9"/>
    <w:rsid w:val="3CDA38F5"/>
    <w:rsid w:val="3CDD517D"/>
    <w:rsid w:val="3CE33FC3"/>
    <w:rsid w:val="3CEA3B31"/>
    <w:rsid w:val="3CF9401E"/>
    <w:rsid w:val="3CFC6325"/>
    <w:rsid w:val="3D093C71"/>
    <w:rsid w:val="3D1A22C0"/>
    <w:rsid w:val="3D294B1B"/>
    <w:rsid w:val="3D2B034D"/>
    <w:rsid w:val="3D5A60CA"/>
    <w:rsid w:val="3D705822"/>
    <w:rsid w:val="3D9F4364"/>
    <w:rsid w:val="3DA702BF"/>
    <w:rsid w:val="3DB02E6B"/>
    <w:rsid w:val="3DB86D41"/>
    <w:rsid w:val="3DB92106"/>
    <w:rsid w:val="3DCF457D"/>
    <w:rsid w:val="3DF169A7"/>
    <w:rsid w:val="3DF2399F"/>
    <w:rsid w:val="3DF40FE4"/>
    <w:rsid w:val="3E0519AD"/>
    <w:rsid w:val="3E0A667E"/>
    <w:rsid w:val="3E4A1D40"/>
    <w:rsid w:val="3E4C287B"/>
    <w:rsid w:val="3E633FD2"/>
    <w:rsid w:val="3E6F32D2"/>
    <w:rsid w:val="3E742C66"/>
    <w:rsid w:val="3E7E19E7"/>
    <w:rsid w:val="3E8572BF"/>
    <w:rsid w:val="3E917B82"/>
    <w:rsid w:val="3E9656A5"/>
    <w:rsid w:val="3E997463"/>
    <w:rsid w:val="3E9F7600"/>
    <w:rsid w:val="3ECD5479"/>
    <w:rsid w:val="3ED62B90"/>
    <w:rsid w:val="3EE34DD3"/>
    <w:rsid w:val="3EF434CC"/>
    <w:rsid w:val="3EFB6FF7"/>
    <w:rsid w:val="3EFF0A75"/>
    <w:rsid w:val="3F1054CE"/>
    <w:rsid w:val="3F2534F3"/>
    <w:rsid w:val="3F3A1B65"/>
    <w:rsid w:val="3F3A5EB9"/>
    <w:rsid w:val="3F522210"/>
    <w:rsid w:val="3F544AF6"/>
    <w:rsid w:val="3F5C361D"/>
    <w:rsid w:val="3F5E64F5"/>
    <w:rsid w:val="3F656E2C"/>
    <w:rsid w:val="3F6D5029"/>
    <w:rsid w:val="3F8F6B56"/>
    <w:rsid w:val="3F92376D"/>
    <w:rsid w:val="3F9C1CD6"/>
    <w:rsid w:val="3FAB2488"/>
    <w:rsid w:val="3FB035B9"/>
    <w:rsid w:val="3FC45A80"/>
    <w:rsid w:val="3FC57677"/>
    <w:rsid w:val="3FDE13B9"/>
    <w:rsid w:val="3FE029F1"/>
    <w:rsid w:val="3FE457AE"/>
    <w:rsid w:val="3FE57701"/>
    <w:rsid w:val="400C4E03"/>
    <w:rsid w:val="40126EBB"/>
    <w:rsid w:val="401A4D54"/>
    <w:rsid w:val="40262C07"/>
    <w:rsid w:val="404209E3"/>
    <w:rsid w:val="40451C67"/>
    <w:rsid w:val="404A1B2B"/>
    <w:rsid w:val="404A601E"/>
    <w:rsid w:val="404C52F4"/>
    <w:rsid w:val="40510EE6"/>
    <w:rsid w:val="405C0FC1"/>
    <w:rsid w:val="40733CBA"/>
    <w:rsid w:val="407A4DF7"/>
    <w:rsid w:val="40B16CC2"/>
    <w:rsid w:val="40B81BAD"/>
    <w:rsid w:val="40BB2365"/>
    <w:rsid w:val="40D23962"/>
    <w:rsid w:val="40D61BC8"/>
    <w:rsid w:val="40DC4F1D"/>
    <w:rsid w:val="40DF2097"/>
    <w:rsid w:val="40E71ABD"/>
    <w:rsid w:val="413C11C7"/>
    <w:rsid w:val="41447F0E"/>
    <w:rsid w:val="414733E0"/>
    <w:rsid w:val="41566753"/>
    <w:rsid w:val="41641DE4"/>
    <w:rsid w:val="416A21FA"/>
    <w:rsid w:val="416B09D7"/>
    <w:rsid w:val="417D1E08"/>
    <w:rsid w:val="417D5552"/>
    <w:rsid w:val="4188208C"/>
    <w:rsid w:val="419B51EE"/>
    <w:rsid w:val="41B11897"/>
    <w:rsid w:val="41C57D35"/>
    <w:rsid w:val="41F34606"/>
    <w:rsid w:val="4200399D"/>
    <w:rsid w:val="420E20BD"/>
    <w:rsid w:val="421647B9"/>
    <w:rsid w:val="42263E3B"/>
    <w:rsid w:val="42291C88"/>
    <w:rsid w:val="422C70F1"/>
    <w:rsid w:val="423C6CFA"/>
    <w:rsid w:val="42442693"/>
    <w:rsid w:val="427F1F58"/>
    <w:rsid w:val="428D1B97"/>
    <w:rsid w:val="42B608A5"/>
    <w:rsid w:val="42BC6C8F"/>
    <w:rsid w:val="42C5446D"/>
    <w:rsid w:val="42E94337"/>
    <w:rsid w:val="43031943"/>
    <w:rsid w:val="430567FD"/>
    <w:rsid w:val="431327F1"/>
    <w:rsid w:val="43182DB2"/>
    <w:rsid w:val="4368794F"/>
    <w:rsid w:val="436D0FB5"/>
    <w:rsid w:val="437518D1"/>
    <w:rsid w:val="438D1E49"/>
    <w:rsid w:val="439E4A66"/>
    <w:rsid w:val="43A0784E"/>
    <w:rsid w:val="43B23B98"/>
    <w:rsid w:val="43C80076"/>
    <w:rsid w:val="43D8550E"/>
    <w:rsid w:val="43DC0C7D"/>
    <w:rsid w:val="43EA69D8"/>
    <w:rsid w:val="44356D2F"/>
    <w:rsid w:val="44390E25"/>
    <w:rsid w:val="44433468"/>
    <w:rsid w:val="44437F9F"/>
    <w:rsid w:val="444F5C68"/>
    <w:rsid w:val="44613E6E"/>
    <w:rsid w:val="446A5324"/>
    <w:rsid w:val="447859E5"/>
    <w:rsid w:val="447E7804"/>
    <w:rsid w:val="44943661"/>
    <w:rsid w:val="44A05C5C"/>
    <w:rsid w:val="44AC7417"/>
    <w:rsid w:val="44B16853"/>
    <w:rsid w:val="450D5FAD"/>
    <w:rsid w:val="45172F07"/>
    <w:rsid w:val="451D5184"/>
    <w:rsid w:val="452F3716"/>
    <w:rsid w:val="453C65FD"/>
    <w:rsid w:val="454B256E"/>
    <w:rsid w:val="455D76E4"/>
    <w:rsid w:val="45646F33"/>
    <w:rsid w:val="45671007"/>
    <w:rsid w:val="456C331B"/>
    <w:rsid w:val="45A26739"/>
    <w:rsid w:val="45A932BF"/>
    <w:rsid w:val="45B07140"/>
    <w:rsid w:val="45C43431"/>
    <w:rsid w:val="45EE3358"/>
    <w:rsid w:val="46066722"/>
    <w:rsid w:val="461976C3"/>
    <w:rsid w:val="461C0664"/>
    <w:rsid w:val="463D42BA"/>
    <w:rsid w:val="46414471"/>
    <w:rsid w:val="46521A41"/>
    <w:rsid w:val="465D50F1"/>
    <w:rsid w:val="46771C91"/>
    <w:rsid w:val="467F06A4"/>
    <w:rsid w:val="4694259D"/>
    <w:rsid w:val="46A64B43"/>
    <w:rsid w:val="46AA5A85"/>
    <w:rsid w:val="46AC6264"/>
    <w:rsid w:val="46C01696"/>
    <w:rsid w:val="46C52BE0"/>
    <w:rsid w:val="46C95C87"/>
    <w:rsid w:val="46CC2A14"/>
    <w:rsid w:val="46D118AB"/>
    <w:rsid w:val="46EE37D3"/>
    <w:rsid w:val="46F30AEE"/>
    <w:rsid w:val="47123940"/>
    <w:rsid w:val="47125D84"/>
    <w:rsid w:val="47204C1C"/>
    <w:rsid w:val="4726595C"/>
    <w:rsid w:val="472B687C"/>
    <w:rsid w:val="4759257B"/>
    <w:rsid w:val="47600773"/>
    <w:rsid w:val="47661F26"/>
    <w:rsid w:val="476E25F3"/>
    <w:rsid w:val="47783B12"/>
    <w:rsid w:val="477D5156"/>
    <w:rsid w:val="477F2265"/>
    <w:rsid w:val="47890AD6"/>
    <w:rsid w:val="478D2FF6"/>
    <w:rsid w:val="478F6037"/>
    <w:rsid w:val="47981ED8"/>
    <w:rsid w:val="4798720D"/>
    <w:rsid w:val="47BF7C9C"/>
    <w:rsid w:val="47C2246C"/>
    <w:rsid w:val="47CA5F05"/>
    <w:rsid w:val="47DA1720"/>
    <w:rsid w:val="47E11737"/>
    <w:rsid w:val="47E77D53"/>
    <w:rsid w:val="47ED46A0"/>
    <w:rsid w:val="47EE48C0"/>
    <w:rsid w:val="47F35E3E"/>
    <w:rsid w:val="47FB766F"/>
    <w:rsid w:val="48064E6E"/>
    <w:rsid w:val="4808575C"/>
    <w:rsid w:val="480B439D"/>
    <w:rsid w:val="482F10F4"/>
    <w:rsid w:val="484840BD"/>
    <w:rsid w:val="48606A0B"/>
    <w:rsid w:val="486D78BB"/>
    <w:rsid w:val="48723EEE"/>
    <w:rsid w:val="487E6545"/>
    <w:rsid w:val="48915636"/>
    <w:rsid w:val="48985F31"/>
    <w:rsid w:val="48AC6E35"/>
    <w:rsid w:val="48BD43A0"/>
    <w:rsid w:val="48C417A6"/>
    <w:rsid w:val="48C96968"/>
    <w:rsid w:val="48F51F3E"/>
    <w:rsid w:val="48F84416"/>
    <w:rsid w:val="4900614D"/>
    <w:rsid w:val="4902013C"/>
    <w:rsid w:val="490874C4"/>
    <w:rsid w:val="491A6A98"/>
    <w:rsid w:val="491D4AAF"/>
    <w:rsid w:val="4926292B"/>
    <w:rsid w:val="49371235"/>
    <w:rsid w:val="494324F6"/>
    <w:rsid w:val="49455D20"/>
    <w:rsid w:val="497B341F"/>
    <w:rsid w:val="49B415EE"/>
    <w:rsid w:val="49B569B9"/>
    <w:rsid w:val="49B63FD6"/>
    <w:rsid w:val="49BF4D00"/>
    <w:rsid w:val="49D1562B"/>
    <w:rsid w:val="49DE1EF5"/>
    <w:rsid w:val="49E579C4"/>
    <w:rsid w:val="49EA2381"/>
    <w:rsid w:val="49F04409"/>
    <w:rsid w:val="49F43753"/>
    <w:rsid w:val="49F54A10"/>
    <w:rsid w:val="49F94CE9"/>
    <w:rsid w:val="49FE0E45"/>
    <w:rsid w:val="4A040938"/>
    <w:rsid w:val="4A11169A"/>
    <w:rsid w:val="4A212635"/>
    <w:rsid w:val="4A2175B6"/>
    <w:rsid w:val="4A2F4915"/>
    <w:rsid w:val="4A4260CB"/>
    <w:rsid w:val="4A611E1A"/>
    <w:rsid w:val="4A7055A6"/>
    <w:rsid w:val="4A9C47ED"/>
    <w:rsid w:val="4AA71D5E"/>
    <w:rsid w:val="4AAA6CA9"/>
    <w:rsid w:val="4AC43FFA"/>
    <w:rsid w:val="4AC62F10"/>
    <w:rsid w:val="4AE008D2"/>
    <w:rsid w:val="4B0B3617"/>
    <w:rsid w:val="4B2815DF"/>
    <w:rsid w:val="4B282734"/>
    <w:rsid w:val="4B473F5E"/>
    <w:rsid w:val="4B49191E"/>
    <w:rsid w:val="4B507FB2"/>
    <w:rsid w:val="4B647620"/>
    <w:rsid w:val="4B695935"/>
    <w:rsid w:val="4B7A55E6"/>
    <w:rsid w:val="4B82653E"/>
    <w:rsid w:val="4B894031"/>
    <w:rsid w:val="4B8C1A83"/>
    <w:rsid w:val="4B946154"/>
    <w:rsid w:val="4BA268DF"/>
    <w:rsid w:val="4BB12731"/>
    <w:rsid w:val="4BE10A59"/>
    <w:rsid w:val="4BE123D1"/>
    <w:rsid w:val="4C0A534C"/>
    <w:rsid w:val="4C0F01F9"/>
    <w:rsid w:val="4C270B31"/>
    <w:rsid w:val="4C3202E6"/>
    <w:rsid w:val="4C6370A1"/>
    <w:rsid w:val="4C736886"/>
    <w:rsid w:val="4C7F7CEF"/>
    <w:rsid w:val="4C821AA7"/>
    <w:rsid w:val="4C991AEB"/>
    <w:rsid w:val="4CA43125"/>
    <w:rsid w:val="4CAC2A11"/>
    <w:rsid w:val="4CB01CB9"/>
    <w:rsid w:val="4CCD33EA"/>
    <w:rsid w:val="4CCF426B"/>
    <w:rsid w:val="4CF907DC"/>
    <w:rsid w:val="4CFE069C"/>
    <w:rsid w:val="4D033F9C"/>
    <w:rsid w:val="4D055E23"/>
    <w:rsid w:val="4D2433AC"/>
    <w:rsid w:val="4D4A4A28"/>
    <w:rsid w:val="4D5D7D7F"/>
    <w:rsid w:val="4D625C01"/>
    <w:rsid w:val="4D6A51F3"/>
    <w:rsid w:val="4D8F350E"/>
    <w:rsid w:val="4D924E46"/>
    <w:rsid w:val="4D9877E4"/>
    <w:rsid w:val="4DBD22E7"/>
    <w:rsid w:val="4DC73507"/>
    <w:rsid w:val="4DDA6A5F"/>
    <w:rsid w:val="4DDB7205"/>
    <w:rsid w:val="4DDF772B"/>
    <w:rsid w:val="4DEB15AD"/>
    <w:rsid w:val="4DF8520A"/>
    <w:rsid w:val="4DF87443"/>
    <w:rsid w:val="4E370600"/>
    <w:rsid w:val="4E435024"/>
    <w:rsid w:val="4E460EA4"/>
    <w:rsid w:val="4E4E7E80"/>
    <w:rsid w:val="4E534A5B"/>
    <w:rsid w:val="4E565AC1"/>
    <w:rsid w:val="4E5C5562"/>
    <w:rsid w:val="4E5F69A8"/>
    <w:rsid w:val="4E655726"/>
    <w:rsid w:val="4E754A02"/>
    <w:rsid w:val="4E95725E"/>
    <w:rsid w:val="4E9A6CF9"/>
    <w:rsid w:val="4EA63D16"/>
    <w:rsid w:val="4EA65FD0"/>
    <w:rsid w:val="4ED33DCB"/>
    <w:rsid w:val="4ED47D84"/>
    <w:rsid w:val="4EE34782"/>
    <w:rsid w:val="4EE63F4F"/>
    <w:rsid w:val="4EF63225"/>
    <w:rsid w:val="4F007E65"/>
    <w:rsid w:val="4F0A1AF8"/>
    <w:rsid w:val="4F203D73"/>
    <w:rsid w:val="4F27252E"/>
    <w:rsid w:val="4F323E26"/>
    <w:rsid w:val="4F3913E8"/>
    <w:rsid w:val="4F501419"/>
    <w:rsid w:val="4F594DAC"/>
    <w:rsid w:val="4F5C5A7F"/>
    <w:rsid w:val="4F6C3F07"/>
    <w:rsid w:val="4F830574"/>
    <w:rsid w:val="4F8D5FB6"/>
    <w:rsid w:val="4F9753D7"/>
    <w:rsid w:val="4FA54804"/>
    <w:rsid w:val="4FBF34BA"/>
    <w:rsid w:val="4FCA2B98"/>
    <w:rsid w:val="4FCB218A"/>
    <w:rsid w:val="4FCE7BAE"/>
    <w:rsid w:val="4FFE4A87"/>
    <w:rsid w:val="500344EA"/>
    <w:rsid w:val="500B7B4C"/>
    <w:rsid w:val="50290799"/>
    <w:rsid w:val="503C3296"/>
    <w:rsid w:val="50494C36"/>
    <w:rsid w:val="504B0F0D"/>
    <w:rsid w:val="50527689"/>
    <w:rsid w:val="50660B58"/>
    <w:rsid w:val="506633AA"/>
    <w:rsid w:val="507237E3"/>
    <w:rsid w:val="50911DB8"/>
    <w:rsid w:val="50943033"/>
    <w:rsid w:val="50992F99"/>
    <w:rsid w:val="509D389C"/>
    <w:rsid w:val="50A642FD"/>
    <w:rsid w:val="50AF647F"/>
    <w:rsid w:val="50BB317D"/>
    <w:rsid w:val="50D06E68"/>
    <w:rsid w:val="50D37C72"/>
    <w:rsid w:val="50E466DC"/>
    <w:rsid w:val="50EA1869"/>
    <w:rsid w:val="50FD00F4"/>
    <w:rsid w:val="50FF056E"/>
    <w:rsid w:val="510F2A7F"/>
    <w:rsid w:val="512746EF"/>
    <w:rsid w:val="51283E4C"/>
    <w:rsid w:val="51291D35"/>
    <w:rsid w:val="512B3A7F"/>
    <w:rsid w:val="51414399"/>
    <w:rsid w:val="515D5FD6"/>
    <w:rsid w:val="516A7012"/>
    <w:rsid w:val="516E103F"/>
    <w:rsid w:val="51721A38"/>
    <w:rsid w:val="517D016D"/>
    <w:rsid w:val="51A45867"/>
    <w:rsid w:val="51AD7250"/>
    <w:rsid w:val="51BB3832"/>
    <w:rsid w:val="51CF1465"/>
    <w:rsid w:val="51D1247D"/>
    <w:rsid w:val="51EC4955"/>
    <w:rsid w:val="51F067B7"/>
    <w:rsid w:val="52077D46"/>
    <w:rsid w:val="52187D0D"/>
    <w:rsid w:val="52351CB5"/>
    <w:rsid w:val="52361B9C"/>
    <w:rsid w:val="52362A26"/>
    <w:rsid w:val="523B0BAD"/>
    <w:rsid w:val="523E270A"/>
    <w:rsid w:val="524B7169"/>
    <w:rsid w:val="5250515D"/>
    <w:rsid w:val="526921DD"/>
    <w:rsid w:val="5297132B"/>
    <w:rsid w:val="529C2650"/>
    <w:rsid w:val="529F28D8"/>
    <w:rsid w:val="529F6FBB"/>
    <w:rsid w:val="52C076EC"/>
    <w:rsid w:val="52C25708"/>
    <w:rsid w:val="52C315CC"/>
    <w:rsid w:val="52CD10CA"/>
    <w:rsid w:val="52EB6F11"/>
    <w:rsid w:val="52F0249E"/>
    <w:rsid w:val="531228DF"/>
    <w:rsid w:val="5353575F"/>
    <w:rsid w:val="535B2E70"/>
    <w:rsid w:val="535C4E8B"/>
    <w:rsid w:val="536278AA"/>
    <w:rsid w:val="53673357"/>
    <w:rsid w:val="53676B5F"/>
    <w:rsid w:val="536E21FF"/>
    <w:rsid w:val="5385006E"/>
    <w:rsid w:val="538A4A6D"/>
    <w:rsid w:val="53B45677"/>
    <w:rsid w:val="53DD2466"/>
    <w:rsid w:val="53E34323"/>
    <w:rsid w:val="53F35F85"/>
    <w:rsid w:val="53FC3987"/>
    <w:rsid w:val="5427381E"/>
    <w:rsid w:val="543B788E"/>
    <w:rsid w:val="54447CBB"/>
    <w:rsid w:val="544D0F50"/>
    <w:rsid w:val="545062A7"/>
    <w:rsid w:val="545C3555"/>
    <w:rsid w:val="54617320"/>
    <w:rsid w:val="547A28DC"/>
    <w:rsid w:val="54827775"/>
    <w:rsid w:val="548F46E6"/>
    <w:rsid w:val="54AC5134"/>
    <w:rsid w:val="54DE6078"/>
    <w:rsid w:val="54E86EBD"/>
    <w:rsid w:val="54F2526E"/>
    <w:rsid w:val="55075D9B"/>
    <w:rsid w:val="55184BBF"/>
    <w:rsid w:val="551874CA"/>
    <w:rsid w:val="551E6A56"/>
    <w:rsid w:val="552006D3"/>
    <w:rsid w:val="552438BC"/>
    <w:rsid w:val="55301CB3"/>
    <w:rsid w:val="55327054"/>
    <w:rsid w:val="553A26BA"/>
    <w:rsid w:val="553D6D2E"/>
    <w:rsid w:val="5556054C"/>
    <w:rsid w:val="55862A42"/>
    <w:rsid w:val="55990578"/>
    <w:rsid w:val="55A56891"/>
    <w:rsid w:val="55AC66CB"/>
    <w:rsid w:val="55B94635"/>
    <w:rsid w:val="55C33131"/>
    <w:rsid w:val="55C70BF3"/>
    <w:rsid w:val="55CD7903"/>
    <w:rsid w:val="55E172A0"/>
    <w:rsid w:val="55E24605"/>
    <w:rsid w:val="55F81C60"/>
    <w:rsid w:val="55FA0F14"/>
    <w:rsid w:val="56097F90"/>
    <w:rsid w:val="56133E90"/>
    <w:rsid w:val="5620190B"/>
    <w:rsid w:val="56474D43"/>
    <w:rsid w:val="564C1D1D"/>
    <w:rsid w:val="565F1E2E"/>
    <w:rsid w:val="56670F45"/>
    <w:rsid w:val="566F1BE2"/>
    <w:rsid w:val="567B004B"/>
    <w:rsid w:val="56825178"/>
    <w:rsid w:val="568F784B"/>
    <w:rsid w:val="569C0124"/>
    <w:rsid w:val="56A17AE8"/>
    <w:rsid w:val="56C9634D"/>
    <w:rsid w:val="56D41BE8"/>
    <w:rsid w:val="56D71B8E"/>
    <w:rsid w:val="56EC7A5D"/>
    <w:rsid w:val="56F4599D"/>
    <w:rsid w:val="570D0322"/>
    <w:rsid w:val="57180ACE"/>
    <w:rsid w:val="571B61B6"/>
    <w:rsid w:val="57213E7D"/>
    <w:rsid w:val="5723561B"/>
    <w:rsid w:val="572362C9"/>
    <w:rsid w:val="572F37C6"/>
    <w:rsid w:val="5736629C"/>
    <w:rsid w:val="57540996"/>
    <w:rsid w:val="57654756"/>
    <w:rsid w:val="57802A35"/>
    <w:rsid w:val="578721F1"/>
    <w:rsid w:val="578C3658"/>
    <w:rsid w:val="57B66918"/>
    <w:rsid w:val="57BD6FCE"/>
    <w:rsid w:val="57D214D2"/>
    <w:rsid w:val="57D93826"/>
    <w:rsid w:val="57DA1A42"/>
    <w:rsid w:val="58002D08"/>
    <w:rsid w:val="58057728"/>
    <w:rsid w:val="581D1F94"/>
    <w:rsid w:val="582872BA"/>
    <w:rsid w:val="5829318A"/>
    <w:rsid w:val="582D7EE9"/>
    <w:rsid w:val="583343BB"/>
    <w:rsid w:val="583439B3"/>
    <w:rsid w:val="583B5787"/>
    <w:rsid w:val="586759C7"/>
    <w:rsid w:val="58C07CA9"/>
    <w:rsid w:val="58CD6275"/>
    <w:rsid w:val="58DE5A38"/>
    <w:rsid w:val="58FA7B16"/>
    <w:rsid w:val="58FB22A6"/>
    <w:rsid w:val="59003437"/>
    <w:rsid w:val="59182EE7"/>
    <w:rsid w:val="5921212C"/>
    <w:rsid w:val="59395687"/>
    <w:rsid w:val="59517781"/>
    <w:rsid w:val="596F472F"/>
    <w:rsid w:val="5974345D"/>
    <w:rsid w:val="597534AA"/>
    <w:rsid w:val="59951C91"/>
    <w:rsid w:val="59982867"/>
    <w:rsid w:val="59A11ED6"/>
    <w:rsid w:val="59AB0DFC"/>
    <w:rsid w:val="59C1557F"/>
    <w:rsid w:val="59C8615E"/>
    <w:rsid w:val="59DD570D"/>
    <w:rsid w:val="59E771C2"/>
    <w:rsid w:val="59E84659"/>
    <w:rsid w:val="59FF2575"/>
    <w:rsid w:val="5A344FB0"/>
    <w:rsid w:val="5A360707"/>
    <w:rsid w:val="5A482568"/>
    <w:rsid w:val="5A5755C9"/>
    <w:rsid w:val="5A5A13C0"/>
    <w:rsid w:val="5A65234E"/>
    <w:rsid w:val="5A772EA3"/>
    <w:rsid w:val="5A7D29E6"/>
    <w:rsid w:val="5A821401"/>
    <w:rsid w:val="5A8A2B4B"/>
    <w:rsid w:val="5A8C2C8F"/>
    <w:rsid w:val="5A8C5ACF"/>
    <w:rsid w:val="5A96158A"/>
    <w:rsid w:val="5A9F5080"/>
    <w:rsid w:val="5AA962B8"/>
    <w:rsid w:val="5AAB6618"/>
    <w:rsid w:val="5AC52E1B"/>
    <w:rsid w:val="5AE91049"/>
    <w:rsid w:val="5AEF582B"/>
    <w:rsid w:val="5AFA38A3"/>
    <w:rsid w:val="5B0B5334"/>
    <w:rsid w:val="5B0E3A7B"/>
    <w:rsid w:val="5B1B7ACD"/>
    <w:rsid w:val="5B247C71"/>
    <w:rsid w:val="5B2A406A"/>
    <w:rsid w:val="5B2B06FA"/>
    <w:rsid w:val="5B392BD6"/>
    <w:rsid w:val="5B561D67"/>
    <w:rsid w:val="5B774FD6"/>
    <w:rsid w:val="5B814790"/>
    <w:rsid w:val="5B82237F"/>
    <w:rsid w:val="5B824855"/>
    <w:rsid w:val="5B856A19"/>
    <w:rsid w:val="5B88245B"/>
    <w:rsid w:val="5B8A0D7A"/>
    <w:rsid w:val="5B8B0F7C"/>
    <w:rsid w:val="5B9E05AD"/>
    <w:rsid w:val="5BBB1AC4"/>
    <w:rsid w:val="5BE0244C"/>
    <w:rsid w:val="5BE11C63"/>
    <w:rsid w:val="5BF24E07"/>
    <w:rsid w:val="5BFB55EA"/>
    <w:rsid w:val="5C15792E"/>
    <w:rsid w:val="5C1A5869"/>
    <w:rsid w:val="5C2404DB"/>
    <w:rsid w:val="5C290BF2"/>
    <w:rsid w:val="5C4E1E1E"/>
    <w:rsid w:val="5C4F343B"/>
    <w:rsid w:val="5C6A79EB"/>
    <w:rsid w:val="5C912690"/>
    <w:rsid w:val="5C970365"/>
    <w:rsid w:val="5C9F632F"/>
    <w:rsid w:val="5CCB04A2"/>
    <w:rsid w:val="5CCD7E04"/>
    <w:rsid w:val="5CD36B26"/>
    <w:rsid w:val="5CD51F6A"/>
    <w:rsid w:val="5CD6026B"/>
    <w:rsid w:val="5CE319F6"/>
    <w:rsid w:val="5CE42846"/>
    <w:rsid w:val="5CE9406B"/>
    <w:rsid w:val="5D0656E1"/>
    <w:rsid w:val="5D566DF5"/>
    <w:rsid w:val="5D5736EC"/>
    <w:rsid w:val="5D592213"/>
    <w:rsid w:val="5D60326E"/>
    <w:rsid w:val="5D7067ED"/>
    <w:rsid w:val="5D7531C5"/>
    <w:rsid w:val="5D77660D"/>
    <w:rsid w:val="5D7A7C97"/>
    <w:rsid w:val="5D8A240A"/>
    <w:rsid w:val="5D8A4019"/>
    <w:rsid w:val="5D9907FA"/>
    <w:rsid w:val="5D9A56C3"/>
    <w:rsid w:val="5DCD4FAD"/>
    <w:rsid w:val="5DD45E20"/>
    <w:rsid w:val="5DD77F01"/>
    <w:rsid w:val="5DF376B4"/>
    <w:rsid w:val="5DF974C4"/>
    <w:rsid w:val="5E150E16"/>
    <w:rsid w:val="5E156702"/>
    <w:rsid w:val="5E171032"/>
    <w:rsid w:val="5E2C3CE8"/>
    <w:rsid w:val="5E3E0745"/>
    <w:rsid w:val="5E480DBB"/>
    <w:rsid w:val="5E532C32"/>
    <w:rsid w:val="5E6B78B9"/>
    <w:rsid w:val="5E72530D"/>
    <w:rsid w:val="5E7B3471"/>
    <w:rsid w:val="5E811840"/>
    <w:rsid w:val="5EAC620C"/>
    <w:rsid w:val="5EB56E43"/>
    <w:rsid w:val="5EBC5530"/>
    <w:rsid w:val="5EDB6E5E"/>
    <w:rsid w:val="5EE64F4B"/>
    <w:rsid w:val="5EEC0A1B"/>
    <w:rsid w:val="5F050603"/>
    <w:rsid w:val="5F0F5BF5"/>
    <w:rsid w:val="5F1070E5"/>
    <w:rsid w:val="5F137093"/>
    <w:rsid w:val="5F4144FC"/>
    <w:rsid w:val="5F475DFB"/>
    <w:rsid w:val="5F4A6912"/>
    <w:rsid w:val="5F517FEB"/>
    <w:rsid w:val="5F897D68"/>
    <w:rsid w:val="5FA342D5"/>
    <w:rsid w:val="5FA40581"/>
    <w:rsid w:val="5FB42B98"/>
    <w:rsid w:val="5FBB4DAC"/>
    <w:rsid w:val="5FBF418B"/>
    <w:rsid w:val="5FC03F1C"/>
    <w:rsid w:val="5FC128D4"/>
    <w:rsid w:val="5FC577B3"/>
    <w:rsid w:val="5FDB0323"/>
    <w:rsid w:val="5FFB751D"/>
    <w:rsid w:val="5FFC1DCE"/>
    <w:rsid w:val="600F0A34"/>
    <w:rsid w:val="602423C7"/>
    <w:rsid w:val="603F2394"/>
    <w:rsid w:val="604407B5"/>
    <w:rsid w:val="60487E62"/>
    <w:rsid w:val="605A5C34"/>
    <w:rsid w:val="60630B92"/>
    <w:rsid w:val="606E4C0D"/>
    <w:rsid w:val="60935B47"/>
    <w:rsid w:val="60C76F62"/>
    <w:rsid w:val="60CE1254"/>
    <w:rsid w:val="60D321CB"/>
    <w:rsid w:val="60D467A9"/>
    <w:rsid w:val="60EA12BA"/>
    <w:rsid w:val="60EB3CE8"/>
    <w:rsid w:val="61034470"/>
    <w:rsid w:val="61041400"/>
    <w:rsid w:val="6108421E"/>
    <w:rsid w:val="610C08D6"/>
    <w:rsid w:val="611504BF"/>
    <w:rsid w:val="61233B56"/>
    <w:rsid w:val="6129287D"/>
    <w:rsid w:val="6132559A"/>
    <w:rsid w:val="61396238"/>
    <w:rsid w:val="61535DEE"/>
    <w:rsid w:val="61606FAA"/>
    <w:rsid w:val="6166167A"/>
    <w:rsid w:val="617020C2"/>
    <w:rsid w:val="61755B39"/>
    <w:rsid w:val="617A0C46"/>
    <w:rsid w:val="618B1EF3"/>
    <w:rsid w:val="618C1600"/>
    <w:rsid w:val="61A33787"/>
    <w:rsid w:val="61A66AB4"/>
    <w:rsid w:val="61BC38FA"/>
    <w:rsid w:val="61BE0E4F"/>
    <w:rsid w:val="61C85E7F"/>
    <w:rsid w:val="61CD78CF"/>
    <w:rsid w:val="61DA14FE"/>
    <w:rsid w:val="61E53D34"/>
    <w:rsid w:val="61E73697"/>
    <w:rsid w:val="61EE3162"/>
    <w:rsid w:val="61F62056"/>
    <w:rsid w:val="61F8337A"/>
    <w:rsid w:val="620208E6"/>
    <w:rsid w:val="620E46C5"/>
    <w:rsid w:val="620F37AC"/>
    <w:rsid w:val="621536B2"/>
    <w:rsid w:val="621C707C"/>
    <w:rsid w:val="621E0130"/>
    <w:rsid w:val="62271A32"/>
    <w:rsid w:val="6245212D"/>
    <w:rsid w:val="624B2E9D"/>
    <w:rsid w:val="62504ABA"/>
    <w:rsid w:val="62510C1A"/>
    <w:rsid w:val="62607DE0"/>
    <w:rsid w:val="62757089"/>
    <w:rsid w:val="62964ADB"/>
    <w:rsid w:val="62AE05DB"/>
    <w:rsid w:val="62B60A29"/>
    <w:rsid w:val="62B75646"/>
    <w:rsid w:val="62BA5EE7"/>
    <w:rsid w:val="62F04E93"/>
    <w:rsid w:val="62F14EED"/>
    <w:rsid w:val="62FF3767"/>
    <w:rsid w:val="63074094"/>
    <w:rsid w:val="63256E52"/>
    <w:rsid w:val="6337684E"/>
    <w:rsid w:val="63403C73"/>
    <w:rsid w:val="6351410B"/>
    <w:rsid w:val="635D4427"/>
    <w:rsid w:val="635F082F"/>
    <w:rsid w:val="63641CE9"/>
    <w:rsid w:val="63710CD7"/>
    <w:rsid w:val="639A0C81"/>
    <w:rsid w:val="63A00543"/>
    <w:rsid w:val="63BE2991"/>
    <w:rsid w:val="63D672A4"/>
    <w:rsid w:val="63E900E8"/>
    <w:rsid w:val="63F105D2"/>
    <w:rsid w:val="64003000"/>
    <w:rsid w:val="64020FD8"/>
    <w:rsid w:val="640B49C1"/>
    <w:rsid w:val="64156CD8"/>
    <w:rsid w:val="6418785F"/>
    <w:rsid w:val="64413D22"/>
    <w:rsid w:val="64470699"/>
    <w:rsid w:val="644B6CD5"/>
    <w:rsid w:val="646253D3"/>
    <w:rsid w:val="64627D01"/>
    <w:rsid w:val="6473435B"/>
    <w:rsid w:val="64864D44"/>
    <w:rsid w:val="64A01013"/>
    <w:rsid w:val="64C76164"/>
    <w:rsid w:val="64D3186F"/>
    <w:rsid w:val="64EF2266"/>
    <w:rsid w:val="64F33559"/>
    <w:rsid w:val="64FD2EEA"/>
    <w:rsid w:val="64FF1ABC"/>
    <w:rsid w:val="650E3520"/>
    <w:rsid w:val="65230BB9"/>
    <w:rsid w:val="653E4CDE"/>
    <w:rsid w:val="654069DE"/>
    <w:rsid w:val="65413B3E"/>
    <w:rsid w:val="654B3E81"/>
    <w:rsid w:val="655555A6"/>
    <w:rsid w:val="655F14F0"/>
    <w:rsid w:val="65660277"/>
    <w:rsid w:val="656E6D13"/>
    <w:rsid w:val="65990AED"/>
    <w:rsid w:val="65A63707"/>
    <w:rsid w:val="65A80F59"/>
    <w:rsid w:val="65AA319F"/>
    <w:rsid w:val="65AC5539"/>
    <w:rsid w:val="65BB595A"/>
    <w:rsid w:val="65E81215"/>
    <w:rsid w:val="65F22562"/>
    <w:rsid w:val="65F65692"/>
    <w:rsid w:val="660C7338"/>
    <w:rsid w:val="663240E4"/>
    <w:rsid w:val="66407FD5"/>
    <w:rsid w:val="665346CA"/>
    <w:rsid w:val="6661498D"/>
    <w:rsid w:val="66636C9C"/>
    <w:rsid w:val="666B3926"/>
    <w:rsid w:val="668C5B9C"/>
    <w:rsid w:val="669265A4"/>
    <w:rsid w:val="66A421AD"/>
    <w:rsid w:val="66A814C4"/>
    <w:rsid w:val="66C77BCC"/>
    <w:rsid w:val="66CF58C8"/>
    <w:rsid w:val="66D00FF0"/>
    <w:rsid w:val="66E50A5C"/>
    <w:rsid w:val="66E5305A"/>
    <w:rsid w:val="66FA0A76"/>
    <w:rsid w:val="670314C2"/>
    <w:rsid w:val="670A28DD"/>
    <w:rsid w:val="671F2137"/>
    <w:rsid w:val="67256725"/>
    <w:rsid w:val="672C3BD3"/>
    <w:rsid w:val="673E6826"/>
    <w:rsid w:val="67441F0C"/>
    <w:rsid w:val="674465E9"/>
    <w:rsid w:val="67517E0F"/>
    <w:rsid w:val="67594618"/>
    <w:rsid w:val="675B3954"/>
    <w:rsid w:val="676B6466"/>
    <w:rsid w:val="676C69DE"/>
    <w:rsid w:val="676D0B82"/>
    <w:rsid w:val="67707325"/>
    <w:rsid w:val="67766A8B"/>
    <w:rsid w:val="67954429"/>
    <w:rsid w:val="67C47F84"/>
    <w:rsid w:val="67D85572"/>
    <w:rsid w:val="67DD10E7"/>
    <w:rsid w:val="67E51A4F"/>
    <w:rsid w:val="67E81C89"/>
    <w:rsid w:val="67F16AAB"/>
    <w:rsid w:val="67FC2A34"/>
    <w:rsid w:val="68022928"/>
    <w:rsid w:val="68163291"/>
    <w:rsid w:val="68244FDF"/>
    <w:rsid w:val="682634A6"/>
    <w:rsid w:val="68335612"/>
    <w:rsid w:val="683D75EE"/>
    <w:rsid w:val="683F6341"/>
    <w:rsid w:val="68413BF7"/>
    <w:rsid w:val="684A3899"/>
    <w:rsid w:val="68516552"/>
    <w:rsid w:val="68553D9E"/>
    <w:rsid w:val="685D249D"/>
    <w:rsid w:val="685E03FF"/>
    <w:rsid w:val="68600066"/>
    <w:rsid w:val="6861776A"/>
    <w:rsid w:val="687222C2"/>
    <w:rsid w:val="6879445C"/>
    <w:rsid w:val="687A5897"/>
    <w:rsid w:val="687D194E"/>
    <w:rsid w:val="68945561"/>
    <w:rsid w:val="689D6C87"/>
    <w:rsid w:val="68A05E34"/>
    <w:rsid w:val="68A4599C"/>
    <w:rsid w:val="68AD0074"/>
    <w:rsid w:val="68D4182F"/>
    <w:rsid w:val="68DA458B"/>
    <w:rsid w:val="68E565D8"/>
    <w:rsid w:val="68ED4DA7"/>
    <w:rsid w:val="68F577B8"/>
    <w:rsid w:val="68FC5EBD"/>
    <w:rsid w:val="69122538"/>
    <w:rsid w:val="69194FE8"/>
    <w:rsid w:val="691F4315"/>
    <w:rsid w:val="69544350"/>
    <w:rsid w:val="695675C2"/>
    <w:rsid w:val="69703FA0"/>
    <w:rsid w:val="69997B9C"/>
    <w:rsid w:val="69A84304"/>
    <w:rsid w:val="69AE05F6"/>
    <w:rsid w:val="69B52A42"/>
    <w:rsid w:val="69B67148"/>
    <w:rsid w:val="69BE4DB3"/>
    <w:rsid w:val="69CF0E91"/>
    <w:rsid w:val="69CF0ED8"/>
    <w:rsid w:val="69D52B56"/>
    <w:rsid w:val="69D54DDD"/>
    <w:rsid w:val="69E028D2"/>
    <w:rsid w:val="69E874BD"/>
    <w:rsid w:val="69F54308"/>
    <w:rsid w:val="69F778AA"/>
    <w:rsid w:val="6A0A7A54"/>
    <w:rsid w:val="6A2622A1"/>
    <w:rsid w:val="6A35577F"/>
    <w:rsid w:val="6A3A22EA"/>
    <w:rsid w:val="6A3F2D1D"/>
    <w:rsid w:val="6A592054"/>
    <w:rsid w:val="6A6C07F5"/>
    <w:rsid w:val="6A777087"/>
    <w:rsid w:val="6A820574"/>
    <w:rsid w:val="6A8A7230"/>
    <w:rsid w:val="6A99048F"/>
    <w:rsid w:val="6AA077DB"/>
    <w:rsid w:val="6AA47C92"/>
    <w:rsid w:val="6AB909BB"/>
    <w:rsid w:val="6ABA0C51"/>
    <w:rsid w:val="6ABD020C"/>
    <w:rsid w:val="6AC575C4"/>
    <w:rsid w:val="6ADD6D64"/>
    <w:rsid w:val="6AEB4794"/>
    <w:rsid w:val="6B0F06C2"/>
    <w:rsid w:val="6B2B6878"/>
    <w:rsid w:val="6B633F4F"/>
    <w:rsid w:val="6B70680D"/>
    <w:rsid w:val="6B816F14"/>
    <w:rsid w:val="6B8A298B"/>
    <w:rsid w:val="6B8A779B"/>
    <w:rsid w:val="6BAD6C20"/>
    <w:rsid w:val="6BB456BB"/>
    <w:rsid w:val="6BB62A44"/>
    <w:rsid w:val="6BD81D0A"/>
    <w:rsid w:val="6BD8236E"/>
    <w:rsid w:val="6BDC1378"/>
    <w:rsid w:val="6BE052CE"/>
    <w:rsid w:val="6BF2467C"/>
    <w:rsid w:val="6BF2692A"/>
    <w:rsid w:val="6BF358A4"/>
    <w:rsid w:val="6C051F4E"/>
    <w:rsid w:val="6C096C12"/>
    <w:rsid w:val="6C1A5960"/>
    <w:rsid w:val="6C417EB8"/>
    <w:rsid w:val="6C541D88"/>
    <w:rsid w:val="6C5B6E74"/>
    <w:rsid w:val="6C613F45"/>
    <w:rsid w:val="6C756221"/>
    <w:rsid w:val="6C7B08BB"/>
    <w:rsid w:val="6C816AF9"/>
    <w:rsid w:val="6C846694"/>
    <w:rsid w:val="6CA841D2"/>
    <w:rsid w:val="6CB10385"/>
    <w:rsid w:val="6CDF0F3A"/>
    <w:rsid w:val="6CE47854"/>
    <w:rsid w:val="6D010747"/>
    <w:rsid w:val="6D0D25B8"/>
    <w:rsid w:val="6D490A6B"/>
    <w:rsid w:val="6D582A6D"/>
    <w:rsid w:val="6D604FD1"/>
    <w:rsid w:val="6D635FBA"/>
    <w:rsid w:val="6D6534EB"/>
    <w:rsid w:val="6D6C0EA8"/>
    <w:rsid w:val="6D732F9C"/>
    <w:rsid w:val="6D9239A2"/>
    <w:rsid w:val="6DB664EE"/>
    <w:rsid w:val="6DBC6250"/>
    <w:rsid w:val="6DC64BAC"/>
    <w:rsid w:val="6DE56F8D"/>
    <w:rsid w:val="6E037AD7"/>
    <w:rsid w:val="6E056523"/>
    <w:rsid w:val="6E074EC9"/>
    <w:rsid w:val="6E160E52"/>
    <w:rsid w:val="6E2E569B"/>
    <w:rsid w:val="6E4064F1"/>
    <w:rsid w:val="6E4E39FC"/>
    <w:rsid w:val="6E5545BD"/>
    <w:rsid w:val="6E5D1964"/>
    <w:rsid w:val="6E614B19"/>
    <w:rsid w:val="6E616F13"/>
    <w:rsid w:val="6E7369B5"/>
    <w:rsid w:val="6E7B5CAB"/>
    <w:rsid w:val="6EAA56FE"/>
    <w:rsid w:val="6EB37B5B"/>
    <w:rsid w:val="6EBE6FBB"/>
    <w:rsid w:val="6ED26D8F"/>
    <w:rsid w:val="6ED70BA2"/>
    <w:rsid w:val="6EDB7671"/>
    <w:rsid w:val="6EF76336"/>
    <w:rsid w:val="6EF77260"/>
    <w:rsid w:val="6F2302E3"/>
    <w:rsid w:val="6F314C13"/>
    <w:rsid w:val="6F382FA6"/>
    <w:rsid w:val="6F391F60"/>
    <w:rsid w:val="6F694006"/>
    <w:rsid w:val="6F6C5490"/>
    <w:rsid w:val="6F761900"/>
    <w:rsid w:val="6FA71AD5"/>
    <w:rsid w:val="6FAF2607"/>
    <w:rsid w:val="6FD47D24"/>
    <w:rsid w:val="6FE17D06"/>
    <w:rsid w:val="6FF536DD"/>
    <w:rsid w:val="6FFD71B3"/>
    <w:rsid w:val="700A492A"/>
    <w:rsid w:val="700D2412"/>
    <w:rsid w:val="70112883"/>
    <w:rsid w:val="70243856"/>
    <w:rsid w:val="703F2471"/>
    <w:rsid w:val="704306BE"/>
    <w:rsid w:val="704B4131"/>
    <w:rsid w:val="70531ED5"/>
    <w:rsid w:val="705A528C"/>
    <w:rsid w:val="7068062C"/>
    <w:rsid w:val="707F47B3"/>
    <w:rsid w:val="70954F53"/>
    <w:rsid w:val="70A94A40"/>
    <w:rsid w:val="70D80F32"/>
    <w:rsid w:val="70D97C76"/>
    <w:rsid w:val="70EF6CF2"/>
    <w:rsid w:val="70F76E40"/>
    <w:rsid w:val="711337D0"/>
    <w:rsid w:val="71134913"/>
    <w:rsid w:val="713173E8"/>
    <w:rsid w:val="71420658"/>
    <w:rsid w:val="7143472C"/>
    <w:rsid w:val="71440341"/>
    <w:rsid w:val="714541A9"/>
    <w:rsid w:val="71531561"/>
    <w:rsid w:val="71597148"/>
    <w:rsid w:val="716D089C"/>
    <w:rsid w:val="71715206"/>
    <w:rsid w:val="71743A1D"/>
    <w:rsid w:val="71774D56"/>
    <w:rsid w:val="71901CEF"/>
    <w:rsid w:val="71924BD7"/>
    <w:rsid w:val="719438F4"/>
    <w:rsid w:val="719D7F3F"/>
    <w:rsid w:val="71B55DFD"/>
    <w:rsid w:val="71B834E8"/>
    <w:rsid w:val="71D0750E"/>
    <w:rsid w:val="71D803D1"/>
    <w:rsid w:val="71E501C6"/>
    <w:rsid w:val="71F40A44"/>
    <w:rsid w:val="71FD671C"/>
    <w:rsid w:val="7202163F"/>
    <w:rsid w:val="7215158A"/>
    <w:rsid w:val="721D759B"/>
    <w:rsid w:val="723B04C8"/>
    <w:rsid w:val="724E6817"/>
    <w:rsid w:val="72600D68"/>
    <w:rsid w:val="72604620"/>
    <w:rsid w:val="726B02C1"/>
    <w:rsid w:val="726D2C67"/>
    <w:rsid w:val="7289227E"/>
    <w:rsid w:val="729A0F74"/>
    <w:rsid w:val="72BC1E8C"/>
    <w:rsid w:val="72F03574"/>
    <w:rsid w:val="72F77CB6"/>
    <w:rsid w:val="730B1A61"/>
    <w:rsid w:val="731438BD"/>
    <w:rsid w:val="733155C8"/>
    <w:rsid w:val="73422D3C"/>
    <w:rsid w:val="73625723"/>
    <w:rsid w:val="737007D9"/>
    <w:rsid w:val="738B5B50"/>
    <w:rsid w:val="73AA53A0"/>
    <w:rsid w:val="73B04F6B"/>
    <w:rsid w:val="73D20D1A"/>
    <w:rsid w:val="73D378C0"/>
    <w:rsid w:val="73E168D2"/>
    <w:rsid w:val="73E873C4"/>
    <w:rsid w:val="73F07AA4"/>
    <w:rsid w:val="74010DBC"/>
    <w:rsid w:val="74054701"/>
    <w:rsid w:val="740D2C3F"/>
    <w:rsid w:val="74135925"/>
    <w:rsid w:val="74163E96"/>
    <w:rsid w:val="7420296E"/>
    <w:rsid w:val="742827DB"/>
    <w:rsid w:val="742D6CA9"/>
    <w:rsid w:val="742E58A2"/>
    <w:rsid w:val="74525628"/>
    <w:rsid w:val="745A3D0B"/>
    <w:rsid w:val="745F06BF"/>
    <w:rsid w:val="746C713B"/>
    <w:rsid w:val="748D2368"/>
    <w:rsid w:val="749217E0"/>
    <w:rsid w:val="74B22D8C"/>
    <w:rsid w:val="74B706C6"/>
    <w:rsid w:val="74C26B38"/>
    <w:rsid w:val="74C55FC1"/>
    <w:rsid w:val="74CC7EC1"/>
    <w:rsid w:val="74DA7552"/>
    <w:rsid w:val="74E41FDD"/>
    <w:rsid w:val="74EF6361"/>
    <w:rsid w:val="74F347DF"/>
    <w:rsid w:val="74FA7FE6"/>
    <w:rsid w:val="74FD4A9B"/>
    <w:rsid w:val="751D43A6"/>
    <w:rsid w:val="75453AE1"/>
    <w:rsid w:val="75573AC9"/>
    <w:rsid w:val="75595449"/>
    <w:rsid w:val="758B283A"/>
    <w:rsid w:val="75BD313A"/>
    <w:rsid w:val="75BF6D3D"/>
    <w:rsid w:val="75C441E5"/>
    <w:rsid w:val="75D065B6"/>
    <w:rsid w:val="75D354BE"/>
    <w:rsid w:val="75DC1EF4"/>
    <w:rsid w:val="75E50837"/>
    <w:rsid w:val="75EF5520"/>
    <w:rsid w:val="75F63713"/>
    <w:rsid w:val="76143A54"/>
    <w:rsid w:val="76310DA3"/>
    <w:rsid w:val="7637074A"/>
    <w:rsid w:val="763B63B0"/>
    <w:rsid w:val="764772A3"/>
    <w:rsid w:val="767B7960"/>
    <w:rsid w:val="769A6195"/>
    <w:rsid w:val="769C3D1A"/>
    <w:rsid w:val="76A44430"/>
    <w:rsid w:val="76A71FBB"/>
    <w:rsid w:val="76AA5D81"/>
    <w:rsid w:val="76AB50DC"/>
    <w:rsid w:val="76B52AFE"/>
    <w:rsid w:val="76BB3C83"/>
    <w:rsid w:val="76C80EC7"/>
    <w:rsid w:val="76CF09B6"/>
    <w:rsid w:val="76D016A8"/>
    <w:rsid w:val="76F73D47"/>
    <w:rsid w:val="77006E1F"/>
    <w:rsid w:val="77032A24"/>
    <w:rsid w:val="771670C1"/>
    <w:rsid w:val="772C16E9"/>
    <w:rsid w:val="77683E14"/>
    <w:rsid w:val="77734EA5"/>
    <w:rsid w:val="77A06542"/>
    <w:rsid w:val="77A922C9"/>
    <w:rsid w:val="77AC049C"/>
    <w:rsid w:val="77B23714"/>
    <w:rsid w:val="77B55363"/>
    <w:rsid w:val="77BB772D"/>
    <w:rsid w:val="77D43FD2"/>
    <w:rsid w:val="77FA155A"/>
    <w:rsid w:val="781137AD"/>
    <w:rsid w:val="781D13FA"/>
    <w:rsid w:val="782817E9"/>
    <w:rsid w:val="78555C26"/>
    <w:rsid w:val="78640057"/>
    <w:rsid w:val="78810787"/>
    <w:rsid w:val="78826969"/>
    <w:rsid w:val="7886117B"/>
    <w:rsid w:val="78864D0C"/>
    <w:rsid w:val="788E3AAC"/>
    <w:rsid w:val="7890703F"/>
    <w:rsid w:val="789B3777"/>
    <w:rsid w:val="78A55DFF"/>
    <w:rsid w:val="78B515B5"/>
    <w:rsid w:val="78C21620"/>
    <w:rsid w:val="78CE2D76"/>
    <w:rsid w:val="78EE2375"/>
    <w:rsid w:val="78FA244C"/>
    <w:rsid w:val="78FE1B78"/>
    <w:rsid w:val="79024116"/>
    <w:rsid w:val="790B5E4F"/>
    <w:rsid w:val="790D572F"/>
    <w:rsid w:val="79233654"/>
    <w:rsid w:val="79455569"/>
    <w:rsid w:val="79470AE2"/>
    <w:rsid w:val="795123A8"/>
    <w:rsid w:val="79535AC3"/>
    <w:rsid w:val="79620961"/>
    <w:rsid w:val="798A04DB"/>
    <w:rsid w:val="798B088A"/>
    <w:rsid w:val="79987ED2"/>
    <w:rsid w:val="79AE1AE3"/>
    <w:rsid w:val="79AE77FB"/>
    <w:rsid w:val="79B85AA8"/>
    <w:rsid w:val="79C342A8"/>
    <w:rsid w:val="79C34F9F"/>
    <w:rsid w:val="79C81B6A"/>
    <w:rsid w:val="79E83652"/>
    <w:rsid w:val="79EF6059"/>
    <w:rsid w:val="79FD0A32"/>
    <w:rsid w:val="7A074D7D"/>
    <w:rsid w:val="7A1053E1"/>
    <w:rsid w:val="7A17618B"/>
    <w:rsid w:val="7A1E05C7"/>
    <w:rsid w:val="7A3F1ABF"/>
    <w:rsid w:val="7A413A99"/>
    <w:rsid w:val="7A4642A9"/>
    <w:rsid w:val="7A4B6B30"/>
    <w:rsid w:val="7A4E6121"/>
    <w:rsid w:val="7A5D3D51"/>
    <w:rsid w:val="7A5F0CF7"/>
    <w:rsid w:val="7A675EA5"/>
    <w:rsid w:val="7A6B3865"/>
    <w:rsid w:val="7A7041ED"/>
    <w:rsid w:val="7A832390"/>
    <w:rsid w:val="7A922E92"/>
    <w:rsid w:val="7A92679C"/>
    <w:rsid w:val="7A955810"/>
    <w:rsid w:val="7A985E92"/>
    <w:rsid w:val="7A9C2E47"/>
    <w:rsid w:val="7A9E009C"/>
    <w:rsid w:val="7AB55D4B"/>
    <w:rsid w:val="7AC019FF"/>
    <w:rsid w:val="7ACA6FB9"/>
    <w:rsid w:val="7AF46C5F"/>
    <w:rsid w:val="7AF91BCC"/>
    <w:rsid w:val="7B0C5BAE"/>
    <w:rsid w:val="7B2374FE"/>
    <w:rsid w:val="7B34342A"/>
    <w:rsid w:val="7B3873CB"/>
    <w:rsid w:val="7B496993"/>
    <w:rsid w:val="7B783675"/>
    <w:rsid w:val="7B796807"/>
    <w:rsid w:val="7BAC2D3A"/>
    <w:rsid w:val="7BAE3C97"/>
    <w:rsid w:val="7BB16076"/>
    <w:rsid w:val="7BB46DB9"/>
    <w:rsid w:val="7BC02341"/>
    <w:rsid w:val="7BD74454"/>
    <w:rsid w:val="7BE96DEC"/>
    <w:rsid w:val="7C021A51"/>
    <w:rsid w:val="7C033C13"/>
    <w:rsid w:val="7C041A0F"/>
    <w:rsid w:val="7C110306"/>
    <w:rsid w:val="7C212B8A"/>
    <w:rsid w:val="7C8464A1"/>
    <w:rsid w:val="7C9D2D7B"/>
    <w:rsid w:val="7CA26867"/>
    <w:rsid w:val="7CB43A8E"/>
    <w:rsid w:val="7CC106AB"/>
    <w:rsid w:val="7CD632E6"/>
    <w:rsid w:val="7CDF4250"/>
    <w:rsid w:val="7D09113D"/>
    <w:rsid w:val="7D157A0E"/>
    <w:rsid w:val="7D1658AD"/>
    <w:rsid w:val="7D1D4159"/>
    <w:rsid w:val="7D243099"/>
    <w:rsid w:val="7D4B3993"/>
    <w:rsid w:val="7D5F5E30"/>
    <w:rsid w:val="7D6C208F"/>
    <w:rsid w:val="7D897D56"/>
    <w:rsid w:val="7D9B14E5"/>
    <w:rsid w:val="7DAA42B2"/>
    <w:rsid w:val="7DAA569A"/>
    <w:rsid w:val="7DB1501E"/>
    <w:rsid w:val="7DB676D9"/>
    <w:rsid w:val="7DBE16CF"/>
    <w:rsid w:val="7DC37DE3"/>
    <w:rsid w:val="7DC97BD3"/>
    <w:rsid w:val="7DD45912"/>
    <w:rsid w:val="7E0D4E8F"/>
    <w:rsid w:val="7E107D04"/>
    <w:rsid w:val="7E202441"/>
    <w:rsid w:val="7E3D0FC8"/>
    <w:rsid w:val="7E455935"/>
    <w:rsid w:val="7E4B691E"/>
    <w:rsid w:val="7E616C7B"/>
    <w:rsid w:val="7E710D86"/>
    <w:rsid w:val="7E733A70"/>
    <w:rsid w:val="7E8A0780"/>
    <w:rsid w:val="7EA574A2"/>
    <w:rsid w:val="7EAC5434"/>
    <w:rsid w:val="7EBB0DC0"/>
    <w:rsid w:val="7EC42E15"/>
    <w:rsid w:val="7EC50C54"/>
    <w:rsid w:val="7ED11A3C"/>
    <w:rsid w:val="7ED91C72"/>
    <w:rsid w:val="7EEB5BB3"/>
    <w:rsid w:val="7F1568D7"/>
    <w:rsid w:val="7F2E0D24"/>
    <w:rsid w:val="7F312E91"/>
    <w:rsid w:val="7F33645C"/>
    <w:rsid w:val="7F4E4DC2"/>
    <w:rsid w:val="7F66205C"/>
    <w:rsid w:val="7FA8327A"/>
    <w:rsid w:val="7FB32EED"/>
    <w:rsid w:val="7FB34208"/>
    <w:rsid w:val="7FB6358D"/>
    <w:rsid w:val="7FE076F1"/>
    <w:rsid w:val="7FEE6E3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qFormat="1" w:unhideWhenUsed="0" w:uiPriority="99"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iPriority="99" w:semiHidden="0" w:name="Body Text"/>
    <w:lsdException w:qFormat="1" w:unhideWhenUsed="0" w:uiPriority="99"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iPriority="99"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22"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13">
    <w:name w:val="Default Paragraph Font"/>
    <w:semiHidden/>
    <w:qFormat/>
    <w:uiPriority w:val="0"/>
  </w:style>
  <w:style w:type="table" w:default="1" w:styleId="11">
    <w:name w:val="Normal Table"/>
    <w:semiHidden/>
    <w:qFormat/>
    <w:uiPriority w:val="0"/>
    <w:tblPr>
      <w:tblCellMar>
        <w:top w:w="0" w:type="dxa"/>
        <w:left w:w="108" w:type="dxa"/>
        <w:bottom w:w="0" w:type="dxa"/>
        <w:right w:w="108" w:type="dxa"/>
      </w:tblCellMar>
    </w:tblPr>
  </w:style>
  <w:style w:type="paragraph" w:styleId="2">
    <w:name w:val="toa heading"/>
    <w:next w:val="1"/>
    <w:qFormat/>
    <w:uiPriority w:val="99"/>
    <w:pPr>
      <w:widowControl w:val="0"/>
      <w:spacing w:before="120" w:after="200" w:line="276" w:lineRule="auto"/>
      <w:jc w:val="both"/>
    </w:pPr>
    <w:rPr>
      <w:rFonts w:ascii="Arial" w:hAnsi="Arial" w:eastAsia="宋体" w:cs="Times New Roman"/>
      <w:kern w:val="2"/>
      <w:sz w:val="24"/>
      <w:szCs w:val="21"/>
      <w:lang w:val="en-US" w:eastAsia="zh-CN" w:bidi="ar-SA"/>
    </w:rPr>
  </w:style>
  <w:style w:type="paragraph" w:styleId="3">
    <w:name w:val="index 5"/>
    <w:next w:val="1"/>
    <w:qFormat/>
    <w:uiPriority w:val="0"/>
    <w:pPr>
      <w:widowControl w:val="0"/>
      <w:ind w:left="1680"/>
      <w:jc w:val="both"/>
    </w:pPr>
    <w:rPr>
      <w:rFonts w:asciiTheme="minorHAnsi" w:hAnsiTheme="minorHAnsi" w:eastAsiaTheme="minorEastAsia" w:cstheme="minorBidi"/>
      <w:kern w:val="2"/>
      <w:sz w:val="21"/>
      <w:szCs w:val="24"/>
      <w:lang w:val="en-US" w:eastAsia="zh-CN" w:bidi="ar-SA"/>
    </w:rPr>
  </w:style>
  <w:style w:type="paragraph" w:styleId="4">
    <w:name w:val="Body Text"/>
    <w:unhideWhenUsed/>
    <w:qFormat/>
    <w:uiPriority w:val="99"/>
    <w:pPr>
      <w:widowControl w:val="0"/>
      <w:spacing w:after="120"/>
      <w:jc w:val="both"/>
    </w:pPr>
    <w:rPr>
      <w:rFonts w:asciiTheme="minorHAnsi" w:hAnsiTheme="minorHAnsi" w:eastAsiaTheme="minorEastAsia" w:cstheme="minorBidi"/>
      <w:kern w:val="2"/>
      <w:sz w:val="21"/>
      <w:szCs w:val="24"/>
      <w:lang w:val="en-US" w:eastAsia="zh-CN" w:bidi="ar-SA"/>
    </w:rPr>
  </w:style>
  <w:style w:type="paragraph" w:styleId="5">
    <w:name w:val="Body Text Indent"/>
    <w:next w:val="1"/>
    <w:qFormat/>
    <w:uiPriority w:val="99"/>
    <w:pPr>
      <w:widowControl w:val="0"/>
      <w:spacing w:after="120"/>
      <w:ind w:left="420" w:leftChars="200"/>
      <w:jc w:val="both"/>
    </w:pPr>
    <w:rPr>
      <w:rFonts w:asciiTheme="minorHAnsi" w:hAnsiTheme="minorHAnsi" w:eastAsiaTheme="minorEastAsia" w:cstheme="minorBidi"/>
      <w:kern w:val="2"/>
      <w:sz w:val="21"/>
      <w:szCs w:val="24"/>
      <w:lang w:val="en-US" w:eastAsia="zh-CN" w:bidi="ar-SA"/>
    </w:rPr>
  </w:style>
  <w:style w:type="paragraph" w:styleId="6">
    <w:name w:val="Body Text Indent 2"/>
    <w:unhideWhenUsed/>
    <w:qFormat/>
    <w:uiPriority w:val="99"/>
    <w:pPr>
      <w:widowControl w:val="0"/>
      <w:spacing w:line="480" w:lineRule="auto"/>
      <w:ind w:left="420" w:leftChars="200"/>
      <w:jc w:val="both"/>
    </w:pPr>
    <w:rPr>
      <w:rFonts w:asciiTheme="minorHAnsi" w:hAnsiTheme="minorHAnsi" w:eastAsiaTheme="minorEastAsia" w:cstheme="minorBidi"/>
      <w:kern w:val="2"/>
      <w:sz w:val="21"/>
      <w:szCs w:val="24"/>
      <w:lang w:val="en-US" w:eastAsia="zh-CN" w:bidi="ar-SA"/>
    </w:rPr>
  </w:style>
  <w:style w:type="paragraph" w:styleId="7">
    <w:name w:val="footer"/>
    <w:basedOn w:val="1"/>
    <w:next w:val="3"/>
    <w:qFormat/>
    <w:uiPriority w:val="0"/>
    <w:pPr>
      <w:tabs>
        <w:tab w:val="center" w:pos="4153"/>
        <w:tab w:val="right" w:pos="8306"/>
      </w:tabs>
      <w:snapToGrid w:val="0"/>
      <w:jc w:val="left"/>
    </w:pPr>
    <w:rPr>
      <w:sz w:val="18"/>
    </w:rPr>
  </w:style>
  <w:style w:type="paragraph" w:styleId="8">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9">
    <w:name w:val="Normal (Web)"/>
    <w:qFormat/>
    <w:uiPriority w:val="0"/>
    <w:pPr>
      <w:widowControl w:val="0"/>
      <w:spacing w:before="0" w:beforeAutospacing="1" w:after="0" w:afterAutospacing="1"/>
      <w:ind w:left="0" w:right="0"/>
      <w:jc w:val="left"/>
    </w:pPr>
    <w:rPr>
      <w:rFonts w:asciiTheme="minorHAnsi" w:hAnsiTheme="minorHAnsi" w:eastAsiaTheme="minorEastAsia" w:cstheme="minorBidi"/>
      <w:kern w:val="0"/>
      <w:sz w:val="24"/>
      <w:szCs w:val="24"/>
      <w:lang w:val="en-US" w:eastAsia="zh-CN" w:bidi="ar"/>
    </w:rPr>
  </w:style>
  <w:style w:type="paragraph" w:styleId="10">
    <w:name w:val="Body Text First Indent 2"/>
    <w:qFormat/>
    <w:uiPriority w:val="0"/>
    <w:pPr>
      <w:widowControl w:val="0"/>
      <w:spacing w:after="0"/>
      <w:ind w:left="420" w:leftChars="200"/>
      <w:jc w:val="both"/>
    </w:pPr>
    <w:rPr>
      <w:rFonts w:asciiTheme="minorHAnsi" w:hAnsiTheme="minorHAnsi" w:eastAsiaTheme="minorEastAsia" w:cstheme="minorBidi"/>
      <w:kern w:val="2"/>
      <w:sz w:val="21"/>
      <w:szCs w:val="24"/>
      <w:lang w:val="en-US" w:eastAsia="zh-CN" w:bidi="ar-SA"/>
    </w:rPr>
  </w:style>
  <w:style w:type="table" w:styleId="12">
    <w:name w:val="Table Grid"/>
    <w:basedOn w:val="11"/>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4">
    <w:name w:val="Strong"/>
    <w:qFormat/>
    <w:uiPriority w:val="22"/>
    <w:rPr>
      <w:b/>
      <w:bCs/>
    </w:rPr>
  </w:style>
  <w:style w:type="table" w:customStyle="1" w:styleId="15">
    <w:name w:val="Table Normal"/>
    <w:unhideWhenUsed/>
    <w:qFormat/>
    <w:uiPriority w:val="0"/>
    <w:tblPr>
      <w:tblCellMar>
        <w:top w:w="0" w:type="dxa"/>
        <w:left w:w="0" w:type="dxa"/>
        <w:bottom w:w="0" w:type="dxa"/>
        <w:right w:w="0" w:type="dxa"/>
      </w:tblCellMar>
    </w:tblPr>
  </w:style>
  <w:style w:type="paragraph" w:customStyle="1" w:styleId="16">
    <w:name w:val="181"/>
    <w:qFormat/>
    <w:uiPriority w:val="0"/>
    <w:pPr>
      <w:keepNext w:val="0"/>
      <w:keepLines w:val="0"/>
      <w:widowControl w:val="0"/>
      <w:suppressLineNumbers w:val="0"/>
      <w:spacing w:before="0" w:beforeAutospacing="0" w:after="0" w:afterAutospacing="0"/>
      <w:ind w:left="0" w:right="0"/>
      <w:jc w:val="both"/>
    </w:pPr>
    <w:rPr>
      <w:rFonts w:hint="eastAsia" w:ascii="等线" w:hAnsi="等线" w:eastAsia="等线" w:cs="Times New Roman"/>
      <w:kern w:val="2"/>
      <w:sz w:val="21"/>
      <w:szCs w:val="21"/>
      <w:lang w:val="en-US" w:eastAsia="zh-CN" w:bidi="ar"/>
    </w:rPr>
  </w:style>
  <w:style w:type="paragraph" w:customStyle="1" w:styleId="17">
    <w:name w:val="18"/>
    <w:qFormat/>
    <w:uiPriority w:val="0"/>
    <w:pPr>
      <w:keepNext w:val="0"/>
      <w:keepLines w:val="0"/>
      <w:widowControl w:val="0"/>
      <w:suppressLineNumbers w:val="0"/>
      <w:spacing w:before="0" w:beforeAutospacing="0" w:after="0" w:afterAutospacing="0"/>
      <w:ind w:left="0" w:right="0"/>
      <w:jc w:val="both"/>
    </w:pPr>
    <w:rPr>
      <w:rFonts w:hint="eastAsia" w:ascii="等线" w:hAnsi="等线" w:eastAsia="等线" w:cs="Times New Roman"/>
      <w:kern w:val="2"/>
      <w:sz w:val="21"/>
      <w:szCs w:val="22"/>
      <w:lang w:val="en-US" w:eastAsia="zh-CN" w:bidi="ar"/>
    </w:rPr>
  </w:style>
  <w:style w:type="character" w:customStyle="1" w:styleId="18">
    <w:name w:val="NormalCharacter"/>
    <w:semiHidden/>
    <w:qFormat/>
    <w:uiPriority w:val="0"/>
    <w:rPr>
      <w:rFonts w:ascii="Times New Roman" w:hAnsi="Times New Roman" w:eastAsia="宋体" w:cs="Times New Roman"/>
      <w:kern w:val="2"/>
      <w:sz w:val="21"/>
      <w:szCs w:val="24"/>
      <w:lang w:val="en-US" w:eastAsia="zh-CN" w:bidi="ar-SA"/>
    </w:rPr>
  </w:style>
  <w:style w:type="paragraph" w:styleId="19">
    <w:name w:val="List Paragraph"/>
    <w:unhideWhenUsed/>
    <w:qFormat/>
    <w:uiPriority w:val="99"/>
    <w:pPr>
      <w:widowControl w:val="0"/>
      <w:ind w:firstLine="420" w:firstLineChars="200"/>
      <w:jc w:val="both"/>
    </w:pPr>
    <w:rPr>
      <w:rFonts w:asciiTheme="minorHAnsi" w:hAnsiTheme="minorHAnsi" w:eastAsiaTheme="minorEastAsia" w:cstheme="minorBidi"/>
      <w:kern w:val="2"/>
      <w:sz w:val="21"/>
      <w:szCs w:val="24"/>
      <w:lang w:val="en-US" w:eastAsia="zh-CN" w:bidi="ar-SA"/>
    </w:rPr>
  </w:style>
  <w:style w:type="paragraph" w:customStyle="1" w:styleId="20">
    <w:name w:val="Heading2"/>
    <w:next w:val="1"/>
    <w:qFormat/>
    <w:uiPriority w:val="0"/>
    <w:pPr>
      <w:widowControl w:val="0"/>
      <w:spacing w:before="100" w:beforeAutospacing="1" w:after="100" w:afterAutospacing="1"/>
      <w:jc w:val="left"/>
      <w:textAlignment w:val="baseline"/>
    </w:pPr>
    <w:rPr>
      <w:rFonts w:ascii="宋体" w:hAnsi="宋体" w:eastAsia="宋体" w:cstheme="minorBidi"/>
      <w:b/>
      <w:kern w:val="0"/>
      <w:sz w:val="36"/>
      <w:szCs w:val="36"/>
      <w:lang w:val="en-US" w:eastAsia="zh-CN" w:bidi="ar-SA"/>
    </w:rPr>
  </w:style>
  <w:style w:type="character" w:customStyle="1" w:styleId="21">
    <w:name w:val="font01"/>
    <w:basedOn w:val="13"/>
    <w:qFormat/>
    <w:uiPriority w:val="0"/>
    <w:rPr>
      <w:rFonts w:hint="eastAsia" w:ascii="宋体" w:hAnsi="宋体" w:eastAsia="宋体" w:cs="宋体"/>
      <w:color w:val="000000"/>
      <w:sz w:val="18"/>
      <w:szCs w:val="18"/>
      <w:u w:val="none"/>
    </w:rPr>
  </w:style>
  <w:style w:type="character" w:customStyle="1" w:styleId="22">
    <w:name w:val="font21"/>
    <w:basedOn w:val="13"/>
    <w:qFormat/>
    <w:uiPriority w:val="0"/>
    <w:rPr>
      <w:rFonts w:hint="default" w:ascii="Arial" w:hAnsi="Arial" w:cs="Arial"/>
      <w:color w:val="000000"/>
      <w:sz w:val="18"/>
      <w:szCs w:val="18"/>
      <w:u w:val="none"/>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image" Target="media/image1.png"/><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16</Pages>
  <Words>7602</Words>
  <Characters>8359</Characters>
  <Lines>0</Lines>
  <Paragraphs>0</Paragraphs>
  <TotalTime>0</TotalTime>
  <ScaleCrop>false</ScaleCrop>
  <LinksUpToDate>false</LinksUpToDate>
  <CharactersWithSpaces>8491</CharactersWithSpaces>
  <Application>WPS Office_12.1.0.16929_F1E327BC-269C-435d-A152-05C5408002CA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2023-04-23T08:56:00Z</dcterms:created>
  <dc:creator>新一天</dc:creator>
  <cp:lastModifiedBy>王小纯</cp:lastModifiedBy>
  <cp:lastPrinted>2023-05-26T08:11:00Z</cp:lastPrinted>
  <dcterms:modified xsi:type="dcterms:W3CDTF">2024-06-18T01:37:24Z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2052-12.1.0.16929</vt:lpwstr>
  </property>
  <property fmtid="{D5CDD505-2E9C-101B-9397-08002B2CF9AE}" pid="3" name="ICV">
    <vt:lpwstr>50306CC149C84F98BF850919EA3E5AFB_13</vt:lpwstr>
  </property>
</Properties>
</file>