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2022年度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pPr>
        <w:spacing w:line="115" w:lineRule="exact"/>
        <w:rPr>
          <w:color w:val="000000" w:themeColor="text1"/>
          <w14:textFill>
            <w14:solidFill>
              <w14:schemeClr w14:val="tx1"/>
            </w14:solidFill>
          </w14:textFill>
        </w:rPr>
      </w:pPr>
    </w:p>
    <w:tbl>
      <w:tblPr>
        <w:tblStyle w:val="16"/>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pPr>
              <w:spacing w:before="103" w:line="219" w:lineRule="auto"/>
              <w:ind w:left="708"/>
              <w:rPr>
                <w:rFonts w:hint="eastAsia" w:asciiTheme="majorEastAsia" w:hAnsiTheme="majorEastAsia" w:eastAsiaTheme="majorEastAsia" w:cstheme="majorEastAsia"/>
                <w:color w:val="000000" w:themeColor="text1"/>
                <w:spacing w:val="-2"/>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2"/>
                <w:sz w:val="20"/>
                <w:szCs w:val="20"/>
                <w14:textFill>
                  <w14:solidFill>
                    <w14:schemeClr w14:val="tx1"/>
                  </w14:solidFill>
                </w14:textFill>
              </w:rPr>
              <w:t>岳阳市岳阳楼区三眼桥街道社区卫生服务中心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2022年实际在职人数</w:t>
            </w:r>
          </w:p>
        </w:tc>
        <w:tc>
          <w:tcPr>
            <w:tcW w:w="1679" w:type="dxa"/>
            <w:gridSpan w:val="2"/>
            <w:noWrap w:val="0"/>
            <w:vAlign w:val="top"/>
          </w:tcPr>
          <w:p>
            <w:pPr>
              <w:spacing w:before="103" w:line="219" w:lineRule="auto"/>
              <w:ind w:left="708"/>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40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21</w:t>
            </w:r>
          </w:p>
        </w:tc>
        <w:tc>
          <w:tcPr>
            <w:tcW w:w="1679" w:type="dxa"/>
            <w:gridSpan w:val="2"/>
            <w:noWrap w:val="0"/>
            <w:vAlign w:val="top"/>
          </w:tcPr>
          <w:p>
            <w:pP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52.50%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2021年决算数</w:t>
            </w:r>
          </w:p>
        </w:tc>
        <w:tc>
          <w:tcPr>
            <w:tcW w:w="2325" w:type="dxa"/>
            <w:gridSpan w:val="2"/>
            <w:noWrap w:val="0"/>
            <w:vAlign w:val="top"/>
          </w:tcPr>
          <w:p>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2022年预算数</w:t>
            </w:r>
          </w:p>
        </w:tc>
        <w:tc>
          <w:tcPr>
            <w:tcW w:w="1679" w:type="dxa"/>
            <w:gridSpan w:val="2"/>
            <w:noWrap w:val="0"/>
            <w:vAlign w:val="top"/>
          </w:tcPr>
          <w:p>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2022年决算数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top"/>
          </w:tcPr>
          <w:p>
            <w:pP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pP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1679" w:type="dxa"/>
            <w:gridSpan w:val="2"/>
            <w:noWrap w:val="0"/>
            <w:vAlign w:val="top"/>
          </w:tcPr>
          <w:p>
            <w:pP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143" w:line="200" w:lineRule="auto"/>
              <w:ind w:left="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14:textFill>
                  <w14:solidFill>
                    <w14:schemeClr w14:val="tx1"/>
                  </w14:solidFill>
                </w14:textFill>
              </w:rPr>
              <w:t>项目支出：</w:t>
            </w:r>
          </w:p>
        </w:tc>
        <w:tc>
          <w:tcPr>
            <w:tcW w:w="181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pPr>
              <w:spacing w:before="133" w:line="20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1、</w:t>
            </w:r>
            <w:r>
              <w:rPr>
                <w:rFonts w:hint="eastAsia" w:asciiTheme="majorEastAsia" w:hAnsiTheme="majorEastAsia" w:eastAsiaTheme="majorEastAsia" w:cstheme="majorEastAsia"/>
                <w:color w:val="000000" w:themeColor="text1"/>
                <w:spacing w:val="1"/>
                <w:sz w:val="24"/>
                <w:szCs w:val="24"/>
                <w:lang w:val="en-US" w:eastAsia="zh-CN"/>
                <w14:textFill>
                  <w14:solidFill>
                    <w14:schemeClr w14:val="tx1"/>
                  </w14:solidFill>
                </w14:textFill>
              </w:rPr>
              <w:t>运行维护</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经费</w:t>
            </w:r>
          </w:p>
        </w:tc>
        <w:tc>
          <w:tcPr>
            <w:tcW w:w="181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pPr>
              <w:spacing w:before="85" w:line="220" w:lineRule="auto"/>
              <w:ind w:left="94"/>
              <w:jc w:val="left"/>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公用经费</w:t>
            </w:r>
          </w:p>
        </w:tc>
        <w:tc>
          <w:tcPr>
            <w:tcW w:w="181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36.00</w:t>
            </w:r>
          </w:p>
        </w:tc>
        <w:tc>
          <w:tcPr>
            <w:tcW w:w="1679"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448.41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pPr>
              <w:spacing w:before="85"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其中：办公经费</w:t>
            </w:r>
          </w:p>
        </w:tc>
        <w:tc>
          <w:tcPr>
            <w:tcW w:w="181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3.00</w:t>
            </w:r>
          </w:p>
        </w:tc>
        <w:tc>
          <w:tcPr>
            <w:tcW w:w="1679"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1.97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135" w:line="198" w:lineRule="auto"/>
              <w:ind w:left="1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水费、电费、差旅费</w:t>
            </w:r>
          </w:p>
        </w:tc>
        <w:tc>
          <w:tcPr>
            <w:tcW w:w="181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12.80</w:t>
            </w:r>
          </w:p>
        </w:tc>
        <w:tc>
          <w:tcPr>
            <w:tcW w:w="1679"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10.37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pPr>
              <w:spacing w:before="144" w:line="198" w:lineRule="auto"/>
              <w:ind w:left="1124"/>
              <w:jc w:val="left"/>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会议费、培训费</w:t>
            </w:r>
          </w:p>
        </w:tc>
        <w:tc>
          <w:tcPr>
            <w:tcW w:w="181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1.00</w:t>
            </w:r>
          </w:p>
        </w:tc>
        <w:tc>
          <w:tcPr>
            <w:tcW w:w="1679"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pPr>
              <w:spacing w:before="145" w:line="189" w:lineRule="auto"/>
              <w:ind w:left="10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政府采购金额</w:t>
            </w:r>
          </w:p>
        </w:tc>
        <w:tc>
          <w:tcPr>
            <w:tcW w:w="181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34.59</w:t>
            </w:r>
          </w:p>
        </w:tc>
        <w:tc>
          <w:tcPr>
            <w:tcW w:w="1679" w:type="dxa"/>
            <w:gridSpan w:val="2"/>
            <w:noWrap w:val="0"/>
            <w:vAlign w:val="top"/>
          </w:tcPr>
          <w:p>
            <w:pP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145" w:line="198"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部门基本支出预算调整</w:t>
            </w:r>
          </w:p>
        </w:tc>
        <w:tc>
          <w:tcPr>
            <w:tcW w:w="181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232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679"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(2022年完工项目)</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990"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40"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85"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10"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69"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1"/>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说明：“项目支出”需要填报基本支出以外的所有项目支出情况，“公用经费”填报基本支出中的一般商品和服务支出。</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填表人：张晶晶     联系电话：13924037685  单位负责人签字：</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2023-06-06</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eastAsia="zh-CN"/>
          <w14:textFill>
            <w14:solidFill>
              <w14:schemeClr w14:val="tx1"/>
            </w14:solidFill>
          </w14:textFill>
        </w:rPr>
        <w:sectPr>
          <w:footerReference r:id="rId3" w:type="default"/>
          <w:pgSz w:w="11906" w:h="16838"/>
          <w:pgMar w:top="1134" w:right="1417" w:bottom="1134" w:left="1134" w:header="851" w:footer="992"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2022年度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pPr>
        <w:spacing w:line="168" w:lineRule="exact"/>
        <w:rPr>
          <w:color w:val="000000" w:themeColor="text1"/>
          <w14:textFill>
            <w14:solidFill>
              <w14:schemeClr w14:val="tx1"/>
            </w14:solidFill>
          </w14:textFill>
        </w:rPr>
      </w:pPr>
    </w:p>
    <w:tbl>
      <w:tblPr>
        <w:tblStyle w:val="16"/>
        <w:tblW w:w="98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79"/>
        <w:gridCol w:w="1029"/>
        <w:gridCol w:w="1269"/>
        <w:gridCol w:w="1319"/>
        <w:gridCol w:w="1259"/>
        <w:gridCol w:w="719"/>
        <w:gridCol w:w="802"/>
        <w:gridCol w:w="12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84" w:type="dxa"/>
            <w:noWrap w:val="0"/>
            <w:vAlign w:val="top"/>
          </w:tcPr>
          <w:p>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预算</w:t>
            </w:r>
            <w:r>
              <w:rPr>
                <w:rFonts w:hint="eastAsia" w:ascii="宋体" w:hAnsi="宋体" w:eastAsia="宋体" w:cs="宋体"/>
                <w:color w:val="000000" w:themeColor="text1"/>
                <w:spacing w:val="2"/>
                <w:sz w:val="21"/>
                <w:szCs w:val="21"/>
                <w:lang w:eastAsia="zh-CN"/>
                <w14:textFill>
                  <w14:solidFill>
                    <w14:schemeClr w14:val="tx1"/>
                  </w14:solidFill>
                </w14:textFill>
              </w:rPr>
              <w:t>单位</w:t>
            </w:r>
            <w:r>
              <w:rPr>
                <w:rFonts w:hint="eastAsia" w:ascii="宋体" w:hAnsi="宋体" w:eastAsia="宋体" w:cs="宋体"/>
                <w:color w:val="000000" w:themeColor="text1"/>
                <w:spacing w:val="2"/>
                <w:sz w:val="21"/>
                <w:szCs w:val="21"/>
                <w:lang w:val="en-US" w:eastAsia="zh-CN"/>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名称</w:t>
            </w:r>
          </w:p>
        </w:tc>
        <w:tc>
          <w:tcPr>
            <w:tcW w:w="8751" w:type="dxa"/>
            <w:gridSpan w:val="8"/>
            <w:noWrap w:val="0"/>
            <w:vAlign w:val="top"/>
          </w:tcPr>
          <w:p>
            <w:pPr>
              <w:jc w:val="center"/>
              <w:rPr>
                <w:rFonts w:ascii="Arial"/>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pacing w:val="-2"/>
                <w:sz w:val="20"/>
                <w:szCs w:val="20"/>
                <w14:textFill>
                  <w14:solidFill>
                    <w14:schemeClr w14:val="tx1"/>
                  </w14:solidFill>
                </w14:textFill>
              </w:rPr>
              <w:t>岳阳市岳阳楼区三眼桥街道社区卫生服务中心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ascii="Arial"/>
                <w:color w:val="000000" w:themeColor="text1"/>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position w:val="4"/>
                <w:sz w:val="21"/>
                <w:szCs w:val="21"/>
                <w14:textFill>
                  <w14:solidFill>
                    <w14:schemeClr w14:val="tx1"/>
                  </w14:solidFill>
                </w14:textFill>
              </w:rPr>
              <w:t>年度预</w:t>
            </w:r>
          </w:p>
          <w:p>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算申请</w:t>
            </w:r>
          </w:p>
          <w:p>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1"/>
                <w:sz w:val="21"/>
                <w:szCs w:val="21"/>
                <w14:textFill>
                  <w14:solidFill>
                    <w14:schemeClr w14:val="tx1"/>
                  </w14:solidFill>
                </w14:textFill>
              </w:rPr>
              <w:t>(万元)</w:t>
            </w:r>
          </w:p>
        </w:tc>
        <w:tc>
          <w:tcPr>
            <w:tcW w:w="210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pacing w:val="0"/>
                <w:sz w:val="20"/>
                <w14:textFill>
                  <w14:solidFill>
                    <w14:schemeClr w14:val="tx1"/>
                  </w14:solidFill>
                </w14:textFill>
              </w:rPr>
            </w:pP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年初预算数</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全年预算数</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全年执行数</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执行率</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210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年度资金总额</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334.88</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1582.44</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1582.44</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147" w:lineRule="exact"/>
              <w:ind w:left="0"/>
              <w:jc w:val="center"/>
              <w:textAlignment w:val="auto"/>
              <w:rPr>
                <w:rFonts w:ascii="宋体" w:hAnsi="宋体" w:eastAsia="宋体" w:cs="宋体"/>
                <w:color w:val="000000" w:themeColor="text1"/>
                <w:spacing w:val="0"/>
                <w:sz w:val="20"/>
                <w:szCs w:val="20"/>
                <w14:textFill>
                  <w14:solidFill>
                    <w14:schemeClr w14:val="tx1"/>
                  </w14:solidFill>
                </w14:textFill>
              </w:rPr>
            </w:pPr>
            <w:r>
              <w:rPr>
                <w:rFonts w:ascii="宋体" w:hAnsi="宋体" w:eastAsia="宋体" w:cs="宋体"/>
                <w:color w:val="000000" w:themeColor="text1"/>
                <w:spacing w:val="0"/>
                <w:position w:val="-3"/>
                <w:sz w:val="20"/>
                <w:szCs w:val="20"/>
                <w14:textFill>
                  <w14:solidFill>
                    <w14:schemeClr w14:val="tx1"/>
                  </w14:solidFill>
                </w14:textFill>
              </w:rPr>
              <w:t>10</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100%</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按收入性质分：</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按支出性质分：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 xml:space="preserve">其中： </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一般公共预算：</w:t>
            </w:r>
            <w:r>
              <w:rPr>
                <w:rFonts w:hint="eastAsia" w:ascii="Arial"/>
                <w:color w:val="000000" w:themeColor="text1"/>
                <w:spacing w:val="0"/>
                <w:sz w:val="20"/>
                <w:lang w:val="en-US" w:eastAsia="zh-CN"/>
                <w14:textFill>
                  <w14:solidFill>
                    <w14:schemeClr w14:val="tx1"/>
                  </w14:solidFill>
                </w14:textFill>
              </w:rPr>
              <w:t>883.16</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其中：基本支出：</w:t>
            </w:r>
            <w:r>
              <w:rPr>
                <w:rFonts w:hint="eastAsia" w:ascii="Arial"/>
                <w:color w:val="000000" w:themeColor="text1"/>
                <w:spacing w:val="0"/>
                <w:sz w:val="20"/>
                <w:lang w:val="en-US" w:eastAsia="zh-CN"/>
                <w14:textFill>
                  <w14:solidFill>
                    <w14:schemeClr w14:val="tx1"/>
                  </w14:solidFill>
                </w14:textFill>
              </w:rPr>
              <w:t>1582.44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政府性基金拨款：</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纳入专户管理的非税收入拨款：</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其他资金：</w:t>
            </w:r>
            <w:r>
              <w:rPr>
                <w:rFonts w:hint="eastAsia" w:ascii="宋体" w:hAnsi="宋体" w:eastAsia="宋体" w:cs="宋体"/>
                <w:color w:val="000000" w:themeColor="text1"/>
                <w:spacing w:val="0"/>
                <w:sz w:val="21"/>
                <w:szCs w:val="21"/>
                <w:lang w:val="en-US" w:eastAsia="zh-CN"/>
                <w14:textFill>
                  <w14:solidFill>
                    <w14:schemeClr w14:val="tx1"/>
                  </w14:solidFill>
                </w14:textFill>
              </w:rPr>
              <w:t>699.28</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年度总体</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19"/>
                <w:sz w:val="21"/>
                <w:szCs w:val="21"/>
                <w14:textFill>
                  <w14:solidFill>
                    <w14:schemeClr w14:val="tx1"/>
                  </w14:solidFill>
                </w14:textFill>
              </w:rPr>
              <w:t>目</w:t>
            </w:r>
            <w:r>
              <w:rPr>
                <w:rFonts w:ascii="宋体" w:hAnsi="宋体" w:eastAsia="宋体" w:cs="宋体"/>
                <w:color w:val="000000" w:themeColor="text1"/>
                <w:spacing w:val="-35"/>
                <w:sz w:val="21"/>
                <w:szCs w:val="21"/>
                <w14:textFill>
                  <w14:solidFill>
                    <w14:schemeClr w14:val="tx1"/>
                  </w14:solidFill>
                </w14:textFill>
              </w:rPr>
              <w:t xml:space="preserve"> </w:t>
            </w:r>
            <w:r>
              <w:rPr>
                <w:rFonts w:ascii="宋体" w:hAnsi="宋体" w:eastAsia="宋体" w:cs="宋体"/>
                <w:color w:val="000000" w:themeColor="text1"/>
                <w:spacing w:val="-19"/>
                <w:sz w:val="21"/>
                <w:szCs w:val="21"/>
                <w14:textFill>
                  <w14:solidFill>
                    <w14:schemeClr w14:val="tx1"/>
                  </w14:solidFill>
                </w14:textFill>
              </w:rPr>
              <w:t>标</w:t>
            </w: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预期目标</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1084"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18"/>
                <w:szCs w:val="18"/>
                <w:lang w:val="en-US" w:eastAsia="zh-CN"/>
                <w14:textFill>
                  <w14:solidFill>
                    <w14:schemeClr w14:val="tx1"/>
                  </w14:solidFill>
                </w14:textFill>
              </w:rPr>
              <w:t>1、计划采集核酸标本数量46万人次，新冠疫苗接种2万针次；2、计划家庭医生签约1.8万人；3、计划管理社区内高血压病人人数3942人，严重精神障碍患者管理档案份数221份；4、全年医疗业务总收入达990万元；其中门诊收入836万元，门诊人次4.5万人，住院收入152万。</w:t>
            </w:r>
          </w:p>
        </w:tc>
        <w:tc>
          <w:tcPr>
            <w:tcW w:w="4055" w:type="dxa"/>
            <w:gridSpan w:val="4"/>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Arial"/>
                <w:color w:val="000000" w:themeColor="text1"/>
                <w:spacing w:val="0"/>
                <w:sz w:val="20"/>
                <w14:textFill>
                  <w14:solidFill>
                    <w14:schemeClr w14:val="tx1"/>
                  </w14:solidFill>
                </w14:textFill>
              </w:rPr>
            </w:pPr>
            <w:r>
              <w:rPr>
                <w:rFonts w:hint="eastAsia" w:ascii="Arial" w:hAnsiTheme="minorHAnsi" w:eastAsiaTheme="minorEastAsia" w:cstheme="minorBidi"/>
                <w:color w:val="000000" w:themeColor="text1"/>
                <w:spacing w:val="0"/>
                <w:kern w:val="2"/>
                <w:sz w:val="18"/>
                <w:szCs w:val="18"/>
                <w:lang w:val="en-US" w:eastAsia="zh-CN" w:bidi="ar-SA"/>
                <w14:textFill>
                  <w14:solidFill>
                    <w14:schemeClr w14:val="tx1"/>
                  </w14:solidFill>
                </w14:textFill>
              </w:rPr>
              <w:t>（一）扎实开展公卫项目。本年度累计建立居民健康档案1156份；新增高血压管理档案1417份，累计在管3942人，完成率100%；Ⅱ型糖尿病新增档案508份，累计在管1445人，完成率100%；国网系统内严重精神障碍患者管理档案221份，建卡率86.63%；孕产妇健康管理119人，建卡率100 %；0—6岁儿童新增建卡206人，累计在管2684人；0-36月儿童中医药健康管理910人，管理率100%；开展家庭医生签约18900人。（二）省级惠民服务项目。承接了省级心血管及其危险因素监测、上消化道癌、城癌项目以及两病项目，共开展284人心血管筛查，上消化道筛查 2323 人。（三）提升慢病防控能力。开展DPCC糖尿病标准化防控管理工作，建立集“防治管教”于一体的一站式DPCC糖尿病专病门诊，结合标准化的诊疗管理路径，践行“全人群覆盖、全病程管理、全因素分析”的糖尿病标准化防控管理新模式。（四）大幅提升医疗业务水平。2022年（1月-12月）全年医疗业务总收入达990万元，同比增长197万元，增长率25％；其中门诊收入836万元，同比增长244万元，增长率42％；门诊人次45846，同比增长4706人，增长率12％，住院收入152万，受疫情影响，门诊就诊占比幅度提升。（五）凝聚合力，勇担重任。1、加强全员核酸采集健康监测，开展辖区内19所学校及托幼机构全覆盖核算采样，开启24小时核酸采样点，辖区内设置8个便民采样点，对全辖区范围内中高风险返岳人群入户核酸采样1300人次，追阳人员上门采样265人次，今年共采集核酸标本数量466424人次，外环境检测22605次。2、本年度共开展新冠疫苗接种25481针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84" w:type="dxa"/>
            <w:vMerge w:val="restart"/>
            <w:tcBorders>
              <w:bottom w:val="nil"/>
            </w:tcBorders>
            <w:noWrap w:val="0"/>
            <w:textDirection w:val="tbRlV"/>
            <w:vAlign w:val="top"/>
          </w:tcPr>
          <w:p>
            <w:pPr>
              <w:keepNext w:val="0"/>
              <w:keepLines w:val="0"/>
              <w:pageBreakBefore w:val="0"/>
              <w:widowControl w:val="0"/>
              <w:kinsoku/>
              <w:wordWrap/>
              <w:overflowPunct/>
              <w:topLinePunct w:val="0"/>
              <w:autoSpaceDE/>
              <w:autoSpaceDN/>
              <w:bidi w:val="0"/>
              <w:adjustRightInd/>
              <w:snapToGrid/>
              <w:spacing w:line="367" w:lineRule="auto"/>
              <w:ind w:left="0" w:right="0" w:firstLine="0"/>
              <w:jc w:val="center"/>
              <w:textAlignment w:val="auto"/>
              <w:rPr>
                <w:rFonts w:ascii="Arial"/>
                <w:color w:val="000000" w:themeColor="text1"/>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绩效指标</w:t>
            </w:r>
          </w:p>
        </w:tc>
        <w:tc>
          <w:tcPr>
            <w:tcW w:w="107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一级指标</w:t>
            </w:r>
          </w:p>
        </w:tc>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二级指标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三级指标</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年度指标值</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实际完成值</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偏差原因分析</w:t>
            </w:r>
          </w:p>
          <w:p>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restart"/>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产出指标（50分）</w:t>
            </w:r>
          </w:p>
        </w:tc>
        <w:tc>
          <w:tcPr>
            <w:tcW w:w="1029" w:type="dxa"/>
            <w:vMerge w:val="restart"/>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数量指标</w:t>
            </w:r>
          </w:p>
        </w:tc>
        <w:tc>
          <w:tcPr>
            <w:tcW w:w="1269" w:type="dxa"/>
            <w:noWrap w:val="0"/>
            <w:vAlign w:val="center"/>
          </w:tcPr>
          <w:p>
            <w:pPr>
              <w:keepNext w:val="0"/>
              <w:keepLines w:val="0"/>
              <w:widowControl/>
              <w:suppressLineNumbers w:val="0"/>
              <w:jc w:val="center"/>
              <w:textAlignment w:val="center"/>
              <w:rPr>
                <w:rFonts w:hint="default" w:ascii="宋体" w:hAnsi="宋体" w:eastAsia="宋体" w:cs="宋体"/>
                <w:b w:val="0"/>
                <w:bCs w:val="0"/>
                <w:color w:val="000000" w:themeColor="text1"/>
                <w:sz w:val="18"/>
                <w:szCs w:val="18"/>
                <w:lang w:val="en-US"/>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采集核酸标本数量</w:t>
            </w:r>
          </w:p>
        </w:tc>
        <w:tc>
          <w:tcPr>
            <w:tcW w:w="1319" w:type="dxa"/>
            <w:noWrap w:val="0"/>
            <w:vAlign w:val="center"/>
          </w:tcPr>
          <w:p>
            <w:pPr>
              <w:keepNext w:val="0"/>
              <w:keepLines w:val="0"/>
              <w:widowControl/>
              <w:suppressLineNumbers w:val="0"/>
              <w:jc w:val="center"/>
              <w:textAlignment w:val="center"/>
              <w:rPr>
                <w:rFonts w:hint="default" w:ascii="宋体" w:hAnsi="宋体" w:eastAsia="宋体" w:cs="宋体"/>
                <w:b w:val="0"/>
                <w:bCs w:val="0"/>
                <w:color w:val="000000" w:themeColor="text1"/>
                <w:sz w:val="18"/>
                <w:szCs w:val="18"/>
                <w:lang w:val="en-US"/>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46万人次</w:t>
            </w:r>
          </w:p>
        </w:tc>
        <w:tc>
          <w:tcPr>
            <w:tcW w:w="1259" w:type="dxa"/>
            <w:noWrap w:val="0"/>
            <w:vAlign w:val="center"/>
          </w:tcPr>
          <w:p>
            <w:pPr>
              <w:keepNext w:val="0"/>
              <w:keepLines w:val="0"/>
              <w:widowControl/>
              <w:suppressLineNumbers w:val="0"/>
              <w:jc w:val="center"/>
              <w:textAlignment w:val="center"/>
              <w:rPr>
                <w:rFonts w:hint="eastAsia" w:ascii="宋体" w:hAnsi="宋体" w:eastAsia="宋体" w:cs="宋体"/>
                <w:b w:val="0"/>
                <w:bCs w:val="0"/>
                <w:color w:val="000000" w:themeColor="text1"/>
                <w:sz w:val="18"/>
                <w:szCs w:val="18"/>
                <w:lang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采集核酸标本数量466424人次，外环境检测22605次</w:t>
            </w:r>
          </w:p>
        </w:tc>
        <w:tc>
          <w:tcPr>
            <w:tcW w:w="719" w:type="dxa"/>
            <w:noWrap w:val="0"/>
            <w:vAlign w:val="center"/>
          </w:tcPr>
          <w:p>
            <w:pPr>
              <w:keepNext w:val="0"/>
              <w:keepLines w:val="0"/>
              <w:widowControl/>
              <w:suppressLineNumbers w:val="0"/>
              <w:jc w:val="center"/>
              <w:textAlignment w:val="center"/>
              <w:rPr>
                <w:rFonts w:hint="default" w:asciiTheme="majorEastAsia" w:hAnsiTheme="majorEastAsia" w:eastAsiaTheme="majorEastAsia" w:cstheme="majorEastAsia"/>
                <w:b w:val="0"/>
                <w:bCs w:val="0"/>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802" w:type="dxa"/>
            <w:noWrap w:val="0"/>
            <w:vAlign w:val="center"/>
          </w:tcPr>
          <w:p>
            <w:pPr>
              <w:keepNext w:val="0"/>
              <w:keepLines w:val="0"/>
              <w:widowControl/>
              <w:suppressLineNumbers w:val="0"/>
              <w:jc w:val="center"/>
              <w:textAlignment w:val="center"/>
              <w:rPr>
                <w:rFonts w:hint="default" w:asciiTheme="majorEastAsia" w:hAnsiTheme="majorEastAsia" w:eastAsiaTheme="majorEastAsia" w:cstheme="majorEastAsia"/>
                <w:b w:val="0"/>
                <w:bCs w:val="0"/>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widowControl/>
              <w:suppressLineNumbers w:val="0"/>
              <w:jc w:val="center"/>
              <w:textAlignment w:val="center"/>
              <w:rPr>
                <w:rFonts w:hint="eastAsia" w:ascii="宋体" w:hAnsi="宋体" w:eastAsia="宋体" w:cs="宋体"/>
                <w:b w:val="0"/>
                <w:bCs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新冠疫苗接种针次</w:t>
            </w:r>
          </w:p>
        </w:tc>
        <w:tc>
          <w:tcPr>
            <w:tcW w:w="1319" w:type="dxa"/>
            <w:noWrap w:val="0"/>
            <w:vAlign w:val="center"/>
          </w:tcPr>
          <w:p>
            <w:pPr>
              <w:keepNext w:val="0"/>
              <w:keepLines w:val="0"/>
              <w:widowControl/>
              <w:suppressLineNumbers w:val="0"/>
              <w:jc w:val="center"/>
              <w:textAlignment w:val="center"/>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2万针次</w:t>
            </w:r>
          </w:p>
        </w:tc>
        <w:tc>
          <w:tcPr>
            <w:tcW w:w="1259" w:type="dxa"/>
            <w:noWrap w:val="0"/>
            <w:vAlign w:val="center"/>
          </w:tcPr>
          <w:p>
            <w:pPr>
              <w:keepNext w:val="0"/>
              <w:keepLines w:val="0"/>
              <w:widowControl/>
              <w:suppressLineNumbers w:val="0"/>
              <w:jc w:val="center"/>
              <w:textAlignment w:val="center"/>
              <w:rPr>
                <w:rFonts w:hint="eastAsia" w:ascii="宋体" w:hAnsi="宋体" w:eastAsia="宋体" w:cs="宋体"/>
                <w:b w:val="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22605针次</w:t>
            </w:r>
          </w:p>
        </w:tc>
        <w:tc>
          <w:tcPr>
            <w:tcW w:w="719" w:type="dxa"/>
            <w:noWrap w:val="0"/>
            <w:vAlign w:val="center"/>
          </w:tcPr>
          <w:p>
            <w:pPr>
              <w:keepNext w:val="0"/>
              <w:keepLines w:val="0"/>
              <w:widowControl/>
              <w:suppressLineNumbers w:val="0"/>
              <w:jc w:val="center"/>
              <w:textAlignment w:val="center"/>
              <w:rPr>
                <w:rFonts w:hint="eastAsia" w:ascii="Arial"/>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802" w:type="dxa"/>
            <w:noWrap w:val="0"/>
            <w:vAlign w:val="center"/>
          </w:tcPr>
          <w:p>
            <w:pPr>
              <w:keepNext w:val="0"/>
              <w:keepLines w:val="0"/>
              <w:widowControl/>
              <w:suppressLineNumbers w:val="0"/>
              <w:jc w:val="center"/>
              <w:textAlignment w:val="center"/>
              <w:rPr>
                <w:rFonts w:hint="eastAsia" w:ascii="Arial"/>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widowControl/>
              <w:suppressLineNumbers w:val="0"/>
              <w:jc w:val="center"/>
              <w:textAlignment w:val="center"/>
              <w:rPr>
                <w:rFonts w:hint="eastAsia" w:ascii="宋体" w:hAnsi="宋体" w:eastAsia="宋体" w:cs="宋体"/>
                <w:b w:val="0"/>
                <w:bCs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家庭医生签约人数</w:t>
            </w:r>
          </w:p>
        </w:tc>
        <w:tc>
          <w:tcPr>
            <w:tcW w:w="1319" w:type="dxa"/>
            <w:noWrap w:val="0"/>
            <w:vAlign w:val="center"/>
          </w:tcPr>
          <w:p>
            <w:pPr>
              <w:keepNext w:val="0"/>
              <w:keepLines w:val="0"/>
              <w:widowControl/>
              <w:suppressLineNumbers w:val="0"/>
              <w:jc w:val="center"/>
              <w:textAlignment w:val="center"/>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1.8万人</w:t>
            </w:r>
          </w:p>
        </w:tc>
        <w:tc>
          <w:tcPr>
            <w:tcW w:w="1259" w:type="dxa"/>
            <w:noWrap w:val="0"/>
            <w:vAlign w:val="center"/>
          </w:tcPr>
          <w:p>
            <w:pPr>
              <w:keepNext w:val="0"/>
              <w:keepLines w:val="0"/>
              <w:widowControl/>
              <w:suppressLineNumbers w:val="0"/>
              <w:jc w:val="center"/>
              <w:textAlignment w:val="center"/>
              <w:rPr>
                <w:rFonts w:hint="eastAsia" w:ascii="宋体" w:hAnsi="宋体" w:eastAsia="宋体" w:cs="宋体"/>
                <w:b w:val="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1.89万人</w:t>
            </w:r>
          </w:p>
        </w:tc>
        <w:tc>
          <w:tcPr>
            <w:tcW w:w="719" w:type="dxa"/>
            <w:noWrap w:val="0"/>
            <w:vAlign w:val="center"/>
          </w:tcPr>
          <w:p>
            <w:pPr>
              <w:keepNext w:val="0"/>
              <w:keepLines w:val="0"/>
              <w:widowControl/>
              <w:suppressLineNumbers w:val="0"/>
              <w:jc w:val="center"/>
              <w:textAlignment w:val="center"/>
              <w:rPr>
                <w:rFonts w:hint="eastAsia" w:ascii="Arial"/>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802" w:type="dxa"/>
            <w:noWrap w:val="0"/>
            <w:vAlign w:val="center"/>
          </w:tcPr>
          <w:p>
            <w:pPr>
              <w:keepNext w:val="0"/>
              <w:keepLines w:val="0"/>
              <w:widowControl/>
              <w:suppressLineNumbers w:val="0"/>
              <w:jc w:val="center"/>
              <w:textAlignment w:val="center"/>
              <w:rPr>
                <w:rFonts w:hint="eastAsia" w:ascii="Arial"/>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widowControl/>
              <w:suppressLineNumbers w:val="0"/>
              <w:jc w:val="center"/>
              <w:textAlignment w:val="center"/>
              <w:rPr>
                <w:rFonts w:hint="eastAsia" w:ascii="宋体" w:hAnsi="宋体" w:eastAsia="宋体" w:cs="宋体"/>
                <w:b w:val="0"/>
                <w:bCs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管理社区内高血压病人人数</w:t>
            </w:r>
          </w:p>
        </w:tc>
        <w:tc>
          <w:tcPr>
            <w:tcW w:w="1319" w:type="dxa"/>
            <w:noWrap w:val="0"/>
            <w:vAlign w:val="center"/>
          </w:tcPr>
          <w:p>
            <w:pPr>
              <w:keepNext w:val="0"/>
              <w:keepLines w:val="0"/>
              <w:widowControl/>
              <w:suppressLineNumbers w:val="0"/>
              <w:jc w:val="center"/>
              <w:textAlignment w:val="center"/>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3942人</w:t>
            </w:r>
          </w:p>
        </w:tc>
        <w:tc>
          <w:tcPr>
            <w:tcW w:w="1259" w:type="dxa"/>
            <w:noWrap w:val="0"/>
            <w:vAlign w:val="center"/>
          </w:tcPr>
          <w:p>
            <w:pPr>
              <w:keepNext w:val="0"/>
              <w:keepLines w:val="0"/>
              <w:widowControl/>
              <w:suppressLineNumbers w:val="0"/>
              <w:jc w:val="center"/>
              <w:textAlignment w:val="center"/>
              <w:rPr>
                <w:rFonts w:hint="eastAsia" w:ascii="宋体" w:hAnsi="宋体" w:eastAsia="宋体" w:cs="宋体"/>
                <w:b w:val="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3942人</w:t>
            </w:r>
          </w:p>
        </w:tc>
        <w:tc>
          <w:tcPr>
            <w:tcW w:w="719" w:type="dxa"/>
            <w:noWrap w:val="0"/>
            <w:vAlign w:val="center"/>
          </w:tcPr>
          <w:p>
            <w:pPr>
              <w:keepNext w:val="0"/>
              <w:keepLines w:val="0"/>
              <w:widowControl/>
              <w:suppressLineNumbers w:val="0"/>
              <w:jc w:val="center"/>
              <w:textAlignment w:val="center"/>
              <w:rPr>
                <w:rFonts w:hint="eastAsia" w:ascii="Arial"/>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802" w:type="dxa"/>
            <w:noWrap w:val="0"/>
            <w:vAlign w:val="center"/>
          </w:tcPr>
          <w:p>
            <w:pPr>
              <w:keepNext w:val="0"/>
              <w:keepLines w:val="0"/>
              <w:widowControl/>
              <w:suppressLineNumbers w:val="0"/>
              <w:jc w:val="center"/>
              <w:textAlignment w:val="center"/>
              <w:rPr>
                <w:rFonts w:hint="eastAsia" w:ascii="Arial"/>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widowControl/>
              <w:suppressLineNumbers w:val="0"/>
              <w:jc w:val="center"/>
              <w:textAlignment w:val="center"/>
              <w:rPr>
                <w:rFonts w:hint="default" w:ascii="Arial"/>
                <w:color w:val="000000" w:themeColor="text1"/>
                <w:sz w:val="18"/>
                <w:szCs w:val="18"/>
                <w:lang w:val="en-US"/>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严重精神障碍患者管理档案份数</w:t>
            </w:r>
          </w:p>
        </w:tc>
        <w:tc>
          <w:tcPr>
            <w:tcW w:w="1319" w:type="dxa"/>
            <w:noWrap w:val="0"/>
            <w:vAlign w:val="center"/>
          </w:tcPr>
          <w:p>
            <w:pPr>
              <w:keepNext w:val="0"/>
              <w:keepLines w:val="0"/>
              <w:widowControl/>
              <w:suppressLineNumbers w:val="0"/>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221份</w:t>
            </w:r>
          </w:p>
        </w:tc>
        <w:tc>
          <w:tcPr>
            <w:tcW w:w="1259" w:type="dxa"/>
            <w:noWrap w:val="0"/>
            <w:vAlign w:val="center"/>
          </w:tcPr>
          <w:p>
            <w:pPr>
              <w:keepNext w:val="0"/>
              <w:keepLines w:val="0"/>
              <w:widowControl/>
              <w:suppressLineNumbers w:val="0"/>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221份</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质量指标</w:t>
            </w:r>
          </w:p>
        </w:tc>
        <w:tc>
          <w:tcPr>
            <w:tcW w:w="1269" w:type="dxa"/>
            <w:noWrap w:val="0"/>
            <w:vAlign w:val="center"/>
          </w:tcPr>
          <w:p>
            <w:pPr>
              <w:keepNext w:val="0"/>
              <w:keepLines w:val="0"/>
              <w:widowControl/>
              <w:suppressLineNumbers w:val="0"/>
              <w:jc w:val="center"/>
              <w:textAlignment w:val="center"/>
              <w:rPr>
                <w:rFonts w:hint="eastAsia" w:ascii="宋体" w:hAnsi="宋体" w:eastAsia="宋体" w:cs="宋体"/>
                <w:b w:val="0"/>
                <w:bCs/>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管理社区内高血压病人建档完成率</w:t>
            </w:r>
          </w:p>
        </w:tc>
        <w:tc>
          <w:tcPr>
            <w:tcW w:w="1319" w:type="dxa"/>
            <w:noWrap w:val="0"/>
            <w:vAlign w:val="center"/>
          </w:tcPr>
          <w:p>
            <w:pPr>
              <w:keepNext w:val="0"/>
              <w:keepLines w:val="0"/>
              <w:widowControl/>
              <w:suppressLineNumbers w:val="0"/>
              <w:jc w:val="center"/>
              <w:textAlignment w:val="center"/>
              <w:rPr>
                <w:rFonts w:hint="default" w:ascii="宋体" w:hAnsi="宋体" w:eastAsia="宋体" w:cs="宋体"/>
                <w:b w:val="0"/>
                <w:bCs/>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100%</w:t>
            </w:r>
          </w:p>
        </w:tc>
        <w:tc>
          <w:tcPr>
            <w:tcW w:w="1259"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lang w:val="en-US"/>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100%</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0-36月儿童中医药健康管理率</w:t>
            </w:r>
          </w:p>
        </w:tc>
        <w:tc>
          <w:tcPr>
            <w:tcW w:w="1319" w:type="dxa"/>
            <w:noWrap w:val="0"/>
            <w:vAlign w:val="center"/>
          </w:tcPr>
          <w:p>
            <w:pPr>
              <w:keepNext w:val="0"/>
              <w:keepLines w:val="0"/>
              <w:widowControl/>
              <w:suppressLineNumbers w:val="0"/>
              <w:jc w:val="center"/>
              <w:textAlignment w:val="center"/>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100%</w:t>
            </w:r>
          </w:p>
        </w:tc>
        <w:tc>
          <w:tcPr>
            <w:tcW w:w="1259" w:type="dxa"/>
            <w:noWrap w:val="0"/>
            <w:vAlign w:val="center"/>
          </w:tcPr>
          <w:p>
            <w:pPr>
              <w:keepNext w:val="0"/>
              <w:keepLines w:val="0"/>
              <w:widowControl/>
              <w:suppressLineNumbers w:val="0"/>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100%</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时效指标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ascii="Arial"/>
                <w:color w:val="000000" w:themeColor="text1"/>
                <w:sz w:val="18"/>
                <w:szCs w:val="18"/>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疫情防控工作</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24小时核酸采样</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24小时值守</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成本指标</w:t>
            </w:r>
          </w:p>
        </w:tc>
        <w:tc>
          <w:tcPr>
            <w:tcW w:w="126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Style w:val="22"/>
                <w:lang w:val="en-US" w:eastAsia="zh-CN" w:bidi="ar"/>
              </w:rPr>
              <w:t>总成本控制</w:t>
            </w:r>
          </w:p>
        </w:tc>
        <w:tc>
          <w:tcPr>
            <w:tcW w:w="13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Style w:val="22"/>
                <w:lang w:val="en-US" w:eastAsia="zh-CN" w:bidi="ar"/>
              </w:rPr>
              <w:t>不超过预算投入</w:t>
            </w:r>
          </w:p>
        </w:tc>
        <w:tc>
          <w:tcPr>
            <w:tcW w:w="125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1582.44</w:t>
            </w:r>
            <w:r>
              <w:rPr>
                <w:rStyle w:val="22"/>
                <w:lang w:val="en-US" w:eastAsia="zh-CN" w:bidi="ar"/>
              </w:rPr>
              <w:t>万元</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10</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1275" w:type="dxa"/>
            <w:noWrap w:val="0"/>
            <w:vAlign w:val="center"/>
          </w:tcPr>
          <w:p>
            <w:pPr>
              <w:keepNext w:val="0"/>
              <w:keepLines w:val="0"/>
              <w:widowControl/>
              <w:suppressLineNumbers w:val="0"/>
              <w:jc w:val="center"/>
              <w:textAlignment w:val="center"/>
              <w:rPr>
                <w:rFonts w:hint="eastAsia" w:ascii="Arial" w:eastAsiaTheme="minorEastAsia"/>
                <w:color w:val="000000" w:themeColor="text1"/>
                <w:sz w:val="18"/>
                <w:szCs w:val="18"/>
                <w:lang w:val="en-US" w:eastAsia="zh-CN"/>
                <w14:textFill>
                  <w14:solidFill>
                    <w14:schemeClr w14:val="tx1"/>
                  </w14:solidFill>
                </w14:textFill>
              </w:rPr>
            </w:pPr>
            <w:r>
              <w:rPr>
                <w:rStyle w:val="23"/>
                <w:rFonts w:eastAsia="宋体"/>
                <w:lang w:val="en-US" w:eastAsia="zh-CN" w:bidi="ar"/>
              </w:rPr>
              <w:t>2022</w:t>
            </w:r>
            <w:r>
              <w:rPr>
                <w:rStyle w:val="22"/>
                <w:lang w:val="en-US" w:eastAsia="zh-CN" w:bidi="ar"/>
              </w:rPr>
              <w:t>年度才纳入财政预算，预算经费做得不够准确，后续会注意，节约成本，控制各方面经费支出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position w:val="21"/>
                <w:sz w:val="21"/>
                <w:szCs w:val="21"/>
                <w14:textFill>
                  <w14:solidFill>
                    <w14:schemeClr w14:val="tx1"/>
                  </w14:solidFill>
                </w14:textFill>
              </w:rPr>
              <w:t>效益指标</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9"/>
                <w:sz w:val="21"/>
                <w:szCs w:val="21"/>
                <w14:textFill>
                  <w14:solidFill>
                    <w14:schemeClr w14:val="tx1"/>
                  </w14:solidFill>
                </w14:textFill>
              </w:rPr>
              <w:t>(</w:t>
            </w:r>
            <w:r>
              <w:rPr>
                <w:rFonts w:hint="eastAsia" w:ascii="宋体" w:hAnsi="宋体" w:eastAsia="宋体" w:cs="宋体"/>
                <w:color w:val="000000" w:themeColor="text1"/>
                <w:spacing w:val="9"/>
                <w:sz w:val="21"/>
                <w:szCs w:val="21"/>
                <w:lang w:val="en-US" w:eastAsia="zh-CN"/>
                <w14:textFill>
                  <w14:solidFill>
                    <w14:schemeClr w14:val="tx1"/>
                  </w14:solidFill>
                </w14:textFill>
              </w:rPr>
              <w:t>3</w:t>
            </w:r>
            <w:r>
              <w:rPr>
                <w:rFonts w:ascii="宋体" w:hAnsi="宋体" w:eastAsia="宋体" w:cs="宋体"/>
                <w:color w:val="000000" w:themeColor="text1"/>
                <w:spacing w:val="9"/>
                <w:sz w:val="21"/>
                <w:szCs w:val="21"/>
                <w14:textFill>
                  <w14:solidFill>
                    <w14:schemeClr w14:val="tx1"/>
                  </w14:solidFill>
                </w14:textFill>
              </w:rPr>
              <w:t>0分)</w:t>
            </w:r>
          </w:p>
        </w:tc>
        <w:tc>
          <w:tcPr>
            <w:tcW w:w="1029"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经济效</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pPr>
              <w:keepNext w:val="0"/>
              <w:keepLines w:val="0"/>
              <w:widowControl/>
              <w:suppressLineNumbers w:val="0"/>
              <w:jc w:val="center"/>
              <w:textAlignment w:val="center"/>
              <w:rPr>
                <w:rFonts w:hint="eastAsia" w:ascii="Arial" w:eastAsiaTheme="minorEastAsia"/>
                <w:color w:val="000000" w:themeColor="text1"/>
                <w:sz w:val="18"/>
                <w:szCs w:val="18"/>
                <w:lang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门诊收入</w:t>
            </w:r>
          </w:p>
        </w:tc>
        <w:tc>
          <w:tcPr>
            <w:tcW w:w="13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836万元</w:t>
            </w:r>
          </w:p>
        </w:tc>
        <w:tc>
          <w:tcPr>
            <w:tcW w:w="125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836万元</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住院收入</w:t>
            </w:r>
          </w:p>
        </w:tc>
        <w:tc>
          <w:tcPr>
            <w:tcW w:w="1319"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152万元</w:t>
            </w:r>
          </w:p>
        </w:tc>
        <w:tc>
          <w:tcPr>
            <w:tcW w:w="1259"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152万元</w:t>
            </w:r>
          </w:p>
        </w:tc>
        <w:tc>
          <w:tcPr>
            <w:tcW w:w="719"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802"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社会效</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重大传染病规范处置率</w:t>
            </w:r>
          </w:p>
        </w:tc>
        <w:tc>
          <w:tcPr>
            <w:tcW w:w="13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100%</w:t>
            </w:r>
          </w:p>
        </w:tc>
        <w:tc>
          <w:tcPr>
            <w:tcW w:w="1259" w:type="dxa"/>
            <w:noWrap w:val="0"/>
            <w:vAlign w:val="center"/>
          </w:tcPr>
          <w:p>
            <w:pPr>
              <w:keepNext w:val="0"/>
              <w:keepLines w:val="0"/>
              <w:widowControl/>
              <w:suppressLineNumbers w:val="0"/>
              <w:jc w:val="center"/>
              <w:textAlignment w:val="center"/>
              <w:rPr>
                <w:rFonts w:hint="default" w:ascii="Arial"/>
                <w:color w:val="000000" w:themeColor="text1"/>
                <w:sz w:val="18"/>
                <w:szCs w:val="18"/>
                <w:lang w:val="en-US"/>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100%</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生态效</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医废处置率</w:t>
            </w:r>
          </w:p>
        </w:tc>
        <w:tc>
          <w:tcPr>
            <w:tcW w:w="13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全部有效处置</w:t>
            </w:r>
          </w:p>
        </w:tc>
        <w:tc>
          <w:tcPr>
            <w:tcW w:w="1259"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全部有效处置</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03"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可持续影</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响指标</w:t>
            </w:r>
          </w:p>
        </w:tc>
        <w:tc>
          <w:tcPr>
            <w:tcW w:w="1269"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人才培训和技能培训</w:t>
            </w:r>
          </w:p>
        </w:tc>
        <w:tc>
          <w:tcPr>
            <w:tcW w:w="13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有提高</w:t>
            </w:r>
          </w:p>
        </w:tc>
        <w:tc>
          <w:tcPr>
            <w:tcW w:w="125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有提高</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default" w:ascii="Arial" w:hAnsi="Arial" w:eastAsia="宋体" w:cs="Arial"/>
                <w:i w:val="0"/>
                <w:iCs w:val="0"/>
                <w:color w:val="000000"/>
                <w:kern w:val="0"/>
                <w:sz w:val="18"/>
                <w:szCs w:val="18"/>
                <w:u w:val="none"/>
                <w:lang w:val="en-US" w:eastAsia="zh-CN" w:bidi="ar"/>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满意度</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指标</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9"/>
                <w:sz w:val="21"/>
                <w:szCs w:val="21"/>
                <w14:textFill>
                  <w14:solidFill>
                    <w14:schemeClr w14:val="tx1"/>
                  </w14:solidFill>
                </w14:textFill>
              </w:rPr>
              <w:t>(10分)</w:t>
            </w: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0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服务对象</w:t>
            </w:r>
          </w:p>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满意度指</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标</w:t>
            </w:r>
          </w:p>
        </w:tc>
        <w:tc>
          <w:tcPr>
            <w:tcW w:w="1269" w:type="dxa"/>
            <w:noWrap w:val="0"/>
            <w:vAlign w:val="center"/>
          </w:tcPr>
          <w:p>
            <w:pPr>
              <w:keepNext w:val="0"/>
              <w:keepLines w:val="0"/>
              <w:widowControl/>
              <w:suppressLineNumbers w:val="0"/>
              <w:jc w:val="center"/>
              <w:textAlignment w:val="center"/>
              <w:rPr>
                <w:rFonts w:ascii="Arial"/>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病患满意度</w:t>
            </w:r>
          </w:p>
        </w:tc>
        <w:tc>
          <w:tcPr>
            <w:tcW w:w="13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大于等于95%</w:t>
            </w:r>
          </w:p>
        </w:tc>
        <w:tc>
          <w:tcPr>
            <w:tcW w:w="125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98%</w:t>
            </w:r>
          </w:p>
        </w:tc>
        <w:tc>
          <w:tcPr>
            <w:tcW w:w="719"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w:t>
            </w:r>
          </w:p>
        </w:tc>
        <w:tc>
          <w:tcPr>
            <w:tcW w:w="802" w:type="dxa"/>
            <w:noWrap w:val="0"/>
            <w:vAlign w:val="center"/>
          </w:tcPr>
          <w:p>
            <w:pPr>
              <w:keepNext w:val="0"/>
              <w:keepLines w:val="0"/>
              <w:widowControl/>
              <w:suppressLineNumbers w:val="0"/>
              <w:jc w:val="center"/>
              <w:textAlignment w:val="center"/>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10</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03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297815" cy="158750"/>
                  <wp:effectExtent l="0" t="0" r="6985" b="1333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5"/>
                          <a:stretch>
                            <a:fillRect/>
                          </a:stretch>
                        </pic:blipFill>
                        <pic:spPr>
                          <a:xfrm>
                            <a:off x="0" y="0"/>
                            <a:ext cx="297815" cy="158750"/>
                          </a:xfrm>
                          <a:prstGeom prst="rect">
                            <a:avLst/>
                          </a:prstGeom>
                          <a:noFill/>
                          <a:ln>
                            <a:noFill/>
                          </a:ln>
                        </pic:spPr>
                      </pic:pic>
                    </a:graphicData>
                  </a:graphic>
                </wp:inline>
              </w:drawing>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100</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96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21"/>
                <w:lang w:val="en-US" w:eastAsia="zh-CN"/>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填表人：张晶晶     联系电话：13924037685  单位负责人签字：</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2023-06-06</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sectPr>
          <w:pgSz w:w="11906" w:h="16838"/>
          <w:pgMar w:top="1134" w:right="1417" w:bottom="1134" w:left="1134" w:header="851" w:footer="992"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3</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2022年度</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岳阳市岳阳楼区三眼桥街道社区卫生服务中心</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单位整体支出绩效自评报告</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   ( 盖 章 )</w:t>
      </w:r>
    </w:p>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2023年 06 月06  日</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2022年度</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岳阳市岳阳楼区三眼桥街道社区卫生服务中心</w:t>
      </w: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单位整体支出绩效自评报告</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numPr>
          <w:ilvl w:val="0"/>
          <w:numId w:val="1"/>
        </w:numPr>
        <w:kinsoku/>
        <w:wordWrap/>
        <w:overflowPunct/>
        <w:topLinePunct w:val="0"/>
        <w:autoSpaceDE/>
        <w:autoSpaceDN/>
        <w:bidi w:val="0"/>
        <w:adjustRightInd/>
        <w:snapToGrid/>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单位基本情况</w:t>
      </w:r>
    </w:p>
    <w:p>
      <w:pPr>
        <w:widowControl/>
        <w:spacing w:line="600" w:lineRule="exact"/>
        <w:ind w:firstLine="643" w:firstLineChars="200"/>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（一）职能职责</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1、负责贯彻执行中央和省、市关于城市社区卫生服务工作的方针、政策；拟订本街道（乡）、社区（村）范围内关于基层卫生健康服务工作的规章、方案，经批准后组织实施。</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2、以辖区范围内的家庭和居民为服务对象，以妇女、儿童、老年人、慢性病人、残疾人、重性精神障碍患者、肺结核患者、贫困居民为服务重点，承担国家基本公共卫生服务项目和一般常见病、多发病的基本医疗服务。</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3、负责辖区范围内居民的家庭医生签约服务。</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4、落实分级诊疗及双向转诊的相关制度；负责社区卫生诊断，传染病疫情报告和监测，预防接种，结核病、艾滋病等重大传染病预防，常见传染病防治，地方病、寄生虫病防治，健康档案管理，爱国卫生指导等。</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5、负责残疾康复、疾病恢复期康复，家庭和社区康复训练指导等。</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6、负责卫生知识普及，个体和群体的健康管理，重点人群与重点场所健康教育，宣传健康行为和生活方式等。负责指导、管理、考核各街道社区卫生服务站（村卫生室）的相关工作。</w:t>
      </w:r>
      <w:r>
        <w:rPr>
          <w:rFonts w:hint="eastAsia" w:ascii="仿宋" w:hAnsi="仿宋" w:eastAsia="仿宋" w:cs="仿宋"/>
          <w:color w:val="auto"/>
          <w:kern w:val="2"/>
          <w:sz w:val="27"/>
          <w:szCs w:val="27"/>
          <w:highlight w:val="none"/>
          <w:lang w:val="en-US" w:eastAsia="zh-CN" w:bidi="ar"/>
        </w:rPr>
        <w:t xml:space="preserve"> </w:t>
      </w:r>
    </w:p>
    <w:p>
      <w:pPr>
        <w:widowControl/>
        <w:spacing w:line="600" w:lineRule="exact"/>
        <w:ind w:firstLine="643" w:firstLineChars="200"/>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（二）机构设置</w:t>
      </w:r>
    </w:p>
    <w:p>
      <w:pPr>
        <w:spacing w:before="0" w:beforeAutospacing="0" w:after="1" w:afterAutospacing="0"/>
        <w:ind w:left="0" w:firstLine="628"/>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sz w:val="32"/>
          <w:szCs w:val="32"/>
          <w:highlight w:val="none"/>
        </w:rPr>
        <w:t>岳阳市岳阳楼区三眼桥街道社区卫生服中心公益一类事业单位，为正股级；事业核定编制40名，在职人员2</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人，退休人员18人，设主任(院长)1名</w:t>
      </w:r>
      <w:r>
        <w:rPr>
          <w:rFonts w:hint="eastAsia" w:ascii="仿宋" w:hAnsi="仿宋" w:eastAsia="仿宋" w:cs="仿宋"/>
          <w:color w:val="auto"/>
          <w:kern w:val="2"/>
          <w:sz w:val="32"/>
          <w:szCs w:val="32"/>
          <w:highlight w:val="none"/>
        </w:rPr>
        <w:t>。内设股室：</w:t>
      </w:r>
      <w:r>
        <w:rPr>
          <w:rFonts w:hint="eastAsia" w:ascii="仿宋" w:hAnsi="仿宋" w:eastAsia="仿宋" w:cs="仿宋"/>
          <w:color w:val="auto"/>
          <w:kern w:val="2"/>
          <w:sz w:val="32"/>
          <w:szCs w:val="32"/>
          <w:highlight w:val="none"/>
          <w:lang w:val="en-US" w:eastAsia="zh-CN"/>
        </w:rPr>
        <w:t>财务室、主任办公室、副主任办公室、综合办公室、收费室、工会办公室、中医诊室、心电图室、B超室、手术室、医生办公室、护理部、药房、会议室等。</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二、一般公共预算支出情况</w:t>
      </w:r>
    </w:p>
    <w:p>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(一)基本支出情况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 w:hAnsi="仿宋" w:eastAsia="仿宋" w:cs="仿宋"/>
          <w:color w:val="auto"/>
          <w:kern w:val="2"/>
          <w:sz w:val="32"/>
          <w:szCs w:val="32"/>
          <w:highlight w:val="none"/>
          <w:u w:val="none"/>
          <w:lang w:val="en-US" w:eastAsia="zh-CN"/>
        </w:rPr>
      </w:pPr>
      <w:r>
        <w:rPr>
          <w:rFonts w:hint="eastAsia" w:ascii="仿宋" w:hAnsi="仿宋" w:eastAsia="仿宋" w:cs="仿宋"/>
          <w:color w:val="auto"/>
          <w:kern w:val="2"/>
          <w:sz w:val="32"/>
          <w:szCs w:val="32"/>
          <w:highlight w:val="none"/>
          <w:u w:val="none"/>
          <w:lang w:val="en-US" w:eastAsia="zh-CN"/>
        </w:rPr>
        <w:t>2022年我单位基本支出是883.16万元，其中：人员经费：434.75万元，占基本支出的49.23%，主要是包括基本工资、绩效工资、机关事业单位养老保险缴费、职业年金缴费、职工基本医疗保险缴费、其他社会保险缴费、住房公积金；公用经费：448.41万元，占基本支出的50.77%，主要包括办公费、印刷费、水费、电费、邮电费、培训费、专用材料费、委托业务费、其他商品和服务支出。</w:t>
      </w:r>
    </w:p>
    <w:p>
      <w:pPr>
        <w:keepNext w:val="0"/>
        <w:keepLines w:val="0"/>
        <w:pageBreakBefore w:val="0"/>
        <w:widowControl w:val="0"/>
        <w:numPr>
          <w:ilvl w:val="0"/>
          <w:numId w:val="2"/>
        </w:numPr>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项目支出情况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lang w:val="en-US" w:eastAsia="zh-CN"/>
        </w:rPr>
      </w:pPr>
      <w:r>
        <w:rPr>
          <w:rFonts w:hint="eastAsia" w:ascii="仿宋" w:hAnsi="仿宋" w:eastAsia="仿宋" w:cs="仿宋"/>
          <w:color w:val="auto"/>
          <w:kern w:val="2"/>
          <w:sz w:val="32"/>
          <w:szCs w:val="32"/>
          <w:highlight w:val="none"/>
          <w:u w:val="none"/>
          <w:lang w:val="en-US" w:eastAsia="zh-CN"/>
        </w:rPr>
        <w:t>我单位2022年度无项目支出。</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三、政府性基金预算支出情况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 w:hAnsi="仿宋" w:eastAsia="仿宋" w:cs="仿宋"/>
          <w:color w:val="auto"/>
          <w:kern w:val="2"/>
          <w:sz w:val="32"/>
          <w:szCs w:val="32"/>
          <w:highlight w:val="none"/>
          <w:u w:val="none"/>
          <w:lang w:val="en-US" w:eastAsia="zh-CN"/>
        </w:rPr>
      </w:pPr>
      <w:r>
        <w:rPr>
          <w:rFonts w:hint="eastAsia" w:ascii="仿宋" w:hAnsi="仿宋" w:eastAsia="仿宋" w:cs="仿宋"/>
          <w:color w:val="auto"/>
          <w:kern w:val="2"/>
          <w:sz w:val="32"/>
          <w:szCs w:val="32"/>
          <w:highlight w:val="none"/>
          <w:u w:val="none"/>
          <w:lang w:val="en-US" w:eastAsia="zh-CN"/>
        </w:rPr>
        <w:t>我单位2022年度无政府性基金预算。</w:t>
      </w:r>
    </w:p>
    <w:p>
      <w:pPr>
        <w:keepNext w:val="0"/>
        <w:keepLines w:val="0"/>
        <w:pageBreakBefore w:val="0"/>
        <w:widowControl w:val="0"/>
        <w:numPr>
          <w:ilvl w:val="0"/>
          <w:numId w:val="3"/>
        </w:numPr>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auto"/>
          <w:kern w:val="2"/>
          <w:sz w:val="32"/>
          <w:szCs w:val="32"/>
          <w:highlight w:val="none"/>
          <w:u w:val="none"/>
          <w:lang w:val="en-US" w:eastAsia="zh-CN"/>
        </w:rPr>
        <w:t>我单位2022年度无国有资本经营预算。</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社会保险基金预算支出情况</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auto"/>
          <w:kern w:val="2"/>
          <w:sz w:val="32"/>
          <w:szCs w:val="32"/>
          <w:highlight w:val="none"/>
          <w:u w:val="none"/>
          <w:lang w:val="en-US" w:eastAsia="zh-CN"/>
        </w:rPr>
        <w:t>我单位2022年度无社会保险基金预算。</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六、部门整体支出绩效情况</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一、深化党建引领，凝聚发展合力</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i w:val="0"/>
          <w:iCs w:val="0"/>
          <w:caps w:val="0"/>
          <w:color w:val="000000"/>
          <w:spacing w:val="0"/>
          <w:kern w:val="21"/>
          <w:sz w:val="32"/>
          <w:szCs w:val="32"/>
          <w:highlight w:val="none"/>
          <w:shd w:val="clear" w:color="auto" w:fill="auto"/>
        </w:rPr>
      </w:pPr>
      <w:r>
        <w:rPr>
          <w:rFonts w:hint="eastAsia" w:ascii="仿宋_GB2312" w:hAnsi="仿宋_GB2312" w:eastAsia="仿宋_GB2312" w:cs="仿宋_GB2312"/>
          <w:b w:val="0"/>
          <w:bCs w:val="0"/>
          <w:kern w:val="2"/>
          <w:sz w:val="32"/>
          <w:szCs w:val="32"/>
          <w:lang w:val="en-US" w:eastAsia="zh-CN" w:bidi="ar-SA"/>
        </w:rPr>
        <w:t>中心党支部切实加强党的思想建设，作风建设、纪律建设以及制度建设，深入推进反腐败斗争，强化思想教育、坚定理想信念，不断提高党员理论素养和能力水平。</w:t>
      </w:r>
      <w:r>
        <w:rPr>
          <w:rFonts w:hint="eastAsia" w:ascii="仿宋_GB2312" w:hAnsi="仿宋_GB2312" w:eastAsia="仿宋_GB2312" w:cs="仿宋_GB2312"/>
          <w:b/>
          <w:bCs/>
          <w:kern w:val="2"/>
          <w:sz w:val="32"/>
          <w:szCs w:val="32"/>
          <w:lang w:val="en-US" w:eastAsia="zh-CN" w:bidi="ar-SA"/>
        </w:rPr>
        <w:t>1、主题党日活动更丰富。</w:t>
      </w:r>
      <w:r>
        <w:rPr>
          <w:rFonts w:hint="eastAsia" w:ascii="仿宋_GB2312" w:hAnsi="仿宋_GB2312" w:eastAsia="仿宋_GB2312" w:cs="仿宋_GB2312"/>
          <w:b w:val="0"/>
          <w:bCs w:val="0"/>
          <w:kern w:val="2"/>
          <w:sz w:val="32"/>
          <w:szCs w:val="32"/>
          <w:lang w:val="en-US" w:eastAsia="zh-CN" w:bidi="ar-SA"/>
        </w:rPr>
        <w:t>坚持每月一计划每月一主题，确保主题党日不跑偏。深化拓展学习内容，引深“两比一争”主题活动，开展“扫雪除冰保平安”、“红色基地缅先烈”以及“交通劝导促文明”等多形式主题党日活动，进一步丰富拓展党内生活载体形式，激励引导广大党员建工新时代，奋进新征程。</w:t>
      </w:r>
      <w:r>
        <w:rPr>
          <w:rFonts w:hint="eastAsia" w:ascii="仿宋_GB2312" w:hAnsi="仿宋_GB2312" w:eastAsia="仿宋_GB2312" w:cs="仿宋_GB2312"/>
          <w:b/>
          <w:bCs/>
          <w:kern w:val="2"/>
          <w:sz w:val="32"/>
          <w:szCs w:val="32"/>
          <w:lang w:val="en-US" w:eastAsia="zh-CN" w:bidi="ar-SA"/>
        </w:rPr>
        <w:t>2、主题学习教育更健全。</w:t>
      </w:r>
      <w:r>
        <w:rPr>
          <w:rFonts w:hint="eastAsia" w:ascii="仿宋_GB2312" w:hAnsi="仿宋_GB2312" w:eastAsia="仿宋_GB2312" w:cs="仿宋_GB2312"/>
          <w:i w:val="0"/>
          <w:iCs w:val="0"/>
          <w:caps w:val="0"/>
          <w:color w:val="000000"/>
          <w:spacing w:val="0"/>
          <w:kern w:val="21"/>
          <w:sz w:val="32"/>
          <w:szCs w:val="32"/>
          <w:highlight w:val="none"/>
          <w:shd w:val="clear" w:color="auto" w:fill="auto"/>
        </w:rPr>
        <w:t>深入开展“党支部亮旗帜、组织生活亮规矩、党员示范亮身份、党建阵地亮形象”为主要内容的“四亮”主题活动</w:t>
      </w:r>
      <w:r>
        <w:rPr>
          <w:rFonts w:hint="eastAsia" w:ascii="仿宋_GB2312" w:hAnsi="仿宋_GB2312" w:eastAsia="仿宋_GB2312" w:cs="仿宋_GB2312"/>
          <w:i w:val="0"/>
          <w:iCs w:val="0"/>
          <w:caps w:val="0"/>
          <w:color w:val="000000"/>
          <w:spacing w:val="0"/>
          <w:kern w:val="21"/>
          <w:sz w:val="32"/>
          <w:szCs w:val="32"/>
          <w:highlight w:val="none"/>
          <w:shd w:val="clear" w:color="auto" w:fill="auto"/>
          <w:lang w:eastAsia="zh-CN"/>
        </w:rPr>
        <w:t>。</w:t>
      </w:r>
      <w:r>
        <w:rPr>
          <w:rFonts w:hint="eastAsia" w:ascii="仿宋_GB2312" w:hAnsi="仿宋_GB2312" w:eastAsia="仿宋_GB2312" w:cs="仿宋_GB2312"/>
          <w:sz w:val="32"/>
          <w:szCs w:val="32"/>
          <w:lang w:val="en-US" w:eastAsia="zh-CN"/>
        </w:rPr>
        <w:t>严格落实党支部议事民主决策制度，切实增强“三重一大”执行手段，持续落实“三会一课”等</w:t>
      </w:r>
      <w:r>
        <w:rPr>
          <w:rFonts w:hint="eastAsia" w:ascii="仿宋_GB2312" w:hAnsi="仿宋_GB2312" w:eastAsia="仿宋_GB2312" w:cs="仿宋_GB2312"/>
          <w:i w:val="0"/>
          <w:iCs w:val="0"/>
          <w:caps w:val="0"/>
          <w:color w:val="000000"/>
          <w:spacing w:val="0"/>
          <w:kern w:val="21"/>
          <w:sz w:val="32"/>
          <w:szCs w:val="32"/>
          <w:highlight w:val="none"/>
          <w:shd w:val="clear" w:color="auto" w:fill="auto"/>
          <w:lang w:val="en-US" w:eastAsia="zh-CN"/>
        </w:rPr>
        <w:t>各项制度，增强党内生活政治性、原则性、战斗性。</w:t>
      </w:r>
      <w:r>
        <w:rPr>
          <w:rFonts w:hint="eastAsia" w:ascii="仿宋_GB2312" w:hAnsi="仿宋_GB2312" w:eastAsia="仿宋_GB2312" w:cs="仿宋_GB2312"/>
          <w:i w:val="0"/>
          <w:iCs w:val="0"/>
          <w:caps w:val="0"/>
          <w:color w:val="000000"/>
          <w:spacing w:val="0"/>
          <w:kern w:val="21"/>
          <w:sz w:val="32"/>
          <w:szCs w:val="32"/>
          <w:highlight w:val="none"/>
          <w:shd w:val="clear" w:color="auto" w:fill="auto"/>
        </w:rPr>
        <w:t>以学习宣传贯彻党的二十大精神为主题，以加强干部理论武装和清廉文化教育为抓手，推动党的二十大精神走心走深走实，激励青年干部以更加饱满的精神状态努力奋斗、笃定前行，奋力谱写街道发展新篇章。</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lang w:val="en-US" w:eastAsia="zh-CN"/>
        </w:rPr>
        <w:t>完善服务机制，提升保障水平</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val="en-US" w:eastAsia="zh-CN"/>
        </w:rPr>
        <w:t>（一）扎实开展公卫项目。</w:t>
      </w:r>
      <w:r>
        <w:rPr>
          <w:rFonts w:hint="eastAsia" w:ascii="仿宋_GB2312" w:hAnsi="仿宋_GB2312" w:eastAsia="仿宋_GB2312" w:cs="仿宋_GB2312"/>
          <w:b w:val="0"/>
          <w:bCs w:val="0"/>
          <w:sz w:val="32"/>
          <w:szCs w:val="32"/>
          <w:lang w:eastAsia="zh-CN"/>
        </w:rPr>
        <w:t>本年度累计建立居民健康档案1156份；新增高血压管理档案1417份，累计在管3942人，完成率100%；Ⅱ型糖尿病新增档案508份，累计在管1445人，完成率100%；国网系统内严重精神障碍患者管理档案221份，建卡率86.63%；孕产妇健康管理119人，建卡率100 %；0—6岁儿童新增建卡206人，累计在管2684人；一类疫苗接种5640针次，二类疫苗接种13701针次；老年人体检4356人，完成体检率95.48%, 老年人中医药健康管理4322人，管理率94.73%；0-36月儿童中医药健康管理910人，管理率100%；开展家庭医生签约18900人。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bCs/>
          <w:kern w:val="0"/>
          <w:sz w:val="32"/>
          <w:szCs w:val="32"/>
          <w:lang w:val="en-US" w:eastAsia="zh-CN"/>
        </w:rPr>
        <w:t>（二）省级惠民服务项目。</w:t>
      </w:r>
      <w:r>
        <w:rPr>
          <w:rFonts w:hint="eastAsia" w:ascii="仿宋_GB2312" w:hAnsi="仿宋_GB2312" w:eastAsia="仿宋_GB2312" w:cs="仿宋_GB2312"/>
          <w:b w:val="0"/>
          <w:bCs w:val="0"/>
          <w:sz w:val="32"/>
          <w:szCs w:val="32"/>
          <w:lang w:eastAsia="zh-CN"/>
        </w:rPr>
        <w:t>承接了省级心血管及其危险因素监测、上消化道癌、城癌项目以及两病项目，</w:t>
      </w:r>
      <w:r>
        <w:rPr>
          <w:rFonts w:hint="eastAsia" w:ascii="仿宋_GB2312" w:hAnsi="仿宋_GB2312" w:eastAsia="仿宋_GB2312" w:cs="仿宋_GB2312"/>
          <w:b w:val="0"/>
          <w:bCs w:val="0"/>
          <w:sz w:val="32"/>
          <w:szCs w:val="32"/>
          <w:u w:val="none"/>
          <w:lang w:eastAsia="zh-CN"/>
        </w:rPr>
        <w:t>共开展284人心血管筛查，上消化道筛查 2323 人。</w:t>
      </w:r>
    </w:p>
    <w:p>
      <w:pPr>
        <w:pStyle w:val="3"/>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（三）提升慢病防控能力。</w:t>
      </w:r>
      <w:r>
        <w:rPr>
          <w:rFonts w:hint="eastAsia" w:ascii="仿宋_GB2312" w:hAnsi="仿宋_GB2312" w:eastAsia="仿宋_GB2312" w:cs="仿宋_GB2312"/>
          <w:b w:val="0"/>
          <w:bCs w:val="0"/>
          <w:kern w:val="2"/>
          <w:sz w:val="32"/>
          <w:szCs w:val="32"/>
          <w:lang w:val="en-US" w:eastAsia="zh-CN" w:bidi="ar-SA"/>
        </w:rPr>
        <w:t>开展DPCC糖尿病标准化防控管理工作，建立集“防治管教”于一体的一站式DPCC糖尿病专病门诊，结合标准化的诊疗管理路径，践行“全人群覆盖、全病程管理、全因素分析”的糖尿病标准化防控管理新模式。</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（四）大幅提升医疗业务水平。</w:t>
      </w:r>
      <w:r>
        <w:rPr>
          <w:rFonts w:hint="eastAsia" w:ascii="仿宋_GB2312" w:hAnsi="仿宋_GB2312" w:eastAsia="仿宋_GB2312" w:cs="仿宋_GB2312"/>
          <w:b w:val="0"/>
          <w:bCs w:val="0"/>
          <w:sz w:val="32"/>
          <w:szCs w:val="32"/>
          <w:lang w:val="en-US" w:eastAsia="zh-CN"/>
        </w:rPr>
        <w:t>2022年（1月-12月）全年医疗</w:t>
      </w:r>
      <w:r>
        <w:rPr>
          <w:rFonts w:hint="eastAsia" w:ascii="仿宋_GB2312" w:hAnsi="仿宋_GB2312" w:eastAsia="仿宋_GB2312" w:cs="仿宋_GB2312"/>
          <w:b w:val="0"/>
          <w:bCs w:val="0"/>
          <w:sz w:val="32"/>
          <w:szCs w:val="32"/>
          <w:lang w:eastAsia="zh-CN"/>
        </w:rPr>
        <w:t>业务总收入达</w:t>
      </w:r>
      <w:r>
        <w:rPr>
          <w:rFonts w:hint="eastAsia" w:ascii="仿宋_GB2312" w:hAnsi="仿宋_GB2312" w:eastAsia="仿宋_GB2312" w:cs="仿宋_GB2312"/>
          <w:b w:val="0"/>
          <w:bCs w:val="0"/>
          <w:sz w:val="32"/>
          <w:szCs w:val="32"/>
          <w:lang w:val="en-US" w:eastAsia="zh-CN"/>
        </w:rPr>
        <w:t>990</w:t>
      </w:r>
      <w:r>
        <w:rPr>
          <w:rFonts w:hint="eastAsia" w:ascii="仿宋_GB2312" w:hAnsi="仿宋_GB2312" w:eastAsia="仿宋_GB2312" w:cs="仿宋_GB2312"/>
          <w:b w:val="0"/>
          <w:bCs w:val="0"/>
          <w:sz w:val="32"/>
          <w:szCs w:val="32"/>
          <w:lang w:eastAsia="zh-CN"/>
        </w:rPr>
        <w:t>万元，同比增长</w:t>
      </w:r>
      <w:r>
        <w:rPr>
          <w:rFonts w:hint="eastAsia" w:ascii="仿宋_GB2312" w:hAnsi="仿宋_GB2312" w:eastAsia="仿宋_GB2312" w:cs="仿宋_GB2312"/>
          <w:b w:val="0"/>
          <w:bCs w:val="0"/>
          <w:sz w:val="32"/>
          <w:szCs w:val="32"/>
          <w:lang w:val="en-US" w:eastAsia="zh-CN"/>
        </w:rPr>
        <w:t>197</w:t>
      </w:r>
      <w:r>
        <w:rPr>
          <w:rFonts w:hint="eastAsia" w:ascii="仿宋_GB2312" w:hAnsi="仿宋_GB2312" w:eastAsia="仿宋_GB2312" w:cs="仿宋_GB2312"/>
          <w:b w:val="0"/>
          <w:bCs w:val="0"/>
          <w:sz w:val="32"/>
          <w:szCs w:val="32"/>
          <w:lang w:eastAsia="zh-CN"/>
        </w:rPr>
        <w:t>万元，增长率</w:t>
      </w:r>
      <w:r>
        <w:rPr>
          <w:rFonts w:hint="eastAsia" w:ascii="仿宋_GB2312" w:hAnsi="仿宋_GB2312" w:eastAsia="仿宋_GB2312" w:cs="仿宋_GB2312"/>
          <w:b w:val="0"/>
          <w:bCs w:val="0"/>
          <w:sz w:val="32"/>
          <w:szCs w:val="32"/>
          <w:lang w:val="en-US" w:eastAsia="zh-CN"/>
        </w:rPr>
        <w:t>25</w:t>
      </w:r>
      <w:r>
        <w:rPr>
          <w:rFonts w:hint="eastAsia" w:ascii="仿宋_GB2312" w:hAnsi="仿宋_GB2312" w:eastAsia="仿宋_GB2312" w:cs="仿宋_GB2312"/>
          <w:b w:val="0"/>
          <w:bCs w:val="0"/>
          <w:sz w:val="32"/>
          <w:szCs w:val="32"/>
          <w:lang w:eastAsia="zh-CN"/>
        </w:rPr>
        <w:t>％；其中门诊收入</w:t>
      </w:r>
      <w:r>
        <w:rPr>
          <w:rFonts w:hint="eastAsia" w:ascii="仿宋_GB2312" w:hAnsi="仿宋_GB2312" w:eastAsia="仿宋_GB2312" w:cs="仿宋_GB2312"/>
          <w:b w:val="0"/>
          <w:bCs w:val="0"/>
          <w:sz w:val="32"/>
          <w:szCs w:val="32"/>
          <w:lang w:val="en-US" w:eastAsia="zh-CN"/>
        </w:rPr>
        <w:t>836</w:t>
      </w:r>
      <w:r>
        <w:rPr>
          <w:rFonts w:hint="eastAsia" w:ascii="仿宋_GB2312" w:hAnsi="仿宋_GB2312" w:eastAsia="仿宋_GB2312" w:cs="仿宋_GB2312"/>
          <w:b w:val="0"/>
          <w:bCs w:val="0"/>
          <w:sz w:val="32"/>
          <w:szCs w:val="32"/>
          <w:lang w:eastAsia="zh-CN"/>
        </w:rPr>
        <w:t>万元，同比增长</w:t>
      </w:r>
      <w:r>
        <w:rPr>
          <w:rFonts w:hint="eastAsia" w:ascii="仿宋_GB2312" w:hAnsi="仿宋_GB2312" w:eastAsia="仿宋_GB2312" w:cs="仿宋_GB2312"/>
          <w:b w:val="0"/>
          <w:bCs w:val="0"/>
          <w:sz w:val="32"/>
          <w:szCs w:val="32"/>
          <w:lang w:val="en-US" w:eastAsia="zh-CN"/>
        </w:rPr>
        <w:t>244</w:t>
      </w:r>
      <w:r>
        <w:rPr>
          <w:rFonts w:hint="eastAsia" w:ascii="仿宋_GB2312" w:hAnsi="仿宋_GB2312" w:eastAsia="仿宋_GB2312" w:cs="仿宋_GB2312"/>
          <w:b w:val="0"/>
          <w:bCs w:val="0"/>
          <w:sz w:val="32"/>
          <w:szCs w:val="32"/>
          <w:lang w:eastAsia="zh-CN"/>
        </w:rPr>
        <w:t>万元，增长率4</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％；门诊人次</w:t>
      </w:r>
      <w:r>
        <w:rPr>
          <w:rFonts w:hint="eastAsia" w:ascii="仿宋_GB2312" w:hAnsi="仿宋_GB2312" w:eastAsia="仿宋_GB2312" w:cs="仿宋_GB2312"/>
          <w:b w:val="0"/>
          <w:bCs w:val="0"/>
          <w:sz w:val="32"/>
          <w:szCs w:val="32"/>
          <w:lang w:val="en-US" w:eastAsia="zh-CN"/>
        </w:rPr>
        <w:t>45846，</w:t>
      </w:r>
      <w:r>
        <w:rPr>
          <w:rFonts w:hint="eastAsia" w:ascii="仿宋_GB2312" w:hAnsi="仿宋_GB2312" w:eastAsia="仿宋_GB2312" w:cs="仿宋_GB2312"/>
          <w:b w:val="0"/>
          <w:bCs w:val="0"/>
          <w:sz w:val="32"/>
          <w:szCs w:val="32"/>
          <w:lang w:eastAsia="zh-CN"/>
        </w:rPr>
        <w:t>同比增长</w:t>
      </w:r>
      <w:r>
        <w:rPr>
          <w:rFonts w:hint="eastAsia" w:ascii="仿宋_GB2312" w:hAnsi="仿宋_GB2312" w:eastAsia="仿宋_GB2312" w:cs="仿宋_GB2312"/>
          <w:b w:val="0"/>
          <w:bCs w:val="0"/>
          <w:sz w:val="32"/>
          <w:szCs w:val="32"/>
          <w:lang w:val="en-US" w:eastAsia="zh-CN"/>
        </w:rPr>
        <w:t>4706人</w:t>
      </w:r>
      <w:r>
        <w:rPr>
          <w:rFonts w:hint="eastAsia" w:ascii="仿宋_GB2312" w:hAnsi="仿宋_GB2312" w:eastAsia="仿宋_GB2312" w:cs="仿宋_GB2312"/>
          <w:b w:val="0"/>
          <w:bCs w:val="0"/>
          <w:sz w:val="32"/>
          <w:szCs w:val="32"/>
          <w:lang w:eastAsia="zh-CN"/>
        </w:rPr>
        <w:t>，增长率</w:t>
      </w: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住院收入</w:t>
      </w:r>
      <w:r>
        <w:rPr>
          <w:rFonts w:hint="eastAsia" w:ascii="仿宋_GB2312" w:hAnsi="仿宋_GB2312" w:eastAsia="仿宋_GB2312" w:cs="仿宋_GB2312"/>
          <w:b w:val="0"/>
          <w:bCs w:val="0"/>
          <w:sz w:val="32"/>
          <w:szCs w:val="32"/>
          <w:lang w:val="en-US" w:eastAsia="zh-CN"/>
        </w:rPr>
        <w:t>152万，受疫情影响，门诊就诊占比幅度提升</w:t>
      </w:r>
      <w:r>
        <w:rPr>
          <w:rFonts w:hint="eastAsia" w:ascii="仿宋_GB2312" w:hAnsi="仿宋_GB2312" w:eastAsia="仿宋_GB2312" w:cs="仿宋_GB2312"/>
          <w:b w:val="0"/>
          <w:bCs w:val="0"/>
          <w:sz w:val="32"/>
          <w:szCs w:val="32"/>
          <w:lang w:eastAsia="zh-CN"/>
        </w:rPr>
        <w:t>。</w:t>
      </w:r>
    </w:p>
    <w:p>
      <w:pPr>
        <w:pStyle w:val="3"/>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黑体" w:hAnsi="黑体" w:eastAsia="黑体" w:cs="黑体"/>
          <w:lang w:val="en-US" w:eastAsia="zh-CN"/>
        </w:rPr>
      </w:pPr>
      <w:r>
        <w:rPr>
          <w:rFonts w:hint="eastAsia" w:ascii="黑体" w:hAnsi="黑体" w:eastAsia="黑体" w:cs="黑体"/>
          <w:i w:val="0"/>
          <w:iCs w:val="0"/>
          <w:caps w:val="0"/>
          <w:color w:val="000000"/>
          <w:spacing w:val="0"/>
          <w:kern w:val="21"/>
          <w:sz w:val="32"/>
          <w:szCs w:val="32"/>
          <w:highlight w:val="none"/>
          <w:shd w:val="clear" w:color="auto" w:fill="auto"/>
          <w:lang w:eastAsia="zh-CN"/>
        </w:rPr>
        <w:t>三、筑牢安全责任，提升防范意识</w:t>
      </w:r>
    </w:p>
    <w:p>
      <w:pPr>
        <w:keepNext w:val="0"/>
        <w:keepLines w:val="0"/>
        <w:pageBreakBefore w:val="0"/>
        <w:widowControl w:val="0"/>
        <w:kinsoku/>
        <w:wordWrap/>
        <w:overflowPunct/>
        <w:topLinePunct w:val="0"/>
        <w:autoSpaceDE/>
        <w:autoSpaceDN/>
        <w:bidi w:val="0"/>
        <w:adjustRightInd/>
        <w:snapToGrid/>
        <w:spacing w:line="600" w:lineRule="exact"/>
        <w:ind w:left="0" w:right="0"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着眼于“严”，绷紧安全生产“弦”。</w:t>
      </w:r>
      <w:r>
        <w:rPr>
          <w:rFonts w:hint="eastAsia" w:ascii="仿宋_GB2312" w:hAnsi="仿宋_GB2312" w:eastAsia="仿宋_GB2312" w:cs="仿宋_GB2312"/>
          <w:b w:val="0"/>
          <w:bCs w:val="0"/>
          <w:sz w:val="32"/>
          <w:szCs w:val="32"/>
          <w:lang w:eastAsia="zh-CN"/>
        </w:rPr>
        <w:t>坚持从讲觉悟，促稳定、促发展的高度来抓安全生产工作，始终坚持“安全第一、预防为主、综合治理”的工作方针，对有关安全生产的文件通知，及时召开专题学习会，将文件精神落实到日常工作中来。通过开展各项学习宣传、应急救援及消防演练，组织收看安全生产知识《生命重于泰山--学习习近平总书记关于安全生产重要论述》电视专题片和《不可逾越的红线》警示教育片，促使安全生产工作深入人心。</w:t>
      </w:r>
      <w:r>
        <w:rPr>
          <w:rFonts w:hint="eastAsia" w:ascii="仿宋_GB2312" w:hAnsi="仿宋_GB2312" w:eastAsia="仿宋_GB2312" w:cs="仿宋_GB2312"/>
          <w:b/>
          <w:bCs/>
          <w:sz w:val="32"/>
          <w:szCs w:val="32"/>
          <w:lang w:val="en-US" w:eastAsia="zh-CN"/>
        </w:rPr>
        <w:t>2、着眼于“细”，织密安全管理“网”</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强化组织领导，建立安全生产责任清单。层层签订安全生产责任书，医疗安全与质量责任书，明确安全生产责任及任务，班子成员每月针对性开展线路排查，消防设施维护，网络安全管理等专项安全检查，发现问题及时解决和整改，全提高全员的安全意识，在职工群实行消防安全“日提醒制”，广泛开展安全生产及消防安全集中培训教育，不断提高全体医务人员安全生产意识和技能。</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四、筑牢防疫屏障，夯实战役堡垒</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b/>
          <w:bCs/>
          <w:sz w:val="32"/>
          <w:szCs w:val="32"/>
          <w:lang w:val="en-US" w:eastAsia="zh-CN"/>
        </w:rPr>
        <w:t>一是加强领导，健全机制。1、</w:t>
      </w:r>
      <w:r>
        <w:rPr>
          <w:rFonts w:hint="eastAsia" w:ascii="仿宋_GB2312" w:hAnsi="仿宋_GB2312" w:eastAsia="仿宋_GB2312" w:cs="仿宋_GB2312"/>
          <w:sz w:val="32"/>
          <w:szCs w:val="32"/>
          <w:lang w:val="en-US" w:eastAsia="zh-CN"/>
        </w:rPr>
        <w:t>严格贯彻落实各级防控指挥部下发的有关疫情防控工作相关文件规定，派出8名医务人员前往隔离酒店值班值守。</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发挥疫情防控“探头”作用，做好就诊人员健康码、行程码查验，建立双通道。</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val="0"/>
          <w:color w:val="000000"/>
          <w:sz w:val="32"/>
          <w:szCs w:val="32"/>
        </w:rPr>
        <w:t>对防控工作相关业务知识，业务技能，个人防护等知识进行全方位、分层次的培训，</w:t>
      </w:r>
      <w:r>
        <w:rPr>
          <w:rFonts w:hint="eastAsia" w:ascii="仿宋_GB2312" w:hAnsi="仿宋_GB2312" w:eastAsia="仿宋_GB2312" w:cs="仿宋_GB2312"/>
          <w:b w:val="0"/>
          <w:color w:val="000000"/>
          <w:sz w:val="32"/>
          <w:szCs w:val="32"/>
          <w:lang w:eastAsia="zh-CN"/>
        </w:rPr>
        <w:t>采取线上线下相结合的方式</w:t>
      </w:r>
      <w:r>
        <w:rPr>
          <w:rFonts w:hint="eastAsia" w:ascii="仿宋_GB2312" w:hAnsi="仿宋_GB2312" w:eastAsia="仿宋_GB2312" w:cs="仿宋_GB2312"/>
          <w:b w:val="0"/>
          <w:color w:val="000000"/>
          <w:sz w:val="32"/>
          <w:szCs w:val="32"/>
        </w:rPr>
        <w:t>先后组织集中培训</w:t>
      </w:r>
      <w:r>
        <w:rPr>
          <w:rFonts w:hint="eastAsia" w:ascii="仿宋_GB2312" w:hAnsi="仿宋_GB2312" w:eastAsia="仿宋_GB2312" w:cs="仿宋_GB2312"/>
          <w:b w:val="0"/>
          <w:color w:val="000000"/>
          <w:sz w:val="32"/>
          <w:szCs w:val="32"/>
          <w:lang w:val="en-US" w:eastAsia="zh-CN"/>
        </w:rPr>
        <w:t>50余</w:t>
      </w:r>
      <w:r>
        <w:rPr>
          <w:rFonts w:hint="eastAsia" w:ascii="仿宋_GB2312" w:hAnsi="仿宋_GB2312" w:eastAsia="仿宋_GB2312" w:cs="仿宋_GB2312"/>
          <w:b w:val="0"/>
          <w:color w:val="000000"/>
          <w:sz w:val="32"/>
          <w:szCs w:val="32"/>
        </w:rPr>
        <w:t>次，应急演练</w:t>
      </w:r>
      <w:r>
        <w:rPr>
          <w:rFonts w:hint="eastAsia" w:ascii="仿宋_GB2312" w:hAnsi="仿宋_GB2312" w:eastAsia="仿宋_GB2312" w:cs="仿宋_GB2312"/>
          <w:b w:val="0"/>
          <w:color w:val="000000"/>
          <w:sz w:val="32"/>
          <w:szCs w:val="32"/>
          <w:lang w:val="en-US" w:eastAsia="zh-CN"/>
        </w:rPr>
        <w:t>9</w:t>
      </w:r>
      <w:r>
        <w:rPr>
          <w:rFonts w:hint="eastAsia" w:ascii="仿宋_GB2312" w:hAnsi="仿宋_GB2312" w:eastAsia="仿宋_GB2312" w:cs="仿宋_GB2312"/>
          <w:b w:val="0"/>
          <w:color w:val="000000"/>
          <w:sz w:val="32"/>
          <w:szCs w:val="32"/>
        </w:rPr>
        <w:t>次、分批分次进行理论考试</w:t>
      </w:r>
      <w:r>
        <w:rPr>
          <w:rFonts w:hint="eastAsia" w:ascii="仿宋_GB2312" w:hAnsi="仿宋_GB2312" w:eastAsia="仿宋_GB2312" w:cs="仿宋_GB2312"/>
          <w:b w:val="0"/>
          <w:color w:val="000000"/>
          <w:sz w:val="32"/>
          <w:szCs w:val="32"/>
          <w:lang w:val="en-US" w:eastAsia="zh-CN"/>
        </w:rPr>
        <w:t>9</w:t>
      </w:r>
      <w:r>
        <w:rPr>
          <w:rFonts w:hint="eastAsia" w:ascii="仿宋_GB2312" w:hAnsi="仿宋_GB2312" w:eastAsia="仿宋_GB2312" w:cs="仿宋_GB2312"/>
          <w:b w:val="0"/>
          <w:color w:val="000000"/>
          <w:sz w:val="32"/>
          <w:szCs w:val="32"/>
        </w:rPr>
        <w:t>次、正确穿脱防护服现场考试</w:t>
      </w:r>
      <w:r>
        <w:rPr>
          <w:rFonts w:hint="eastAsia" w:ascii="仿宋_GB2312" w:hAnsi="仿宋_GB2312" w:eastAsia="仿宋_GB2312" w:cs="仿宋_GB2312"/>
          <w:b w:val="0"/>
          <w:color w:val="000000"/>
          <w:sz w:val="32"/>
          <w:szCs w:val="32"/>
          <w:lang w:val="en-US" w:eastAsia="zh-CN"/>
        </w:rPr>
        <w:t>8</w:t>
      </w:r>
      <w:r>
        <w:rPr>
          <w:rFonts w:hint="eastAsia" w:ascii="仿宋_GB2312" w:hAnsi="仿宋_GB2312" w:eastAsia="仿宋_GB2312" w:cs="仿宋_GB2312"/>
          <w:b w:val="0"/>
          <w:color w:val="000000"/>
          <w:sz w:val="32"/>
          <w:szCs w:val="32"/>
        </w:rPr>
        <w:t>次，</w:t>
      </w:r>
      <w:r>
        <w:rPr>
          <w:rFonts w:hint="eastAsia" w:ascii="仿宋_GB2312" w:hAnsi="仿宋_GB2312" w:eastAsia="仿宋_GB2312" w:cs="仿宋_GB2312"/>
          <w:b w:val="0"/>
          <w:color w:val="000000"/>
          <w:sz w:val="32"/>
          <w:szCs w:val="32"/>
          <w:lang w:eastAsia="zh-CN"/>
        </w:rPr>
        <w:t>核酸标本采集技术考核</w:t>
      </w:r>
      <w:r>
        <w:rPr>
          <w:rFonts w:hint="eastAsia" w:ascii="仿宋_GB2312" w:hAnsi="仿宋_GB2312" w:eastAsia="仿宋_GB2312" w:cs="仿宋_GB2312"/>
          <w:b w:val="0"/>
          <w:color w:val="000000"/>
          <w:sz w:val="32"/>
          <w:szCs w:val="32"/>
          <w:lang w:val="en-US" w:eastAsia="zh-CN"/>
        </w:rPr>
        <w:t>7次</w:t>
      </w:r>
      <w:r>
        <w:rPr>
          <w:rFonts w:hint="eastAsia" w:ascii="仿宋_GB2312" w:hAnsi="仿宋_GB2312" w:eastAsia="仿宋_GB2312" w:cs="仿宋_GB2312"/>
          <w:b w:val="0"/>
          <w:color w:val="000000"/>
          <w:sz w:val="32"/>
          <w:szCs w:val="32"/>
        </w:rPr>
        <w:t>。</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二是突出重点，拉网排查。1、</w:t>
      </w:r>
      <w:r>
        <w:rPr>
          <w:rFonts w:hint="eastAsia" w:ascii="仿宋_GB2312" w:hAnsi="仿宋_GB2312" w:eastAsia="仿宋_GB2312" w:cs="仿宋_GB2312"/>
          <w:b w:val="0"/>
          <w:bCs w:val="0"/>
          <w:color w:val="000000"/>
          <w:sz w:val="32"/>
          <w:szCs w:val="32"/>
          <w:lang w:eastAsia="zh-CN"/>
        </w:rPr>
        <w:t>中心建立日巡查机制，</w:t>
      </w:r>
      <w:r>
        <w:rPr>
          <w:rFonts w:hint="eastAsia" w:ascii="仿宋_GB2312" w:hAnsi="仿宋_GB2312" w:eastAsia="仿宋_GB2312" w:cs="仿宋_GB2312"/>
          <w:b w:val="0"/>
          <w:bCs w:val="0"/>
          <w:sz w:val="32"/>
          <w:szCs w:val="32"/>
          <w:lang w:val="en-US" w:eastAsia="zh-CN"/>
        </w:rPr>
        <w:t>开展院感督查780次，中心护士长及卫生协管</w:t>
      </w:r>
      <w:r>
        <w:rPr>
          <w:rFonts w:hint="eastAsia" w:ascii="仿宋_GB2312" w:hAnsi="仿宋_GB2312" w:eastAsia="仿宋_GB2312" w:cs="仿宋_GB2312"/>
          <w:b w:val="0"/>
          <w:bCs w:val="0"/>
          <w:sz w:val="32"/>
          <w:szCs w:val="32"/>
          <w:lang w:eastAsia="zh-CN"/>
        </w:rPr>
        <w:t>对辖区内医疗机构院感督导</w:t>
      </w:r>
      <w:r>
        <w:rPr>
          <w:rFonts w:hint="eastAsia" w:ascii="仿宋_GB2312" w:hAnsi="仿宋_GB2312" w:eastAsia="仿宋_GB2312" w:cs="仿宋_GB2312"/>
          <w:b w:val="0"/>
          <w:bCs w:val="0"/>
          <w:sz w:val="32"/>
          <w:szCs w:val="32"/>
          <w:lang w:val="en-US" w:eastAsia="zh-CN"/>
        </w:rPr>
        <w:t>60次，召集负责人院感及新冠知识培训9次</w:t>
      </w:r>
      <w:r>
        <w:rPr>
          <w:rFonts w:hint="eastAsia" w:ascii="仿宋_GB2312" w:hAnsi="仿宋_GB2312" w:eastAsia="仿宋_GB2312" w:cs="仿宋_GB2312"/>
          <w:b w:val="0"/>
          <w:color w:val="000000"/>
          <w:sz w:val="32"/>
          <w:szCs w:val="32"/>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val="0"/>
          <w:bCs w:val="0"/>
          <w:sz w:val="32"/>
          <w:szCs w:val="32"/>
          <w:lang w:val="en-US" w:eastAsia="zh-CN"/>
        </w:rPr>
        <w:t>新增医疗废物暂存处1间，按《医疗废物管理条例》、《医疗卫生机构医疗废物管理办法》有关规定，将涉及到新冠的所有医疗废物与普通医疗废物分开存放，规范处置医疗废物。</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三是凝聚合力，勇担重任。1、</w:t>
      </w:r>
      <w:r>
        <w:rPr>
          <w:rFonts w:hint="eastAsia" w:ascii="仿宋_GB2312" w:hAnsi="仿宋_GB2312" w:eastAsia="仿宋_GB2312" w:cs="仿宋_GB2312"/>
          <w:sz w:val="32"/>
          <w:szCs w:val="32"/>
          <w:lang w:val="en-US" w:eastAsia="zh-CN"/>
        </w:rPr>
        <w:t>加强全员核酸采集健康监测，开展辖区内19所学校及托幼机构全覆盖核算采样，开启24小时核酸采样点，辖区内</w:t>
      </w:r>
      <w:r>
        <w:rPr>
          <w:rFonts w:hint="eastAsia" w:ascii="仿宋_GB2312" w:hAnsi="仿宋_GB2312" w:eastAsia="仿宋_GB2312" w:cs="仿宋_GB2312"/>
          <w:sz w:val="32"/>
          <w:szCs w:val="32"/>
          <w:lang w:eastAsia="zh-CN"/>
        </w:rPr>
        <w:t>设置</w:t>
      </w:r>
      <w:r>
        <w:rPr>
          <w:rFonts w:hint="eastAsia" w:ascii="仿宋_GB2312" w:hAnsi="仿宋_GB2312" w:eastAsia="仿宋_GB2312" w:cs="仿宋_GB2312"/>
          <w:sz w:val="32"/>
          <w:szCs w:val="32"/>
          <w:lang w:val="en-US" w:eastAsia="zh-CN"/>
        </w:rPr>
        <w:t>8个</w:t>
      </w:r>
      <w:r>
        <w:rPr>
          <w:rFonts w:hint="eastAsia" w:ascii="仿宋_GB2312" w:hAnsi="仿宋_GB2312" w:eastAsia="仿宋_GB2312" w:cs="仿宋_GB2312"/>
          <w:sz w:val="32"/>
          <w:szCs w:val="32"/>
          <w:lang w:eastAsia="zh-CN"/>
        </w:rPr>
        <w:t>便民采样点</w:t>
      </w:r>
      <w:r>
        <w:rPr>
          <w:rFonts w:hint="eastAsia" w:ascii="仿宋_GB2312" w:hAnsi="仿宋_GB2312" w:eastAsia="仿宋_GB2312" w:cs="仿宋_GB2312"/>
          <w:sz w:val="32"/>
          <w:szCs w:val="32"/>
          <w:lang w:val="en-US" w:eastAsia="zh-CN"/>
        </w:rPr>
        <w:t>，对全辖区范围内中高风险返岳人群入户核酸采样1300人次，追阳人员上门采样265人次，今年共采集核酸标本数量466424人次，外环境检测22605次。</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本年度共开展新冠疫苗接种25481针次。</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随着新十条政策的落地，我院充分发挥基层“初诊”作用，开设发热诊室，扩大吸氧和血氧监测服务，增加无创呼吸机设备和足量指夹式脉搏血氧仪。开通24小时健康咨询热线，上门为辖区内65岁以上老年人以及特困、低保和环卫工人等弱势群体发放“防疫健康包”328份。发挥家庭医生联系群众和主动服务作用，做实红黄绿色标识重点人群健康动态服务。</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五、坚持廉洁自律，狠抓作风建设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sz w:val="32"/>
          <w:szCs w:val="32"/>
          <w:lang w:val="en-US" w:eastAsia="zh-CN"/>
        </w:rPr>
        <w:t>为树立医务人员“行风正、服务优、形象佳”的良好形象，促进中心可持续发展。</w:t>
      </w:r>
      <w:r>
        <w:rPr>
          <w:rFonts w:hint="eastAsia" w:ascii="仿宋_GB2312" w:hAnsi="仿宋_GB2312" w:eastAsia="仿宋_GB2312" w:cs="仿宋_GB2312"/>
          <w:b/>
          <w:bCs/>
          <w:sz w:val="32"/>
          <w:szCs w:val="32"/>
          <w:lang w:val="en-US" w:eastAsia="zh-CN"/>
        </w:rPr>
        <w:t>1.健全管理体系。</w:t>
      </w:r>
      <w:r>
        <w:rPr>
          <w:rFonts w:hint="eastAsia" w:ascii="仿宋_GB2312" w:hAnsi="仿宋_GB2312" w:eastAsia="仿宋_GB2312" w:cs="仿宋_GB2312"/>
          <w:sz w:val="32"/>
          <w:szCs w:val="32"/>
          <w:lang w:val="en-US" w:eastAsia="zh-CN"/>
        </w:rPr>
        <w:t>与科室间层层签订《医德医风承诺书》，并将医德医风考评结果，作为对医务人员年终考核的重要依据。</w:t>
      </w:r>
      <w:r>
        <w:rPr>
          <w:rFonts w:hint="eastAsia" w:ascii="仿宋_GB2312" w:hAnsi="仿宋_GB2312" w:eastAsia="仿宋_GB2312" w:cs="仿宋_GB2312"/>
          <w:b/>
          <w:bCs/>
          <w:sz w:val="32"/>
          <w:szCs w:val="32"/>
          <w:lang w:val="en-US" w:eastAsia="zh-CN"/>
        </w:rPr>
        <w:t>2.强化监督教育。</w:t>
      </w:r>
      <w:r>
        <w:rPr>
          <w:rFonts w:hint="eastAsia" w:ascii="仿宋_GB2312" w:hAnsi="仿宋_GB2312" w:eastAsia="仿宋_GB2312" w:cs="仿宋_GB2312"/>
          <w:sz w:val="32"/>
          <w:szCs w:val="32"/>
          <w:lang w:val="en-US" w:eastAsia="zh-CN"/>
        </w:rPr>
        <w:t>多种形式广泛开展“班子成员廉政约谈”、“正反两方面典型教育”、观看“警示教育片”等活动，在微信公众号中专门设立监督举报专栏，充分发挥社会监督效应。</w:t>
      </w:r>
      <w:r>
        <w:rPr>
          <w:rFonts w:hint="eastAsia" w:ascii="仿宋_GB2312" w:hAnsi="仿宋_GB2312" w:eastAsia="仿宋_GB2312" w:cs="仿宋_GB2312"/>
          <w:b/>
          <w:bCs/>
          <w:sz w:val="32"/>
          <w:szCs w:val="32"/>
          <w:lang w:val="en-US" w:eastAsia="zh-CN"/>
        </w:rPr>
        <w:t>3.加强考评制度。</w:t>
      </w:r>
      <w:r>
        <w:rPr>
          <w:rFonts w:hint="eastAsia" w:ascii="仿宋_GB2312" w:hAnsi="仿宋_GB2312" w:eastAsia="仿宋_GB2312" w:cs="仿宋_GB2312"/>
          <w:sz w:val="32"/>
          <w:szCs w:val="32"/>
          <w:lang w:val="en-US" w:eastAsia="zh-CN"/>
        </w:rPr>
        <w:t>按照自我评价、科室评议、中心综合评价确定评定等次；同时，完善来院患者满意度调查，进一步增强对干部工作作风的督查和考评。</w:t>
      </w:r>
    </w:p>
    <w:p>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七、存在的问题及原因分析</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en-US" w:eastAsia="zh-CN"/>
        </w:rPr>
        <w:t>一是人员不稳定</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en-US" w:eastAsia="zh-CN"/>
        </w:rPr>
        <w:t>我中心人员受编制、经费影响，常常不稳定，几乎超半数是临聘人员。部分人员甚至把社区服务中心当成跳板，刚培训好就立马走人不干了。单位无任何准备，导致工作上时常出现断档，无法正常推动。</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en-US" w:eastAsia="zh-CN"/>
        </w:rPr>
        <w:t>二是无法做慢病认定</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en-US" w:eastAsia="zh-CN"/>
        </w:rPr>
        <w:t>在慢性病的审定上，譬如糖尿病、高血压认定，在社区卫生服务中心能确诊，但流程上需要二级以上的医疗机构认定才能承认，给居民带来不便。本来二级医院人满为患，加上认定慢性病，无形间使二级医疗机构更为拥挤。</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en-US" w:eastAsia="zh-CN"/>
        </w:rPr>
        <w:t>三是缺少话语权</w:t>
      </w:r>
    </w:p>
    <w:p>
      <w:pPr>
        <w:numPr>
          <w:ilvl w:val="0"/>
          <w:numId w:val="0"/>
        </w:numPr>
        <w:spacing w:line="560" w:lineRule="exact"/>
        <w:ind w:firstLine="640" w:firstLineChars="200"/>
        <w:rPr>
          <w:rFonts w:hint="eastAsia" w:ascii="仿宋_GB2312" w:hAnsi="仿宋_GB2312" w:eastAsia="仿宋_GB2312" w:cs="Times New Roman"/>
          <w:bCs/>
          <w:sz w:val="30"/>
          <w:szCs w:val="30"/>
        </w:rPr>
      </w:pPr>
      <w:r>
        <w:rPr>
          <w:rFonts w:hint="eastAsia" w:ascii="仿宋_GB2312" w:hAnsi="仿宋_GB2312" w:eastAsia="仿宋_GB2312" w:cs="Times New Roman"/>
          <w:bCs/>
          <w:sz w:val="32"/>
          <w:szCs w:val="32"/>
          <w:lang w:val="en-US" w:eastAsia="zh-CN"/>
        </w:rPr>
        <w:t>在多年县级人大代表和政协代表中，没有社区卫生服务中心的人份，政府部门很难了解到社区卫生服务中心的实情</w:t>
      </w:r>
      <w:r>
        <w:rPr>
          <w:rFonts w:hint="eastAsia" w:ascii="仿宋_GB2312" w:hAnsi="仿宋_GB2312" w:eastAsia="仿宋_GB2312" w:cs="Times New Roman"/>
          <w:bCs/>
          <w:sz w:val="30"/>
          <w:szCs w:val="30"/>
        </w:rPr>
        <w:t>。</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八、下一步改进措施</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1、全力做好医疗救治工作。</w:t>
      </w:r>
      <w:r>
        <w:rPr>
          <w:rFonts w:hint="eastAsia" w:ascii="仿宋_GB2312" w:hAnsi="仿宋_GB2312" w:eastAsia="仿宋_GB2312" w:cs="仿宋_GB2312"/>
          <w:b w:val="0"/>
          <w:bCs w:val="0"/>
          <w:kern w:val="2"/>
          <w:sz w:val="32"/>
          <w:szCs w:val="32"/>
          <w:lang w:val="en-US" w:eastAsia="zh-CN" w:bidi="ar-SA"/>
        </w:rPr>
        <w:t>扎实抓好新阶段疫情防控各项工作，高效有序做好医疗救治和资源准备，全力保障发热门诊有序运行；</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2、做好重点人群动态服务。</w:t>
      </w:r>
      <w:r>
        <w:rPr>
          <w:rFonts w:hint="eastAsia" w:ascii="仿宋_GB2312" w:hAnsi="仿宋_GB2312" w:eastAsia="仿宋_GB2312" w:cs="仿宋_GB2312"/>
          <w:b w:val="0"/>
          <w:bCs w:val="0"/>
          <w:kern w:val="2"/>
          <w:sz w:val="32"/>
          <w:szCs w:val="32"/>
          <w:lang w:val="en-US" w:eastAsia="zh-CN" w:bidi="ar-SA"/>
        </w:rPr>
        <w:t>全面动态掌握群众感染情况，建立重点人群健康台账，定期对高龄合并基础疾病、孕产妇、血液透析等重点高风险感染人员早干预、早介入；</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九、部门整体支出绩效自评结果拟应用和公开情况</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无其他需要说明的情况</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spacing w:before="169" w:line="776" w:lineRule="exact"/>
        <w:rPr>
          <w:rFonts w:hint="eastAsia" w:ascii="宋体" w:hAnsi="宋体" w:eastAsia="宋体" w:cs="宋体"/>
          <w:b/>
          <w:bCs/>
          <w:color w:val="000000" w:themeColor="text1"/>
          <w:spacing w:val="19"/>
          <w:position w:val="17"/>
          <w:sz w:val="36"/>
          <w:szCs w:val="36"/>
          <w:lang w:eastAsia="zh-CN"/>
          <w14:textFill>
            <w14:solidFill>
              <w14:schemeClr w14:val="tx1"/>
            </w14:solidFill>
          </w14:textFill>
        </w:rPr>
        <w:sectPr>
          <w:pgSz w:w="11906" w:h="16838"/>
          <w:pgMar w:top="1701" w:right="1701" w:bottom="1701" w:left="1701" w:header="851" w:footer="992"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附件4</w:t>
      </w:r>
    </w:p>
    <w:p>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2022年度项目支出绩效自评表</w:t>
      </w:r>
    </w:p>
    <w:tbl>
      <w:tblPr>
        <w:tblStyle w:val="16"/>
        <w:tblW w:w="95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5"/>
        <w:gridCol w:w="1080"/>
        <w:gridCol w:w="1080"/>
        <w:gridCol w:w="1229"/>
        <w:gridCol w:w="1131"/>
        <w:gridCol w:w="1140"/>
        <w:gridCol w:w="685"/>
        <w:gridCol w:w="795"/>
        <w:gridCol w:w="1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075"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项目支出</w:t>
            </w:r>
          </w:p>
          <w:p>
            <w:pPr>
              <w:keepNext w:val="0"/>
              <w:keepLines w:val="0"/>
              <w:pageBreakBefore w:val="0"/>
              <w:widowControl w:val="0"/>
              <w:kinsoku/>
              <w:wordWrap/>
              <w:overflowPunct/>
              <w:topLinePunct w:val="0"/>
              <w:autoSpaceDE/>
              <w:autoSpaceDN/>
              <w:bidi w:val="0"/>
              <w:adjustRightInd/>
              <w:snapToGrid/>
              <w:spacing w:line="226"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名称</w:t>
            </w:r>
          </w:p>
        </w:tc>
        <w:tc>
          <w:tcPr>
            <w:tcW w:w="8505" w:type="dxa"/>
            <w:gridSpan w:val="8"/>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75" w:type="dxa"/>
            <w:noWrap w:val="0"/>
            <w:vAlign w:val="center"/>
          </w:tcPr>
          <w:p>
            <w:pPr>
              <w:keepNext w:val="0"/>
              <w:keepLines w:val="0"/>
              <w:pageBreakBefore w:val="0"/>
              <w:widowControl w:val="0"/>
              <w:kinsoku/>
              <w:wordWrap/>
              <w:overflowPunct/>
              <w:topLinePunct w:val="0"/>
              <w:autoSpaceDE/>
              <w:autoSpaceDN/>
              <w:bidi w:val="0"/>
              <w:adjustRightInd/>
              <w:snapToGrid/>
              <w:spacing w:line="202"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主管部门</w:t>
            </w:r>
          </w:p>
        </w:tc>
        <w:tc>
          <w:tcPr>
            <w:tcW w:w="4520" w:type="dxa"/>
            <w:gridSpan w:val="4"/>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实施单位</w:t>
            </w:r>
          </w:p>
        </w:tc>
        <w:tc>
          <w:tcPr>
            <w:tcW w:w="2845" w:type="dxa"/>
            <w:gridSpan w:val="3"/>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075"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54"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5"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项目资金</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(万元)</w:t>
            </w: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年初</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预算数</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预算数</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执行数</w:t>
            </w: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执行率</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075"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年度资金总额</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0.00</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0.00</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0.00</w:t>
            </w: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165"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position w:val="-2"/>
                <w:sz w:val="21"/>
                <w:szCs w:val="21"/>
                <w14:textFill>
                  <w14:solidFill>
                    <w14:schemeClr w14:val="tx1"/>
                  </w14:solidFill>
                </w14:textFill>
              </w:rPr>
              <w:t>10</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075"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其中：当年财政拨款</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7" w:hRule="atLeast"/>
        </w:trPr>
        <w:tc>
          <w:tcPr>
            <w:tcW w:w="1075"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上年结转资金</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075"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0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其他资金</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075"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06" w:lineRule="auto"/>
              <w:ind w:left="0" w:right="0" w:hanging="20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年度总体</w:t>
            </w:r>
          </w:p>
          <w:p>
            <w:pPr>
              <w:keepNext w:val="0"/>
              <w:keepLines w:val="0"/>
              <w:pageBreakBefore w:val="0"/>
              <w:widowControl w:val="0"/>
              <w:kinsoku/>
              <w:wordWrap/>
              <w:overflowPunct/>
              <w:topLinePunct w:val="0"/>
              <w:autoSpaceDE/>
              <w:autoSpaceDN/>
              <w:bidi w:val="0"/>
              <w:adjustRightInd/>
              <w:snapToGrid/>
              <w:spacing w:line="206" w:lineRule="auto"/>
              <w:ind w:left="0" w:right="0" w:hanging="20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目标</w:t>
            </w:r>
          </w:p>
        </w:tc>
        <w:tc>
          <w:tcPr>
            <w:tcW w:w="452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0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预期目标</w:t>
            </w:r>
          </w:p>
        </w:tc>
        <w:tc>
          <w:tcPr>
            <w:tcW w:w="398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075"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452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398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075" w:type="dxa"/>
            <w:vMerge w:val="restart"/>
            <w:tcBorders>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17"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绩</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效</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指</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标</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一级指标</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二级指标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三级指标</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指标值</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完成值</w:t>
            </w: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hanging="9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偏差原因分析 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56"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7"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7"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7"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position w:val="22"/>
                <w:sz w:val="21"/>
                <w:szCs w:val="21"/>
                <w14:textFill>
                  <w14:solidFill>
                    <w14:schemeClr w14:val="tx1"/>
                  </w14:solidFill>
                </w14:textFill>
              </w:rPr>
              <w:t>产出指标</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(50分)</w:t>
            </w: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数量指标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质量指标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时效指标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成本指标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1"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1"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9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position w:val="21"/>
                <w:sz w:val="21"/>
                <w:szCs w:val="21"/>
                <w14:textFill>
                  <w14:solidFill>
                    <w14:schemeClr w14:val="tx1"/>
                  </w14:solidFill>
                </w14:textFill>
              </w:rPr>
              <w:t>效益指标</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(30分)</w:t>
            </w: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position w:val="4"/>
                <w:sz w:val="21"/>
                <w:szCs w:val="21"/>
                <w14:textFill>
                  <w14:solidFill>
                    <w14:schemeClr w14:val="tx1"/>
                  </w14:solidFill>
                </w14:textFill>
              </w:rPr>
              <w:t>经济效</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益指标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社会效</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益指标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37"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生态效</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益指标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6" w:lineRule="auto"/>
              <w:ind w:left="0" w:right="0" w:hanging="9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可持续</w:t>
            </w:r>
          </w:p>
          <w:p>
            <w:pPr>
              <w:keepNext w:val="0"/>
              <w:keepLines w:val="0"/>
              <w:pageBreakBefore w:val="0"/>
              <w:widowControl w:val="0"/>
              <w:kinsoku/>
              <w:wordWrap/>
              <w:overflowPunct/>
              <w:topLinePunct w:val="0"/>
              <w:autoSpaceDE/>
              <w:autoSpaceDN/>
              <w:bidi w:val="0"/>
              <w:adjustRightInd/>
              <w:snapToGrid/>
              <w:spacing w:line="216" w:lineRule="auto"/>
              <w:ind w:left="0" w:right="0" w:hanging="9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影响指标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满意度</w:t>
            </w:r>
          </w:p>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指标</w:t>
            </w:r>
          </w:p>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(10分)</w:t>
            </w: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服务对象</w:t>
            </w:r>
          </w:p>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满意度</w:t>
            </w:r>
          </w:p>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075" w:type="dxa"/>
            <w:vMerge w:val="continue"/>
            <w:tcBorders>
              <w:top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73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right="0" w:firstLine="3145"/>
              <w:jc w:val="center"/>
              <w:textAlignment w:val="auto"/>
              <w:rPr>
                <w:rFonts w:hint="eastAsia" w:eastAsiaTheme="minorEastAsia"/>
                <w:color w:val="000000" w:themeColor="text1"/>
                <w:spacing w:val="0"/>
                <w:sz w:val="21"/>
                <w:szCs w:val="21"/>
                <w:lang w:eastAsia="zh-CN"/>
                <w14:textFill>
                  <w14:solidFill>
                    <w14:schemeClr w14:val="tx1"/>
                  </w14:solidFill>
                </w14:textFill>
              </w:rPr>
            </w:pPr>
            <w:r>
              <w:rPr>
                <w:rFonts w:hint="eastAsia"/>
                <w:color w:val="000000" w:themeColor="text1"/>
                <w:spacing w:val="0"/>
                <w:sz w:val="21"/>
                <w:szCs w:val="21"/>
                <w:lang w:eastAsia="zh-CN"/>
                <w14:textFill>
                  <w14:solidFill>
                    <w14:schemeClr w14:val="tx1"/>
                  </w14:solidFill>
                </w14:textFill>
              </w:rPr>
              <w:t>总分</w:t>
            </w: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16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100</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bookmarkStart w:id="0" w:name="_GoBack"/>
            <w:bookmarkEnd w:id="0"/>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bl>
    <w:p>
      <w:pPr>
        <w:spacing w:line="252" w:lineRule="auto"/>
        <w:rPr>
          <w:rFonts w:ascii="Arial"/>
          <w:color w:val="000000" w:themeColor="text1"/>
          <w:sz w:val="21"/>
          <w14:textFill>
            <w14:solidFill>
              <w14:schemeClr w14:val="tx1"/>
            </w14:solidFill>
          </w14:textFill>
        </w:rPr>
      </w:pPr>
    </w:p>
    <w:p>
      <w:pPr>
        <w:spacing w:before="75" w:line="230" w:lineRule="auto"/>
        <w:rPr>
          <w:rFonts w:hint="default" w:ascii="仿宋_GB2312" w:hAnsi="仿宋_GB2312" w:eastAsia="仿宋_GB2312" w:cs="仿宋_GB2312"/>
          <w:color w:val="000000" w:themeColor="text1"/>
          <w:spacing w:val="0"/>
          <w:position w:val="0"/>
          <w:sz w:val="32"/>
          <w:szCs w:val="32"/>
          <w:lang w:val="en-US" w:eastAsia="zh-CN"/>
          <w14:textFill>
            <w14:solidFill>
              <w14:schemeClr w14:val="tx1"/>
            </w14:solidFill>
          </w14:textFill>
        </w:rPr>
        <w:sectPr>
          <w:pgSz w:w="11906" w:h="16838"/>
          <w:pgMar w:top="1417" w:right="1417" w:bottom="1417" w:left="1417" w:header="851" w:footer="992" w:gutter="0"/>
          <w:pgNumType w:fmt="decimal"/>
          <w:cols w:space="0" w:num="1"/>
          <w:rtlGutter w:val="0"/>
          <w:docGrid w:type="lines" w:linePitch="312" w:charSpace="0"/>
        </w:sectPr>
      </w:pPr>
      <w:r>
        <w:rPr>
          <w:rFonts w:ascii="仿宋" w:hAnsi="仿宋" w:eastAsia="仿宋" w:cs="仿宋"/>
          <w:color w:val="000000" w:themeColor="text1"/>
          <w:spacing w:val="-26"/>
          <w:sz w:val="23"/>
          <w:szCs w:val="23"/>
          <w14:textFill>
            <w14:solidFill>
              <w14:schemeClr w14:val="tx1"/>
            </w14:solidFill>
          </w14:textFill>
        </w:rPr>
        <w:t>填表人：</w:t>
      </w:r>
      <w:r>
        <w:rPr>
          <w:rFonts w:ascii="仿宋" w:hAnsi="仿宋" w:eastAsia="仿宋" w:cs="仿宋"/>
          <w:color w:val="000000" w:themeColor="text1"/>
          <w:spacing w:val="15"/>
          <w:sz w:val="23"/>
          <w:szCs w:val="23"/>
          <w14:textFill>
            <w14:solidFill>
              <w14:schemeClr w14:val="tx1"/>
            </w14:solidFill>
          </w14:textFill>
        </w:rPr>
        <w:t xml:space="preserve">  </w:t>
      </w:r>
      <w:r>
        <w:rPr>
          <w:rFonts w:ascii="仿宋" w:hAnsi="仿宋" w:eastAsia="仿宋" w:cs="仿宋"/>
          <w:color w:val="000000" w:themeColor="text1"/>
          <w:spacing w:val="4"/>
          <w:sz w:val="23"/>
          <w:szCs w:val="23"/>
          <w14:textFill>
            <w14:solidFill>
              <w14:schemeClr w14:val="tx1"/>
            </w14:solidFill>
          </w14:textFill>
        </w:rPr>
        <w:t xml:space="preserve">         </w:t>
      </w:r>
      <w:r>
        <w:rPr>
          <w:rFonts w:ascii="仿宋" w:hAnsi="仿宋" w:eastAsia="仿宋" w:cs="仿宋"/>
          <w:color w:val="000000" w:themeColor="text1"/>
          <w:spacing w:val="-26"/>
          <w:sz w:val="23"/>
          <w:szCs w:val="23"/>
          <w14:textFill>
            <w14:solidFill>
              <w14:schemeClr w14:val="tx1"/>
            </w14:solidFill>
          </w14:textFill>
        </w:rPr>
        <w:t>联系电话：</w:t>
      </w:r>
      <w:r>
        <w:rPr>
          <w:rFonts w:ascii="仿宋" w:hAnsi="仿宋" w:eastAsia="仿宋" w:cs="仿宋"/>
          <w:color w:val="000000" w:themeColor="text1"/>
          <w:spacing w:val="3"/>
          <w:sz w:val="23"/>
          <w:szCs w:val="23"/>
          <w14:textFill>
            <w14:solidFill>
              <w14:schemeClr w14:val="tx1"/>
            </w14:solidFill>
          </w14:textFill>
        </w:rPr>
        <w:t xml:space="preserve">            </w:t>
      </w:r>
      <w:r>
        <w:rPr>
          <w:rFonts w:ascii="仿宋" w:hAnsi="仿宋" w:eastAsia="仿宋" w:cs="仿宋"/>
          <w:color w:val="000000" w:themeColor="text1"/>
          <w:spacing w:val="-26"/>
          <w:sz w:val="23"/>
          <w:szCs w:val="23"/>
          <w14:textFill>
            <w14:solidFill>
              <w14:schemeClr w14:val="tx1"/>
            </w14:solidFill>
          </w14:textFill>
        </w:rPr>
        <w:t>单位负责人签字：</w:t>
      </w:r>
      <w:r>
        <w:rPr>
          <w:rFonts w:hint="eastAsia" w:ascii="仿宋" w:hAnsi="仿宋" w:eastAsia="仿宋" w:cs="仿宋"/>
          <w:color w:val="000000" w:themeColor="text1"/>
          <w:spacing w:val="-26"/>
          <w:sz w:val="23"/>
          <w:szCs w:val="23"/>
          <w:lang w:val="en-US" w:eastAsia="zh-CN"/>
          <w14:textFill>
            <w14:solidFill>
              <w14:schemeClr w14:val="tx1"/>
            </w14:solidFill>
          </w14:textFill>
        </w:rPr>
        <w:t xml:space="preserve">                 </w:t>
      </w:r>
      <w:r>
        <w:rPr>
          <w:rFonts w:ascii="仿宋" w:hAnsi="仿宋" w:eastAsia="仿宋" w:cs="仿宋"/>
          <w:color w:val="000000" w:themeColor="text1"/>
          <w:spacing w:val="15"/>
          <w:sz w:val="23"/>
          <w:szCs w:val="23"/>
          <w14:textFill>
            <w14:solidFill>
              <w14:schemeClr w14:val="tx1"/>
            </w14:solidFill>
          </w14:textFill>
        </w:rPr>
        <w:t xml:space="preserve"> </w:t>
      </w:r>
      <w:r>
        <w:rPr>
          <w:rFonts w:ascii="仿宋" w:hAnsi="仿宋" w:eastAsia="仿宋" w:cs="仿宋"/>
          <w:color w:val="000000" w:themeColor="text1"/>
          <w:spacing w:val="-26"/>
          <w:sz w:val="23"/>
          <w:szCs w:val="23"/>
          <w14:textFill>
            <w14:solidFill>
              <w14:schemeClr w14:val="tx1"/>
            </w14:solidFill>
          </w14:textFill>
        </w:rPr>
        <w:t>填报日期：</w:t>
      </w:r>
      <w:r>
        <w:rPr>
          <w:rFonts w:ascii="仿宋" w:hAnsi="仿宋" w:eastAsia="仿宋" w:cs="仿宋"/>
          <w:color w:val="000000" w:themeColor="text1"/>
          <w:spacing w:val="4"/>
          <w:sz w:val="23"/>
          <w:szCs w:val="23"/>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附件5</w:t>
      </w:r>
    </w:p>
    <w:p>
      <w:pPr>
        <w:ind w:firstLine="1440" w:firstLineChars="400"/>
        <w:jc w:val="both"/>
        <w:rPr>
          <w:rFonts w:hint="eastAsia" w:eastAsia="方正小标宋简体"/>
          <w:sz w:val="36"/>
          <w:szCs w:val="36"/>
          <w:lang w:eastAsia="zh-CN"/>
        </w:rPr>
      </w:pPr>
    </w:p>
    <w:p>
      <w:pPr>
        <w:ind w:firstLine="1440" w:firstLineChars="400"/>
        <w:jc w:val="both"/>
        <w:rPr>
          <w:rFonts w:eastAsia="方正小标宋简体"/>
          <w:spacing w:val="-6"/>
          <w:sz w:val="36"/>
          <w:szCs w:val="36"/>
        </w:rPr>
      </w:pPr>
      <w:r>
        <w:rPr>
          <w:rFonts w:hint="eastAsia" w:eastAsia="方正小标宋简体"/>
          <w:sz w:val="36"/>
          <w:szCs w:val="36"/>
          <w:lang w:eastAsia="zh-CN"/>
        </w:rPr>
        <w:t>区级</w:t>
      </w:r>
      <w:r>
        <w:rPr>
          <w:rFonts w:eastAsia="方正小标宋简体"/>
          <w:sz w:val="36"/>
          <w:szCs w:val="36"/>
        </w:rPr>
        <w:t>预算</w:t>
      </w:r>
      <w:r>
        <w:rPr>
          <w:rFonts w:hint="eastAsia" w:eastAsia="方正小标宋简体"/>
          <w:sz w:val="36"/>
          <w:szCs w:val="36"/>
          <w:lang w:eastAsia="zh-CN"/>
        </w:rPr>
        <w:t>单位</w:t>
      </w:r>
      <w:r>
        <w:rPr>
          <w:rFonts w:eastAsia="方正小标宋简体"/>
          <w:spacing w:val="-6"/>
          <w:sz w:val="36"/>
          <w:szCs w:val="36"/>
        </w:rPr>
        <w:t>绩效自评工作考核评分表</w:t>
      </w:r>
    </w:p>
    <w:tbl>
      <w:tblPr>
        <w:tblStyle w:val="12"/>
        <w:tblW w:w="9510" w:type="dxa"/>
        <w:jc w:val="center"/>
        <w:tblLayout w:type="fixed"/>
        <w:tblCellMar>
          <w:top w:w="0" w:type="dxa"/>
          <w:left w:w="108" w:type="dxa"/>
          <w:bottom w:w="0" w:type="dxa"/>
          <w:right w:w="108" w:type="dxa"/>
        </w:tblCellMar>
      </w:tblPr>
      <w:tblGrid>
        <w:gridCol w:w="774"/>
        <w:gridCol w:w="1501"/>
        <w:gridCol w:w="6482"/>
        <w:gridCol w:w="753"/>
      </w:tblGrid>
      <w:tr>
        <w:tblPrEx>
          <w:tblCellMar>
            <w:top w:w="0" w:type="dxa"/>
            <w:left w:w="108" w:type="dxa"/>
            <w:bottom w:w="0" w:type="dxa"/>
            <w:right w:w="108" w:type="dxa"/>
          </w:tblCellMar>
        </w:tblPrEx>
        <w:trPr>
          <w:trHeight w:val="630" w:hRule="atLeast"/>
          <w:tblHeader/>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黑体"/>
                <w:szCs w:val="21"/>
              </w:rPr>
            </w:pPr>
            <w:r>
              <w:rPr>
                <w:rFonts w:eastAsia="黑体"/>
                <w:szCs w:val="21"/>
              </w:rPr>
              <w:t>一级指标</w:t>
            </w: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eastAsia="黑体"/>
                <w:szCs w:val="21"/>
              </w:rPr>
            </w:pPr>
            <w:r>
              <w:rPr>
                <w:rFonts w:eastAsia="黑体"/>
                <w:szCs w:val="21"/>
              </w:rPr>
              <w:t>二级指标</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eastAsia="黑体"/>
                <w:szCs w:val="21"/>
              </w:rPr>
            </w:pPr>
            <w:r>
              <w:rPr>
                <w:rFonts w:eastAsia="黑体"/>
                <w:szCs w:val="21"/>
              </w:rPr>
              <w:t>评分标准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eastAsia="黑体"/>
                <w:szCs w:val="21"/>
              </w:rPr>
            </w:pPr>
            <w:r>
              <w:rPr>
                <w:rFonts w:eastAsia="黑体"/>
                <w:szCs w:val="21"/>
              </w:rPr>
              <w:t>评分</w:t>
            </w:r>
          </w:p>
        </w:tc>
      </w:tr>
      <w:tr>
        <w:tblPrEx>
          <w:tblCellMar>
            <w:top w:w="0" w:type="dxa"/>
            <w:left w:w="108" w:type="dxa"/>
            <w:bottom w:w="0" w:type="dxa"/>
            <w:right w:w="108" w:type="dxa"/>
          </w:tblCellMar>
        </w:tblPrEx>
        <w:trPr>
          <w:trHeight w:val="1234" w:hRule="atLeast"/>
          <w:jc w:val="center"/>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实施评价</w:t>
            </w:r>
          </w:p>
          <w:p>
            <w:pPr>
              <w:spacing w:line="320" w:lineRule="exact"/>
              <w:jc w:val="center"/>
              <w:rPr>
                <w:rFonts w:hint="eastAsia" w:asciiTheme="majorEastAsia" w:hAnsiTheme="majorEastAsia" w:eastAsiaTheme="majorEastAsia" w:cstheme="majorEastAsia"/>
                <w:szCs w:val="21"/>
              </w:rPr>
            </w:pPr>
          </w:p>
          <w:p>
            <w:pPr>
              <w:spacing w:line="32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30分</w:t>
            </w: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单位自查</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（20分）</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ind w:firstLine="21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区</w:t>
            </w:r>
            <w:r>
              <w:rPr>
                <w:rFonts w:hint="eastAsia" w:asciiTheme="majorEastAsia" w:hAnsiTheme="majorEastAsia" w:eastAsiaTheme="majorEastAsia" w:cstheme="majorEastAsia"/>
                <w:sz w:val="21"/>
                <w:szCs w:val="21"/>
              </w:rPr>
              <w:t>级预算单位都要开展绩效自查，转移支付项目单位都要开展绩效自查，区级主管部门都要汇总本区域转移支付情况；以上各项每发现一个单位没有做相应工作的，扣1分，最多扣20分。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　</w:t>
            </w:r>
            <w:r>
              <w:rPr>
                <w:rFonts w:hint="eastAsia" w:asciiTheme="majorEastAsia" w:hAnsiTheme="majorEastAsia" w:eastAsiaTheme="majorEastAsia" w:cstheme="majorEastAsia"/>
                <w:szCs w:val="21"/>
                <w:lang w:val="en-US" w:eastAsia="zh-CN"/>
              </w:rPr>
              <w:t>20</w:t>
            </w:r>
          </w:p>
        </w:tc>
      </w:tr>
      <w:tr>
        <w:tblPrEx>
          <w:tblCellMar>
            <w:top w:w="0" w:type="dxa"/>
            <w:left w:w="108" w:type="dxa"/>
            <w:bottom w:w="0" w:type="dxa"/>
            <w:right w:w="108" w:type="dxa"/>
          </w:tblCellMar>
        </w:tblPrEx>
        <w:trPr>
          <w:trHeight w:val="682" w:hRule="atLeast"/>
          <w:jc w:val="center"/>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ajorEastAsia" w:hAnsiTheme="majorEastAsia" w:eastAsiaTheme="majorEastAsia" w:cstheme="majorEastAsia"/>
                <w:szCs w:val="21"/>
              </w:rPr>
            </w:pPr>
          </w:p>
        </w:tc>
        <w:tc>
          <w:tcPr>
            <w:tcW w:w="1501" w:type="dxa"/>
            <w:tcBorders>
              <w:top w:val="nil"/>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提交报告</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（10分）</w:t>
            </w:r>
          </w:p>
        </w:tc>
        <w:tc>
          <w:tcPr>
            <w:tcW w:w="6482" w:type="dxa"/>
            <w:tcBorders>
              <w:top w:val="nil"/>
              <w:left w:val="nil"/>
              <w:bottom w:val="single" w:color="auto" w:sz="4" w:space="0"/>
              <w:right w:val="single" w:color="auto" w:sz="4" w:space="0"/>
            </w:tcBorders>
            <w:noWrap w:val="0"/>
            <w:vAlign w:val="center"/>
          </w:tcPr>
          <w:p>
            <w:pPr>
              <w:spacing w:line="240" w:lineRule="exact"/>
              <w:ind w:firstLine="21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按时向</w:t>
            </w:r>
            <w:r>
              <w:rPr>
                <w:rFonts w:hint="eastAsia" w:asciiTheme="majorEastAsia" w:hAnsiTheme="majorEastAsia" w:eastAsiaTheme="majorEastAsia" w:cstheme="majorEastAsia"/>
                <w:sz w:val="21"/>
                <w:szCs w:val="21"/>
                <w:lang w:eastAsia="zh-CN"/>
              </w:rPr>
              <w:t>区</w:t>
            </w:r>
            <w:r>
              <w:rPr>
                <w:rFonts w:hint="eastAsia" w:asciiTheme="majorEastAsia" w:hAnsiTheme="majorEastAsia" w:eastAsiaTheme="majorEastAsia" w:cstheme="majorEastAsia"/>
                <w:sz w:val="21"/>
                <w:szCs w:val="21"/>
              </w:rPr>
              <w:t>财政局报送报告的得10分；每推迟一天报送报告的扣1分，最多扣10分。</w:t>
            </w:r>
          </w:p>
        </w:tc>
        <w:tc>
          <w:tcPr>
            <w:tcW w:w="753" w:type="dxa"/>
            <w:tcBorders>
              <w:top w:val="nil"/>
              <w:left w:val="nil"/>
              <w:bottom w:val="single" w:color="auto" w:sz="4" w:space="0"/>
              <w:right w:val="single" w:color="auto" w:sz="4" w:space="0"/>
            </w:tcBorders>
            <w:noWrap w:val="0"/>
            <w:vAlign w:val="center"/>
          </w:tcPr>
          <w:p>
            <w:pPr>
              <w:spacing w:line="240" w:lineRule="exact"/>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10</w:t>
            </w:r>
          </w:p>
        </w:tc>
      </w:tr>
      <w:tr>
        <w:tblPrEx>
          <w:tblCellMar>
            <w:top w:w="0" w:type="dxa"/>
            <w:left w:w="108" w:type="dxa"/>
            <w:bottom w:w="0" w:type="dxa"/>
            <w:right w:w="108" w:type="dxa"/>
          </w:tblCellMar>
        </w:tblPrEx>
        <w:trPr>
          <w:trHeight w:val="1408" w:hRule="atLeast"/>
          <w:jc w:val="center"/>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自评报告</w:t>
            </w:r>
          </w:p>
          <w:p>
            <w:pPr>
              <w:spacing w:line="240" w:lineRule="exact"/>
              <w:jc w:val="center"/>
              <w:rPr>
                <w:rFonts w:hint="eastAsia" w:asciiTheme="majorEastAsia" w:hAnsiTheme="majorEastAsia" w:eastAsiaTheme="majorEastAsia" w:cstheme="majorEastAsia"/>
                <w:szCs w:val="21"/>
              </w:rPr>
            </w:pPr>
          </w:p>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70</w:t>
            </w:r>
            <w:r>
              <w:rPr>
                <w:rFonts w:hint="eastAsia" w:asciiTheme="majorEastAsia" w:hAnsiTheme="majorEastAsia" w:eastAsiaTheme="majorEastAsia" w:cstheme="majorEastAsia"/>
                <w:szCs w:val="21"/>
              </w:rPr>
              <w:t>分</w:t>
            </w: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自评报告</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的完整性</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（15分）</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ind w:firstLine="21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1.绩效自评报告正文部分内容齐全的，得8分；否则每少一个部分扣2分，最多扣8分。</w:t>
            </w:r>
          </w:p>
          <w:p>
            <w:pPr>
              <w:spacing w:line="240" w:lineRule="exact"/>
              <w:ind w:firstLine="21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2.绩效自评报告附件部分内容齐全的，得7分；否则每少一个部分扣2分，最多扣7分。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15</w:t>
            </w:r>
            <w:r>
              <w:rPr>
                <w:rFonts w:hint="eastAsia" w:asciiTheme="majorEastAsia" w:hAnsiTheme="majorEastAsia" w:eastAsiaTheme="majorEastAsia" w:cstheme="majorEastAsia"/>
                <w:szCs w:val="21"/>
              </w:rPr>
              <w:t>　</w:t>
            </w:r>
          </w:p>
        </w:tc>
      </w:tr>
      <w:tr>
        <w:tblPrEx>
          <w:tblCellMar>
            <w:top w:w="0" w:type="dxa"/>
            <w:left w:w="108" w:type="dxa"/>
            <w:bottom w:w="0" w:type="dxa"/>
            <w:right w:w="108" w:type="dxa"/>
          </w:tblCellMar>
        </w:tblPrEx>
        <w:trPr>
          <w:trHeight w:val="3405" w:hRule="atLeast"/>
          <w:jc w:val="center"/>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ajorEastAsia" w:hAnsiTheme="majorEastAsia" w:eastAsiaTheme="majorEastAsia" w:cstheme="majorEastAsia"/>
                <w:szCs w:val="21"/>
              </w:rPr>
            </w:pPr>
          </w:p>
        </w:tc>
        <w:tc>
          <w:tcPr>
            <w:tcW w:w="1501" w:type="dxa"/>
            <w:tcBorders>
              <w:top w:val="single" w:color="auto" w:sz="4" w:space="0"/>
              <w:left w:val="nil"/>
              <w:bottom w:val="nil"/>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绩效自评表</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w:t>
            </w:r>
            <w:r>
              <w:rPr>
                <w:rFonts w:hint="eastAsia" w:asciiTheme="majorEastAsia" w:hAnsiTheme="majorEastAsia" w:eastAsiaTheme="majorEastAsia" w:cstheme="majorEastAsia"/>
                <w:sz w:val="21"/>
                <w:szCs w:val="21"/>
                <w:lang w:val="en-US" w:eastAsia="zh-CN"/>
              </w:rPr>
              <w:t>20</w:t>
            </w:r>
            <w:r>
              <w:rPr>
                <w:rFonts w:hint="eastAsia" w:asciiTheme="majorEastAsia" w:hAnsiTheme="majorEastAsia" w:eastAsiaTheme="majorEastAsia" w:cstheme="majorEastAsia"/>
                <w:sz w:val="21"/>
                <w:szCs w:val="21"/>
              </w:rPr>
              <w:t>分）</w:t>
            </w:r>
          </w:p>
        </w:tc>
        <w:tc>
          <w:tcPr>
            <w:tcW w:w="648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1.部门整体支出和项目支出绩效指标反映产出、效益、服务对象满意度方面的指标和预算执行率的权重符合</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岳阳市市级预算部门绩效自评操作规程</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的，得</w:t>
            </w: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 w:val="21"/>
                <w:szCs w:val="21"/>
              </w:rPr>
              <w:t>分，否则按比例扣除相应的分数。</w:t>
            </w:r>
          </w:p>
          <w:p>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2.部门整体支出和项目支出绩效指标全部细化到三级指标的，得</w:t>
            </w: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 w:val="21"/>
                <w:szCs w:val="21"/>
              </w:rPr>
              <w:t>分；部分细化的，酌情扣分；没有细化的，不得分。</w:t>
            </w:r>
          </w:p>
          <w:p>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部门整体支出和项目支出三级绩效指标内涵明确、具体、可衡量的得5分；突出核心指标，精简实用的得3分；指标与部门整体支出和项目支出密切相关，全面反映产出和效益的得2分；否则每项酌情扣分，最多扣10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19</w:t>
            </w:r>
            <w:r>
              <w:rPr>
                <w:rFonts w:hint="eastAsia" w:asciiTheme="majorEastAsia" w:hAnsiTheme="majorEastAsia" w:eastAsiaTheme="majorEastAsia" w:cstheme="majorEastAsia"/>
                <w:szCs w:val="21"/>
              </w:rPr>
              <w:t>　</w:t>
            </w:r>
          </w:p>
        </w:tc>
      </w:tr>
      <w:tr>
        <w:tblPrEx>
          <w:tblCellMar>
            <w:top w:w="0" w:type="dxa"/>
            <w:left w:w="108" w:type="dxa"/>
            <w:bottom w:w="0" w:type="dxa"/>
            <w:right w:w="108" w:type="dxa"/>
          </w:tblCellMar>
        </w:tblPrEx>
        <w:trPr>
          <w:trHeight w:val="1640" w:hRule="atLeast"/>
          <w:jc w:val="center"/>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ajorEastAsia" w:hAnsiTheme="majorEastAsia" w:eastAsiaTheme="majorEastAsia" w:cstheme="majorEastAsia"/>
                <w:szCs w:val="21"/>
              </w:rPr>
            </w:pP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绩效评价</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报告反映</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问题情况</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w:t>
            </w:r>
            <w:r>
              <w:rPr>
                <w:rFonts w:hint="eastAsia" w:asciiTheme="majorEastAsia" w:hAnsiTheme="majorEastAsia" w:eastAsiaTheme="majorEastAsia" w:cstheme="majorEastAsia"/>
                <w:sz w:val="21"/>
                <w:szCs w:val="21"/>
                <w:lang w:val="en-US" w:eastAsia="zh-CN"/>
              </w:rPr>
              <w:t>20</w:t>
            </w:r>
            <w:r>
              <w:rPr>
                <w:rFonts w:hint="eastAsia" w:asciiTheme="majorEastAsia" w:hAnsiTheme="majorEastAsia" w:eastAsiaTheme="majorEastAsia" w:cstheme="majorEastAsia"/>
                <w:sz w:val="21"/>
                <w:szCs w:val="21"/>
              </w:rPr>
              <w:t>分）</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ind w:firstLine="23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10"/>
                <w:sz w:val="21"/>
                <w:szCs w:val="21"/>
              </w:rPr>
              <w:t>从预算和预算绩效管理，部门履职效能，资金分</w:t>
            </w:r>
            <w:r>
              <w:rPr>
                <w:rFonts w:hint="eastAsia" w:asciiTheme="majorEastAsia" w:hAnsiTheme="majorEastAsia" w:eastAsiaTheme="majorEastAsia" w:cstheme="majorEastAsia"/>
                <w:spacing w:val="9"/>
                <w:sz w:val="21"/>
                <w:szCs w:val="21"/>
              </w:rPr>
              <w:t>配、使用和管理，资产和财务管理，政府</w:t>
            </w:r>
            <w:r>
              <w:rPr>
                <w:rFonts w:hint="eastAsia" w:asciiTheme="majorEastAsia" w:hAnsiTheme="majorEastAsia" w:eastAsiaTheme="majorEastAsia" w:cstheme="majorEastAsia"/>
                <w:sz w:val="21"/>
                <w:szCs w:val="21"/>
              </w:rPr>
              <w:t xml:space="preserve">  </w:t>
            </w:r>
            <w:r>
              <w:rPr>
                <w:rFonts w:hint="eastAsia" w:asciiTheme="majorEastAsia" w:hAnsiTheme="majorEastAsia" w:eastAsiaTheme="majorEastAsia" w:cstheme="majorEastAsia"/>
                <w:spacing w:val="7"/>
                <w:sz w:val="21"/>
                <w:szCs w:val="21"/>
              </w:rPr>
              <w:t>采购等方面归纳问题、分析原因全面的，得20分；反映问题、分析原因较</w:t>
            </w:r>
            <w:r>
              <w:rPr>
                <w:rFonts w:hint="eastAsia" w:asciiTheme="majorEastAsia" w:hAnsiTheme="majorEastAsia" w:eastAsiaTheme="majorEastAsia" w:cstheme="majorEastAsia"/>
                <w:spacing w:val="6"/>
                <w:sz w:val="21"/>
                <w:szCs w:val="21"/>
              </w:rPr>
              <w:t>全面的，得16—</w:t>
            </w:r>
            <w:r>
              <w:rPr>
                <w:rFonts w:hint="eastAsia" w:asciiTheme="majorEastAsia" w:hAnsiTheme="majorEastAsia" w:eastAsiaTheme="majorEastAsia" w:cstheme="majorEastAsia"/>
                <w:spacing w:val="-73"/>
                <w:sz w:val="21"/>
                <w:szCs w:val="21"/>
              </w:rPr>
              <w:t xml:space="preserve"> </w:t>
            </w:r>
            <w:r>
              <w:rPr>
                <w:rFonts w:hint="eastAsia" w:asciiTheme="majorEastAsia" w:hAnsiTheme="majorEastAsia" w:eastAsiaTheme="majorEastAsia" w:cstheme="majorEastAsia"/>
                <w:spacing w:val="6"/>
                <w:sz w:val="21"/>
                <w:szCs w:val="21"/>
              </w:rPr>
              <w:t>18</w:t>
            </w:r>
            <w:r>
              <w:rPr>
                <w:rFonts w:hint="eastAsia" w:asciiTheme="majorEastAsia" w:hAnsiTheme="majorEastAsia" w:eastAsiaTheme="majorEastAsia" w:cstheme="majorEastAsia"/>
                <w:sz w:val="21"/>
                <w:szCs w:val="21"/>
              </w:rPr>
              <w:t xml:space="preserve"> </w:t>
            </w:r>
            <w:r>
              <w:rPr>
                <w:rFonts w:hint="eastAsia" w:asciiTheme="majorEastAsia" w:hAnsiTheme="majorEastAsia" w:eastAsiaTheme="majorEastAsia" w:cstheme="majorEastAsia"/>
                <w:spacing w:val="12"/>
                <w:sz w:val="21"/>
                <w:szCs w:val="21"/>
              </w:rPr>
              <w:t>分；反映问题、分析原因不全面的，得13—</w:t>
            </w:r>
            <w:r>
              <w:rPr>
                <w:rFonts w:hint="eastAsia" w:asciiTheme="majorEastAsia" w:hAnsiTheme="majorEastAsia" w:eastAsiaTheme="majorEastAsia" w:cstheme="majorEastAsia"/>
                <w:spacing w:val="-68"/>
                <w:sz w:val="21"/>
                <w:szCs w:val="21"/>
              </w:rPr>
              <w:t xml:space="preserve"> </w:t>
            </w:r>
            <w:r>
              <w:rPr>
                <w:rFonts w:hint="eastAsia" w:asciiTheme="majorEastAsia" w:hAnsiTheme="majorEastAsia" w:eastAsiaTheme="majorEastAsia" w:cstheme="majorEastAsia"/>
                <w:spacing w:val="12"/>
                <w:sz w:val="21"/>
                <w:szCs w:val="21"/>
              </w:rPr>
              <w:t>15分；问题未归纳</w:t>
            </w:r>
            <w:r>
              <w:rPr>
                <w:rFonts w:hint="eastAsia" w:asciiTheme="majorEastAsia" w:hAnsiTheme="majorEastAsia" w:eastAsiaTheme="majorEastAsia" w:cstheme="majorEastAsia"/>
                <w:spacing w:val="11"/>
                <w:sz w:val="21"/>
                <w:szCs w:val="21"/>
              </w:rPr>
              <w:t>且过于简单的，得10—</w:t>
            </w:r>
            <w:r>
              <w:rPr>
                <w:rFonts w:hint="eastAsia" w:asciiTheme="majorEastAsia" w:hAnsiTheme="majorEastAsia" w:eastAsiaTheme="majorEastAsia" w:cstheme="majorEastAsia"/>
                <w:spacing w:val="-68"/>
                <w:sz w:val="21"/>
                <w:szCs w:val="21"/>
              </w:rPr>
              <w:t xml:space="preserve"> </w:t>
            </w:r>
            <w:r>
              <w:rPr>
                <w:rFonts w:hint="eastAsia" w:asciiTheme="majorEastAsia" w:hAnsiTheme="majorEastAsia" w:eastAsiaTheme="majorEastAsia" w:cstheme="majorEastAsia"/>
                <w:spacing w:val="11"/>
                <w:sz w:val="21"/>
                <w:szCs w:val="21"/>
              </w:rPr>
              <w:t>12</w:t>
            </w:r>
            <w:r>
              <w:rPr>
                <w:rFonts w:hint="eastAsia" w:asciiTheme="majorEastAsia" w:hAnsiTheme="majorEastAsia" w:eastAsiaTheme="majorEastAsia" w:cstheme="majorEastAsia"/>
                <w:sz w:val="21"/>
                <w:szCs w:val="21"/>
              </w:rPr>
              <w:t xml:space="preserve">  </w:t>
            </w:r>
            <w:r>
              <w:rPr>
                <w:rFonts w:hint="eastAsia" w:asciiTheme="majorEastAsia" w:hAnsiTheme="majorEastAsia" w:eastAsiaTheme="majorEastAsia" w:cstheme="majorEastAsia"/>
                <w:spacing w:val="13"/>
                <w:sz w:val="21"/>
                <w:szCs w:val="21"/>
              </w:rPr>
              <w:t>分；只提出资金不足问题的不得分；其他情况酌情扣分，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18</w:t>
            </w:r>
            <w:r>
              <w:rPr>
                <w:rFonts w:hint="eastAsia" w:asciiTheme="majorEastAsia" w:hAnsiTheme="majorEastAsia" w:eastAsiaTheme="majorEastAsia" w:cstheme="majorEastAsia"/>
                <w:szCs w:val="21"/>
              </w:rPr>
              <w:t>　</w:t>
            </w:r>
          </w:p>
        </w:tc>
      </w:tr>
      <w:tr>
        <w:tblPrEx>
          <w:tblCellMar>
            <w:top w:w="0" w:type="dxa"/>
            <w:left w:w="108" w:type="dxa"/>
            <w:bottom w:w="0" w:type="dxa"/>
            <w:right w:w="108" w:type="dxa"/>
          </w:tblCellMar>
        </w:tblPrEx>
        <w:trPr>
          <w:trHeight w:val="1313" w:hRule="atLeast"/>
          <w:jc w:val="center"/>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ajorEastAsia" w:hAnsiTheme="majorEastAsia" w:eastAsiaTheme="majorEastAsia" w:cstheme="majorEastAsia"/>
                <w:szCs w:val="21"/>
              </w:rPr>
            </w:pP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针对问题</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提出可行性建议的情况</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（15分）</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ind w:firstLine="216"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3"/>
                <w:sz w:val="21"/>
                <w:szCs w:val="21"/>
              </w:rPr>
              <w:t>建议与问题对应且全面的得15分，建议比较全面的得12—</w:t>
            </w:r>
            <w:r>
              <w:rPr>
                <w:rFonts w:hint="eastAsia" w:asciiTheme="majorEastAsia" w:hAnsiTheme="majorEastAsia" w:eastAsiaTheme="majorEastAsia" w:cstheme="majorEastAsia"/>
                <w:spacing w:val="-55"/>
                <w:sz w:val="21"/>
                <w:szCs w:val="21"/>
              </w:rPr>
              <w:t xml:space="preserve"> </w:t>
            </w:r>
            <w:r>
              <w:rPr>
                <w:rFonts w:hint="eastAsia" w:asciiTheme="majorEastAsia" w:hAnsiTheme="majorEastAsia" w:eastAsiaTheme="majorEastAsia" w:cstheme="majorEastAsia"/>
                <w:spacing w:val="3"/>
                <w:sz w:val="21"/>
                <w:szCs w:val="21"/>
              </w:rPr>
              <w:t>14分，建议不全面的得9—</w:t>
            </w:r>
            <w:r>
              <w:rPr>
                <w:rFonts w:hint="eastAsia" w:asciiTheme="majorEastAsia" w:hAnsiTheme="majorEastAsia" w:eastAsiaTheme="majorEastAsia" w:cstheme="majorEastAsia"/>
                <w:spacing w:val="-72"/>
                <w:sz w:val="21"/>
                <w:szCs w:val="21"/>
              </w:rPr>
              <w:t xml:space="preserve"> </w:t>
            </w:r>
            <w:r>
              <w:rPr>
                <w:rFonts w:hint="eastAsia" w:asciiTheme="majorEastAsia" w:hAnsiTheme="majorEastAsia" w:eastAsiaTheme="majorEastAsia" w:cstheme="majorEastAsia"/>
                <w:spacing w:val="3"/>
                <w:sz w:val="21"/>
                <w:szCs w:val="21"/>
              </w:rPr>
              <w:t>11</w:t>
            </w:r>
            <w:r>
              <w:rPr>
                <w:rFonts w:hint="eastAsia" w:asciiTheme="majorEastAsia" w:hAnsiTheme="majorEastAsia" w:eastAsiaTheme="majorEastAsia" w:cstheme="majorEastAsia"/>
                <w:sz w:val="21"/>
                <w:szCs w:val="21"/>
              </w:rPr>
              <w:t xml:space="preserve">   </w:t>
            </w:r>
            <w:r>
              <w:rPr>
                <w:rFonts w:hint="eastAsia" w:asciiTheme="majorEastAsia" w:hAnsiTheme="majorEastAsia" w:eastAsiaTheme="majorEastAsia" w:cstheme="majorEastAsia"/>
                <w:spacing w:val="2"/>
                <w:sz w:val="21"/>
                <w:szCs w:val="21"/>
              </w:rPr>
              <w:t>分，建议过于简单的得6—8分，只提出加大资金投入建议的不得分；其他情况酌情扣分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14</w:t>
            </w:r>
            <w:r>
              <w:rPr>
                <w:rFonts w:hint="eastAsia" w:asciiTheme="majorEastAsia" w:hAnsiTheme="majorEastAsia" w:eastAsiaTheme="majorEastAsia" w:cstheme="majorEastAsia"/>
                <w:szCs w:val="21"/>
              </w:rPr>
              <w:t>　</w:t>
            </w:r>
          </w:p>
        </w:tc>
      </w:tr>
      <w:tr>
        <w:tblPrEx>
          <w:tblCellMar>
            <w:top w:w="0" w:type="dxa"/>
            <w:left w:w="108" w:type="dxa"/>
            <w:bottom w:w="0" w:type="dxa"/>
            <w:right w:w="108" w:type="dxa"/>
          </w:tblCellMar>
        </w:tblPrEx>
        <w:trPr>
          <w:trHeight w:val="540"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合计</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100分</w:t>
            </w:r>
          </w:p>
        </w:tc>
        <w:tc>
          <w:tcPr>
            <w:tcW w:w="648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Theme="majorEastAsia" w:hAnsiTheme="majorEastAsia" w:eastAsiaTheme="majorEastAsia" w:cstheme="majorEastAsia"/>
                <w:sz w:val="21"/>
                <w:szCs w:val="21"/>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　</w:t>
            </w:r>
            <w:r>
              <w:rPr>
                <w:rFonts w:hint="eastAsia" w:asciiTheme="majorEastAsia" w:hAnsiTheme="majorEastAsia" w:eastAsiaTheme="majorEastAsia" w:cstheme="majorEastAsia"/>
                <w:szCs w:val="21"/>
                <w:lang w:val="en-US" w:eastAsia="zh-CN"/>
              </w:rPr>
              <w:t>96</w:t>
            </w:r>
          </w:p>
        </w:tc>
      </w:tr>
    </w:tbl>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sectPr>
      <w:pgSz w:w="11906" w:h="16838"/>
      <w:pgMar w:top="1701" w:right="1701" w:bottom="170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600000000000000"/>
    <w:charset w:val="86"/>
    <w:family w:val="auto"/>
    <w:pitch w:val="default"/>
    <w:sig w:usb0="00000000" w:usb1="00000000" w:usb2="00000012" w:usb3="00000000" w:csb0="00160001" w:csb1="1203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8"/>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21C3E"/>
    <w:multiLevelType w:val="singleLevel"/>
    <w:tmpl w:val="8E321C3E"/>
    <w:lvl w:ilvl="0" w:tentative="0">
      <w:start w:val="1"/>
      <w:numFmt w:val="chineseCounting"/>
      <w:suff w:val="nothing"/>
      <w:lvlText w:val="%1、"/>
      <w:lvlJc w:val="left"/>
      <w:rPr>
        <w:rFonts w:hint="eastAsia"/>
      </w:rPr>
    </w:lvl>
  </w:abstractNum>
  <w:abstractNum w:abstractNumId="1">
    <w:nsid w:val="E4A2E93D"/>
    <w:multiLevelType w:val="singleLevel"/>
    <w:tmpl w:val="E4A2E93D"/>
    <w:lvl w:ilvl="0" w:tentative="0">
      <w:start w:val="2"/>
      <w:numFmt w:val="chineseCounting"/>
      <w:lvlText w:val="(%1)"/>
      <w:lvlJc w:val="left"/>
      <w:pPr>
        <w:tabs>
          <w:tab w:val="left" w:pos="312"/>
        </w:tabs>
      </w:pPr>
      <w:rPr>
        <w:rFonts w:hint="eastAsia"/>
      </w:rPr>
    </w:lvl>
  </w:abstractNum>
  <w:abstractNum w:abstractNumId="2">
    <w:nsid w:val="0F0BB7E7"/>
    <w:multiLevelType w:val="singleLevel"/>
    <w:tmpl w:val="0F0BB7E7"/>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2Yjk5NzBlNjIxNDhmODM4OGU0YzM5ZWM3YTY4OTAifQ=="/>
  </w:docVars>
  <w:rsids>
    <w:rsidRoot w:val="53FC3987"/>
    <w:rsid w:val="000A3765"/>
    <w:rsid w:val="001D7282"/>
    <w:rsid w:val="0039081D"/>
    <w:rsid w:val="005E6ECB"/>
    <w:rsid w:val="00742F6F"/>
    <w:rsid w:val="00744EA1"/>
    <w:rsid w:val="0078768E"/>
    <w:rsid w:val="009419CA"/>
    <w:rsid w:val="00955854"/>
    <w:rsid w:val="009C7330"/>
    <w:rsid w:val="00A00FBB"/>
    <w:rsid w:val="00BF0721"/>
    <w:rsid w:val="00C03795"/>
    <w:rsid w:val="00CE3756"/>
    <w:rsid w:val="00D27A74"/>
    <w:rsid w:val="00E831C8"/>
    <w:rsid w:val="00EF287A"/>
    <w:rsid w:val="01057CDE"/>
    <w:rsid w:val="010B4A82"/>
    <w:rsid w:val="01192786"/>
    <w:rsid w:val="01201E6A"/>
    <w:rsid w:val="012D57C0"/>
    <w:rsid w:val="013160B5"/>
    <w:rsid w:val="01457029"/>
    <w:rsid w:val="014900E3"/>
    <w:rsid w:val="014F5749"/>
    <w:rsid w:val="01521E95"/>
    <w:rsid w:val="01727F7E"/>
    <w:rsid w:val="01764DBE"/>
    <w:rsid w:val="01806F8C"/>
    <w:rsid w:val="0182483A"/>
    <w:rsid w:val="018356BA"/>
    <w:rsid w:val="01863406"/>
    <w:rsid w:val="018D011E"/>
    <w:rsid w:val="019614B0"/>
    <w:rsid w:val="019C71AC"/>
    <w:rsid w:val="01BF03AA"/>
    <w:rsid w:val="01C33E74"/>
    <w:rsid w:val="01D447A3"/>
    <w:rsid w:val="01DF3C26"/>
    <w:rsid w:val="01EE0A2C"/>
    <w:rsid w:val="0200044D"/>
    <w:rsid w:val="020654E4"/>
    <w:rsid w:val="020C72F8"/>
    <w:rsid w:val="02121B7C"/>
    <w:rsid w:val="021813DE"/>
    <w:rsid w:val="021B6B30"/>
    <w:rsid w:val="02363BD8"/>
    <w:rsid w:val="023809F7"/>
    <w:rsid w:val="02431066"/>
    <w:rsid w:val="02595CF1"/>
    <w:rsid w:val="025C47D6"/>
    <w:rsid w:val="0263675C"/>
    <w:rsid w:val="02656E75"/>
    <w:rsid w:val="027431E5"/>
    <w:rsid w:val="02B544DB"/>
    <w:rsid w:val="02CB5D99"/>
    <w:rsid w:val="02D2429A"/>
    <w:rsid w:val="02F61D91"/>
    <w:rsid w:val="02FA438B"/>
    <w:rsid w:val="02FC4679"/>
    <w:rsid w:val="02FE5E0A"/>
    <w:rsid w:val="0347190C"/>
    <w:rsid w:val="034760CE"/>
    <w:rsid w:val="03487959"/>
    <w:rsid w:val="0350044F"/>
    <w:rsid w:val="03505BE1"/>
    <w:rsid w:val="036D41A2"/>
    <w:rsid w:val="037F229C"/>
    <w:rsid w:val="03911277"/>
    <w:rsid w:val="03992A2D"/>
    <w:rsid w:val="039A540B"/>
    <w:rsid w:val="03BD010E"/>
    <w:rsid w:val="03E2685C"/>
    <w:rsid w:val="03E66326"/>
    <w:rsid w:val="03FF6E0F"/>
    <w:rsid w:val="0404259A"/>
    <w:rsid w:val="04051601"/>
    <w:rsid w:val="04150B3B"/>
    <w:rsid w:val="04327F62"/>
    <w:rsid w:val="04344800"/>
    <w:rsid w:val="044C7A61"/>
    <w:rsid w:val="045F666C"/>
    <w:rsid w:val="0460075C"/>
    <w:rsid w:val="04613BEE"/>
    <w:rsid w:val="0462054D"/>
    <w:rsid w:val="04675C34"/>
    <w:rsid w:val="046C0B29"/>
    <w:rsid w:val="04816E5C"/>
    <w:rsid w:val="048924DD"/>
    <w:rsid w:val="04914D95"/>
    <w:rsid w:val="0495144B"/>
    <w:rsid w:val="04AC07A1"/>
    <w:rsid w:val="04B91614"/>
    <w:rsid w:val="04C60A3C"/>
    <w:rsid w:val="04C63115"/>
    <w:rsid w:val="04CF5236"/>
    <w:rsid w:val="04CF5AF0"/>
    <w:rsid w:val="04D24FF1"/>
    <w:rsid w:val="04DE1BAB"/>
    <w:rsid w:val="04E411E4"/>
    <w:rsid w:val="04F37BBA"/>
    <w:rsid w:val="05085366"/>
    <w:rsid w:val="05145F64"/>
    <w:rsid w:val="05241004"/>
    <w:rsid w:val="054037EF"/>
    <w:rsid w:val="054E7FFF"/>
    <w:rsid w:val="05621117"/>
    <w:rsid w:val="058C5045"/>
    <w:rsid w:val="059C7C89"/>
    <w:rsid w:val="05A50C70"/>
    <w:rsid w:val="05B525CA"/>
    <w:rsid w:val="05C4448F"/>
    <w:rsid w:val="05CE7E5C"/>
    <w:rsid w:val="05E616EC"/>
    <w:rsid w:val="06146BAF"/>
    <w:rsid w:val="06152148"/>
    <w:rsid w:val="06286BB6"/>
    <w:rsid w:val="06405E9C"/>
    <w:rsid w:val="064D5380"/>
    <w:rsid w:val="064E0F6B"/>
    <w:rsid w:val="06617309"/>
    <w:rsid w:val="06650E6A"/>
    <w:rsid w:val="06854A05"/>
    <w:rsid w:val="068B5259"/>
    <w:rsid w:val="06986D10"/>
    <w:rsid w:val="069B2272"/>
    <w:rsid w:val="06A14716"/>
    <w:rsid w:val="06C90184"/>
    <w:rsid w:val="06C9437B"/>
    <w:rsid w:val="06D3561E"/>
    <w:rsid w:val="06ED564C"/>
    <w:rsid w:val="06F22A7B"/>
    <w:rsid w:val="07023424"/>
    <w:rsid w:val="07032B0D"/>
    <w:rsid w:val="07043735"/>
    <w:rsid w:val="0725074E"/>
    <w:rsid w:val="07313C60"/>
    <w:rsid w:val="07331F0A"/>
    <w:rsid w:val="076971BD"/>
    <w:rsid w:val="076D43AE"/>
    <w:rsid w:val="077323CA"/>
    <w:rsid w:val="0775145F"/>
    <w:rsid w:val="07967DE0"/>
    <w:rsid w:val="07970994"/>
    <w:rsid w:val="079D625C"/>
    <w:rsid w:val="07B913B4"/>
    <w:rsid w:val="07BA1C6A"/>
    <w:rsid w:val="07BD44A3"/>
    <w:rsid w:val="07CE6155"/>
    <w:rsid w:val="07E11DA2"/>
    <w:rsid w:val="07E23B26"/>
    <w:rsid w:val="07E31891"/>
    <w:rsid w:val="07E40515"/>
    <w:rsid w:val="07EE6091"/>
    <w:rsid w:val="08017E70"/>
    <w:rsid w:val="0805190B"/>
    <w:rsid w:val="080C52E3"/>
    <w:rsid w:val="082A5F7E"/>
    <w:rsid w:val="08391F38"/>
    <w:rsid w:val="083A18D9"/>
    <w:rsid w:val="0848472A"/>
    <w:rsid w:val="084D20E7"/>
    <w:rsid w:val="08674899"/>
    <w:rsid w:val="08711D3A"/>
    <w:rsid w:val="08754155"/>
    <w:rsid w:val="087B77E7"/>
    <w:rsid w:val="087D3D34"/>
    <w:rsid w:val="0889236C"/>
    <w:rsid w:val="088E051E"/>
    <w:rsid w:val="08935A7B"/>
    <w:rsid w:val="08A91E6C"/>
    <w:rsid w:val="08BA1B19"/>
    <w:rsid w:val="08D059DD"/>
    <w:rsid w:val="08D7088E"/>
    <w:rsid w:val="08DC08E7"/>
    <w:rsid w:val="092D1C9E"/>
    <w:rsid w:val="09377E5E"/>
    <w:rsid w:val="09383E9F"/>
    <w:rsid w:val="0939426E"/>
    <w:rsid w:val="09504F8C"/>
    <w:rsid w:val="09616470"/>
    <w:rsid w:val="096C1F5A"/>
    <w:rsid w:val="096C76C1"/>
    <w:rsid w:val="09906B28"/>
    <w:rsid w:val="09912E95"/>
    <w:rsid w:val="099C1A23"/>
    <w:rsid w:val="09A948AF"/>
    <w:rsid w:val="09AC2A76"/>
    <w:rsid w:val="09B04837"/>
    <w:rsid w:val="09C95891"/>
    <w:rsid w:val="09CD698F"/>
    <w:rsid w:val="09D8005F"/>
    <w:rsid w:val="09F91116"/>
    <w:rsid w:val="0A002E0D"/>
    <w:rsid w:val="0A140987"/>
    <w:rsid w:val="0A241A5C"/>
    <w:rsid w:val="0A2C4C78"/>
    <w:rsid w:val="0A2E3566"/>
    <w:rsid w:val="0A393280"/>
    <w:rsid w:val="0A5F2F6C"/>
    <w:rsid w:val="0A670B4E"/>
    <w:rsid w:val="0A851E03"/>
    <w:rsid w:val="0A985A6F"/>
    <w:rsid w:val="0A98731F"/>
    <w:rsid w:val="0AA808AF"/>
    <w:rsid w:val="0ABD142C"/>
    <w:rsid w:val="0AC644AE"/>
    <w:rsid w:val="0ACB61B4"/>
    <w:rsid w:val="0ACD4157"/>
    <w:rsid w:val="0AE73347"/>
    <w:rsid w:val="0AE964B0"/>
    <w:rsid w:val="0B163034"/>
    <w:rsid w:val="0B1F5B6D"/>
    <w:rsid w:val="0B292074"/>
    <w:rsid w:val="0B2F4AF7"/>
    <w:rsid w:val="0B3312B6"/>
    <w:rsid w:val="0B4064B3"/>
    <w:rsid w:val="0B4106DE"/>
    <w:rsid w:val="0B640DAA"/>
    <w:rsid w:val="0B6E529C"/>
    <w:rsid w:val="0B701D27"/>
    <w:rsid w:val="0B7245CE"/>
    <w:rsid w:val="0B943886"/>
    <w:rsid w:val="0B9C3CD1"/>
    <w:rsid w:val="0BB324D8"/>
    <w:rsid w:val="0BB447B1"/>
    <w:rsid w:val="0BB672C7"/>
    <w:rsid w:val="0BC07BBF"/>
    <w:rsid w:val="0BC429EF"/>
    <w:rsid w:val="0BCE65D1"/>
    <w:rsid w:val="0BD27A8E"/>
    <w:rsid w:val="0BD60937"/>
    <w:rsid w:val="0BD912A4"/>
    <w:rsid w:val="0BE135FA"/>
    <w:rsid w:val="0BEE4F6B"/>
    <w:rsid w:val="0C03261E"/>
    <w:rsid w:val="0C0439FA"/>
    <w:rsid w:val="0C0B17DF"/>
    <w:rsid w:val="0C0F382B"/>
    <w:rsid w:val="0C160980"/>
    <w:rsid w:val="0C1B4EF7"/>
    <w:rsid w:val="0C1C297E"/>
    <w:rsid w:val="0C1D4988"/>
    <w:rsid w:val="0C263DA4"/>
    <w:rsid w:val="0C297E69"/>
    <w:rsid w:val="0C55038F"/>
    <w:rsid w:val="0C660ABD"/>
    <w:rsid w:val="0C6B7DF9"/>
    <w:rsid w:val="0C6E2A56"/>
    <w:rsid w:val="0C7A708D"/>
    <w:rsid w:val="0C8E09E9"/>
    <w:rsid w:val="0CCA7495"/>
    <w:rsid w:val="0CD16BA2"/>
    <w:rsid w:val="0CD745A0"/>
    <w:rsid w:val="0CDE4E30"/>
    <w:rsid w:val="0D012A51"/>
    <w:rsid w:val="0D094F84"/>
    <w:rsid w:val="0D280615"/>
    <w:rsid w:val="0D2C07EB"/>
    <w:rsid w:val="0D2D174A"/>
    <w:rsid w:val="0D2F57DE"/>
    <w:rsid w:val="0D353632"/>
    <w:rsid w:val="0D392C4E"/>
    <w:rsid w:val="0D482FA9"/>
    <w:rsid w:val="0D4A4299"/>
    <w:rsid w:val="0D564ED5"/>
    <w:rsid w:val="0D5F1E28"/>
    <w:rsid w:val="0D671080"/>
    <w:rsid w:val="0D783B34"/>
    <w:rsid w:val="0D81754C"/>
    <w:rsid w:val="0DA74B0C"/>
    <w:rsid w:val="0DBE6AB7"/>
    <w:rsid w:val="0DBF116A"/>
    <w:rsid w:val="0DC00E38"/>
    <w:rsid w:val="0DC8400B"/>
    <w:rsid w:val="0DD34552"/>
    <w:rsid w:val="0DDF6EFF"/>
    <w:rsid w:val="0DE03EAA"/>
    <w:rsid w:val="0DE12394"/>
    <w:rsid w:val="0DF36262"/>
    <w:rsid w:val="0E0E69D0"/>
    <w:rsid w:val="0E1E619E"/>
    <w:rsid w:val="0E267F81"/>
    <w:rsid w:val="0E365DE9"/>
    <w:rsid w:val="0E3E4633"/>
    <w:rsid w:val="0E463344"/>
    <w:rsid w:val="0E4822EE"/>
    <w:rsid w:val="0E4E185D"/>
    <w:rsid w:val="0E522FBE"/>
    <w:rsid w:val="0E5D141B"/>
    <w:rsid w:val="0E5D1762"/>
    <w:rsid w:val="0E8648D6"/>
    <w:rsid w:val="0E8C08DC"/>
    <w:rsid w:val="0E8E43C0"/>
    <w:rsid w:val="0E964CBE"/>
    <w:rsid w:val="0EAC50D3"/>
    <w:rsid w:val="0EB05323"/>
    <w:rsid w:val="0EBE40CB"/>
    <w:rsid w:val="0EC36A56"/>
    <w:rsid w:val="0EC62499"/>
    <w:rsid w:val="0ECE4E6F"/>
    <w:rsid w:val="0EDA5C56"/>
    <w:rsid w:val="0EFE4287"/>
    <w:rsid w:val="0F0D525E"/>
    <w:rsid w:val="0F296723"/>
    <w:rsid w:val="0F2A2A37"/>
    <w:rsid w:val="0F2E6C95"/>
    <w:rsid w:val="0F4675CA"/>
    <w:rsid w:val="0F471A79"/>
    <w:rsid w:val="0F500384"/>
    <w:rsid w:val="0F5B4015"/>
    <w:rsid w:val="0F6071C8"/>
    <w:rsid w:val="0F6E05DA"/>
    <w:rsid w:val="0F7B0394"/>
    <w:rsid w:val="0FA00CB6"/>
    <w:rsid w:val="0FA434D3"/>
    <w:rsid w:val="0FB471F7"/>
    <w:rsid w:val="0FB87AA7"/>
    <w:rsid w:val="0FC95C51"/>
    <w:rsid w:val="0FC965F5"/>
    <w:rsid w:val="0FCD6B4B"/>
    <w:rsid w:val="0FCF7138"/>
    <w:rsid w:val="0FD35AB6"/>
    <w:rsid w:val="0FE017B9"/>
    <w:rsid w:val="0FE04B17"/>
    <w:rsid w:val="0FEC2891"/>
    <w:rsid w:val="0FF71EB7"/>
    <w:rsid w:val="10225AB2"/>
    <w:rsid w:val="102D74F0"/>
    <w:rsid w:val="103C47DA"/>
    <w:rsid w:val="103D5CB0"/>
    <w:rsid w:val="1043497A"/>
    <w:rsid w:val="104B6B58"/>
    <w:rsid w:val="105552F6"/>
    <w:rsid w:val="106E6398"/>
    <w:rsid w:val="108449FF"/>
    <w:rsid w:val="108B34B0"/>
    <w:rsid w:val="10950D99"/>
    <w:rsid w:val="109E2943"/>
    <w:rsid w:val="10C8346E"/>
    <w:rsid w:val="10FE6AB1"/>
    <w:rsid w:val="1112624E"/>
    <w:rsid w:val="11153798"/>
    <w:rsid w:val="11297158"/>
    <w:rsid w:val="114B2C9B"/>
    <w:rsid w:val="115D78BB"/>
    <w:rsid w:val="116001E2"/>
    <w:rsid w:val="11793618"/>
    <w:rsid w:val="11813452"/>
    <w:rsid w:val="118447F4"/>
    <w:rsid w:val="11913DD4"/>
    <w:rsid w:val="11961E43"/>
    <w:rsid w:val="11987ED2"/>
    <w:rsid w:val="119969A0"/>
    <w:rsid w:val="11A91B68"/>
    <w:rsid w:val="11B76464"/>
    <w:rsid w:val="11BC2DF3"/>
    <w:rsid w:val="11C43676"/>
    <w:rsid w:val="11EA3CA0"/>
    <w:rsid w:val="11F403BB"/>
    <w:rsid w:val="11FA6A1C"/>
    <w:rsid w:val="120B6973"/>
    <w:rsid w:val="12155876"/>
    <w:rsid w:val="12183A1B"/>
    <w:rsid w:val="122A11A6"/>
    <w:rsid w:val="123D1BD2"/>
    <w:rsid w:val="123E6D4D"/>
    <w:rsid w:val="125406B2"/>
    <w:rsid w:val="125613C2"/>
    <w:rsid w:val="125D4EF7"/>
    <w:rsid w:val="12637C4E"/>
    <w:rsid w:val="127030C8"/>
    <w:rsid w:val="12A15E33"/>
    <w:rsid w:val="12B310FA"/>
    <w:rsid w:val="12B422BC"/>
    <w:rsid w:val="12B7582D"/>
    <w:rsid w:val="12C621E8"/>
    <w:rsid w:val="12CF0716"/>
    <w:rsid w:val="12D95227"/>
    <w:rsid w:val="12E33197"/>
    <w:rsid w:val="12EE1C9C"/>
    <w:rsid w:val="12F863E6"/>
    <w:rsid w:val="13094CA6"/>
    <w:rsid w:val="132156D8"/>
    <w:rsid w:val="132911E2"/>
    <w:rsid w:val="133868AE"/>
    <w:rsid w:val="135133AE"/>
    <w:rsid w:val="13914897"/>
    <w:rsid w:val="13A55CD5"/>
    <w:rsid w:val="13B654E3"/>
    <w:rsid w:val="13B819E6"/>
    <w:rsid w:val="13BC4189"/>
    <w:rsid w:val="13C169EC"/>
    <w:rsid w:val="13CA717D"/>
    <w:rsid w:val="13CE022A"/>
    <w:rsid w:val="13DF25B8"/>
    <w:rsid w:val="13E2403C"/>
    <w:rsid w:val="14047D3B"/>
    <w:rsid w:val="141A00EA"/>
    <w:rsid w:val="143A1FCF"/>
    <w:rsid w:val="14430D66"/>
    <w:rsid w:val="14477E65"/>
    <w:rsid w:val="14633DE5"/>
    <w:rsid w:val="14710CBF"/>
    <w:rsid w:val="14791934"/>
    <w:rsid w:val="147D213D"/>
    <w:rsid w:val="14862BCB"/>
    <w:rsid w:val="149F64D6"/>
    <w:rsid w:val="14A04833"/>
    <w:rsid w:val="14A44C48"/>
    <w:rsid w:val="14B0163C"/>
    <w:rsid w:val="14B12779"/>
    <w:rsid w:val="14B37576"/>
    <w:rsid w:val="14BC079B"/>
    <w:rsid w:val="14F4219E"/>
    <w:rsid w:val="150135C1"/>
    <w:rsid w:val="151C632A"/>
    <w:rsid w:val="152E4EB1"/>
    <w:rsid w:val="153E3566"/>
    <w:rsid w:val="154034C3"/>
    <w:rsid w:val="156B6CDB"/>
    <w:rsid w:val="15726626"/>
    <w:rsid w:val="15820278"/>
    <w:rsid w:val="158D1367"/>
    <w:rsid w:val="15914EE6"/>
    <w:rsid w:val="15A42FA4"/>
    <w:rsid w:val="15A6418F"/>
    <w:rsid w:val="15AA091B"/>
    <w:rsid w:val="15BC6BD3"/>
    <w:rsid w:val="15CF095E"/>
    <w:rsid w:val="15D35BCA"/>
    <w:rsid w:val="15DA1440"/>
    <w:rsid w:val="15DA784E"/>
    <w:rsid w:val="15DB017B"/>
    <w:rsid w:val="15E6370B"/>
    <w:rsid w:val="15E835FB"/>
    <w:rsid w:val="15E84717"/>
    <w:rsid w:val="15F723D3"/>
    <w:rsid w:val="160F0091"/>
    <w:rsid w:val="16144614"/>
    <w:rsid w:val="163E3AB2"/>
    <w:rsid w:val="165E3F72"/>
    <w:rsid w:val="166D0110"/>
    <w:rsid w:val="167050F1"/>
    <w:rsid w:val="16713DA7"/>
    <w:rsid w:val="16797776"/>
    <w:rsid w:val="16952546"/>
    <w:rsid w:val="16A30A62"/>
    <w:rsid w:val="16AB3FBF"/>
    <w:rsid w:val="16AC1654"/>
    <w:rsid w:val="16B12C6E"/>
    <w:rsid w:val="16BF0789"/>
    <w:rsid w:val="16C04307"/>
    <w:rsid w:val="16CD5BA2"/>
    <w:rsid w:val="16D42F73"/>
    <w:rsid w:val="16DA34D2"/>
    <w:rsid w:val="16DA4E41"/>
    <w:rsid w:val="16F042AC"/>
    <w:rsid w:val="16F626B5"/>
    <w:rsid w:val="16FB005D"/>
    <w:rsid w:val="16FC4F3B"/>
    <w:rsid w:val="171630EB"/>
    <w:rsid w:val="17435DB3"/>
    <w:rsid w:val="174849B3"/>
    <w:rsid w:val="175075E0"/>
    <w:rsid w:val="175D3461"/>
    <w:rsid w:val="175F4C67"/>
    <w:rsid w:val="175F580B"/>
    <w:rsid w:val="17665207"/>
    <w:rsid w:val="176E31A1"/>
    <w:rsid w:val="17794395"/>
    <w:rsid w:val="17856EC1"/>
    <w:rsid w:val="178D50A9"/>
    <w:rsid w:val="178F0FE3"/>
    <w:rsid w:val="17B85018"/>
    <w:rsid w:val="17E339CC"/>
    <w:rsid w:val="17F33C57"/>
    <w:rsid w:val="181D4FAC"/>
    <w:rsid w:val="182B38C1"/>
    <w:rsid w:val="18351597"/>
    <w:rsid w:val="18353961"/>
    <w:rsid w:val="183B1CB5"/>
    <w:rsid w:val="18474510"/>
    <w:rsid w:val="184F1D16"/>
    <w:rsid w:val="1852374B"/>
    <w:rsid w:val="185629F1"/>
    <w:rsid w:val="186720C3"/>
    <w:rsid w:val="18685D91"/>
    <w:rsid w:val="188F0DAB"/>
    <w:rsid w:val="18905464"/>
    <w:rsid w:val="18910B5C"/>
    <w:rsid w:val="18A62960"/>
    <w:rsid w:val="18BD3DC4"/>
    <w:rsid w:val="18C149F3"/>
    <w:rsid w:val="18C7221D"/>
    <w:rsid w:val="18D233DB"/>
    <w:rsid w:val="18D36CD5"/>
    <w:rsid w:val="18DC433F"/>
    <w:rsid w:val="18DC5635"/>
    <w:rsid w:val="18DD0C18"/>
    <w:rsid w:val="18DE4BF6"/>
    <w:rsid w:val="18EC1CA5"/>
    <w:rsid w:val="18F23C9D"/>
    <w:rsid w:val="18F554AB"/>
    <w:rsid w:val="18FE49D5"/>
    <w:rsid w:val="190F3527"/>
    <w:rsid w:val="19100497"/>
    <w:rsid w:val="19183CAC"/>
    <w:rsid w:val="19241D0A"/>
    <w:rsid w:val="193964B7"/>
    <w:rsid w:val="19521C94"/>
    <w:rsid w:val="195657BB"/>
    <w:rsid w:val="196B19EB"/>
    <w:rsid w:val="19717C66"/>
    <w:rsid w:val="198E7C2B"/>
    <w:rsid w:val="199945D5"/>
    <w:rsid w:val="199B5065"/>
    <w:rsid w:val="19D37D58"/>
    <w:rsid w:val="19DD0438"/>
    <w:rsid w:val="19EB665F"/>
    <w:rsid w:val="1A0A04E6"/>
    <w:rsid w:val="1A187AC0"/>
    <w:rsid w:val="1A213466"/>
    <w:rsid w:val="1A3F3F76"/>
    <w:rsid w:val="1A4B4BAE"/>
    <w:rsid w:val="1A5F35C0"/>
    <w:rsid w:val="1A8006B2"/>
    <w:rsid w:val="1A841A42"/>
    <w:rsid w:val="1A8D640E"/>
    <w:rsid w:val="1A974192"/>
    <w:rsid w:val="1AA834CA"/>
    <w:rsid w:val="1AC612CA"/>
    <w:rsid w:val="1ACA62AD"/>
    <w:rsid w:val="1ADA675E"/>
    <w:rsid w:val="1AE11CDA"/>
    <w:rsid w:val="1AFA553B"/>
    <w:rsid w:val="1B113A6D"/>
    <w:rsid w:val="1B144B8D"/>
    <w:rsid w:val="1B17013D"/>
    <w:rsid w:val="1B1B14D3"/>
    <w:rsid w:val="1B1F6AF1"/>
    <w:rsid w:val="1B250DAE"/>
    <w:rsid w:val="1B26261F"/>
    <w:rsid w:val="1B2A34EB"/>
    <w:rsid w:val="1B2B0F4C"/>
    <w:rsid w:val="1B2D2734"/>
    <w:rsid w:val="1B324C1D"/>
    <w:rsid w:val="1B3860E1"/>
    <w:rsid w:val="1B3F36F6"/>
    <w:rsid w:val="1B422830"/>
    <w:rsid w:val="1B4B369E"/>
    <w:rsid w:val="1B5271D4"/>
    <w:rsid w:val="1B6D7C0D"/>
    <w:rsid w:val="1B84594F"/>
    <w:rsid w:val="1B884364"/>
    <w:rsid w:val="1BA912AB"/>
    <w:rsid w:val="1BC74329"/>
    <w:rsid w:val="1BC90A36"/>
    <w:rsid w:val="1BD0347B"/>
    <w:rsid w:val="1BD40AF3"/>
    <w:rsid w:val="1BD802A4"/>
    <w:rsid w:val="1BDF236A"/>
    <w:rsid w:val="1C0435DD"/>
    <w:rsid w:val="1C044A22"/>
    <w:rsid w:val="1C0500B1"/>
    <w:rsid w:val="1C165874"/>
    <w:rsid w:val="1C1D4C3D"/>
    <w:rsid w:val="1C212C7F"/>
    <w:rsid w:val="1C4B14C5"/>
    <w:rsid w:val="1C4C28F3"/>
    <w:rsid w:val="1C71314E"/>
    <w:rsid w:val="1C82672C"/>
    <w:rsid w:val="1C89138D"/>
    <w:rsid w:val="1C8E76D2"/>
    <w:rsid w:val="1C937172"/>
    <w:rsid w:val="1C9542D8"/>
    <w:rsid w:val="1C975C4B"/>
    <w:rsid w:val="1CA27BB1"/>
    <w:rsid w:val="1CAF7DCF"/>
    <w:rsid w:val="1CB07D7A"/>
    <w:rsid w:val="1CDA4D56"/>
    <w:rsid w:val="1CF810AC"/>
    <w:rsid w:val="1D0B3755"/>
    <w:rsid w:val="1D124C24"/>
    <w:rsid w:val="1D2C6C65"/>
    <w:rsid w:val="1D402518"/>
    <w:rsid w:val="1D4E7169"/>
    <w:rsid w:val="1D554265"/>
    <w:rsid w:val="1D660B43"/>
    <w:rsid w:val="1D69344A"/>
    <w:rsid w:val="1D6B31E8"/>
    <w:rsid w:val="1D6B7F83"/>
    <w:rsid w:val="1D776C3D"/>
    <w:rsid w:val="1D807C8E"/>
    <w:rsid w:val="1D95321A"/>
    <w:rsid w:val="1DB85E5C"/>
    <w:rsid w:val="1DC46662"/>
    <w:rsid w:val="1DCA5E3A"/>
    <w:rsid w:val="1DCF5405"/>
    <w:rsid w:val="1DD75183"/>
    <w:rsid w:val="1DDE2626"/>
    <w:rsid w:val="1DFD7C50"/>
    <w:rsid w:val="1E080AB5"/>
    <w:rsid w:val="1E0E0D58"/>
    <w:rsid w:val="1E157818"/>
    <w:rsid w:val="1E2A197B"/>
    <w:rsid w:val="1E35255F"/>
    <w:rsid w:val="1E3C5A5F"/>
    <w:rsid w:val="1E475D36"/>
    <w:rsid w:val="1E4E24A0"/>
    <w:rsid w:val="1E502588"/>
    <w:rsid w:val="1E53413D"/>
    <w:rsid w:val="1E550992"/>
    <w:rsid w:val="1E5A7A32"/>
    <w:rsid w:val="1E671817"/>
    <w:rsid w:val="1E6C3B44"/>
    <w:rsid w:val="1E71779F"/>
    <w:rsid w:val="1E7A4122"/>
    <w:rsid w:val="1E8879EE"/>
    <w:rsid w:val="1EB95D76"/>
    <w:rsid w:val="1EC54236"/>
    <w:rsid w:val="1EC92424"/>
    <w:rsid w:val="1ED464CA"/>
    <w:rsid w:val="1EDA5DF7"/>
    <w:rsid w:val="1EED4A44"/>
    <w:rsid w:val="1EFA39EA"/>
    <w:rsid w:val="1F00206F"/>
    <w:rsid w:val="1F0177DA"/>
    <w:rsid w:val="1F18467A"/>
    <w:rsid w:val="1F232A42"/>
    <w:rsid w:val="1F2645A8"/>
    <w:rsid w:val="1F4B71B8"/>
    <w:rsid w:val="1F4C39A9"/>
    <w:rsid w:val="1F5009C3"/>
    <w:rsid w:val="1F5665AD"/>
    <w:rsid w:val="1F692382"/>
    <w:rsid w:val="1F8815CD"/>
    <w:rsid w:val="1F8D1995"/>
    <w:rsid w:val="1F935BDD"/>
    <w:rsid w:val="1F9730E6"/>
    <w:rsid w:val="1FA470FB"/>
    <w:rsid w:val="1FDE0273"/>
    <w:rsid w:val="1FEF73C9"/>
    <w:rsid w:val="1FFA024A"/>
    <w:rsid w:val="20020491"/>
    <w:rsid w:val="20303E66"/>
    <w:rsid w:val="203640A2"/>
    <w:rsid w:val="203A1A3B"/>
    <w:rsid w:val="203C7C11"/>
    <w:rsid w:val="20421AEB"/>
    <w:rsid w:val="20471AED"/>
    <w:rsid w:val="20487E48"/>
    <w:rsid w:val="20666EBF"/>
    <w:rsid w:val="206F239E"/>
    <w:rsid w:val="2086258B"/>
    <w:rsid w:val="20A45C99"/>
    <w:rsid w:val="20AD18F5"/>
    <w:rsid w:val="20B77D0F"/>
    <w:rsid w:val="20BB288C"/>
    <w:rsid w:val="20D06EB4"/>
    <w:rsid w:val="20E40557"/>
    <w:rsid w:val="20EF04D3"/>
    <w:rsid w:val="210C69CF"/>
    <w:rsid w:val="21107C1A"/>
    <w:rsid w:val="213018E1"/>
    <w:rsid w:val="21392BC1"/>
    <w:rsid w:val="21431802"/>
    <w:rsid w:val="21463D2C"/>
    <w:rsid w:val="2151198F"/>
    <w:rsid w:val="21657B00"/>
    <w:rsid w:val="2172070D"/>
    <w:rsid w:val="217B2C80"/>
    <w:rsid w:val="217D2EA2"/>
    <w:rsid w:val="21851E83"/>
    <w:rsid w:val="21861507"/>
    <w:rsid w:val="219020E3"/>
    <w:rsid w:val="21916EE8"/>
    <w:rsid w:val="219A308D"/>
    <w:rsid w:val="219F5834"/>
    <w:rsid w:val="21A35D48"/>
    <w:rsid w:val="21C12688"/>
    <w:rsid w:val="21CC4855"/>
    <w:rsid w:val="21E233A3"/>
    <w:rsid w:val="21E23F6C"/>
    <w:rsid w:val="21E345FD"/>
    <w:rsid w:val="22171E1E"/>
    <w:rsid w:val="22383B4D"/>
    <w:rsid w:val="22466CD3"/>
    <w:rsid w:val="225D1D49"/>
    <w:rsid w:val="225D33C8"/>
    <w:rsid w:val="226239FE"/>
    <w:rsid w:val="22626562"/>
    <w:rsid w:val="226A76AE"/>
    <w:rsid w:val="22733EB6"/>
    <w:rsid w:val="22906578"/>
    <w:rsid w:val="22973E77"/>
    <w:rsid w:val="22AB58F3"/>
    <w:rsid w:val="22C13FD4"/>
    <w:rsid w:val="22C24771"/>
    <w:rsid w:val="22CB0895"/>
    <w:rsid w:val="230A01C2"/>
    <w:rsid w:val="231527D7"/>
    <w:rsid w:val="23185AD8"/>
    <w:rsid w:val="23336451"/>
    <w:rsid w:val="23474320"/>
    <w:rsid w:val="23492735"/>
    <w:rsid w:val="235B5F37"/>
    <w:rsid w:val="235C3EA6"/>
    <w:rsid w:val="23604810"/>
    <w:rsid w:val="23796902"/>
    <w:rsid w:val="237A7609"/>
    <w:rsid w:val="237F295E"/>
    <w:rsid w:val="23BE4330"/>
    <w:rsid w:val="23BF0A62"/>
    <w:rsid w:val="23C263BB"/>
    <w:rsid w:val="23CB14F2"/>
    <w:rsid w:val="23D04F68"/>
    <w:rsid w:val="23D45863"/>
    <w:rsid w:val="23D50A64"/>
    <w:rsid w:val="23FC0268"/>
    <w:rsid w:val="240B4621"/>
    <w:rsid w:val="241061D3"/>
    <w:rsid w:val="24114322"/>
    <w:rsid w:val="24122F3C"/>
    <w:rsid w:val="24181A61"/>
    <w:rsid w:val="241A4D23"/>
    <w:rsid w:val="244328F6"/>
    <w:rsid w:val="245032E9"/>
    <w:rsid w:val="24536196"/>
    <w:rsid w:val="24626203"/>
    <w:rsid w:val="247573F6"/>
    <w:rsid w:val="247A4BE7"/>
    <w:rsid w:val="24806762"/>
    <w:rsid w:val="24814D5C"/>
    <w:rsid w:val="24831C33"/>
    <w:rsid w:val="248601CB"/>
    <w:rsid w:val="24917BA8"/>
    <w:rsid w:val="24981483"/>
    <w:rsid w:val="249B0370"/>
    <w:rsid w:val="24A24AC6"/>
    <w:rsid w:val="24B93055"/>
    <w:rsid w:val="24C252E5"/>
    <w:rsid w:val="24C93BB5"/>
    <w:rsid w:val="24D02E03"/>
    <w:rsid w:val="24F86BC7"/>
    <w:rsid w:val="250F44FD"/>
    <w:rsid w:val="2514288A"/>
    <w:rsid w:val="253B3382"/>
    <w:rsid w:val="256609A5"/>
    <w:rsid w:val="25781237"/>
    <w:rsid w:val="2578450B"/>
    <w:rsid w:val="257A6914"/>
    <w:rsid w:val="2588530F"/>
    <w:rsid w:val="25963C8A"/>
    <w:rsid w:val="25AB3731"/>
    <w:rsid w:val="25B464A2"/>
    <w:rsid w:val="25BA0209"/>
    <w:rsid w:val="25BB4BF0"/>
    <w:rsid w:val="25E62DA9"/>
    <w:rsid w:val="25F465E7"/>
    <w:rsid w:val="25F6641C"/>
    <w:rsid w:val="25F74FA1"/>
    <w:rsid w:val="25FC3091"/>
    <w:rsid w:val="25FD11FA"/>
    <w:rsid w:val="25FF3210"/>
    <w:rsid w:val="2610789E"/>
    <w:rsid w:val="2611098A"/>
    <w:rsid w:val="264221C6"/>
    <w:rsid w:val="265D3370"/>
    <w:rsid w:val="26666555"/>
    <w:rsid w:val="26677154"/>
    <w:rsid w:val="266E1AF0"/>
    <w:rsid w:val="26875DCA"/>
    <w:rsid w:val="268B7C99"/>
    <w:rsid w:val="268C4A4A"/>
    <w:rsid w:val="268F259F"/>
    <w:rsid w:val="269A7501"/>
    <w:rsid w:val="26A10AA6"/>
    <w:rsid w:val="26A3584F"/>
    <w:rsid w:val="26A66B0A"/>
    <w:rsid w:val="26A73989"/>
    <w:rsid w:val="26A86D42"/>
    <w:rsid w:val="26C30557"/>
    <w:rsid w:val="26CB2EBC"/>
    <w:rsid w:val="26CB4B73"/>
    <w:rsid w:val="26E34A7B"/>
    <w:rsid w:val="26E9756C"/>
    <w:rsid w:val="26FA4570"/>
    <w:rsid w:val="27217FF0"/>
    <w:rsid w:val="27242893"/>
    <w:rsid w:val="273612F4"/>
    <w:rsid w:val="27445146"/>
    <w:rsid w:val="275C112F"/>
    <w:rsid w:val="277602F5"/>
    <w:rsid w:val="278038CA"/>
    <w:rsid w:val="27B71D93"/>
    <w:rsid w:val="27C33BB0"/>
    <w:rsid w:val="27C55F98"/>
    <w:rsid w:val="27CC0CD0"/>
    <w:rsid w:val="27D071BC"/>
    <w:rsid w:val="27D4538F"/>
    <w:rsid w:val="27D668C5"/>
    <w:rsid w:val="27DE15AE"/>
    <w:rsid w:val="27E03A2F"/>
    <w:rsid w:val="28064A27"/>
    <w:rsid w:val="280D297A"/>
    <w:rsid w:val="281440EE"/>
    <w:rsid w:val="28276A98"/>
    <w:rsid w:val="285710C8"/>
    <w:rsid w:val="285C4BAF"/>
    <w:rsid w:val="285D0F42"/>
    <w:rsid w:val="28703320"/>
    <w:rsid w:val="289539A5"/>
    <w:rsid w:val="289F019A"/>
    <w:rsid w:val="28AC041F"/>
    <w:rsid w:val="28B556D0"/>
    <w:rsid w:val="28CC6ED5"/>
    <w:rsid w:val="28F010D9"/>
    <w:rsid w:val="28F05C88"/>
    <w:rsid w:val="29045F7F"/>
    <w:rsid w:val="29082E70"/>
    <w:rsid w:val="291343EF"/>
    <w:rsid w:val="29166F16"/>
    <w:rsid w:val="294D5371"/>
    <w:rsid w:val="295A5964"/>
    <w:rsid w:val="29626133"/>
    <w:rsid w:val="29702C6A"/>
    <w:rsid w:val="298756CC"/>
    <w:rsid w:val="29A81FA5"/>
    <w:rsid w:val="29AB297C"/>
    <w:rsid w:val="29C535D7"/>
    <w:rsid w:val="29C65905"/>
    <w:rsid w:val="29D552F0"/>
    <w:rsid w:val="29DA5777"/>
    <w:rsid w:val="29DF2425"/>
    <w:rsid w:val="2A0E6FDD"/>
    <w:rsid w:val="2A142C99"/>
    <w:rsid w:val="2A1E4871"/>
    <w:rsid w:val="2A214539"/>
    <w:rsid w:val="2A367BB2"/>
    <w:rsid w:val="2A3D54FD"/>
    <w:rsid w:val="2A410FE5"/>
    <w:rsid w:val="2A4173A1"/>
    <w:rsid w:val="2A596631"/>
    <w:rsid w:val="2A5A05BF"/>
    <w:rsid w:val="2A5F2983"/>
    <w:rsid w:val="2A601F6F"/>
    <w:rsid w:val="2A602297"/>
    <w:rsid w:val="2A7A07C0"/>
    <w:rsid w:val="2AB17620"/>
    <w:rsid w:val="2AB30FEA"/>
    <w:rsid w:val="2AB657B1"/>
    <w:rsid w:val="2AB73944"/>
    <w:rsid w:val="2AE07913"/>
    <w:rsid w:val="2AEA3FC0"/>
    <w:rsid w:val="2AEA4AC4"/>
    <w:rsid w:val="2AF876BF"/>
    <w:rsid w:val="2B0E64B5"/>
    <w:rsid w:val="2B166BF6"/>
    <w:rsid w:val="2B2B0DE1"/>
    <w:rsid w:val="2B3E1E16"/>
    <w:rsid w:val="2B5D0E3B"/>
    <w:rsid w:val="2B5E2134"/>
    <w:rsid w:val="2B6C53A9"/>
    <w:rsid w:val="2B6F3EEE"/>
    <w:rsid w:val="2B70774D"/>
    <w:rsid w:val="2B7D446F"/>
    <w:rsid w:val="2B8D4A3E"/>
    <w:rsid w:val="2BCC1BD6"/>
    <w:rsid w:val="2BDF0CFB"/>
    <w:rsid w:val="2BE234F2"/>
    <w:rsid w:val="2BE33AA6"/>
    <w:rsid w:val="2BE40B44"/>
    <w:rsid w:val="2BEF68A7"/>
    <w:rsid w:val="2BF22DBE"/>
    <w:rsid w:val="2BF73785"/>
    <w:rsid w:val="2BFD25E1"/>
    <w:rsid w:val="2C0B25BF"/>
    <w:rsid w:val="2C0F30B3"/>
    <w:rsid w:val="2C1235EB"/>
    <w:rsid w:val="2C162BEC"/>
    <w:rsid w:val="2C2F0BC4"/>
    <w:rsid w:val="2C391765"/>
    <w:rsid w:val="2C3C2B6A"/>
    <w:rsid w:val="2C3D18DD"/>
    <w:rsid w:val="2C3D5EB9"/>
    <w:rsid w:val="2C4C0F0A"/>
    <w:rsid w:val="2C5254C3"/>
    <w:rsid w:val="2C532EF2"/>
    <w:rsid w:val="2C5C500F"/>
    <w:rsid w:val="2C6E3526"/>
    <w:rsid w:val="2C6F1E54"/>
    <w:rsid w:val="2C993631"/>
    <w:rsid w:val="2C9B7E11"/>
    <w:rsid w:val="2CAF1058"/>
    <w:rsid w:val="2CB32C99"/>
    <w:rsid w:val="2CBC36F5"/>
    <w:rsid w:val="2CC907F0"/>
    <w:rsid w:val="2CCC5126"/>
    <w:rsid w:val="2CEC2829"/>
    <w:rsid w:val="2CF756B7"/>
    <w:rsid w:val="2CF9252D"/>
    <w:rsid w:val="2CF94F11"/>
    <w:rsid w:val="2CF97782"/>
    <w:rsid w:val="2D107154"/>
    <w:rsid w:val="2D143281"/>
    <w:rsid w:val="2D1C79F8"/>
    <w:rsid w:val="2D214E0A"/>
    <w:rsid w:val="2D324177"/>
    <w:rsid w:val="2D3A0EFB"/>
    <w:rsid w:val="2D5A7835"/>
    <w:rsid w:val="2D6578A0"/>
    <w:rsid w:val="2D7343C9"/>
    <w:rsid w:val="2DE44256"/>
    <w:rsid w:val="2DE557EB"/>
    <w:rsid w:val="2DE735DA"/>
    <w:rsid w:val="2DEE74F1"/>
    <w:rsid w:val="2E020414"/>
    <w:rsid w:val="2E0E6D42"/>
    <w:rsid w:val="2E0F4249"/>
    <w:rsid w:val="2E2F0A58"/>
    <w:rsid w:val="2E447583"/>
    <w:rsid w:val="2E4B4467"/>
    <w:rsid w:val="2E5520B9"/>
    <w:rsid w:val="2E63548C"/>
    <w:rsid w:val="2E640C1C"/>
    <w:rsid w:val="2E6B523D"/>
    <w:rsid w:val="2E7A08F9"/>
    <w:rsid w:val="2E7B33BD"/>
    <w:rsid w:val="2E836803"/>
    <w:rsid w:val="2E96363C"/>
    <w:rsid w:val="2EAB4B24"/>
    <w:rsid w:val="2EB0190E"/>
    <w:rsid w:val="2EB86707"/>
    <w:rsid w:val="2EC92184"/>
    <w:rsid w:val="2ECD27F6"/>
    <w:rsid w:val="2F0228B0"/>
    <w:rsid w:val="2F0E1C14"/>
    <w:rsid w:val="2F1466B3"/>
    <w:rsid w:val="2F366FC1"/>
    <w:rsid w:val="2F5034C7"/>
    <w:rsid w:val="2F866106"/>
    <w:rsid w:val="2FA3249D"/>
    <w:rsid w:val="2FAD690D"/>
    <w:rsid w:val="2FC05B92"/>
    <w:rsid w:val="2FC13E2A"/>
    <w:rsid w:val="2FDE3BE4"/>
    <w:rsid w:val="2FEC1413"/>
    <w:rsid w:val="2FEF5C51"/>
    <w:rsid w:val="301F1E0F"/>
    <w:rsid w:val="302E6295"/>
    <w:rsid w:val="303329F0"/>
    <w:rsid w:val="303818E5"/>
    <w:rsid w:val="303B4884"/>
    <w:rsid w:val="303F1851"/>
    <w:rsid w:val="303F79AD"/>
    <w:rsid w:val="30492212"/>
    <w:rsid w:val="304C3A2B"/>
    <w:rsid w:val="30596318"/>
    <w:rsid w:val="306F339C"/>
    <w:rsid w:val="30762710"/>
    <w:rsid w:val="30814CF1"/>
    <w:rsid w:val="308E4163"/>
    <w:rsid w:val="30A71077"/>
    <w:rsid w:val="30AC18CA"/>
    <w:rsid w:val="30C20BA4"/>
    <w:rsid w:val="30C478ED"/>
    <w:rsid w:val="30EC01FB"/>
    <w:rsid w:val="30F54D00"/>
    <w:rsid w:val="31026564"/>
    <w:rsid w:val="310A5122"/>
    <w:rsid w:val="312107CD"/>
    <w:rsid w:val="31210CA8"/>
    <w:rsid w:val="31215285"/>
    <w:rsid w:val="312D0344"/>
    <w:rsid w:val="31346C1B"/>
    <w:rsid w:val="314A407E"/>
    <w:rsid w:val="314E2EDF"/>
    <w:rsid w:val="31686F7D"/>
    <w:rsid w:val="317038BB"/>
    <w:rsid w:val="317958D0"/>
    <w:rsid w:val="318D218C"/>
    <w:rsid w:val="31964319"/>
    <w:rsid w:val="319A32FE"/>
    <w:rsid w:val="31A53AB7"/>
    <w:rsid w:val="31A801F9"/>
    <w:rsid w:val="31C57FB2"/>
    <w:rsid w:val="31C932E2"/>
    <w:rsid w:val="31F61F62"/>
    <w:rsid w:val="320358D0"/>
    <w:rsid w:val="32052FE4"/>
    <w:rsid w:val="320B77FD"/>
    <w:rsid w:val="321976B1"/>
    <w:rsid w:val="321D6876"/>
    <w:rsid w:val="3220390C"/>
    <w:rsid w:val="322B51BC"/>
    <w:rsid w:val="322F26BF"/>
    <w:rsid w:val="32313F22"/>
    <w:rsid w:val="32643522"/>
    <w:rsid w:val="326470BA"/>
    <w:rsid w:val="32744A8B"/>
    <w:rsid w:val="32753DA5"/>
    <w:rsid w:val="32821314"/>
    <w:rsid w:val="32886DB3"/>
    <w:rsid w:val="32895C45"/>
    <w:rsid w:val="32A43D99"/>
    <w:rsid w:val="32B141E0"/>
    <w:rsid w:val="32B44D2D"/>
    <w:rsid w:val="32B45C4C"/>
    <w:rsid w:val="32C90A49"/>
    <w:rsid w:val="32FA2D7F"/>
    <w:rsid w:val="32FC6C4E"/>
    <w:rsid w:val="33085CC5"/>
    <w:rsid w:val="33262CBA"/>
    <w:rsid w:val="332B323C"/>
    <w:rsid w:val="332E3189"/>
    <w:rsid w:val="334E650C"/>
    <w:rsid w:val="335B62EC"/>
    <w:rsid w:val="335E79BA"/>
    <w:rsid w:val="3360061D"/>
    <w:rsid w:val="336549AB"/>
    <w:rsid w:val="33782709"/>
    <w:rsid w:val="338A259F"/>
    <w:rsid w:val="3392025F"/>
    <w:rsid w:val="33A8285D"/>
    <w:rsid w:val="33AC1E29"/>
    <w:rsid w:val="33B17041"/>
    <w:rsid w:val="33B202F3"/>
    <w:rsid w:val="33B20F64"/>
    <w:rsid w:val="33E35D08"/>
    <w:rsid w:val="33EE53FA"/>
    <w:rsid w:val="33FD7485"/>
    <w:rsid w:val="34012F1B"/>
    <w:rsid w:val="34467089"/>
    <w:rsid w:val="34523AB5"/>
    <w:rsid w:val="346B4B47"/>
    <w:rsid w:val="346E4F77"/>
    <w:rsid w:val="34762AAC"/>
    <w:rsid w:val="348402A8"/>
    <w:rsid w:val="34B510BB"/>
    <w:rsid w:val="34BB2714"/>
    <w:rsid w:val="34BD790F"/>
    <w:rsid w:val="34C25EF7"/>
    <w:rsid w:val="34D20F28"/>
    <w:rsid w:val="34E22DC0"/>
    <w:rsid w:val="350233D4"/>
    <w:rsid w:val="35195F01"/>
    <w:rsid w:val="352E7D40"/>
    <w:rsid w:val="35313A72"/>
    <w:rsid w:val="35493C91"/>
    <w:rsid w:val="355C0228"/>
    <w:rsid w:val="356566F3"/>
    <w:rsid w:val="357800DF"/>
    <w:rsid w:val="358527FB"/>
    <w:rsid w:val="358B5BCF"/>
    <w:rsid w:val="359A77E8"/>
    <w:rsid w:val="35A1790B"/>
    <w:rsid w:val="35A45B99"/>
    <w:rsid w:val="35B01090"/>
    <w:rsid w:val="35B41C29"/>
    <w:rsid w:val="35DD2073"/>
    <w:rsid w:val="35DF75FB"/>
    <w:rsid w:val="35EB21A5"/>
    <w:rsid w:val="35EC7269"/>
    <w:rsid w:val="35F52D00"/>
    <w:rsid w:val="35FF153A"/>
    <w:rsid w:val="3606622C"/>
    <w:rsid w:val="36077316"/>
    <w:rsid w:val="3613278E"/>
    <w:rsid w:val="36356D4F"/>
    <w:rsid w:val="36405687"/>
    <w:rsid w:val="36414112"/>
    <w:rsid w:val="365F3D60"/>
    <w:rsid w:val="36645530"/>
    <w:rsid w:val="367851C1"/>
    <w:rsid w:val="369510BC"/>
    <w:rsid w:val="36973632"/>
    <w:rsid w:val="369F3680"/>
    <w:rsid w:val="36A30194"/>
    <w:rsid w:val="36D21A02"/>
    <w:rsid w:val="37104DEB"/>
    <w:rsid w:val="372D0977"/>
    <w:rsid w:val="37337382"/>
    <w:rsid w:val="374D5647"/>
    <w:rsid w:val="374F42A7"/>
    <w:rsid w:val="37506DBE"/>
    <w:rsid w:val="3759338C"/>
    <w:rsid w:val="37654002"/>
    <w:rsid w:val="378E3E66"/>
    <w:rsid w:val="37C244FC"/>
    <w:rsid w:val="37D95C79"/>
    <w:rsid w:val="37DA67DD"/>
    <w:rsid w:val="37DD4C41"/>
    <w:rsid w:val="37E81F7B"/>
    <w:rsid w:val="38026A1B"/>
    <w:rsid w:val="38197832"/>
    <w:rsid w:val="383903C6"/>
    <w:rsid w:val="383C423B"/>
    <w:rsid w:val="38415136"/>
    <w:rsid w:val="38504C90"/>
    <w:rsid w:val="386C1D38"/>
    <w:rsid w:val="387A25A5"/>
    <w:rsid w:val="38963295"/>
    <w:rsid w:val="389D2F53"/>
    <w:rsid w:val="38A945B7"/>
    <w:rsid w:val="38CC2A09"/>
    <w:rsid w:val="38D677A2"/>
    <w:rsid w:val="38D770AE"/>
    <w:rsid w:val="38F06EDE"/>
    <w:rsid w:val="38F70050"/>
    <w:rsid w:val="38FC33FC"/>
    <w:rsid w:val="38FD0E84"/>
    <w:rsid w:val="38FF1B5B"/>
    <w:rsid w:val="390273B1"/>
    <w:rsid w:val="39153767"/>
    <w:rsid w:val="39225CA9"/>
    <w:rsid w:val="3923070B"/>
    <w:rsid w:val="392C49BB"/>
    <w:rsid w:val="39381E2B"/>
    <w:rsid w:val="3942282F"/>
    <w:rsid w:val="3953338B"/>
    <w:rsid w:val="395A11C2"/>
    <w:rsid w:val="396B7002"/>
    <w:rsid w:val="396C2A15"/>
    <w:rsid w:val="39A95BE7"/>
    <w:rsid w:val="39AC01F9"/>
    <w:rsid w:val="39B73BAC"/>
    <w:rsid w:val="39B7517F"/>
    <w:rsid w:val="39BA3B51"/>
    <w:rsid w:val="39C20795"/>
    <w:rsid w:val="39C84206"/>
    <w:rsid w:val="39E77318"/>
    <w:rsid w:val="39E90E2B"/>
    <w:rsid w:val="39E94D86"/>
    <w:rsid w:val="39F1638E"/>
    <w:rsid w:val="3A001C79"/>
    <w:rsid w:val="3A1513BA"/>
    <w:rsid w:val="3A2E618D"/>
    <w:rsid w:val="3A4109A1"/>
    <w:rsid w:val="3A5042B3"/>
    <w:rsid w:val="3A742C8C"/>
    <w:rsid w:val="3A7B2702"/>
    <w:rsid w:val="3A896EEE"/>
    <w:rsid w:val="3AAA2893"/>
    <w:rsid w:val="3ABB15C7"/>
    <w:rsid w:val="3ABE79AB"/>
    <w:rsid w:val="3AD8279E"/>
    <w:rsid w:val="3AE73EDB"/>
    <w:rsid w:val="3B08641D"/>
    <w:rsid w:val="3B097D0D"/>
    <w:rsid w:val="3B1C7A19"/>
    <w:rsid w:val="3B2B5582"/>
    <w:rsid w:val="3B4234D4"/>
    <w:rsid w:val="3B5068F7"/>
    <w:rsid w:val="3B7622BA"/>
    <w:rsid w:val="3B7C1C88"/>
    <w:rsid w:val="3B8107C8"/>
    <w:rsid w:val="3B8972AA"/>
    <w:rsid w:val="3BA219B8"/>
    <w:rsid w:val="3BA96003"/>
    <w:rsid w:val="3BC61A51"/>
    <w:rsid w:val="3BCC6963"/>
    <w:rsid w:val="3BE14893"/>
    <w:rsid w:val="3BE8265C"/>
    <w:rsid w:val="3BE92A35"/>
    <w:rsid w:val="3BEB460F"/>
    <w:rsid w:val="3BEF1DA2"/>
    <w:rsid w:val="3BF64635"/>
    <w:rsid w:val="3BF956C3"/>
    <w:rsid w:val="3C0651CD"/>
    <w:rsid w:val="3C0E5CDB"/>
    <w:rsid w:val="3C4D3B02"/>
    <w:rsid w:val="3C5B1D89"/>
    <w:rsid w:val="3C85498F"/>
    <w:rsid w:val="3C8946A5"/>
    <w:rsid w:val="3CA372A1"/>
    <w:rsid w:val="3CA600E0"/>
    <w:rsid w:val="3CB765A9"/>
    <w:rsid w:val="3CBA4326"/>
    <w:rsid w:val="3CBC0BE3"/>
    <w:rsid w:val="3CC614DA"/>
    <w:rsid w:val="3CD01DA9"/>
    <w:rsid w:val="3CDA38F5"/>
    <w:rsid w:val="3CDD517D"/>
    <w:rsid w:val="3CE33FC3"/>
    <w:rsid w:val="3CEA3B31"/>
    <w:rsid w:val="3CF9401E"/>
    <w:rsid w:val="3CFC6325"/>
    <w:rsid w:val="3D093C71"/>
    <w:rsid w:val="3D1A22C0"/>
    <w:rsid w:val="3D294B1B"/>
    <w:rsid w:val="3D2B034D"/>
    <w:rsid w:val="3D5A60CA"/>
    <w:rsid w:val="3D705822"/>
    <w:rsid w:val="3D9F4364"/>
    <w:rsid w:val="3DA702BF"/>
    <w:rsid w:val="3DB02E6B"/>
    <w:rsid w:val="3DB86D41"/>
    <w:rsid w:val="3DB92106"/>
    <w:rsid w:val="3DCF457D"/>
    <w:rsid w:val="3DF169A7"/>
    <w:rsid w:val="3DF2399F"/>
    <w:rsid w:val="3DF40FE4"/>
    <w:rsid w:val="3E0519AD"/>
    <w:rsid w:val="3E0A667E"/>
    <w:rsid w:val="3E4A1D40"/>
    <w:rsid w:val="3E4C287B"/>
    <w:rsid w:val="3E633FD2"/>
    <w:rsid w:val="3E6F32D2"/>
    <w:rsid w:val="3E742C66"/>
    <w:rsid w:val="3E7E19E7"/>
    <w:rsid w:val="3E8572BF"/>
    <w:rsid w:val="3E917B82"/>
    <w:rsid w:val="3E9656A5"/>
    <w:rsid w:val="3E997463"/>
    <w:rsid w:val="3E9F7600"/>
    <w:rsid w:val="3ECD5479"/>
    <w:rsid w:val="3ED62B90"/>
    <w:rsid w:val="3EE34DD3"/>
    <w:rsid w:val="3EF434CC"/>
    <w:rsid w:val="3EFB6FF7"/>
    <w:rsid w:val="3EFF0A75"/>
    <w:rsid w:val="3F1054CE"/>
    <w:rsid w:val="3F2534F3"/>
    <w:rsid w:val="3F3A1B65"/>
    <w:rsid w:val="3F3A5EB9"/>
    <w:rsid w:val="3F522210"/>
    <w:rsid w:val="3F544AF6"/>
    <w:rsid w:val="3F5C361D"/>
    <w:rsid w:val="3F5E64F5"/>
    <w:rsid w:val="3F656E2C"/>
    <w:rsid w:val="3F6D5029"/>
    <w:rsid w:val="3F8F6B56"/>
    <w:rsid w:val="3F92376D"/>
    <w:rsid w:val="3F9C1CD6"/>
    <w:rsid w:val="3FAB2488"/>
    <w:rsid w:val="3FB035B9"/>
    <w:rsid w:val="3FC45A80"/>
    <w:rsid w:val="3FC57677"/>
    <w:rsid w:val="3FDE13B9"/>
    <w:rsid w:val="3FE029F1"/>
    <w:rsid w:val="3FE457AE"/>
    <w:rsid w:val="3FE57701"/>
    <w:rsid w:val="40087B72"/>
    <w:rsid w:val="400C4E03"/>
    <w:rsid w:val="40126EBB"/>
    <w:rsid w:val="401A4D54"/>
    <w:rsid w:val="40262C07"/>
    <w:rsid w:val="404209E3"/>
    <w:rsid w:val="40451C67"/>
    <w:rsid w:val="404A1B2B"/>
    <w:rsid w:val="404A601E"/>
    <w:rsid w:val="404C52F4"/>
    <w:rsid w:val="40510EE6"/>
    <w:rsid w:val="405C0FC1"/>
    <w:rsid w:val="40733CBA"/>
    <w:rsid w:val="407A4DF7"/>
    <w:rsid w:val="40B16CC2"/>
    <w:rsid w:val="40B81BAD"/>
    <w:rsid w:val="40BB2365"/>
    <w:rsid w:val="40D23962"/>
    <w:rsid w:val="40D61BC8"/>
    <w:rsid w:val="40DC4F1D"/>
    <w:rsid w:val="40DF2097"/>
    <w:rsid w:val="40E71ABD"/>
    <w:rsid w:val="413C11C7"/>
    <w:rsid w:val="41447F0E"/>
    <w:rsid w:val="414733E0"/>
    <w:rsid w:val="41566753"/>
    <w:rsid w:val="41641DE4"/>
    <w:rsid w:val="416A21FA"/>
    <w:rsid w:val="416B09D7"/>
    <w:rsid w:val="417D1E08"/>
    <w:rsid w:val="417D5552"/>
    <w:rsid w:val="4188208C"/>
    <w:rsid w:val="419B51EE"/>
    <w:rsid w:val="41B11897"/>
    <w:rsid w:val="41C57D35"/>
    <w:rsid w:val="41F34606"/>
    <w:rsid w:val="4200399D"/>
    <w:rsid w:val="420E20BD"/>
    <w:rsid w:val="421647B9"/>
    <w:rsid w:val="42263E3B"/>
    <w:rsid w:val="42291C88"/>
    <w:rsid w:val="422C70F1"/>
    <w:rsid w:val="423C6CFA"/>
    <w:rsid w:val="42442693"/>
    <w:rsid w:val="427F1F58"/>
    <w:rsid w:val="428D1B97"/>
    <w:rsid w:val="42B608A5"/>
    <w:rsid w:val="42BC6C8F"/>
    <w:rsid w:val="42C5446D"/>
    <w:rsid w:val="42E94337"/>
    <w:rsid w:val="43031943"/>
    <w:rsid w:val="430567FD"/>
    <w:rsid w:val="431327F1"/>
    <w:rsid w:val="43182DB2"/>
    <w:rsid w:val="4368794F"/>
    <w:rsid w:val="436D0FB5"/>
    <w:rsid w:val="437518D1"/>
    <w:rsid w:val="438D1E49"/>
    <w:rsid w:val="43A0784E"/>
    <w:rsid w:val="43B23B98"/>
    <w:rsid w:val="43C80076"/>
    <w:rsid w:val="43D8550E"/>
    <w:rsid w:val="43DC0C7D"/>
    <w:rsid w:val="43EA69D8"/>
    <w:rsid w:val="44356D2F"/>
    <w:rsid w:val="44390E25"/>
    <w:rsid w:val="44433468"/>
    <w:rsid w:val="44437F9F"/>
    <w:rsid w:val="444F5C68"/>
    <w:rsid w:val="44613E6E"/>
    <w:rsid w:val="446A5324"/>
    <w:rsid w:val="447E7804"/>
    <w:rsid w:val="44943661"/>
    <w:rsid w:val="44A05C5C"/>
    <w:rsid w:val="44AC7417"/>
    <w:rsid w:val="44B16853"/>
    <w:rsid w:val="450D5FAD"/>
    <w:rsid w:val="45172F07"/>
    <w:rsid w:val="451D5184"/>
    <w:rsid w:val="452F3716"/>
    <w:rsid w:val="453C65FD"/>
    <w:rsid w:val="454B256E"/>
    <w:rsid w:val="455D76E4"/>
    <w:rsid w:val="45646F33"/>
    <w:rsid w:val="45671007"/>
    <w:rsid w:val="456C331B"/>
    <w:rsid w:val="45A26739"/>
    <w:rsid w:val="45B07140"/>
    <w:rsid w:val="45C43431"/>
    <w:rsid w:val="45EE3358"/>
    <w:rsid w:val="46066722"/>
    <w:rsid w:val="461976C3"/>
    <w:rsid w:val="461C0664"/>
    <w:rsid w:val="463D42BA"/>
    <w:rsid w:val="4643494C"/>
    <w:rsid w:val="46521A41"/>
    <w:rsid w:val="465D50F1"/>
    <w:rsid w:val="46771C91"/>
    <w:rsid w:val="467F06A4"/>
    <w:rsid w:val="4694259D"/>
    <w:rsid w:val="46A64B43"/>
    <w:rsid w:val="46AA5A85"/>
    <w:rsid w:val="46AC6264"/>
    <w:rsid w:val="46C01696"/>
    <w:rsid w:val="46C52BE0"/>
    <w:rsid w:val="46C95C87"/>
    <w:rsid w:val="46CC2A14"/>
    <w:rsid w:val="46D118AB"/>
    <w:rsid w:val="46EE37D3"/>
    <w:rsid w:val="46F30AEE"/>
    <w:rsid w:val="47123940"/>
    <w:rsid w:val="47204C1C"/>
    <w:rsid w:val="4726595C"/>
    <w:rsid w:val="472B687C"/>
    <w:rsid w:val="4759257B"/>
    <w:rsid w:val="47600773"/>
    <w:rsid w:val="47661F26"/>
    <w:rsid w:val="476E25F3"/>
    <w:rsid w:val="47783B12"/>
    <w:rsid w:val="477D5156"/>
    <w:rsid w:val="477F2265"/>
    <w:rsid w:val="47890AD6"/>
    <w:rsid w:val="478D2FF6"/>
    <w:rsid w:val="478F6037"/>
    <w:rsid w:val="47981ED8"/>
    <w:rsid w:val="4798720D"/>
    <w:rsid w:val="47BF7C9C"/>
    <w:rsid w:val="47C2246C"/>
    <w:rsid w:val="47CA5F05"/>
    <w:rsid w:val="47DA1720"/>
    <w:rsid w:val="47E11737"/>
    <w:rsid w:val="47E77D53"/>
    <w:rsid w:val="47ED46A0"/>
    <w:rsid w:val="47EE48C0"/>
    <w:rsid w:val="47F35E3E"/>
    <w:rsid w:val="47FB766F"/>
    <w:rsid w:val="48064E6E"/>
    <w:rsid w:val="4808575C"/>
    <w:rsid w:val="480B439D"/>
    <w:rsid w:val="482F10F4"/>
    <w:rsid w:val="48606A0B"/>
    <w:rsid w:val="486D78BB"/>
    <w:rsid w:val="48723EEE"/>
    <w:rsid w:val="487E6545"/>
    <w:rsid w:val="48915636"/>
    <w:rsid w:val="48985F31"/>
    <w:rsid w:val="48AC6E35"/>
    <w:rsid w:val="48BD43A0"/>
    <w:rsid w:val="48C417A6"/>
    <w:rsid w:val="48C96968"/>
    <w:rsid w:val="48F51F3E"/>
    <w:rsid w:val="48F84416"/>
    <w:rsid w:val="4900614D"/>
    <w:rsid w:val="4902013C"/>
    <w:rsid w:val="490874C4"/>
    <w:rsid w:val="491A6A98"/>
    <w:rsid w:val="491D4AAF"/>
    <w:rsid w:val="4926292B"/>
    <w:rsid w:val="49371235"/>
    <w:rsid w:val="494324F6"/>
    <w:rsid w:val="49455D20"/>
    <w:rsid w:val="497B341F"/>
    <w:rsid w:val="49B415EE"/>
    <w:rsid w:val="49B569B9"/>
    <w:rsid w:val="49B63FD6"/>
    <w:rsid w:val="49BF4D00"/>
    <w:rsid w:val="49D1562B"/>
    <w:rsid w:val="49DE1EF5"/>
    <w:rsid w:val="49E579C4"/>
    <w:rsid w:val="49EA2381"/>
    <w:rsid w:val="49F04409"/>
    <w:rsid w:val="49F43753"/>
    <w:rsid w:val="49F54A10"/>
    <w:rsid w:val="49F94CE9"/>
    <w:rsid w:val="49FE0E45"/>
    <w:rsid w:val="4A040938"/>
    <w:rsid w:val="4A11169A"/>
    <w:rsid w:val="4A212635"/>
    <w:rsid w:val="4A2175B6"/>
    <w:rsid w:val="4A2F4915"/>
    <w:rsid w:val="4A4260CB"/>
    <w:rsid w:val="4A611E1A"/>
    <w:rsid w:val="4A7055A6"/>
    <w:rsid w:val="4A9C47ED"/>
    <w:rsid w:val="4AA71D5E"/>
    <w:rsid w:val="4AAA6CA9"/>
    <w:rsid w:val="4AC43FFA"/>
    <w:rsid w:val="4AC62F10"/>
    <w:rsid w:val="4AE008D2"/>
    <w:rsid w:val="4B0B3617"/>
    <w:rsid w:val="4B2815DF"/>
    <w:rsid w:val="4B282734"/>
    <w:rsid w:val="4B473F5E"/>
    <w:rsid w:val="4B49191E"/>
    <w:rsid w:val="4B507FB2"/>
    <w:rsid w:val="4B647620"/>
    <w:rsid w:val="4B695935"/>
    <w:rsid w:val="4B7A55E6"/>
    <w:rsid w:val="4B82653E"/>
    <w:rsid w:val="4B894031"/>
    <w:rsid w:val="4B8C1A83"/>
    <w:rsid w:val="4B946154"/>
    <w:rsid w:val="4BA268DF"/>
    <w:rsid w:val="4BB12731"/>
    <w:rsid w:val="4BE10A59"/>
    <w:rsid w:val="4BE123D1"/>
    <w:rsid w:val="4C0A534C"/>
    <w:rsid w:val="4C0F01F9"/>
    <w:rsid w:val="4C270B31"/>
    <w:rsid w:val="4C3202E6"/>
    <w:rsid w:val="4C6370A1"/>
    <w:rsid w:val="4C736886"/>
    <w:rsid w:val="4C7F7CEF"/>
    <w:rsid w:val="4C821AA7"/>
    <w:rsid w:val="4C991AEB"/>
    <w:rsid w:val="4CA43125"/>
    <w:rsid w:val="4CAC2A11"/>
    <w:rsid w:val="4CB01CB9"/>
    <w:rsid w:val="4CCD33EA"/>
    <w:rsid w:val="4CCF426B"/>
    <w:rsid w:val="4CD62AB8"/>
    <w:rsid w:val="4CF907DC"/>
    <w:rsid w:val="4CFE069C"/>
    <w:rsid w:val="4D033F9C"/>
    <w:rsid w:val="4D055E23"/>
    <w:rsid w:val="4D2433AC"/>
    <w:rsid w:val="4D2B3779"/>
    <w:rsid w:val="4D4A4A28"/>
    <w:rsid w:val="4D5D7D7F"/>
    <w:rsid w:val="4D625C01"/>
    <w:rsid w:val="4D8F350E"/>
    <w:rsid w:val="4D924E46"/>
    <w:rsid w:val="4D9877E4"/>
    <w:rsid w:val="4DBD22E7"/>
    <w:rsid w:val="4DC73507"/>
    <w:rsid w:val="4DDA6A5F"/>
    <w:rsid w:val="4DDB7205"/>
    <w:rsid w:val="4DDF772B"/>
    <w:rsid w:val="4DEB15AD"/>
    <w:rsid w:val="4DF8520A"/>
    <w:rsid w:val="4DF87443"/>
    <w:rsid w:val="4E370600"/>
    <w:rsid w:val="4E435024"/>
    <w:rsid w:val="4E4E7E80"/>
    <w:rsid w:val="4E534A5B"/>
    <w:rsid w:val="4E565AC1"/>
    <w:rsid w:val="4E5C5562"/>
    <w:rsid w:val="4E5F69A8"/>
    <w:rsid w:val="4E655726"/>
    <w:rsid w:val="4E754A02"/>
    <w:rsid w:val="4E842B9F"/>
    <w:rsid w:val="4E95725E"/>
    <w:rsid w:val="4E9A6CF9"/>
    <w:rsid w:val="4EA63D16"/>
    <w:rsid w:val="4EA65FD0"/>
    <w:rsid w:val="4ED33DCB"/>
    <w:rsid w:val="4ED47D84"/>
    <w:rsid w:val="4EE34782"/>
    <w:rsid w:val="4EE63F4F"/>
    <w:rsid w:val="4EF63225"/>
    <w:rsid w:val="4F007E65"/>
    <w:rsid w:val="4F0A1AF8"/>
    <w:rsid w:val="4F1813ED"/>
    <w:rsid w:val="4F203D73"/>
    <w:rsid w:val="4F27252E"/>
    <w:rsid w:val="4F323E26"/>
    <w:rsid w:val="4F3913E8"/>
    <w:rsid w:val="4F501419"/>
    <w:rsid w:val="4F594DAC"/>
    <w:rsid w:val="4F5C5A7F"/>
    <w:rsid w:val="4F6C3F07"/>
    <w:rsid w:val="4F830574"/>
    <w:rsid w:val="4F8D5FB6"/>
    <w:rsid w:val="4F9753D7"/>
    <w:rsid w:val="4FA54804"/>
    <w:rsid w:val="4FBF34BA"/>
    <w:rsid w:val="4FCA2B98"/>
    <w:rsid w:val="4FCB218A"/>
    <w:rsid w:val="4FCE7BAE"/>
    <w:rsid w:val="4FFE4A87"/>
    <w:rsid w:val="500344EA"/>
    <w:rsid w:val="500B7B4C"/>
    <w:rsid w:val="503C3296"/>
    <w:rsid w:val="50494C36"/>
    <w:rsid w:val="504B0F0D"/>
    <w:rsid w:val="50527689"/>
    <w:rsid w:val="50660B58"/>
    <w:rsid w:val="506633AA"/>
    <w:rsid w:val="507237E3"/>
    <w:rsid w:val="50911DB8"/>
    <w:rsid w:val="50943033"/>
    <w:rsid w:val="50992F99"/>
    <w:rsid w:val="509D389C"/>
    <w:rsid w:val="50A642FD"/>
    <w:rsid w:val="50AF647F"/>
    <w:rsid w:val="50BB317D"/>
    <w:rsid w:val="50D06E68"/>
    <w:rsid w:val="50D37C72"/>
    <w:rsid w:val="50E466DC"/>
    <w:rsid w:val="50EA1869"/>
    <w:rsid w:val="50FD00F4"/>
    <w:rsid w:val="50FF056E"/>
    <w:rsid w:val="510F2A7F"/>
    <w:rsid w:val="512746EF"/>
    <w:rsid w:val="51283E4C"/>
    <w:rsid w:val="51291D35"/>
    <w:rsid w:val="512B3A7F"/>
    <w:rsid w:val="51414399"/>
    <w:rsid w:val="515D5FD6"/>
    <w:rsid w:val="516A7012"/>
    <w:rsid w:val="516E103F"/>
    <w:rsid w:val="51721A38"/>
    <w:rsid w:val="517D016D"/>
    <w:rsid w:val="51A45867"/>
    <w:rsid w:val="51AD7250"/>
    <w:rsid w:val="51BB3832"/>
    <w:rsid w:val="51CF1465"/>
    <w:rsid w:val="51D1247D"/>
    <w:rsid w:val="51EC4955"/>
    <w:rsid w:val="51F067B7"/>
    <w:rsid w:val="52077D46"/>
    <w:rsid w:val="52187D0D"/>
    <w:rsid w:val="52351CB5"/>
    <w:rsid w:val="52361B9C"/>
    <w:rsid w:val="52362A26"/>
    <w:rsid w:val="523B0BAD"/>
    <w:rsid w:val="523E270A"/>
    <w:rsid w:val="524B7169"/>
    <w:rsid w:val="5250515D"/>
    <w:rsid w:val="526826DD"/>
    <w:rsid w:val="526921DD"/>
    <w:rsid w:val="5297132B"/>
    <w:rsid w:val="529C2650"/>
    <w:rsid w:val="529F28D8"/>
    <w:rsid w:val="529F6FBB"/>
    <w:rsid w:val="52C076EC"/>
    <w:rsid w:val="52C25708"/>
    <w:rsid w:val="52C315CC"/>
    <w:rsid w:val="52CD10CA"/>
    <w:rsid w:val="52EB6F11"/>
    <w:rsid w:val="52F0249E"/>
    <w:rsid w:val="531228DF"/>
    <w:rsid w:val="5353575F"/>
    <w:rsid w:val="535B2E70"/>
    <w:rsid w:val="535C4E8B"/>
    <w:rsid w:val="536278AA"/>
    <w:rsid w:val="53673357"/>
    <w:rsid w:val="53676B5F"/>
    <w:rsid w:val="536E21FF"/>
    <w:rsid w:val="5385006E"/>
    <w:rsid w:val="538A4A6D"/>
    <w:rsid w:val="53B45677"/>
    <w:rsid w:val="53DD2466"/>
    <w:rsid w:val="53E34323"/>
    <w:rsid w:val="53F35F85"/>
    <w:rsid w:val="53FC3987"/>
    <w:rsid w:val="5427381E"/>
    <w:rsid w:val="543B788E"/>
    <w:rsid w:val="54447CBB"/>
    <w:rsid w:val="544D0F50"/>
    <w:rsid w:val="545062A7"/>
    <w:rsid w:val="545C3555"/>
    <w:rsid w:val="54617320"/>
    <w:rsid w:val="547A28DC"/>
    <w:rsid w:val="54827775"/>
    <w:rsid w:val="548F46E6"/>
    <w:rsid w:val="54AC5134"/>
    <w:rsid w:val="54B97065"/>
    <w:rsid w:val="54DE6078"/>
    <w:rsid w:val="54E86EBD"/>
    <w:rsid w:val="54F2526E"/>
    <w:rsid w:val="55075D9B"/>
    <w:rsid w:val="55184BBF"/>
    <w:rsid w:val="551874CA"/>
    <w:rsid w:val="551E6A56"/>
    <w:rsid w:val="552006D3"/>
    <w:rsid w:val="552438BC"/>
    <w:rsid w:val="55301CB3"/>
    <w:rsid w:val="55327054"/>
    <w:rsid w:val="553A26BA"/>
    <w:rsid w:val="5556054C"/>
    <w:rsid w:val="55862A42"/>
    <w:rsid w:val="55990578"/>
    <w:rsid w:val="55A56891"/>
    <w:rsid w:val="55AC66CB"/>
    <w:rsid w:val="55B94635"/>
    <w:rsid w:val="55C33131"/>
    <w:rsid w:val="55C70BF3"/>
    <w:rsid w:val="55CD7903"/>
    <w:rsid w:val="55E172A0"/>
    <w:rsid w:val="55E24605"/>
    <w:rsid w:val="55F81C60"/>
    <w:rsid w:val="55FA0F14"/>
    <w:rsid w:val="56097F90"/>
    <w:rsid w:val="56133E90"/>
    <w:rsid w:val="5620190B"/>
    <w:rsid w:val="56474D43"/>
    <w:rsid w:val="564C1D1D"/>
    <w:rsid w:val="565F1E2E"/>
    <w:rsid w:val="56670F45"/>
    <w:rsid w:val="566F1BE2"/>
    <w:rsid w:val="567B004B"/>
    <w:rsid w:val="56825178"/>
    <w:rsid w:val="568F784B"/>
    <w:rsid w:val="569C0124"/>
    <w:rsid w:val="56A17AE8"/>
    <w:rsid w:val="56C9634D"/>
    <w:rsid w:val="56D41BE8"/>
    <w:rsid w:val="56EC7A5D"/>
    <w:rsid w:val="56F4599D"/>
    <w:rsid w:val="570D0322"/>
    <w:rsid w:val="57180ACE"/>
    <w:rsid w:val="571B61B6"/>
    <w:rsid w:val="57213E7D"/>
    <w:rsid w:val="5723561B"/>
    <w:rsid w:val="572362C9"/>
    <w:rsid w:val="572F37C6"/>
    <w:rsid w:val="5736629C"/>
    <w:rsid w:val="57540996"/>
    <w:rsid w:val="57654756"/>
    <w:rsid w:val="57802A35"/>
    <w:rsid w:val="578C3658"/>
    <w:rsid w:val="57B66918"/>
    <w:rsid w:val="57BD6FCE"/>
    <w:rsid w:val="57D214D2"/>
    <w:rsid w:val="57D93826"/>
    <w:rsid w:val="57DA1A42"/>
    <w:rsid w:val="58002D08"/>
    <w:rsid w:val="58057728"/>
    <w:rsid w:val="581D1F94"/>
    <w:rsid w:val="582872BA"/>
    <w:rsid w:val="5829318A"/>
    <w:rsid w:val="582D7EE9"/>
    <w:rsid w:val="583343BB"/>
    <w:rsid w:val="583439B3"/>
    <w:rsid w:val="583B5787"/>
    <w:rsid w:val="586759C7"/>
    <w:rsid w:val="58C07CA9"/>
    <w:rsid w:val="58CD6275"/>
    <w:rsid w:val="58DE5A38"/>
    <w:rsid w:val="58FA7B16"/>
    <w:rsid w:val="58FB22A6"/>
    <w:rsid w:val="59003437"/>
    <w:rsid w:val="59182EE7"/>
    <w:rsid w:val="5921212C"/>
    <w:rsid w:val="59395687"/>
    <w:rsid w:val="59517781"/>
    <w:rsid w:val="596F472F"/>
    <w:rsid w:val="5974345D"/>
    <w:rsid w:val="597534AA"/>
    <w:rsid w:val="59951C91"/>
    <w:rsid w:val="59982867"/>
    <w:rsid w:val="59A11ED6"/>
    <w:rsid w:val="59AB0DFC"/>
    <w:rsid w:val="59C1557F"/>
    <w:rsid w:val="59C8615E"/>
    <w:rsid w:val="59DD570D"/>
    <w:rsid w:val="59E771C2"/>
    <w:rsid w:val="59E84659"/>
    <w:rsid w:val="59FF2575"/>
    <w:rsid w:val="5A344FB0"/>
    <w:rsid w:val="5A360707"/>
    <w:rsid w:val="5A482568"/>
    <w:rsid w:val="5A5755C9"/>
    <w:rsid w:val="5A5A13C0"/>
    <w:rsid w:val="5A65234E"/>
    <w:rsid w:val="5A772EA3"/>
    <w:rsid w:val="5A7D29E6"/>
    <w:rsid w:val="5A821401"/>
    <w:rsid w:val="5A8A2B4B"/>
    <w:rsid w:val="5A8C2C8F"/>
    <w:rsid w:val="5A8C5ACF"/>
    <w:rsid w:val="5A96158A"/>
    <w:rsid w:val="5A9F5080"/>
    <w:rsid w:val="5AA962B8"/>
    <w:rsid w:val="5AAB6618"/>
    <w:rsid w:val="5AC52E1B"/>
    <w:rsid w:val="5AE91049"/>
    <w:rsid w:val="5AEF582B"/>
    <w:rsid w:val="5AFA38A3"/>
    <w:rsid w:val="5AFE3B8D"/>
    <w:rsid w:val="5B0B5334"/>
    <w:rsid w:val="5B0E3A7B"/>
    <w:rsid w:val="5B1B7ACD"/>
    <w:rsid w:val="5B247C71"/>
    <w:rsid w:val="5B2A406A"/>
    <w:rsid w:val="5B2B06FA"/>
    <w:rsid w:val="5B392BD6"/>
    <w:rsid w:val="5B561D67"/>
    <w:rsid w:val="5B774FD6"/>
    <w:rsid w:val="5B814790"/>
    <w:rsid w:val="5B82237F"/>
    <w:rsid w:val="5B824855"/>
    <w:rsid w:val="5B856A19"/>
    <w:rsid w:val="5B88245B"/>
    <w:rsid w:val="5B8A0D7A"/>
    <w:rsid w:val="5B8B0F7C"/>
    <w:rsid w:val="5B9E05AD"/>
    <w:rsid w:val="5BBB1AC4"/>
    <w:rsid w:val="5BE0244C"/>
    <w:rsid w:val="5BE11C63"/>
    <w:rsid w:val="5BF24E07"/>
    <w:rsid w:val="5BFB55EA"/>
    <w:rsid w:val="5C15792E"/>
    <w:rsid w:val="5C1A5869"/>
    <w:rsid w:val="5C2404DB"/>
    <w:rsid w:val="5C290BF2"/>
    <w:rsid w:val="5C4E1E1E"/>
    <w:rsid w:val="5C4F343B"/>
    <w:rsid w:val="5C6A79EB"/>
    <w:rsid w:val="5C912690"/>
    <w:rsid w:val="5C970365"/>
    <w:rsid w:val="5C9F632F"/>
    <w:rsid w:val="5CCB04A2"/>
    <w:rsid w:val="5CCD7E04"/>
    <w:rsid w:val="5CD36B26"/>
    <w:rsid w:val="5CD51F6A"/>
    <w:rsid w:val="5CD6026B"/>
    <w:rsid w:val="5CE319F6"/>
    <w:rsid w:val="5CE42846"/>
    <w:rsid w:val="5CE9406B"/>
    <w:rsid w:val="5D0656E1"/>
    <w:rsid w:val="5D566DF5"/>
    <w:rsid w:val="5D5736EC"/>
    <w:rsid w:val="5D592213"/>
    <w:rsid w:val="5D7067ED"/>
    <w:rsid w:val="5D7531C5"/>
    <w:rsid w:val="5D77660D"/>
    <w:rsid w:val="5D7A7C97"/>
    <w:rsid w:val="5D8A240A"/>
    <w:rsid w:val="5D8A4019"/>
    <w:rsid w:val="5D9907FA"/>
    <w:rsid w:val="5D9A56C3"/>
    <w:rsid w:val="5DCD4FAD"/>
    <w:rsid w:val="5DD45E20"/>
    <w:rsid w:val="5DD77F01"/>
    <w:rsid w:val="5DF376B4"/>
    <w:rsid w:val="5DF974C4"/>
    <w:rsid w:val="5E150E16"/>
    <w:rsid w:val="5E156702"/>
    <w:rsid w:val="5E171032"/>
    <w:rsid w:val="5E2C3CE8"/>
    <w:rsid w:val="5E3E0745"/>
    <w:rsid w:val="5E480DBB"/>
    <w:rsid w:val="5E532C32"/>
    <w:rsid w:val="5E6B78B9"/>
    <w:rsid w:val="5E72530D"/>
    <w:rsid w:val="5E7B3471"/>
    <w:rsid w:val="5E811840"/>
    <w:rsid w:val="5EAC620C"/>
    <w:rsid w:val="5EB56E43"/>
    <w:rsid w:val="5EBC5530"/>
    <w:rsid w:val="5EDB6E5E"/>
    <w:rsid w:val="5EE64F4B"/>
    <w:rsid w:val="5EEC0A1B"/>
    <w:rsid w:val="5F050603"/>
    <w:rsid w:val="5F0F5BF5"/>
    <w:rsid w:val="5F1070E5"/>
    <w:rsid w:val="5F137093"/>
    <w:rsid w:val="5F2B7C2E"/>
    <w:rsid w:val="5F475DFB"/>
    <w:rsid w:val="5F4A6912"/>
    <w:rsid w:val="5F517FEB"/>
    <w:rsid w:val="5F897D68"/>
    <w:rsid w:val="5FA342D5"/>
    <w:rsid w:val="5FA40581"/>
    <w:rsid w:val="5FB42B98"/>
    <w:rsid w:val="5FBB4DAC"/>
    <w:rsid w:val="5FBF418B"/>
    <w:rsid w:val="5FC03F1C"/>
    <w:rsid w:val="5FC128D4"/>
    <w:rsid w:val="5FC577B3"/>
    <w:rsid w:val="5FDB0323"/>
    <w:rsid w:val="5FFB751D"/>
    <w:rsid w:val="5FFC1DCE"/>
    <w:rsid w:val="600F0A34"/>
    <w:rsid w:val="602423C7"/>
    <w:rsid w:val="603F2394"/>
    <w:rsid w:val="604407B5"/>
    <w:rsid w:val="60487E62"/>
    <w:rsid w:val="605A5C34"/>
    <w:rsid w:val="60630B92"/>
    <w:rsid w:val="606E4C0D"/>
    <w:rsid w:val="60935B47"/>
    <w:rsid w:val="60C76F62"/>
    <w:rsid w:val="60CE1254"/>
    <w:rsid w:val="60D321CB"/>
    <w:rsid w:val="60D467A9"/>
    <w:rsid w:val="60EA12BA"/>
    <w:rsid w:val="60EB3CE8"/>
    <w:rsid w:val="61034470"/>
    <w:rsid w:val="61041400"/>
    <w:rsid w:val="6108421E"/>
    <w:rsid w:val="610C08D6"/>
    <w:rsid w:val="611504BF"/>
    <w:rsid w:val="61233B56"/>
    <w:rsid w:val="6129287D"/>
    <w:rsid w:val="6132559A"/>
    <w:rsid w:val="61396238"/>
    <w:rsid w:val="61535DEE"/>
    <w:rsid w:val="61606FAA"/>
    <w:rsid w:val="6166167A"/>
    <w:rsid w:val="617020C2"/>
    <w:rsid w:val="61755B39"/>
    <w:rsid w:val="617A0C46"/>
    <w:rsid w:val="618B1EF3"/>
    <w:rsid w:val="618C1600"/>
    <w:rsid w:val="61A33787"/>
    <w:rsid w:val="61A66AB4"/>
    <w:rsid w:val="61BC38FA"/>
    <w:rsid w:val="61BE0E4F"/>
    <w:rsid w:val="61C85E7F"/>
    <w:rsid w:val="61CD78CF"/>
    <w:rsid w:val="61DA14FE"/>
    <w:rsid w:val="61E53D34"/>
    <w:rsid w:val="61E73697"/>
    <w:rsid w:val="61EE3162"/>
    <w:rsid w:val="61F62056"/>
    <w:rsid w:val="61F8337A"/>
    <w:rsid w:val="620208E6"/>
    <w:rsid w:val="620E46C5"/>
    <w:rsid w:val="620F37AC"/>
    <w:rsid w:val="621536B2"/>
    <w:rsid w:val="621C707C"/>
    <w:rsid w:val="621E0130"/>
    <w:rsid w:val="62271A32"/>
    <w:rsid w:val="6245212D"/>
    <w:rsid w:val="624B2E9D"/>
    <w:rsid w:val="62504ABA"/>
    <w:rsid w:val="62510C1A"/>
    <w:rsid w:val="62607DE0"/>
    <w:rsid w:val="62657EC9"/>
    <w:rsid w:val="62757089"/>
    <w:rsid w:val="62964ADB"/>
    <w:rsid w:val="62AE05DB"/>
    <w:rsid w:val="62B60A29"/>
    <w:rsid w:val="62B75646"/>
    <w:rsid w:val="62BA5EE7"/>
    <w:rsid w:val="62F04E93"/>
    <w:rsid w:val="62F14EED"/>
    <w:rsid w:val="62FF3767"/>
    <w:rsid w:val="63074094"/>
    <w:rsid w:val="63256E52"/>
    <w:rsid w:val="6337684E"/>
    <w:rsid w:val="63403C73"/>
    <w:rsid w:val="6351410B"/>
    <w:rsid w:val="635D4427"/>
    <w:rsid w:val="635F082F"/>
    <w:rsid w:val="63641CE9"/>
    <w:rsid w:val="63710CD7"/>
    <w:rsid w:val="638C3D00"/>
    <w:rsid w:val="639A0C81"/>
    <w:rsid w:val="63A00543"/>
    <w:rsid w:val="63BE2991"/>
    <w:rsid w:val="63D672A4"/>
    <w:rsid w:val="63E900E8"/>
    <w:rsid w:val="63F105D2"/>
    <w:rsid w:val="64003000"/>
    <w:rsid w:val="64020FD8"/>
    <w:rsid w:val="640B49C1"/>
    <w:rsid w:val="64156CD8"/>
    <w:rsid w:val="6418785F"/>
    <w:rsid w:val="64413D22"/>
    <w:rsid w:val="64470699"/>
    <w:rsid w:val="644B6CD5"/>
    <w:rsid w:val="646253D3"/>
    <w:rsid w:val="64627D01"/>
    <w:rsid w:val="6473435B"/>
    <w:rsid w:val="64864D44"/>
    <w:rsid w:val="64A01013"/>
    <w:rsid w:val="64C76164"/>
    <w:rsid w:val="64D3186F"/>
    <w:rsid w:val="64EF2266"/>
    <w:rsid w:val="64F33559"/>
    <w:rsid w:val="64FD2EEA"/>
    <w:rsid w:val="64FF1ABC"/>
    <w:rsid w:val="650E3520"/>
    <w:rsid w:val="65230BB9"/>
    <w:rsid w:val="653E4CDE"/>
    <w:rsid w:val="654069DE"/>
    <w:rsid w:val="65413B3E"/>
    <w:rsid w:val="654B3E81"/>
    <w:rsid w:val="655555A6"/>
    <w:rsid w:val="655F14F0"/>
    <w:rsid w:val="65660277"/>
    <w:rsid w:val="656E6D13"/>
    <w:rsid w:val="65990AED"/>
    <w:rsid w:val="65A63707"/>
    <w:rsid w:val="65A80F59"/>
    <w:rsid w:val="65AA319F"/>
    <w:rsid w:val="65AC5539"/>
    <w:rsid w:val="65BB595A"/>
    <w:rsid w:val="65E81215"/>
    <w:rsid w:val="65F22562"/>
    <w:rsid w:val="65F65692"/>
    <w:rsid w:val="660C7338"/>
    <w:rsid w:val="663240E4"/>
    <w:rsid w:val="66407FD5"/>
    <w:rsid w:val="665346CA"/>
    <w:rsid w:val="6661498D"/>
    <w:rsid w:val="66636C9C"/>
    <w:rsid w:val="666B3926"/>
    <w:rsid w:val="668C5B9C"/>
    <w:rsid w:val="669265A4"/>
    <w:rsid w:val="66A421AD"/>
    <w:rsid w:val="66A814C4"/>
    <w:rsid w:val="66C77BCC"/>
    <w:rsid w:val="66CF58C8"/>
    <w:rsid w:val="66D00FF0"/>
    <w:rsid w:val="66E50A5C"/>
    <w:rsid w:val="66E5305A"/>
    <w:rsid w:val="66FA0A76"/>
    <w:rsid w:val="670314C2"/>
    <w:rsid w:val="670A28DD"/>
    <w:rsid w:val="671F2137"/>
    <w:rsid w:val="67256725"/>
    <w:rsid w:val="672C3BD3"/>
    <w:rsid w:val="673E6826"/>
    <w:rsid w:val="67441F0C"/>
    <w:rsid w:val="674465E9"/>
    <w:rsid w:val="67517E0F"/>
    <w:rsid w:val="67594618"/>
    <w:rsid w:val="675B3954"/>
    <w:rsid w:val="676B6466"/>
    <w:rsid w:val="676C69DE"/>
    <w:rsid w:val="676D0B82"/>
    <w:rsid w:val="67707325"/>
    <w:rsid w:val="67766A8B"/>
    <w:rsid w:val="67954429"/>
    <w:rsid w:val="67C47F84"/>
    <w:rsid w:val="67D85572"/>
    <w:rsid w:val="67DD10E7"/>
    <w:rsid w:val="67E51A4F"/>
    <w:rsid w:val="67E81C89"/>
    <w:rsid w:val="67F16AAB"/>
    <w:rsid w:val="67FC2A34"/>
    <w:rsid w:val="68022928"/>
    <w:rsid w:val="68163291"/>
    <w:rsid w:val="68244FDF"/>
    <w:rsid w:val="682634A6"/>
    <w:rsid w:val="68335612"/>
    <w:rsid w:val="683D75EE"/>
    <w:rsid w:val="683F6341"/>
    <w:rsid w:val="68413BF7"/>
    <w:rsid w:val="684A3899"/>
    <w:rsid w:val="68516552"/>
    <w:rsid w:val="68553D9E"/>
    <w:rsid w:val="685D249D"/>
    <w:rsid w:val="685E03FF"/>
    <w:rsid w:val="68600066"/>
    <w:rsid w:val="6861776A"/>
    <w:rsid w:val="687222C2"/>
    <w:rsid w:val="6879445C"/>
    <w:rsid w:val="687A5897"/>
    <w:rsid w:val="687D194E"/>
    <w:rsid w:val="68945561"/>
    <w:rsid w:val="689D6C87"/>
    <w:rsid w:val="68A05E34"/>
    <w:rsid w:val="68A4599C"/>
    <w:rsid w:val="68AD0074"/>
    <w:rsid w:val="68D4182F"/>
    <w:rsid w:val="68DA458B"/>
    <w:rsid w:val="68E565D8"/>
    <w:rsid w:val="68ED4DA7"/>
    <w:rsid w:val="68F577B8"/>
    <w:rsid w:val="68FC5EBD"/>
    <w:rsid w:val="690A2536"/>
    <w:rsid w:val="69122538"/>
    <w:rsid w:val="69194FE8"/>
    <w:rsid w:val="691F4315"/>
    <w:rsid w:val="69544350"/>
    <w:rsid w:val="695675C2"/>
    <w:rsid w:val="69703FA0"/>
    <w:rsid w:val="69997B9C"/>
    <w:rsid w:val="69A84304"/>
    <w:rsid w:val="69AE05F6"/>
    <w:rsid w:val="69B52A42"/>
    <w:rsid w:val="69B67148"/>
    <w:rsid w:val="69BE4DB3"/>
    <w:rsid w:val="69CF0E91"/>
    <w:rsid w:val="69CF0ED8"/>
    <w:rsid w:val="69D52B56"/>
    <w:rsid w:val="69D54DDD"/>
    <w:rsid w:val="69E028D2"/>
    <w:rsid w:val="69E874BD"/>
    <w:rsid w:val="69F54308"/>
    <w:rsid w:val="69F778AA"/>
    <w:rsid w:val="6A0A7A54"/>
    <w:rsid w:val="6A2622A1"/>
    <w:rsid w:val="6A35577F"/>
    <w:rsid w:val="6A3A22EA"/>
    <w:rsid w:val="6A3F2D1D"/>
    <w:rsid w:val="6A592054"/>
    <w:rsid w:val="6A6C07F5"/>
    <w:rsid w:val="6A776FFE"/>
    <w:rsid w:val="6A777087"/>
    <w:rsid w:val="6A820574"/>
    <w:rsid w:val="6A8A7230"/>
    <w:rsid w:val="6A99048F"/>
    <w:rsid w:val="6AA077DB"/>
    <w:rsid w:val="6AA47C92"/>
    <w:rsid w:val="6AB909BB"/>
    <w:rsid w:val="6ABA0C51"/>
    <w:rsid w:val="6ABD020C"/>
    <w:rsid w:val="6AC575C4"/>
    <w:rsid w:val="6ADD6D64"/>
    <w:rsid w:val="6AEB4794"/>
    <w:rsid w:val="6B0F06C2"/>
    <w:rsid w:val="6B2B6878"/>
    <w:rsid w:val="6B633F4F"/>
    <w:rsid w:val="6B70680D"/>
    <w:rsid w:val="6B816F14"/>
    <w:rsid w:val="6B8A298B"/>
    <w:rsid w:val="6B8A779B"/>
    <w:rsid w:val="6BAD6C20"/>
    <w:rsid w:val="6BB456BB"/>
    <w:rsid w:val="6BB62A44"/>
    <w:rsid w:val="6BD81D0A"/>
    <w:rsid w:val="6BDC1378"/>
    <w:rsid w:val="6BE052CE"/>
    <w:rsid w:val="6BF2467C"/>
    <w:rsid w:val="6BF2692A"/>
    <w:rsid w:val="6BF358A4"/>
    <w:rsid w:val="6C051F4E"/>
    <w:rsid w:val="6C096C12"/>
    <w:rsid w:val="6C1A5960"/>
    <w:rsid w:val="6C417EB8"/>
    <w:rsid w:val="6C541D88"/>
    <w:rsid w:val="6C5B6E74"/>
    <w:rsid w:val="6C5B7090"/>
    <w:rsid w:val="6C613F45"/>
    <w:rsid w:val="6C756221"/>
    <w:rsid w:val="6C7B08BB"/>
    <w:rsid w:val="6C816AF9"/>
    <w:rsid w:val="6C846694"/>
    <w:rsid w:val="6CA841D2"/>
    <w:rsid w:val="6CB10385"/>
    <w:rsid w:val="6CDF0F3A"/>
    <w:rsid w:val="6CE47854"/>
    <w:rsid w:val="6D010747"/>
    <w:rsid w:val="6D0D25B8"/>
    <w:rsid w:val="6D490A6B"/>
    <w:rsid w:val="6D582A6D"/>
    <w:rsid w:val="6D604FD1"/>
    <w:rsid w:val="6D635FBA"/>
    <w:rsid w:val="6D6534EB"/>
    <w:rsid w:val="6D6C0EA8"/>
    <w:rsid w:val="6D732F9C"/>
    <w:rsid w:val="6D9239A2"/>
    <w:rsid w:val="6DB664EE"/>
    <w:rsid w:val="6DBC6250"/>
    <w:rsid w:val="6DC64BAC"/>
    <w:rsid w:val="6DE56F8D"/>
    <w:rsid w:val="6E037AD7"/>
    <w:rsid w:val="6E056523"/>
    <w:rsid w:val="6E074EC9"/>
    <w:rsid w:val="6E160E52"/>
    <w:rsid w:val="6E2E569B"/>
    <w:rsid w:val="6E4064F1"/>
    <w:rsid w:val="6E4E39FC"/>
    <w:rsid w:val="6E5545BD"/>
    <w:rsid w:val="6E5D1964"/>
    <w:rsid w:val="6E614B19"/>
    <w:rsid w:val="6E616F13"/>
    <w:rsid w:val="6E7369B5"/>
    <w:rsid w:val="6E7B5CAB"/>
    <w:rsid w:val="6EAA56FE"/>
    <w:rsid w:val="6EB37B5B"/>
    <w:rsid w:val="6EBE6FBB"/>
    <w:rsid w:val="6ED26D8F"/>
    <w:rsid w:val="6ED70BA2"/>
    <w:rsid w:val="6EDB7671"/>
    <w:rsid w:val="6EDB7E76"/>
    <w:rsid w:val="6EF76336"/>
    <w:rsid w:val="6EF77260"/>
    <w:rsid w:val="6F2302E3"/>
    <w:rsid w:val="6F314C13"/>
    <w:rsid w:val="6F382FA6"/>
    <w:rsid w:val="6F391F60"/>
    <w:rsid w:val="6F694006"/>
    <w:rsid w:val="6F6C5490"/>
    <w:rsid w:val="6F761900"/>
    <w:rsid w:val="6FA71AD5"/>
    <w:rsid w:val="6FAF2607"/>
    <w:rsid w:val="6FD47D24"/>
    <w:rsid w:val="6FE17D06"/>
    <w:rsid w:val="6FF536DD"/>
    <w:rsid w:val="6FFD71B3"/>
    <w:rsid w:val="700A492A"/>
    <w:rsid w:val="700D2412"/>
    <w:rsid w:val="70112883"/>
    <w:rsid w:val="70243856"/>
    <w:rsid w:val="703F2471"/>
    <w:rsid w:val="704306BE"/>
    <w:rsid w:val="704B4131"/>
    <w:rsid w:val="70531ED5"/>
    <w:rsid w:val="705A528C"/>
    <w:rsid w:val="7068062C"/>
    <w:rsid w:val="707F47B3"/>
    <w:rsid w:val="70954F53"/>
    <w:rsid w:val="70A94A40"/>
    <w:rsid w:val="70D80F32"/>
    <w:rsid w:val="70D97C76"/>
    <w:rsid w:val="70EF6CF2"/>
    <w:rsid w:val="70F76E40"/>
    <w:rsid w:val="711337D0"/>
    <w:rsid w:val="71134913"/>
    <w:rsid w:val="713173E8"/>
    <w:rsid w:val="71420658"/>
    <w:rsid w:val="7143472C"/>
    <w:rsid w:val="71440341"/>
    <w:rsid w:val="714541A9"/>
    <w:rsid w:val="71531561"/>
    <w:rsid w:val="71597148"/>
    <w:rsid w:val="716D089C"/>
    <w:rsid w:val="71715206"/>
    <w:rsid w:val="71743A1D"/>
    <w:rsid w:val="71774D56"/>
    <w:rsid w:val="71901CEF"/>
    <w:rsid w:val="71924BD7"/>
    <w:rsid w:val="719438F4"/>
    <w:rsid w:val="719D7F3F"/>
    <w:rsid w:val="71B55DFD"/>
    <w:rsid w:val="71B834E8"/>
    <w:rsid w:val="71D0750E"/>
    <w:rsid w:val="71D803D1"/>
    <w:rsid w:val="71E501C6"/>
    <w:rsid w:val="71F40A44"/>
    <w:rsid w:val="71FD671C"/>
    <w:rsid w:val="7202163F"/>
    <w:rsid w:val="721D759B"/>
    <w:rsid w:val="723B04C8"/>
    <w:rsid w:val="724E6817"/>
    <w:rsid w:val="72600D68"/>
    <w:rsid w:val="72604620"/>
    <w:rsid w:val="726B02C1"/>
    <w:rsid w:val="726D2C67"/>
    <w:rsid w:val="7289227E"/>
    <w:rsid w:val="728E2A1A"/>
    <w:rsid w:val="729A0F74"/>
    <w:rsid w:val="72BC1E8C"/>
    <w:rsid w:val="72F03574"/>
    <w:rsid w:val="72F77CB6"/>
    <w:rsid w:val="730B1A61"/>
    <w:rsid w:val="731438BD"/>
    <w:rsid w:val="733155C8"/>
    <w:rsid w:val="733C304D"/>
    <w:rsid w:val="73422D3C"/>
    <w:rsid w:val="73625723"/>
    <w:rsid w:val="737007D9"/>
    <w:rsid w:val="738B5B50"/>
    <w:rsid w:val="73AA53A0"/>
    <w:rsid w:val="73B04F6B"/>
    <w:rsid w:val="73D20D1A"/>
    <w:rsid w:val="73D378C0"/>
    <w:rsid w:val="73E168D2"/>
    <w:rsid w:val="73E873C4"/>
    <w:rsid w:val="73F07AA4"/>
    <w:rsid w:val="74010DBC"/>
    <w:rsid w:val="74054701"/>
    <w:rsid w:val="740D2C3F"/>
    <w:rsid w:val="74135925"/>
    <w:rsid w:val="74163E96"/>
    <w:rsid w:val="7420296E"/>
    <w:rsid w:val="742827DB"/>
    <w:rsid w:val="742D6CA9"/>
    <w:rsid w:val="742E58A2"/>
    <w:rsid w:val="74525628"/>
    <w:rsid w:val="745A3D0B"/>
    <w:rsid w:val="745F06BF"/>
    <w:rsid w:val="746C713B"/>
    <w:rsid w:val="748D2368"/>
    <w:rsid w:val="749217E0"/>
    <w:rsid w:val="74B22D8C"/>
    <w:rsid w:val="74B706C6"/>
    <w:rsid w:val="74C26B38"/>
    <w:rsid w:val="74C55FC1"/>
    <w:rsid w:val="74CC7EC1"/>
    <w:rsid w:val="74DA7552"/>
    <w:rsid w:val="74E41FDD"/>
    <w:rsid w:val="74EF6361"/>
    <w:rsid w:val="74F347DF"/>
    <w:rsid w:val="74FA7FE6"/>
    <w:rsid w:val="74FD4A9B"/>
    <w:rsid w:val="751D43A6"/>
    <w:rsid w:val="75453AE1"/>
    <w:rsid w:val="75573AC9"/>
    <w:rsid w:val="75595449"/>
    <w:rsid w:val="758B283A"/>
    <w:rsid w:val="75BD313A"/>
    <w:rsid w:val="75BF6D3D"/>
    <w:rsid w:val="75D065B6"/>
    <w:rsid w:val="75D354BE"/>
    <w:rsid w:val="75DC1EF4"/>
    <w:rsid w:val="75E50837"/>
    <w:rsid w:val="75EF5520"/>
    <w:rsid w:val="75F63713"/>
    <w:rsid w:val="76143A54"/>
    <w:rsid w:val="76310DA3"/>
    <w:rsid w:val="7637074A"/>
    <w:rsid w:val="763B63B0"/>
    <w:rsid w:val="764772A3"/>
    <w:rsid w:val="767B7960"/>
    <w:rsid w:val="769A6195"/>
    <w:rsid w:val="76A44430"/>
    <w:rsid w:val="76A71FBB"/>
    <w:rsid w:val="76AA5D81"/>
    <w:rsid w:val="76AB50DC"/>
    <w:rsid w:val="76B52AFE"/>
    <w:rsid w:val="76BB3C83"/>
    <w:rsid w:val="76C80EC7"/>
    <w:rsid w:val="76CF09B6"/>
    <w:rsid w:val="76D016A8"/>
    <w:rsid w:val="76F73D47"/>
    <w:rsid w:val="77006E1F"/>
    <w:rsid w:val="77032A24"/>
    <w:rsid w:val="771670C1"/>
    <w:rsid w:val="772C16E9"/>
    <w:rsid w:val="77683E14"/>
    <w:rsid w:val="77734EA5"/>
    <w:rsid w:val="77A06542"/>
    <w:rsid w:val="77A922C9"/>
    <w:rsid w:val="77AC049C"/>
    <w:rsid w:val="77B23714"/>
    <w:rsid w:val="77B55363"/>
    <w:rsid w:val="77BB772D"/>
    <w:rsid w:val="77D43FD2"/>
    <w:rsid w:val="77FA155A"/>
    <w:rsid w:val="781137AD"/>
    <w:rsid w:val="781D13FA"/>
    <w:rsid w:val="782817E9"/>
    <w:rsid w:val="784D6C5F"/>
    <w:rsid w:val="78555C26"/>
    <w:rsid w:val="78640057"/>
    <w:rsid w:val="78810787"/>
    <w:rsid w:val="78826969"/>
    <w:rsid w:val="7886117B"/>
    <w:rsid w:val="788E3AAC"/>
    <w:rsid w:val="7890703F"/>
    <w:rsid w:val="789B3777"/>
    <w:rsid w:val="78A55DFF"/>
    <w:rsid w:val="78B515B5"/>
    <w:rsid w:val="78C21620"/>
    <w:rsid w:val="78CE2D76"/>
    <w:rsid w:val="78EE2375"/>
    <w:rsid w:val="78FA244C"/>
    <w:rsid w:val="78FE1B78"/>
    <w:rsid w:val="79024116"/>
    <w:rsid w:val="790B5E4F"/>
    <w:rsid w:val="790D572F"/>
    <w:rsid w:val="79233654"/>
    <w:rsid w:val="79455569"/>
    <w:rsid w:val="79470AE2"/>
    <w:rsid w:val="795123A8"/>
    <w:rsid w:val="79535AC3"/>
    <w:rsid w:val="79620961"/>
    <w:rsid w:val="798A04DB"/>
    <w:rsid w:val="798B088A"/>
    <w:rsid w:val="79987ED2"/>
    <w:rsid w:val="79AE1AE3"/>
    <w:rsid w:val="79AE77FB"/>
    <w:rsid w:val="79B85AA8"/>
    <w:rsid w:val="79C342A8"/>
    <w:rsid w:val="79C34F9F"/>
    <w:rsid w:val="79C81B6A"/>
    <w:rsid w:val="79E83652"/>
    <w:rsid w:val="79EF6059"/>
    <w:rsid w:val="79FD0A32"/>
    <w:rsid w:val="7A074D7D"/>
    <w:rsid w:val="7A1053E1"/>
    <w:rsid w:val="7A17618B"/>
    <w:rsid w:val="7A1E05C7"/>
    <w:rsid w:val="7A3F1ABF"/>
    <w:rsid w:val="7A413A99"/>
    <w:rsid w:val="7A4642A9"/>
    <w:rsid w:val="7A4B6B30"/>
    <w:rsid w:val="7A4E6121"/>
    <w:rsid w:val="7A5D3D51"/>
    <w:rsid w:val="7A5F0CF7"/>
    <w:rsid w:val="7A675EA5"/>
    <w:rsid w:val="7A6B3865"/>
    <w:rsid w:val="7A7041ED"/>
    <w:rsid w:val="7A800EA7"/>
    <w:rsid w:val="7A832390"/>
    <w:rsid w:val="7A922E92"/>
    <w:rsid w:val="7A92679C"/>
    <w:rsid w:val="7A955810"/>
    <w:rsid w:val="7A985E92"/>
    <w:rsid w:val="7A9C2E47"/>
    <w:rsid w:val="7A9E009C"/>
    <w:rsid w:val="7AB55D4B"/>
    <w:rsid w:val="7AC019FF"/>
    <w:rsid w:val="7ACA6FB9"/>
    <w:rsid w:val="7AF46C5F"/>
    <w:rsid w:val="7AF91BCC"/>
    <w:rsid w:val="7B0C5BAE"/>
    <w:rsid w:val="7B2374FE"/>
    <w:rsid w:val="7B34342A"/>
    <w:rsid w:val="7B3873CB"/>
    <w:rsid w:val="7B496993"/>
    <w:rsid w:val="7B783675"/>
    <w:rsid w:val="7B796807"/>
    <w:rsid w:val="7BAC2D3A"/>
    <w:rsid w:val="7BAE3C97"/>
    <w:rsid w:val="7BB16076"/>
    <w:rsid w:val="7BB46DB9"/>
    <w:rsid w:val="7BC02341"/>
    <w:rsid w:val="7BD74454"/>
    <w:rsid w:val="7BE96DEC"/>
    <w:rsid w:val="7C021A51"/>
    <w:rsid w:val="7C033C13"/>
    <w:rsid w:val="7C041A0F"/>
    <w:rsid w:val="7C110306"/>
    <w:rsid w:val="7C212B8A"/>
    <w:rsid w:val="7C8464A1"/>
    <w:rsid w:val="7C9D2D7B"/>
    <w:rsid w:val="7CA26867"/>
    <w:rsid w:val="7CB43A8E"/>
    <w:rsid w:val="7CC106AB"/>
    <w:rsid w:val="7CD632E6"/>
    <w:rsid w:val="7CDF4250"/>
    <w:rsid w:val="7D09113D"/>
    <w:rsid w:val="7D157A0E"/>
    <w:rsid w:val="7D1658AD"/>
    <w:rsid w:val="7D1D4159"/>
    <w:rsid w:val="7D2120EF"/>
    <w:rsid w:val="7D243099"/>
    <w:rsid w:val="7D4B3993"/>
    <w:rsid w:val="7D5F5E30"/>
    <w:rsid w:val="7D6C208F"/>
    <w:rsid w:val="7D897D56"/>
    <w:rsid w:val="7D9B14E5"/>
    <w:rsid w:val="7DAA42B2"/>
    <w:rsid w:val="7DAA569A"/>
    <w:rsid w:val="7DB1501E"/>
    <w:rsid w:val="7DB676D9"/>
    <w:rsid w:val="7DBE16CF"/>
    <w:rsid w:val="7DC37DE3"/>
    <w:rsid w:val="7DC97BD3"/>
    <w:rsid w:val="7DD45912"/>
    <w:rsid w:val="7E0359B2"/>
    <w:rsid w:val="7E0D4E8F"/>
    <w:rsid w:val="7E107D04"/>
    <w:rsid w:val="7E202441"/>
    <w:rsid w:val="7E43457A"/>
    <w:rsid w:val="7E455935"/>
    <w:rsid w:val="7E4B691E"/>
    <w:rsid w:val="7E616C7B"/>
    <w:rsid w:val="7E710D86"/>
    <w:rsid w:val="7E733A70"/>
    <w:rsid w:val="7E8A0780"/>
    <w:rsid w:val="7EA574A2"/>
    <w:rsid w:val="7EAC5434"/>
    <w:rsid w:val="7EBB0DC0"/>
    <w:rsid w:val="7EC42E15"/>
    <w:rsid w:val="7EC50C54"/>
    <w:rsid w:val="7ED11A3C"/>
    <w:rsid w:val="7ED91C72"/>
    <w:rsid w:val="7EEB5BB3"/>
    <w:rsid w:val="7F1568D7"/>
    <w:rsid w:val="7F2E0D24"/>
    <w:rsid w:val="7F312E91"/>
    <w:rsid w:val="7F33645C"/>
    <w:rsid w:val="7F4E4DC2"/>
    <w:rsid w:val="7F66205C"/>
    <w:rsid w:val="7FA8327A"/>
    <w:rsid w:val="7FB32EED"/>
    <w:rsid w:val="7FB34208"/>
    <w:rsid w:val="7FB6358D"/>
    <w:rsid w:val="7FE076F1"/>
    <w:rsid w:val="7FEE6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Normal Indent"/>
    <w:unhideWhenUsed/>
    <w:qFormat/>
    <w:uiPriority w:val="99"/>
    <w:pPr>
      <w:widowControl w:val="0"/>
      <w:ind w:left="720"/>
      <w:jc w:val="both"/>
    </w:pPr>
    <w:rPr>
      <w:rFonts w:asciiTheme="minorHAnsi" w:hAnsiTheme="minorHAnsi" w:eastAsiaTheme="minorEastAsia" w:cstheme="minorBidi"/>
      <w:kern w:val="2"/>
      <w:sz w:val="21"/>
      <w:szCs w:val="24"/>
      <w:lang w:val="en-US" w:eastAsia="zh-CN" w:bidi="ar-SA"/>
    </w:rPr>
  </w:style>
  <w:style w:type="paragraph" w:styleId="4">
    <w:name w:val="index 5"/>
    <w:next w:val="1"/>
    <w:qFormat/>
    <w:uiPriority w:val="0"/>
    <w:pPr>
      <w:widowControl w:val="0"/>
      <w:ind w:left="1680"/>
      <w:jc w:val="both"/>
    </w:pPr>
    <w:rPr>
      <w:rFonts w:asciiTheme="minorHAnsi" w:hAnsiTheme="minorHAnsi" w:eastAsiaTheme="minorEastAsia" w:cstheme="minorBidi"/>
      <w:kern w:val="2"/>
      <w:sz w:val="21"/>
      <w:szCs w:val="24"/>
      <w:lang w:val="en-US" w:eastAsia="zh-CN" w:bidi="ar-SA"/>
    </w:rPr>
  </w:style>
  <w:style w:type="paragraph" w:styleId="5">
    <w:name w:val="Body Text"/>
    <w:unhideWhenUsed/>
    <w:qFormat/>
    <w:uiPriority w:val="99"/>
    <w:pPr>
      <w:widowControl w:val="0"/>
      <w:spacing w:after="120"/>
      <w:jc w:val="both"/>
    </w:pPr>
    <w:rPr>
      <w:rFonts w:asciiTheme="minorHAnsi" w:hAnsiTheme="minorHAnsi" w:eastAsiaTheme="minorEastAsia" w:cstheme="minorBidi"/>
      <w:kern w:val="2"/>
      <w:sz w:val="21"/>
      <w:szCs w:val="24"/>
      <w:lang w:val="en-US" w:eastAsia="zh-CN" w:bidi="ar-SA"/>
    </w:rPr>
  </w:style>
  <w:style w:type="paragraph" w:styleId="6">
    <w:name w:val="Body Text Indent"/>
    <w:next w:val="1"/>
    <w:qFormat/>
    <w:uiPriority w:val="99"/>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7">
    <w:name w:val="Body Text Indent 2"/>
    <w:unhideWhenUsed/>
    <w:qFormat/>
    <w:uiPriority w:val="99"/>
    <w:pPr>
      <w:widowControl w:val="0"/>
      <w:spacing w:line="480" w:lineRule="auto"/>
      <w:ind w:left="420" w:leftChars="200"/>
      <w:jc w:val="both"/>
    </w:pPr>
    <w:rPr>
      <w:rFonts w:asciiTheme="minorHAnsi" w:hAnsiTheme="minorHAnsi" w:eastAsiaTheme="minorEastAsia" w:cstheme="minorBidi"/>
      <w:kern w:val="2"/>
      <w:sz w:val="21"/>
      <w:szCs w:val="24"/>
      <w:lang w:val="en-US" w:eastAsia="zh-CN" w:bidi="ar-SA"/>
    </w:rPr>
  </w:style>
  <w:style w:type="paragraph" w:styleId="8">
    <w:name w:val="footer"/>
    <w:basedOn w:val="1"/>
    <w:next w:val="4"/>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paragraph" w:styleId="11">
    <w:name w:val="Body Text First Indent 2"/>
    <w:qFormat/>
    <w:uiPriority w:val="0"/>
    <w:pPr>
      <w:widowControl w:val="0"/>
      <w:spacing w:after="0"/>
      <w:ind w:left="420" w:leftChars="200"/>
      <w:jc w:val="both"/>
    </w:pPr>
    <w:rPr>
      <w:rFonts w:asciiTheme="minorHAnsi" w:hAnsiTheme="minorHAnsi" w:eastAsiaTheme="minorEastAsia" w:cstheme="minorBidi"/>
      <w:kern w:val="2"/>
      <w:sz w:val="21"/>
      <w:szCs w:val="24"/>
      <w:lang w:val="en-US" w:eastAsia="zh-CN" w:bidi="ar-SA"/>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table" w:customStyle="1" w:styleId="16">
    <w:name w:val="Table Normal"/>
    <w:unhideWhenUsed/>
    <w:qFormat/>
    <w:uiPriority w:val="0"/>
    <w:tblPr>
      <w:tblCellMar>
        <w:top w:w="0" w:type="dxa"/>
        <w:left w:w="0" w:type="dxa"/>
        <w:bottom w:w="0" w:type="dxa"/>
        <w:right w:w="0" w:type="dxa"/>
      </w:tblCellMar>
    </w:tblPr>
  </w:style>
  <w:style w:type="paragraph" w:customStyle="1" w:styleId="17">
    <w:name w:val="181"/>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1"/>
      <w:lang w:val="en-US" w:eastAsia="zh-CN" w:bidi="ar"/>
    </w:rPr>
  </w:style>
  <w:style w:type="paragraph" w:customStyle="1" w:styleId="18">
    <w:name w:val="18"/>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2"/>
      <w:lang w:val="en-US" w:eastAsia="zh-CN" w:bidi="ar"/>
    </w:rPr>
  </w:style>
  <w:style w:type="character" w:customStyle="1" w:styleId="19">
    <w:name w:val="NormalCharacter"/>
    <w:semiHidden/>
    <w:qFormat/>
    <w:uiPriority w:val="0"/>
    <w:rPr>
      <w:rFonts w:ascii="Times New Roman" w:hAnsi="Times New Roman" w:eastAsia="宋体" w:cs="Times New Roman"/>
      <w:kern w:val="2"/>
      <w:sz w:val="21"/>
      <w:szCs w:val="24"/>
      <w:lang w:val="en-US" w:eastAsia="zh-CN" w:bidi="ar-SA"/>
    </w:rPr>
  </w:style>
  <w:style w:type="paragraph" w:styleId="20">
    <w:name w:val="List Paragraph"/>
    <w:unhideWhenUsed/>
    <w:qFormat/>
    <w:uiPriority w:val="99"/>
    <w:pPr>
      <w:widowControl w:val="0"/>
      <w:ind w:firstLine="420" w:firstLineChars="200"/>
      <w:jc w:val="both"/>
    </w:pPr>
    <w:rPr>
      <w:rFonts w:asciiTheme="minorHAnsi" w:hAnsiTheme="minorHAnsi" w:eastAsiaTheme="minorEastAsia" w:cstheme="minorBidi"/>
      <w:kern w:val="2"/>
      <w:sz w:val="21"/>
      <w:szCs w:val="24"/>
      <w:lang w:val="en-US" w:eastAsia="zh-CN" w:bidi="ar-SA"/>
    </w:rPr>
  </w:style>
  <w:style w:type="paragraph" w:customStyle="1" w:styleId="21">
    <w:name w:val="Heading2"/>
    <w:next w:val="1"/>
    <w:qFormat/>
    <w:uiPriority w:val="0"/>
    <w:pPr>
      <w:widowControl w:val="0"/>
      <w:spacing w:before="100" w:beforeAutospacing="1" w:after="100" w:afterAutospacing="1"/>
      <w:jc w:val="left"/>
      <w:textAlignment w:val="baseline"/>
    </w:pPr>
    <w:rPr>
      <w:rFonts w:ascii="宋体" w:hAnsi="宋体" w:eastAsia="宋体" w:cstheme="minorBidi"/>
      <w:b/>
      <w:kern w:val="0"/>
      <w:sz w:val="36"/>
      <w:szCs w:val="36"/>
      <w:lang w:val="en-US" w:eastAsia="zh-CN" w:bidi="ar-SA"/>
    </w:rPr>
  </w:style>
  <w:style w:type="character" w:customStyle="1" w:styleId="22">
    <w:name w:val="font11"/>
    <w:basedOn w:val="14"/>
    <w:qFormat/>
    <w:uiPriority w:val="0"/>
    <w:rPr>
      <w:rFonts w:hint="eastAsia" w:ascii="宋体" w:hAnsi="宋体" w:eastAsia="宋体" w:cs="宋体"/>
      <w:color w:val="000000"/>
      <w:sz w:val="18"/>
      <w:szCs w:val="18"/>
      <w:u w:val="none"/>
    </w:rPr>
  </w:style>
  <w:style w:type="character" w:customStyle="1" w:styleId="23">
    <w:name w:val="font21"/>
    <w:basedOn w:val="14"/>
    <w:qFormat/>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6454</Words>
  <Characters>7136</Characters>
  <Lines>0</Lines>
  <Paragraphs>0</Paragraphs>
  <TotalTime>0</TotalTime>
  <ScaleCrop>false</ScaleCrop>
  <LinksUpToDate>false</LinksUpToDate>
  <CharactersWithSpaces>7268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王小纯</cp:lastModifiedBy>
  <cp:lastPrinted>2023-05-26T08:11:00Z</cp:lastPrinted>
  <dcterms:modified xsi:type="dcterms:W3CDTF">2024-06-18T01:38:14Z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50306CC149C84F98BF850919EA3E5AFB_13</vt:lpwstr>
  </property>
</Properties>
</file>