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1</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right"/>
        <w:textAlignment w:val="auto"/>
        <w:rPr>
          <w:rFonts w:hint="eastAsia" w:ascii="方正小标宋简体" w:hAnsi="方正小标宋简体" w:eastAsia="方正小标宋简体" w:cs="方正小标宋简体"/>
          <w:b w:val="0"/>
          <w:bCs w:val="0"/>
          <w:color w:val="000000" w:themeColor="text1"/>
          <w:spacing w:val="2"/>
          <w:sz w:val="44"/>
          <w:szCs w:val="44"/>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整体支出绩效评价基础数据表</w:t>
      </w:r>
    </w:p>
    <w:p>
      <w:pPr>
        <w:spacing w:line="115" w:lineRule="exact"/>
        <w:rPr>
          <w:color w:val="000000" w:themeColor="text1"/>
          <w14:textFill>
            <w14:solidFill>
              <w14:schemeClr w14:val="tx1"/>
            </w14:solidFill>
          </w14:textFill>
        </w:rPr>
      </w:pPr>
    </w:p>
    <w:tbl>
      <w:tblPr>
        <w:tblStyle w:val="9"/>
        <w:tblW w:w="96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850"/>
        <w:gridCol w:w="825"/>
        <w:gridCol w:w="990"/>
        <w:gridCol w:w="1140"/>
        <w:gridCol w:w="1185"/>
        <w:gridCol w:w="810"/>
        <w:gridCol w:w="86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850" w:type="dxa"/>
            <w:tcBorders>
              <w:bottom w:val="nil"/>
            </w:tcBorders>
            <w:noWrap w:val="0"/>
            <w:vAlign w:val="center"/>
          </w:tcPr>
          <w:p>
            <w:pPr>
              <w:spacing w:before="33" w:line="198" w:lineRule="auto"/>
              <w:ind w:right="118" w:rightChars="0"/>
              <w:jc w:val="cente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预算</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单位</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名称</w:t>
            </w:r>
          </w:p>
        </w:tc>
        <w:tc>
          <w:tcPr>
            <w:tcW w:w="5819" w:type="dxa"/>
            <w:gridSpan w:val="6"/>
            <w:noWrap w:val="0"/>
            <w:vAlign w:val="top"/>
          </w:tcPr>
          <w:p>
            <w:pPr>
              <w:spacing w:before="103" w:line="219" w:lineRule="auto"/>
              <w:ind w:left="708"/>
              <w:rPr>
                <w:rFonts w:hint="eastAsia" w:asciiTheme="majorEastAsia" w:hAnsiTheme="majorEastAsia" w:eastAsiaTheme="majorEastAsia" w:cstheme="majorEastAsia"/>
                <w:color w:val="000000" w:themeColor="text1"/>
                <w:spacing w:val="-2"/>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2"/>
                <w:sz w:val="20"/>
                <w:szCs w:val="20"/>
                <w14:textFill>
                  <w14:solidFill>
                    <w14:schemeClr w14:val="tx1"/>
                  </w14:solidFill>
                </w14:textFill>
              </w:rPr>
              <w:t>岳阳市岳阳楼区卫生计生综合监督执法局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5" w:hRule="atLeast"/>
        </w:trPr>
        <w:tc>
          <w:tcPr>
            <w:tcW w:w="3850" w:type="dxa"/>
            <w:vMerge w:val="restart"/>
            <w:tcBorders>
              <w:bottom w:val="nil"/>
            </w:tcBorders>
            <w:noWrap w:val="0"/>
            <w:vAlign w:val="top"/>
          </w:tcPr>
          <w:p>
            <w:pPr>
              <w:spacing w:before="262" w:line="219" w:lineRule="auto"/>
              <w:ind w:left="575"/>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财政供养人员情况(人)</w:t>
            </w:r>
          </w:p>
        </w:tc>
        <w:tc>
          <w:tcPr>
            <w:tcW w:w="1815" w:type="dxa"/>
            <w:gridSpan w:val="2"/>
            <w:noWrap w:val="0"/>
            <w:vAlign w:val="top"/>
          </w:tcPr>
          <w:p>
            <w:pPr>
              <w:spacing w:before="10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编制数</w:t>
            </w:r>
          </w:p>
        </w:tc>
        <w:tc>
          <w:tcPr>
            <w:tcW w:w="2325" w:type="dxa"/>
            <w:gridSpan w:val="2"/>
            <w:noWrap w:val="0"/>
            <w:vAlign w:val="top"/>
          </w:tcPr>
          <w:p>
            <w:pPr>
              <w:spacing w:before="8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2022年实际在职人数</w:t>
            </w:r>
          </w:p>
        </w:tc>
        <w:tc>
          <w:tcPr>
            <w:tcW w:w="1679" w:type="dxa"/>
            <w:gridSpan w:val="2"/>
            <w:noWrap w:val="0"/>
            <w:vAlign w:val="top"/>
          </w:tcPr>
          <w:p>
            <w:pPr>
              <w:spacing w:before="103" w:line="219" w:lineRule="auto"/>
              <w:ind w:left="708"/>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控制率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Merge w:val="continue"/>
            <w:tcBorders>
              <w:top w:val="nil"/>
            </w:tcBorders>
            <w:noWrap w:val="0"/>
            <w:vAlign w:val="top"/>
          </w:tcPr>
          <w:p>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815"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56</w:t>
            </w:r>
          </w:p>
        </w:tc>
        <w:tc>
          <w:tcPr>
            <w:tcW w:w="2325"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54</w:t>
            </w:r>
          </w:p>
        </w:tc>
        <w:tc>
          <w:tcPr>
            <w:tcW w:w="1679" w:type="dxa"/>
            <w:gridSpan w:val="2"/>
            <w:noWrap w:val="0"/>
            <w:vAlign w:val="top"/>
          </w:tcPr>
          <w:p>
            <w:pP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91.07%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850" w:type="dxa"/>
            <w:noWrap w:val="0"/>
            <w:vAlign w:val="top"/>
          </w:tcPr>
          <w:p>
            <w:pPr>
              <w:spacing w:before="140" w:line="202" w:lineRule="auto"/>
              <w:ind w:left="6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4"/>
                <w:sz w:val="24"/>
                <w:szCs w:val="24"/>
                <w14:textFill>
                  <w14:solidFill>
                    <w14:schemeClr w14:val="tx1"/>
                  </w14:solidFill>
                </w14:textFill>
              </w:rPr>
              <w:t>经费控制情况(万元)</w:t>
            </w:r>
          </w:p>
        </w:tc>
        <w:tc>
          <w:tcPr>
            <w:tcW w:w="1815" w:type="dxa"/>
            <w:gridSpan w:val="2"/>
            <w:noWrap w:val="0"/>
            <w:vAlign w:val="top"/>
          </w:tcPr>
          <w:p>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2021年决算数</w:t>
            </w:r>
          </w:p>
        </w:tc>
        <w:tc>
          <w:tcPr>
            <w:tcW w:w="2325" w:type="dxa"/>
            <w:gridSpan w:val="2"/>
            <w:noWrap w:val="0"/>
            <w:vAlign w:val="top"/>
          </w:tcPr>
          <w:p>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2022年预算数</w:t>
            </w:r>
          </w:p>
        </w:tc>
        <w:tc>
          <w:tcPr>
            <w:tcW w:w="1679" w:type="dxa"/>
            <w:gridSpan w:val="2"/>
            <w:noWrap w:val="0"/>
            <w:vAlign w:val="top"/>
          </w:tcPr>
          <w:p>
            <w:pPr>
              <w:spacing w:before="76" w:line="219" w:lineRule="auto"/>
              <w:jc w:val="center"/>
              <w:rPr>
                <w:rFonts w:hint="eastAsia" w:asciiTheme="majorEastAsia" w:hAnsiTheme="majorEastAsia" w:eastAsiaTheme="majorEastAsia" w:cstheme="majorEastAsia"/>
                <w:b w:val="0"/>
                <w:bCs w:val="0"/>
                <w:color w:val="000000" w:themeColor="text1"/>
                <w:sz w:val="24"/>
                <w:szCs w:val="24"/>
                <w14:textFill>
                  <w14:solidFill>
                    <w14:schemeClr w14:val="tx1"/>
                  </w14:solidFill>
                </w14:textFill>
              </w:rPr>
            </w:pPr>
            <w:r>
              <w:rPr>
                <w:rFonts w:hint="eastAsia" w:asciiTheme="majorEastAsia" w:hAnsiTheme="majorEastAsia" w:eastAsiaTheme="majorEastAsia" w:cstheme="majorEastAsia"/>
                <w:b w:val="0"/>
                <w:bCs w:val="0"/>
                <w:color w:val="000000" w:themeColor="text1"/>
                <w:spacing w:val="-4"/>
                <w:sz w:val="24"/>
                <w:szCs w:val="24"/>
                <w14:textFill>
                  <w14:solidFill>
                    <w14:schemeClr w14:val="tx1"/>
                  </w14:solidFill>
                </w14:textFill>
              </w:rPr>
              <w:t>2022年决算数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1" w:line="202"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三公经费</w:t>
            </w:r>
          </w:p>
        </w:tc>
        <w:tc>
          <w:tcPr>
            <w:tcW w:w="1815" w:type="dxa"/>
            <w:gridSpan w:val="2"/>
            <w:noWrap w:val="0"/>
            <w:vAlign w:val="top"/>
          </w:tcPr>
          <w:p>
            <w:pP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0.13</w:t>
            </w:r>
          </w:p>
        </w:tc>
        <w:tc>
          <w:tcPr>
            <w:tcW w:w="2325" w:type="dxa"/>
            <w:gridSpan w:val="2"/>
            <w:noWrap w:val="0"/>
            <w:vAlign w:val="top"/>
          </w:tcPr>
          <w:p>
            <w:pP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2.00</w:t>
            </w:r>
          </w:p>
        </w:tc>
        <w:tc>
          <w:tcPr>
            <w:tcW w:w="1679" w:type="dxa"/>
            <w:gridSpan w:val="2"/>
            <w:noWrap w:val="0"/>
            <w:vAlign w:val="top"/>
          </w:tcPr>
          <w:p>
            <w:pP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149" w:line="193" w:lineRule="auto"/>
              <w:ind w:left="4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z w:val="24"/>
                <w:szCs w:val="24"/>
                <w14:textFill>
                  <w14:solidFill>
                    <w14:schemeClr w14:val="tx1"/>
                  </w14:solidFill>
                </w14:textFill>
              </w:rPr>
              <w:t>1、公务用车购置和维护经费</w:t>
            </w:r>
          </w:p>
        </w:tc>
        <w:tc>
          <w:tcPr>
            <w:tcW w:w="181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232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1679"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81" w:line="219" w:lineRule="auto"/>
              <w:ind w:left="8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其中：公车购置</w:t>
            </w:r>
          </w:p>
        </w:tc>
        <w:tc>
          <w:tcPr>
            <w:tcW w:w="1815"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2325"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1679"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pPr>
              <w:spacing w:before="91" w:line="219" w:lineRule="auto"/>
              <w:ind w:left="14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公车运行维护</w:t>
            </w:r>
          </w:p>
        </w:tc>
        <w:tc>
          <w:tcPr>
            <w:tcW w:w="1815"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2325"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1679"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trPr>
        <w:tc>
          <w:tcPr>
            <w:tcW w:w="3850" w:type="dxa"/>
            <w:noWrap w:val="0"/>
            <w:vAlign w:val="top"/>
          </w:tcPr>
          <w:p>
            <w:pPr>
              <w:spacing w:before="81" w:line="22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2、出国经费</w:t>
            </w:r>
          </w:p>
        </w:tc>
        <w:tc>
          <w:tcPr>
            <w:tcW w:w="1815"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2325"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1679"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2"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3、公务接待</w:t>
            </w:r>
          </w:p>
        </w:tc>
        <w:tc>
          <w:tcPr>
            <w:tcW w:w="1815" w:type="dxa"/>
            <w:gridSpan w:val="2"/>
            <w:noWrap w:val="0"/>
            <w:vAlign w:val="top"/>
          </w:tcPr>
          <w:p>
            <w:pPr>
              <w:rPr>
                <w:rFonts w:hint="default" w:asciiTheme="majorEastAsia" w:hAnsiTheme="majorEastAsia" w:eastAsiaTheme="majorEastAsia" w:cstheme="majorEastAsia"/>
                <w:color w:val="000000" w:themeColor="text1"/>
                <w:sz w:val="21"/>
                <w:lang w:val="en-US"/>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0.13</w:t>
            </w:r>
          </w:p>
        </w:tc>
        <w:tc>
          <w:tcPr>
            <w:tcW w:w="2325"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2.00</w:t>
            </w:r>
          </w:p>
        </w:tc>
        <w:tc>
          <w:tcPr>
            <w:tcW w:w="1679"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3" w:line="200" w:lineRule="auto"/>
              <w:ind w:left="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9"/>
                <w:sz w:val="24"/>
                <w:szCs w:val="24"/>
                <w14:textFill>
                  <w14:solidFill>
                    <w14:schemeClr w14:val="tx1"/>
                  </w14:solidFill>
                </w14:textFill>
              </w:rPr>
              <w:t>项目支出：</w:t>
            </w:r>
          </w:p>
        </w:tc>
        <w:tc>
          <w:tcPr>
            <w:tcW w:w="181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232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58.00</w:t>
            </w:r>
          </w:p>
        </w:tc>
        <w:tc>
          <w:tcPr>
            <w:tcW w:w="1679"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133" w:line="20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1、业务工作经费</w:t>
            </w:r>
          </w:p>
        </w:tc>
        <w:tc>
          <w:tcPr>
            <w:tcW w:w="181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232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55.00</w:t>
            </w:r>
          </w:p>
        </w:tc>
        <w:tc>
          <w:tcPr>
            <w:tcW w:w="1679"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133" w:line="200" w:lineRule="auto"/>
              <w:ind w:left="384"/>
              <w:jc w:val="left"/>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lang w:val="en-US" w:eastAsia="zh-CN"/>
                <w14:textFill>
                  <w14:solidFill>
                    <w14:schemeClr w14:val="tx1"/>
                  </w14:solidFill>
                </w14:textFill>
              </w:rPr>
              <w:t>2</w:t>
            </w: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w:t>
            </w:r>
            <w:r>
              <w:rPr>
                <w:rFonts w:hint="eastAsia" w:asciiTheme="majorEastAsia" w:hAnsiTheme="majorEastAsia" w:eastAsiaTheme="majorEastAsia" w:cstheme="majorEastAsia"/>
                <w:color w:val="000000" w:themeColor="text1"/>
                <w:spacing w:val="1"/>
                <w:sz w:val="24"/>
                <w:szCs w:val="24"/>
                <w:lang w:val="en-US" w:eastAsia="zh-CN"/>
                <w14:textFill>
                  <w14:solidFill>
                    <w14:schemeClr w14:val="tx1"/>
                  </w14:solidFill>
                </w14:textFill>
              </w:rPr>
              <w:t>运行维护</w:t>
            </w: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经费</w:t>
            </w:r>
          </w:p>
        </w:tc>
        <w:tc>
          <w:tcPr>
            <w:tcW w:w="181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232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3.00</w:t>
            </w:r>
          </w:p>
        </w:tc>
        <w:tc>
          <w:tcPr>
            <w:tcW w:w="1679"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85" w:line="220" w:lineRule="auto"/>
              <w:ind w:left="94"/>
              <w:jc w:val="left"/>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公用经费</w:t>
            </w:r>
          </w:p>
        </w:tc>
        <w:tc>
          <w:tcPr>
            <w:tcW w:w="181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234.47</w:t>
            </w:r>
          </w:p>
        </w:tc>
        <w:tc>
          <w:tcPr>
            <w:tcW w:w="232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97.20</w:t>
            </w:r>
          </w:p>
        </w:tc>
        <w:tc>
          <w:tcPr>
            <w:tcW w:w="1679"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222.80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85"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其中：办公经费</w:t>
            </w:r>
          </w:p>
        </w:tc>
        <w:tc>
          <w:tcPr>
            <w:tcW w:w="181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11.49</w:t>
            </w:r>
          </w:p>
        </w:tc>
        <w:tc>
          <w:tcPr>
            <w:tcW w:w="232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8.00</w:t>
            </w:r>
          </w:p>
        </w:tc>
        <w:tc>
          <w:tcPr>
            <w:tcW w:w="1679"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12.87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35" w:line="198" w:lineRule="auto"/>
              <w:ind w:left="1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水费、电费、差旅费</w:t>
            </w:r>
          </w:p>
        </w:tc>
        <w:tc>
          <w:tcPr>
            <w:tcW w:w="181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4.99</w:t>
            </w:r>
          </w:p>
        </w:tc>
        <w:tc>
          <w:tcPr>
            <w:tcW w:w="232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8.00</w:t>
            </w:r>
          </w:p>
        </w:tc>
        <w:tc>
          <w:tcPr>
            <w:tcW w:w="1679"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5.01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144" w:line="198" w:lineRule="auto"/>
              <w:ind w:left="1124"/>
              <w:jc w:val="left"/>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会议费、培训费</w:t>
            </w:r>
          </w:p>
        </w:tc>
        <w:tc>
          <w:tcPr>
            <w:tcW w:w="181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7.40</w:t>
            </w:r>
          </w:p>
        </w:tc>
        <w:tc>
          <w:tcPr>
            <w:tcW w:w="232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7.00</w:t>
            </w:r>
          </w:p>
        </w:tc>
        <w:tc>
          <w:tcPr>
            <w:tcW w:w="1679"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145" w:line="189" w:lineRule="auto"/>
              <w:ind w:left="10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政府采购金额</w:t>
            </w:r>
          </w:p>
        </w:tc>
        <w:tc>
          <w:tcPr>
            <w:tcW w:w="181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232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150.92</w:t>
            </w:r>
          </w:p>
        </w:tc>
        <w:tc>
          <w:tcPr>
            <w:tcW w:w="1679"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5" w:line="198"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部门基本支出预算调整</w:t>
            </w:r>
          </w:p>
        </w:tc>
        <w:tc>
          <w:tcPr>
            <w:tcW w:w="1815"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3850" w:type="dxa"/>
            <w:vMerge w:val="restart"/>
            <w:tcBorders>
              <w:bottom w:val="nil"/>
            </w:tcBorders>
            <w:noWrap w:val="0"/>
            <w:vAlign w:val="center"/>
          </w:tcPr>
          <w:p>
            <w:pPr>
              <w:spacing w:before="65" w:line="390" w:lineRule="exact"/>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position w:val="14"/>
                <w:sz w:val="24"/>
                <w:szCs w:val="24"/>
                <w14:textFill>
                  <w14:solidFill>
                    <w14:schemeClr w14:val="tx1"/>
                  </w14:solidFill>
                </w14:textFill>
              </w:rPr>
              <w:t>楼堂馆所控制情况</w:t>
            </w:r>
          </w:p>
          <w:p>
            <w:pPr>
              <w:spacing w:line="219" w:lineRule="auto"/>
              <w:jc w:val="center"/>
              <w:rPr>
                <w:rFonts w:hint="eastAsia" w:asciiTheme="majorEastAsia" w:hAnsiTheme="majorEastAsia" w:eastAsiaTheme="majorEastAsia" w:cstheme="majorEastAsia"/>
                <w:color w:val="000000" w:themeColor="text1"/>
                <w:kern w:val="2"/>
                <w:sz w:val="24"/>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(2022年完工项目)</w:t>
            </w:r>
          </w:p>
        </w:tc>
        <w:tc>
          <w:tcPr>
            <w:tcW w:w="82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批复规模</w:t>
            </w:r>
          </w:p>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jc w:val="center"/>
              <w:textAlignment w:val="auto"/>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(m²)</w:t>
            </w:r>
          </w:p>
        </w:tc>
        <w:tc>
          <w:tcPr>
            <w:tcW w:w="99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实际规</w:t>
            </w:r>
          </w:p>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jc w:val="center"/>
              <w:textAlignment w:val="auto"/>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模(m²)</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jc w:val="center"/>
              <w:textAlignment w:val="auto"/>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规模控制率</w:t>
            </w:r>
          </w:p>
        </w:tc>
        <w:tc>
          <w:tcPr>
            <w:tcW w:w="11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预算投资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1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投资概</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算控制</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Merge w:val="continue"/>
            <w:tcBorders>
              <w:top w:val="nil"/>
            </w:tcBorders>
            <w:noWrap w:val="0"/>
            <w:vAlign w:val="top"/>
          </w:tcPr>
          <w:p>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825"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990"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140"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185"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810"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869"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厉行节约保障措施</w:t>
            </w:r>
          </w:p>
        </w:tc>
        <w:tc>
          <w:tcPr>
            <w:tcW w:w="5819" w:type="dxa"/>
            <w:gridSpan w:val="6"/>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1"/>
                <w14:textFill>
                  <w14:solidFill>
                    <w14:schemeClr w14:val="tx1"/>
                  </w14:solidFill>
                </w14:textFill>
              </w:rPr>
            </w:pPr>
          </w:p>
        </w:tc>
      </w:tr>
    </w:tbl>
    <w:p>
      <w:pPr>
        <w:keepNext w:val="0"/>
        <w:keepLines w:val="0"/>
        <w:pageBreakBefore w:val="0"/>
        <w:widowControl w:val="0"/>
        <w:kinsoku/>
        <w:wordWrap/>
        <w:overflowPunct/>
        <w:topLinePunct w:val="0"/>
        <w:autoSpaceDE/>
        <w:autoSpaceDN/>
        <w:bidi w:val="0"/>
        <w:adjustRightInd/>
        <w:snapToGrid/>
        <w:spacing w:line="410" w:lineRule="exact"/>
        <w:ind w:left="0"/>
        <w:textAlignment w:val="auto"/>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说明：“项目支出”需要填报基本支出以外的所有项目支出情况，“公用经费”填报基本支出中的一般商品和服务支出。</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填表人：郭周丽     联系电话：13975038998  单位负责人签字：</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填报日期：</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2023-06-11</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eastAsia="zh-CN"/>
          <w14:textFill>
            <w14:solidFill>
              <w14:schemeClr w14:val="tx1"/>
            </w14:solidFill>
          </w14:textFill>
        </w:rPr>
        <w:sectPr>
          <w:footerReference r:id="rId3" w:type="default"/>
          <w:pgSz w:w="11906" w:h="16838"/>
          <w:pgMar w:top="1134" w:right="1417" w:bottom="1134" w:left="1134" w:header="851" w:footer="992" w:gutter="0"/>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2</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t xml:space="preserve">  </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整体支出绩效自评表</w:t>
      </w:r>
    </w:p>
    <w:p>
      <w:pPr>
        <w:spacing w:line="168" w:lineRule="exact"/>
        <w:rPr>
          <w:color w:val="000000" w:themeColor="text1"/>
          <w14:textFill>
            <w14:solidFill>
              <w14:schemeClr w14:val="tx1"/>
            </w14:solidFill>
          </w14:textFill>
        </w:rPr>
      </w:pPr>
    </w:p>
    <w:tbl>
      <w:tblPr>
        <w:tblStyle w:val="9"/>
        <w:tblW w:w="9835"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84"/>
        <w:gridCol w:w="1079"/>
        <w:gridCol w:w="1029"/>
        <w:gridCol w:w="1269"/>
        <w:gridCol w:w="1319"/>
        <w:gridCol w:w="1259"/>
        <w:gridCol w:w="719"/>
        <w:gridCol w:w="802"/>
        <w:gridCol w:w="127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84" w:type="dxa"/>
            <w:noWrap w:val="0"/>
            <w:vAlign w:val="top"/>
          </w:tcPr>
          <w:p>
            <w:pPr>
              <w:keepNext w:val="0"/>
              <w:keepLines w:val="0"/>
              <w:pageBreakBefore w:val="0"/>
              <w:widowControl w:val="0"/>
              <w:kinsoku/>
              <w:wordWrap/>
              <w:overflowPunct/>
              <w:topLinePunct w:val="0"/>
              <w:autoSpaceDE/>
              <w:autoSpaceDN/>
              <w:bidi w:val="0"/>
              <w:adjustRightInd/>
              <w:snapToGrid/>
              <w:spacing w:line="198"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预算</w:t>
            </w:r>
            <w:r>
              <w:rPr>
                <w:rFonts w:hint="eastAsia" w:ascii="宋体" w:hAnsi="宋体" w:eastAsia="宋体" w:cs="宋体"/>
                <w:color w:val="000000" w:themeColor="text1"/>
                <w:spacing w:val="2"/>
                <w:sz w:val="21"/>
                <w:szCs w:val="21"/>
                <w:lang w:eastAsia="zh-CN"/>
                <w14:textFill>
                  <w14:solidFill>
                    <w14:schemeClr w14:val="tx1"/>
                  </w14:solidFill>
                </w14:textFill>
              </w:rPr>
              <w:t>单位</w:t>
            </w:r>
            <w:r>
              <w:rPr>
                <w:rFonts w:hint="eastAsia" w:ascii="宋体" w:hAnsi="宋体" w:eastAsia="宋体" w:cs="宋体"/>
                <w:color w:val="000000" w:themeColor="text1"/>
                <w:spacing w:val="2"/>
                <w:sz w:val="21"/>
                <w:szCs w:val="21"/>
                <w:lang w:val="en-US" w:eastAsia="zh-CN"/>
                <w14:textFill>
                  <w14:solidFill>
                    <w14:schemeClr w14:val="tx1"/>
                  </w14:solidFill>
                </w14:textFill>
              </w:rPr>
              <w:t xml:space="preserve"> </w:t>
            </w:r>
            <w:r>
              <w:rPr>
                <w:rFonts w:ascii="宋体" w:hAnsi="宋体" w:eastAsia="宋体" w:cs="宋体"/>
                <w:color w:val="000000" w:themeColor="text1"/>
                <w:spacing w:val="2"/>
                <w:sz w:val="21"/>
                <w:szCs w:val="21"/>
                <w14:textFill>
                  <w14:solidFill>
                    <w14:schemeClr w14:val="tx1"/>
                  </w14:solidFill>
                </w14:textFill>
              </w:rPr>
              <w:t>名称</w:t>
            </w:r>
          </w:p>
        </w:tc>
        <w:tc>
          <w:tcPr>
            <w:tcW w:w="8751" w:type="dxa"/>
            <w:gridSpan w:val="8"/>
            <w:noWrap w:val="0"/>
            <w:vAlign w:val="top"/>
          </w:tcPr>
          <w:p>
            <w:pPr>
              <w:jc w:val="center"/>
              <w:rPr>
                <w:rFonts w:ascii="Arial"/>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pacing w:val="-2"/>
                <w:sz w:val="20"/>
                <w:szCs w:val="20"/>
                <w14:textFill>
                  <w14:solidFill>
                    <w14:schemeClr w14:val="tx1"/>
                  </w14:solidFill>
                </w14:textFill>
              </w:rPr>
              <w:t>岳阳市岳阳楼区卫生计生综合监督执法局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restart"/>
            <w:tcBorders>
              <w:bottom w:val="nil"/>
            </w:tcBorders>
            <w:noWrap w:val="0"/>
            <w:vAlign w:val="top"/>
          </w:tcPr>
          <w:p>
            <w:pPr>
              <w:keepNext w:val="0"/>
              <w:keepLines w:val="0"/>
              <w:pageBreakBefore w:val="0"/>
              <w:widowControl w:val="0"/>
              <w:kinsoku/>
              <w:wordWrap/>
              <w:overflowPunct/>
              <w:topLinePunct w:val="0"/>
              <w:autoSpaceDE/>
              <w:autoSpaceDN/>
              <w:bidi w:val="0"/>
              <w:adjustRightInd/>
              <w:snapToGrid/>
              <w:spacing w:line="418" w:lineRule="auto"/>
              <w:ind w:left="0" w:right="0" w:firstLine="0"/>
              <w:jc w:val="center"/>
              <w:textAlignment w:val="auto"/>
              <w:rPr>
                <w:rFonts w:ascii="Arial"/>
                <w:color w:val="000000" w:themeColor="text1"/>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80" w:lineRule="exact"/>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position w:val="4"/>
                <w:sz w:val="21"/>
                <w:szCs w:val="21"/>
                <w14:textFill>
                  <w14:solidFill>
                    <w14:schemeClr w14:val="tx1"/>
                  </w14:solidFill>
                </w14:textFill>
              </w:rPr>
              <w:t>年度预</w:t>
            </w:r>
          </w:p>
          <w:p>
            <w:pPr>
              <w:keepNext w:val="0"/>
              <w:keepLines w:val="0"/>
              <w:pageBreakBefore w:val="0"/>
              <w:widowControl w:val="0"/>
              <w:kinsoku/>
              <w:wordWrap/>
              <w:overflowPunct/>
              <w:topLinePunct w:val="0"/>
              <w:autoSpaceDE/>
              <w:autoSpaceDN/>
              <w:bidi w:val="0"/>
              <w:adjustRightInd/>
              <w:snapToGrid/>
              <w:spacing w:line="219"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算申请</w:t>
            </w:r>
          </w:p>
          <w:p>
            <w:pPr>
              <w:keepNext w:val="0"/>
              <w:keepLines w:val="0"/>
              <w:pageBreakBefore w:val="0"/>
              <w:widowControl w:val="0"/>
              <w:kinsoku/>
              <w:wordWrap/>
              <w:overflowPunct/>
              <w:topLinePunct w:val="0"/>
              <w:autoSpaceDE/>
              <w:autoSpaceDN/>
              <w:bidi w:val="0"/>
              <w:adjustRightInd/>
              <w:snapToGrid/>
              <w:spacing w:line="220"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11"/>
                <w:sz w:val="21"/>
                <w:szCs w:val="21"/>
                <w14:textFill>
                  <w14:solidFill>
                    <w14:schemeClr w14:val="tx1"/>
                  </w14:solidFill>
                </w14:textFill>
              </w:rPr>
              <w:t>(万元)</w:t>
            </w:r>
          </w:p>
        </w:tc>
        <w:tc>
          <w:tcPr>
            <w:tcW w:w="2108"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pacing w:val="0"/>
                <w:sz w:val="20"/>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年初预算数</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全年预算数</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全年执行数</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2108"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925.64</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1001.24</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1001.24</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47" w:lineRule="exact"/>
              <w:ind w:left="0"/>
              <w:jc w:val="center"/>
              <w:textAlignment w:val="auto"/>
              <w:rPr>
                <w:rFonts w:ascii="宋体" w:hAnsi="宋体" w:eastAsia="宋体" w:cs="宋体"/>
                <w:color w:val="000000" w:themeColor="text1"/>
                <w:spacing w:val="0"/>
                <w:sz w:val="20"/>
                <w:szCs w:val="20"/>
                <w14:textFill>
                  <w14:solidFill>
                    <w14:schemeClr w14:val="tx1"/>
                  </w14:solidFill>
                </w14:textFill>
              </w:rPr>
            </w:pPr>
            <w:r>
              <w:rPr>
                <w:rFonts w:ascii="宋体" w:hAnsi="宋体" w:eastAsia="宋体" w:cs="宋体"/>
                <w:color w:val="000000" w:themeColor="text1"/>
                <w:spacing w:val="0"/>
                <w:position w:val="-3"/>
                <w:sz w:val="20"/>
                <w:szCs w:val="20"/>
                <w14:textFill>
                  <w14:solidFill>
                    <w14:schemeClr w14:val="tx1"/>
                  </w14:solidFill>
                </w14:textFill>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按收入性质分：</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按支出性质分：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 xml:space="preserve">其中： </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一般公共预算：</w:t>
            </w:r>
            <w:r>
              <w:rPr>
                <w:rFonts w:hint="eastAsia" w:ascii="Arial"/>
                <w:color w:val="000000" w:themeColor="text1"/>
                <w:spacing w:val="0"/>
                <w:sz w:val="20"/>
                <w:lang w:val="en-US" w:eastAsia="zh-CN"/>
                <w14:textFill>
                  <w14:solidFill>
                    <w14:schemeClr w14:val="tx1"/>
                  </w14:solidFill>
                </w14:textFill>
              </w:rPr>
              <w:t>1001.24</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其中：基本支出：</w:t>
            </w:r>
            <w:r>
              <w:rPr>
                <w:rFonts w:hint="eastAsia" w:ascii="Arial"/>
                <w:color w:val="000000" w:themeColor="text1"/>
                <w:spacing w:val="0"/>
                <w:sz w:val="20"/>
                <w:lang w:val="en-US" w:eastAsia="zh-CN"/>
                <w14:textFill>
                  <w14:solidFill>
                    <w14:schemeClr w14:val="tx1"/>
                  </w14:solidFill>
                </w14:textFill>
              </w:rPr>
              <w:t>1001.24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firstLine="1050" w:firstLineChars="5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政府性基金拨款：</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firstLine="840" w:firstLineChars="4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纳入专户管理的非税收入拨款：</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left"/>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其他资金：</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restart"/>
            <w:tcBorders>
              <w:bottom w:val="nil"/>
            </w:tcBorders>
            <w:noWrap w:val="0"/>
            <w:vAlign w:val="top"/>
          </w:tcPr>
          <w:p>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7"/>
                <w:sz w:val="21"/>
                <w:szCs w:val="21"/>
                <w14:textFill>
                  <w14:solidFill>
                    <w14:schemeClr w14:val="tx1"/>
                  </w14:solidFill>
                </w14:textFill>
              </w:rPr>
              <w:t>年度总体</w:t>
            </w:r>
            <w:r>
              <w:rPr>
                <w:rFonts w:ascii="宋体" w:hAnsi="宋体" w:eastAsia="宋体" w:cs="宋体"/>
                <w:color w:val="000000" w:themeColor="text1"/>
                <w:spacing w:val="1"/>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目</w:t>
            </w:r>
            <w:r>
              <w:rPr>
                <w:rFonts w:ascii="宋体" w:hAnsi="宋体" w:eastAsia="宋体" w:cs="宋体"/>
                <w:color w:val="000000" w:themeColor="text1"/>
                <w:spacing w:val="-35"/>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标</w:t>
            </w: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1" w:lineRule="auto"/>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8" w:hRule="atLeast"/>
        </w:trPr>
        <w:tc>
          <w:tcPr>
            <w:tcW w:w="1084" w:type="dxa"/>
            <w:vMerge w:val="continue"/>
            <w:tcBorders>
              <w:top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widowControl/>
              <w:spacing w:line="480" w:lineRule="auto"/>
              <w:rPr>
                <w:rFonts w:hint="eastAsia" w:ascii="Arial" w:eastAsiaTheme="minorEastAsia"/>
                <w:color w:val="000000" w:themeColor="text1"/>
                <w:spacing w:val="0"/>
                <w:sz w:val="20"/>
                <w:lang w:val="en-US" w:eastAsia="zh-CN"/>
                <w14:textFill>
                  <w14:solidFill>
                    <w14:schemeClr w14:val="tx1"/>
                  </w14:solidFill>
                </w14:textFill>
              </w:rPr>
            </w:pPr>
            <w:r>
              <w:rPr>
                <w:rFonts w:hint="eastAsia" w:ascii="Times New Roman" w:hAnsi="Times New Roman" w:eastAsia="仿宋_GB2312" w:cs="Times New Roman"/>
                <w:kern w:val="0"/>
                <w:sz w:val="21"/>
                <w:szCs w:val="21"/>
                <w:lang w:eastAsia="zh-CN"/>
              </w:rPr>
              <w:t>1、对辖区范围内402家医疗机构开展防疫监督检查，对全区1800多家公共场所实行监督覆盖，下达卫生监督意见书2800多份；2、陆续开展13家专项整治行动；3、楼区范围内8家二级医院医疗污水处置的环保督查；4、办理卫生行政处罚案件136起，罚没款突破32万元。</w:t>
            </w:r>
          </w:p>
        </w:tc>
        <w:tc>
          <w:tcPr>
            <w:tcW w:w="4055" w:type="dxa"/>
            <w:gridSpan w:val="4"/>
            <w:noWrap w:val="0"/>
            <w:vAlign w:val="top"/>
          </w:tcPr>
          <w:p>
            <w:pPr>
              <w:pStyle w:val="13"/>
              <w:spacing w:line="240" w:lineRule="auto"/>
              <w:jc w:val="left"/>
              <w:rPr>
                <w:rFonts w:ascii="Arial"/>
                <w:color w:val="000000" w:themeColor="text1"/>
                <w:spacing w:val="0"/>
                <w:sz w:val="20"/>
                <w14:textFill>
                  <w14:solidFill>
                    <w14:schemeClr w14:val="tx1"/>
                  </w14:solidFill>
                </w14:textFill>
              </w:rPr>
            </w:pPr>
            <w:r>
              <w:rPr>
                <w:rFonts w:hint="eastAsia" w:ascii="Times New Roman" w:hAnsi="Times New Roman" w:eastAsia="仿宋_GB2312" w:cs="Times New Roman"/>
                <w:color w:val="auto"/>
                <w:kern w:val="0"/>
                <w:sz w:val="21"/>
                <w:szCs w:val="21"/>
                <w:lang w:val="en-US" w:eastAsia="zh-CN" w:bidi="ar-SA"/>
              </w:rPr>
              <w:t>（一）落实疫情防控我局多次组织工作培训学习；对辖区范围内402家医疗机构开展防疫监督检查；定期开展“回头看”。共累计监督3000多家次，下达整改意见书及疫情防控文书800余份，停业整顿320多家次。（二）完成文明城市检查。全力保障公共场所卫生安全，与文明城市复审工作相融合。对全区1800多家公共场所实行监督覆盖，下达卫生监督意见书2800多份，张贴公示牌、标志、宣传图片3000多张，办理健康证 7500多个，公共场所卫生许可证持证率达到100%。（三）加强安全生产。成立安全生产工作小组，由主要负责人任组长，分管领导任副组长，推动单位安全生产工作；坚持日常安全生产工作检查，确保单位的用电、用水、用气安全，消防设备、设施正常运转；加强安全生产知识培训，年内参加了岳阳市卫生健康委员会组织的安全生产培训并邀请消防协会来我局授课。（四）我局陆续开展了打击非法行医、民营医院专项整治、医疗美容机构专项整治、精麻药品管理专项整治等13项专项整治行动，成效显著。根据上级要求，我局还开展了区级公立医院与社区卫生服务中心专项监督检查，医疗机构消毒效果采样检测，楼区范围内8家二级医院医疗污水处置的环保督查，市卫健委组织的全市医疗乱象整治等工作，较好地完成了任务。（五）加大办案力度。今年我局共办理卫生行政处罚案件136起，罚没款突破32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4" w:hRule="atLeast"/>
        </w:trPr>
        <w:tc>
          <w:tcPr>
            <w:tcW w:w="1084" w:type="dxa"/>
            <w:vMerge w:val="restart"/>
            <w:tcBorders>
              <w:bottom w:val="nil"/>
            </w:tcBorders>
            <w:noWrap w:val="0"/>
            <w:textDirection w:val="tbRlV"/>
            <w:vAlign w:val="top"/>
          </w:tcPr>
          <w:p>
            <w:pPr>
              <w:keepNext w:val="0"/>
              <w:keepLines w:val="0"/>
              <w:pageBreakBefore w:val="0"/>
              <w:widowControl w:val="0"/>
              <w:kinsoku/>
              <w:wordWrap/>
              <w:overflowPunct/>
              <w:topLinePunct w:val="0"/>
              <w:autoSpaceDE/>
              <w:autoSpaceDN/>
              <w:bidi w:val="0"/>
              <w:adjustRightInd/>
              <w:snapToGrid/>
              <w:spacing w:line="367" w:lineRule="auto"/>
              <w:ind w:left="0" w:right="0" w:firstLine="0"/>
              <w:jc w:val="center"/>
              <w:textAlignment w:val="auto"/>
              <w:rPr>
                <w:rFonts w:ascii="Arial"/>
                <w:color w:val="000000" w:themeColor="text1"/>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17"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绩效指标</w:t>
            </w:r>
          </w:p>
        </w:tc>
        <w:tc>
          <w:tcPr>
            <w:tcW w:w="107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年度指标值</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实际完成值</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1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偏差原因分析</w:t>
            </w:r>
          </w:p>
          <w:p>
            <w:pPr>
              <w:keepNext w:val="0"/>
              <w:keepLines w:val="0"/>
              <w:pageBreakBefore w:val="0"/>
              <w:widowControl w:val="0"/>
              <w:kinsoku/>
              <w:wordWrap/>
              <w:overflowPunct/>
              <w:topLinePunct w:val="0"/>
              <w:autoSpaceDE/>
              <w:autoSpaceDN/>
              <w:bidi w:val="0"/>
              <w:adjustRightInd/>
              <w:snapToGrid/>
              <w:spacing w:line="19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restart"/>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产出指标（50分）</w:t>
            </w:r>
          </w:p>
        </w:tc>
        <w:tc>
          <w:tcPr>
            <w:tcW w:w="1029" w:type="dxa"/>
            <w:vMerge w:val="restart"/>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数量指标</w:t>
            </w:r>
          </w:p>
        </w:tc>
        <w:tc>
          <w:tcPr>
            <w:tcW w:w="1269" w:type="dxa"/>
            <w:noWrap w:val="0"/>
            <w:vAlign w:val="center"/>
          </w:tcPr>
          <w:p>
            <w:pPr>
              <w:keepNext w:val="0"/>
              <w:keepLines w:val="0"/>
              <w:widowControl/>
              <w:suppressLineNumbers w:val="0"/>
              <w:jc w:val="left"/>
              <w:textAlignment w:val="center"/>
              <w:rPr>
                <w:rFonts w:ascii="Arial"/>
                <w:color w:val="000000" w:themeColor="text1"/>
                <w:sz w:val="21"/>
                <w14:textFill>
                  <w14:solidFill>
                    <w14:schemeClr w14:val="tx1"/>
                  </w14:solidFill>
                </w14:textFill>
              </w:rPr>
            </w:pPr>
            <w:r>
              <w:rPr>
                <w:rFonts w:hint="eastAsia" w:ascii="仿宋" w:hAnsi="仿宋" w:eastAsia="仿宋" w:cs="仿宋"/>
                <w:i w:val="0"/>
                <w:iCs w:val="0"/>
                <w:color w:val="000000"/>
                <w:kern w:val="0"/>
                <w:sz w:val="20"/>
                <w:szCs w:val="20"/>
                <w:u w:val="none"/>
                <w:lang w:val="en-US" w:eastAsia="zh-CN" w:bidi="ar"/>
              </w:rPr>
              <w:t>辖区范围内防疫监督检查</w:t>
            </w:r>
          </w:p>
        </w:tc>
        <w:tc>
          <w:tcPr>
            <w:tcW w:w="1319" w:type="dxa"/>
            <w:noWrap w:val="0"/>
            <w:vAlign w:val="center"/>
          </w:tcPr>
          <w:p>
            <w:pPr>
              <w:keepNext w:val="0"/>
              <w:keepLines w:val="0"/>
              <w:widowControl/>
              <w:suppressLineNumbers w:val="0"/>
              <w:jc w:val="center"/>
              <w:textAlignment w:val="center"/>
              <w:rPr>
                <w:rFonts w:hint="default" w:ascii="Arial"/>
                <w:color w:val="000000" w:themeColor="text1"/>
                <w:sz w:val="21"/>
                <w:lang w:val="en-US"/>
                <w14:textFill>
                  <w14:solidFill>
                    <w14:schemeClr w14:val="tx1"/>
                  </w14:solidFill>
                </w14:textFill>
              </w:rPr>
            </w:pPr>
            <w:r>
              <w:rPr>
                <w:rFonts w:hint="eastAsia" w:ascii="仿宋" w:hAnsi="仿宋" w:eastAsia="仿宋" w:cs="仿宋"/>
                <w:i w:val="0"/>
                <w:iCs w:val="0"/>
                <w:color w:val="000000"/>
                <w:kern w:val="0"/>
                <w:sz w:val="20"/>
                <w:szCs w:val="20"/>
                <w:u w:val="none"/>
                <w:lang w:val="en-US" w:eastAsia="zh-CN" w:bidi="ar"/>
              </w:rPr>
              <w:t>402家医疗机构</w:t>
            </w:r>
          </w:p>
        </w:tc>
        <w:tc>
          <w:tcPr>
            <w:tcW w:w="1259" w:type="dxa"/>
            <w:noWrap w:val="0"/>
            <w:vAlign w:val="center"/>
          </w:tcPr>
          <w:p>
            <w:pPr>
              <w:keepNext w:val="0"/>
              <w:keepLines w:val="0"/>
              <w:widowControl/>
              <w:suppressLineNumbers w:val="0"/>
              <w:jc w:val="center"/>
              <w:textAlignment w:val="center"/>
              <w:rPr>
                <w:rFonts w:hint="default" w:ascii="Arial"/>
                <w:color w:val="000000" w:themeColor="text1"/>
                <w:sz w:val="21"/>
                <w:lang w:val="en-US"/>
                <w14:textFill>
                  <w14:solidFill>
                    <w14:schemeClr w14:val="tx1"/>
                  </w14:solidFill>
                </w14:textFill>
              </w:rPr>
            </w:pPr>
            <w:r>
              <w:rPr>
                <w:rFonts w:hint="eastAsia" w:ascii="仿宋" w:hAnsi="仿宋" w:eastAsia="仿宋" w:cs="仿宋"/>
                <w:i w:val="0"/>
                <w:iCs w:val="0"/>
                <w:color w:val="000000"/>
                <w:kern w:val="0"/>
                <w:sz w:val="20"/>
                <w:szCs w:val="20"/>
                <w:u w:val="none"/>
                <w:lang w:val="en-US" w:eastAsia="zh-CN" w:bidi="ar"/>
              </w:rPr>
              <w:t>402家医疗机构</w:t>
            </w:r>
          </w:p>
        </w:tc>
        <w:tc>
          <w:tcPr>
            <w:tcW w:w="71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1"/>
                <w:szCs w:val="21"/>
                <w:u w:val="none"/>
                <w:lang w:val="en-US" w:eastAsia="zh-CN" w:bidi="ar"/>
              </w:rPr>
              <w:t>5</w:t>
            </w:r>
          </w:p>
        </w:tc>
        <w:tc>
          <w:tcPr>
            <w:tcW w:w="802"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1"/>
                <w:szCs w:val="21"/>
                <w:u w:val="none"/>
                <w:lang w:val="en-US" w:eastAsia="zh-CN" w:bidi="ar"/>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widowControl/>
              <w:suppressLineNumbers w:val="0"/>
              <w:jc w:val="left"/>
              <w:textAlignment w:val="center"/>
              <w:rPr>
                <w:rFonts w:ascii="Arial"/>
                <w:color w:val="000000" w:themeColor="text1"/>
                <w:sz w:val="20"/>
                <w14:textFill>
                  <w14:solidFill>
                    <w14:schemeClr w14:val="tx1"/>
                  </w14:solidFill>
                </w14:textFill>
              </w:rPr>
            </w:pPr>
            <w:r>
              <w:rPr>
                <w:rFonts w:hint="eastAsia" w:ascii="仿宋" w:hAnsi="仿宋" w:eastAsia="仿宋" w:cs="仿宋"/>
                <w:i w:val="0"/>
                <w:iCs w:val="0"/>
                <w:color w:val="000000"/>
                <w:kern w:val="0"/>
                <w:sz w:val="20"/>
                <w:szCs w:val="20"/>
                <w:u w:val="none"/>
                <w:lang w:val="en-US" w:eastAsia="zh-CN" w:bidi="ar"/>
              </w:rPr>
              <w:t>监督覆盖</w:t>
            </w:r>
          </w:p>
        </w:tc>
        <w:tc>
          <w:tcPr>
            <w:tcW w:w="1319" w:type="dxa"/>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仿宋" w:hAnsi="仿宋" w:eastAsia="仿宋" w:cs="仿宋"/>
                <w:i w:val="0"/>
                <w:iCs w:val="0"/>
                <w:color w:val="000000"/>
                <w:kern w:val="0"/>
                <w:sz w:val="20"/>
                <w:szCs w:val="20"/>
                <w:u w:val="none"/>
                <w:lang w:val="en-US" w:eastAsia="zh-CN" w:bidi="ar"/>
              </w:rPr>
              <w:t>1800多家公共场所</w:t>
            </w:r>
          </w:p>
        </w:tc>
        <w:tc>
          <w:tcPr>
            <w:tcW w:w="1259" w:type="dxa"/>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仿宋" w:hAnsi="仿宋" w:eastAsia="仿宋" w:cs="仿宋"/>
                <w:i w:val="0"/>
                <w:iCs w:val="0"/>
                <w:color w:val="000000"/>
                <w:kern w:val="0"/>
                <w:sz w:val="20"/>
                <w:szCs w:val="20"/>
                <w:u w:val="none"/>
                <w:lang w:val="en-US" w:eastAsia="zh-CN" w:bidi="ar"/>
              </w:rPr>
              <w:t>1800多家公共场所</w:t>
            </w:r>
          </w:p>
        </w:tc>
        <w:tc>
          <w:tcPr>
            <w:tcW w:w="719" w:type="dxa"/>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仿宋" w:hAnsi="仿宋" w:eastAsia="仿宋" w:cs="仿宋"/>
                <w:i w:val="0"/>
                <w:iCs w:val="0"/>
                <w:color w:val="000000"/>
                <w:kern w:val="0"/>
                <w:sz w:val="21"/>
                <w:szCs w:val="21"/>
                <w:u w:val="none"/>
                <w:lang w:val="en-US" w:eastAsia="zh-CN" w:bidi="ar"/>
              </w:rPr>
              <w:t>5</w:t>
            </w:r>
          </w:p>
        </w:tc>
        <w:tc>
          <w:tcPr>
            <w:tcW w:w="802" w:type="dxa"/>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仿宋" w:hAnsi="仿宋" w:eastAsia="仿宋" w:cs="仿宋"/>
                <w:i w:val="0"/>
                <w:iCs w:val="0"/>
                <w:color w:val="000000"/>
                <w:kern w:val="0"/>
                <w:sz w:val="21"/>
                <w:szCs w:val="21"/>
                <w:u w:val="none"/>
                <w:lang w:val="en-US" w:eastAsia="zh-CN" w:bidi="ar"/>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widowControl/>
              <w:suppressLineNumbers w:val="0"/>
              <w:jc w:val="left"/>
              <w:textAlignment w:val="center"/>
              <w:rPr>
                <w:rFonts w:ascii="Arial"/>
                <w:color w:val="000000" w:themeColor="text1"/>
                <w:sz w:val="20"/>
                <w14:textFill>
                  <w14:solidFill>
                    <w14:schemeClr w14:val="tx1"/>
                  </w14:solidFill>
                </w14:textFill>
              </w:rPr>
            </w:pPr>
            <w:r>
              <w:rPr>
                <w:rFonts w:hint="eastAsia" w:ascii="仿宋" w:hAnsi="仿宋" w:eastAsia="仿宋" w:cs="仿宋"/>
                <w:i w:val="0"/>
                <w:iCs w:val="0"/>
                <w:color w:val="000000"/>
                <w:kern w:val="0"/>
                <w:sz w:val="20"/>
                <w:szCs w:val="20"/>
                <w:u w:val="none"/>
                <w:lang w:val="en-US" w:eastAsia="zh-CN" w:bidi="ar"/>
              </w:rPr>
              <w:t>专项整治行动</w:t>
            </w:r>
          </w:p>
        </w:tc>
        <w:tc>
          <w:tcPr>
            <w:tcW w:w="1319" w:type="dxa"/>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仿宋" w:hAnsi="仿宋" w:eastAsia="仿宋" w:cs="仿宋"/>
                <w:i w:val="0"/>
                <w:iCs w:val="0"/>
                <w:color w:val="000000"/>
                <w:kern w:val="0"/>
                <w:sz w:val="20"/>
                <w:szCs w:val="20"/>
                <w:u w:val="none"/>
                <w:lang w:val="en-US" w:eastAsia="zh-CN" w:bidi="ar"/>
              </w:rPr>
              <w:t>13项</w:t>
            </w:r>
          </w:p>
        </w:tc>
        <w:tc>
          <w:tcPr>
            <w:tcW w:w="1259" w:type="dxa"/>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仿宋" w:hAnsi="仿宋" w:eastAsia="仿宋" w:cs="仿宋"/>
                <w:i w:val="0"/>
                <w:iCs w:val="0"/>
                <w:color w:val="000000"/>
                <w:kern w:val="0"/>
                <w:sz w:val="20"/>
                <w:szCs w:val="20"/>
                <w:u w:val="none"/>
                <w:lang w:val="en-US" w:eastAsia="zh-CN" w:bidi="ar"/>
              </w:rPr>
              <w:t>13项</w:t>
            </w:r>
          </w:p>
        </w:tc>
        <w:tc>
          <w:tcPr>
            <w:tcW w:w="719" w:type="dxa"/>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仿宋" w:hAnsi="仿宋" w:eastAsia="仿宋" w:cs="仿宋"/>
                <w:i w:val="0"/>
                <w:iCs w:val="0"/>
                <w:color w:val="000000"/>
                <w:kern w:val="0"/>
                <w:sz w:val="21"/>
                <w:szCs w:val="21"/>
                <w:u w:val="none"/>
                <w:lang w:val="en-US" w:eastAsia="zh-CN" w:bidi="ar"/>
              </w:rPr>
              <w:t>5</w:t>
            </w:r>
          </w:p>
        </w:tc>
        <w:tc>
          <w:tcPr>
            <w:tcW w:w="802" w:type="dxa"/>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仿宋" w:hAnsi="仿宋" w:eastAsia="仿宋" w:cs="仿宋"/>
                <w:i w:val="0"/>
                <w:iCs w:val="0"/>
                <w:color w:val="000000"/>
                <w:kern w:val="0"/>
                <w:sz w:val="21"/>
                <w:szCs w:val="21"/>
                <w:u w:val="none"/>
                <w:lang w:val="en-US" w:eastAsia="zh-CN" w:bidi="ar"/>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widowControl/>
              <w:suppressLineNumbers w:val="0"/>
              <w:jc w:val="left"/>
              <w:textAlignment w:val="center"/>
              <w:rPr>
                <w:rFonts w:ascii="Arial"/>
                <w:color w:val="000000" w:themeColor="text1"/>
                <w:sz w:val="20"/>
                <w14:textFill>
                  <w14:solidFill>
                    <w14:schemeClr w14:val="tx1"/>
                  </w14:solidFill>
                </w14:textFill>
              </w:rPr>
            </w:pPr>
            <w:r>
              <w:rPr>
                <w:rFonts w:hint="eastAsia" w:ascii="仿宋" w:hAnsi="仿宋" w:eastAsia="仿宋" w:cs="仿宋"/>
                <w:i w:val="0"/>
                <w:iCs w:val="0"/>
                <w:color w:val="000000"/>
                <w:kern w:val="0"/>
                <w:sz w:val="20"/>
                <w:szCs w:val="20"/>
                <w:u w:val="none"/>
                <w:lang w:val="en-US" w:eastAsia="zh-CN" w:bidi="ar"/>
              </w:rPr>
              <w:t>污水处置环保督查</w:t>
            </w:r>
          </w:p>
        </w:tc>
        <w:tc>
          <w:tcPr>
            <w:tcW w:w="1319" w:type="dxa"/>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仿宋" w:hAnsi="仿宋" w:eastAsia="仿宋" w:cs="仿宋"/>
                <w:i w:val="0"/>
                <w:iCs w:val="0"/>
                <w:color w:val="000000"/>
                <w:kern w:val="0"/>
                <w:sz w:val="20"/>
                <w:szCs w:val="20"/>
                <w:u w:val="none"/>
                <w:lang w:val="en-US" w:eastAsia="zh-CN" w:bidi="ar"/>
              </w:rPr>
              <w:t>8家二级医院</w:t>
            </w:r>
          </w:p>
        </w:tc>
        <w:tc>
          <w:tcPr>
            <w:tcW w:w="1259" w:type="dxa"/>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仿宋" w:hAnsi="仿宋" w:eastAsia="仿宋" w:cs="仿宋"/>
                <w:i w:val="0"/>
                <w:iCs w:val="0"/>
                <w:color w:val="000000"/>
                <w:kern w:val="0"/>
                <w:sz w:val="20"/>
                <w:szCs w:val="20"/>
                <w:u w:val="none"/>
                <w:lang w:val="en-US" w:eastAsia="zh-CN" w:bidi="ar"/>
              </w:rPr>
              <w:t>8家二级医院</w:t>
            </w:r>
          </w:p>
        </w:tc>
        <w:tc>
          <w:tcPr>
            <w:tcW w:w="719" w:type="dxa"/>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仿宋" w:hAnsi="仿宋" w:eastAsia="仿宋" w:cs="仿宋"/>
                <w:i w:val="0"/>
                <w:iCs w:val="0"/>
                <w:color w:val="000000"/>
                <w:kern w:val="0"/>
                <w:sz w:val="21"/>
                <w:szCs w:val="21"/>
                <w:u w:val="none"/>
                <w:lang w:val="en-US" w:eastAsia="zh-CN" w:bidi="ar"/>
              </w:rPr>
              <w:t>5</w:t>
            </w:r>
          </w:p>
        </w:tc>
        <w:tc>
          <w:tcPr>
            <w:tcW w:w="802" w:type="dxa"/>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仿宋" w:hAnsi="仿宋" w:eastAsia="仿宋" w:cs="仿宋"/>
                <w:i w:val="0"/>
                <w:iCs w:val="0"/>
                <w:color w:val="000000"/>
                <w:kern w:val="0"/>
                <w:sz w:val="21"/>
                <w:szCs w:val="21"/>
                <w:u w:val="none"/>
                <w:lang w:val="en-US" w:eastAsia="zh-CN" w:bidi="ar"/>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质量指标</w:t>
            </w:r>
          </w:p>
        </w:tc>
        <w:tc>
          <w:tcPr>
            <w:tcW w:w="1269" w:type="dxa"/>
            <w:noWrap w:val="0"/>
            <w:vAlign w:val="center"/>
          </w:tcPr>
          <w:p>
            <w:pPr>
              <w:keepNext w:val="0"/>
              <w:keepLines w:val="0"/>
              <w:widowControl/>
              <w:suppressLineNumbers w:val="0"/>
              <w:jc w:val="left"/>
              <w:textAlignment w:val="center"/>
              <w:rPr>
                <w:rFonts w:ascii="Arial"/>
                <w:color w:val="000000" w:themeColor="text1"/>
                <w:sz w:val="20"/>
                <w14:textFill>
                  <w14:solidFill>
                    <w14:schemeClr w14:val="tx1"/>
                  </w14:solidFill>
                </w14:textFill>
              </w:rPr>
            </w:pPr>
            <w:r>
              <w:rPr>
                <w:rFonts w:hint="eastAsia" w:ascii="仿宋" w:hAnsi="仿宋" w:eastAsia="仿宋" w:cs="仿宋"/>
                <w:i w:val="0"/>
                <w:iCs w:val="0"/>
                <w:color w:val="000000"/>
                <w:kern w:val="0"/>
                <w:sz w:val="20"/>
                <w:szCs w:val="20"/>
                <w:u w:val="none"/>
                <w:lang w:val="en-US" w:eastAsia="zh-CN" w:bidi="ar"/>
              </w:rPr>
              <w:t>专项整治行动效果</w:t>
            </w:r>
          </w:p>
        </w:tc>
        <w:tc>
          <w:tcPr>
            <w:tcW w:w="1319" w:type="dxa"/>
            <w:noWrap w:val="0"/>
            <w:vAlign w:val="center"/>
          </w:tcPr>
          <w:p>
            <w:pPr>
              <w:keepNext w:val="0"/>
              <w:keepLines w:val="0"/>
              <w:widowControl/>
              <w:suppressLineNumbers w:val="0"/>
              <w:jc w:val="center"/>
              <w:textAlignment w:val="center"/>
              <w:rPr>
                <w:rFonts w:hint="default"/>
                <w:lang w:val="en-US" w:eastAsia="zh-CN"/>
              </w:rPr>
            </w:pPr>
            <w:r>
              <w:rPr>
                <w:rFonts w:hint="eastAsia" w:ascii="仿宋" w:hAnsi="仿宋" w:eastAsia="仿宋" w:cs="仿宋"/>
                <w:i w:val="0"/>
                <w:iCs w:val="0"/>
                <w:color w:val="000000"/>
                <w:kern w:val="0"/>
                <w:sz w:val="20"/>
                <w:szCs w:val="20"/>
                <w:u w:val="none"/>
                <w:lang w:val="en-US" w:eastAsia="zh-CN" w:bidi="ar"/>
              </w:rPr>
              <w:t>效果显著</w:t>
            </w:r>
          </w:p>
        </w:tc>
        <w:tc>
          <w:tcPr>
            <w:tcW w:w="1259" w:type="dxa"/>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仿宋" w:hAnsi="仿宋" w:eastAsia="仿宋" w:cs="仿宋"/>
                <w:i w:val="0"/>
                <w:iCs w:val="0"/>
                <w:color w:val="000000"/>
                <w:kern w:val="0"/>
                <w:sz w:val="20"/>
                <w:szCs w:val="20"/>
                <w:u w:val="none"/>
                <w:lang w:val="en-US" w:eastAsia="zh-CN" w:bidi="ar"/>
              </w:rPr>
              <w:t>我局制定并落实了《岳阳楼区卫生健康系统开展医疗卫生行业乱象专项整治行动方案》，整治行动共向公安部门移送涉嫌非法行医罪案件2起,取缔非法行医场所2处,对重大违法行为立案6起,报请上级依法注销《医疗机构执业许可证》7家,责令定期校验医疗机构6家。</w:t>
            </w:r>
          </w:p>
        </w:tc>
        <w:tc>
          <w:tcPr>
            <w:tcW w:w="71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0"/>
                <w:lang w:val="en-US" w:eastAsia="zh-CN"/>
                <w14:textFill>
                  <w14:solidFill>
                    <w14:schemeClr w14:val="tx1"/>
                  </w14:solidFill>
                </w14:textFill>
              </w:rPr>
            </w:pPr>
            <w:r>
              <w:rPr>
                <w:rFonts w:hint="eastAsia" w:ascii="仿宋" w:hAnsi="仿宋" w:eastAsia="仿宋" w:cs="仿宋"/>
                <w:i w:val="0"/>
                <w:iCs w:val="0"/>
                <w:color w:val="000000"/>
                <w:kern w:val="0"/>
                <w:sz w:val="21"/>
                <w:szCs w:val="21"/>
                <w:u w:val="none"/>
                <w:lang w:val="en-US" w:eastAsia="zh-CN" w:bidi="ar"/>
              </w:rPr>
              <w:t>5</w:t>
            </w:r>
          </w:p>
        </w:tc>
        <w:tc>
          <w:tcPr>
            <w:tcW w:w="802"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0"/>
                <w:lang w:val="en-US" w:eastAsia="zh-CN"/>
                <w14:textFill>
                  <w14:solidFill>
                    <w14:schemeClr w14:val="tx1"/>
                  </w14:solidFill>
                </w14:textFill>
              </w:rPr>
            </w:pPr>
            <w:r>
              <w:rPr>
                <w:rFonts w:hint="eastAsia" w:ascii="仿宋" w:hAnsi="仿宋" w:eastAsia="仿宋" w:cs="仿宋"/>
                <w:i w:val="0"/>
                <w:iCs w:val="0"/>
                <w:color w:val="000000"/>
                <w:kern w:val="0"/>
                <w:sz w:val="21"/>
                <w:szCs w:val="21"/>
                <w:u w:val="none"/>
                <w:lang w:val="en-US" w:eastAsia="zh-CN" w:bidi="ar"/>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widowControl/>
              <w:suppressLineNumbers w:val="0"/>
              <w:jc w:val="left"/>
              <w:textAlignment w:val="center"/>
              <w:rPr>
                <w:rFonts w:hint="eastAsia" w:ascii="Arial" w:eastAsiaTheme="minorEastAsia"/>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0"/>
                <w:szCs w:val="20"/>
                <w:u w:val="none"/>
                <w:lang w:val="en-US" w:eastAsia="zh-CN" w:bidi="ar"/>
              </w:rPr>
              <w:t>卫生行政处罚案件持续下降</w:t>
            </w:r>
          </w:p>
        </w:tc>
        <w:tc>
          <w:tcPr>
            <w:tcW w:w="1319" w:type="dxa"/>
            <w:noWrap w:val="0"/>
            <w:vAlign w:val="center"/>
          </w:tcPr>
          <w:p>
            <w:pPr>
              <w:keepNext w:val="0"/>
              <w:keepLines w:val="0"/>
              <w:widowControl/>
              <w:suppressLineNumbers w:val="0"/>
              <w:jc w:val="center"/>
              <w:textAlignment w:val="center"/>
              <w:rPr>
                <w:rFonts w:ascii="Arial"/>
                <w:color w:val="000000" w:themeColor="text1"/>
                <w:sz w:val="21"/>
                <w14:textFill>
                  <w14:solidFill>
                    <w14:schemeClr w14:val="tx1"/>
                  </w14:solidFill>
                </w14:textFill>
              </w:rPr>
            </w:pPr>
            <w:r>
              <w:rPr>
                <w:rFonts w:hint="eastAsia" w:ascii="仿宋" w:hAnsi="仿宋" w:eastAsia="仿宋" w:cs="仿宋"/>
                <w:i w:val="0"/>
                <w:iCs w:val="0"/>
                <w:color w:val="000000"/>
                <w:kern w:val="0"/>
                <w:sz w:val="20"/>
                <w:szCs w:val="20"/>
                <w:u w:val="none"/>
                <w:lang w:val="en-US" w:eastAsia="zh-CN" w:bidi="ar"/>
              </w:rPr>
              <w:t>下降15家</w:t>
            </w:r>
          </w:p>
        </w:tc>
        <w:tc>
          <w:tcPr>
            <w:tcW w:w="1259" w:type="dxa"/>
            <w:noWrap w:val="0"/>
            <w:vAlign w:val="center"/>
          </w:tcPr>
          <w:p>
            <w:pPr>
              <w:keepNext w:val="0"/>
              <w:keepLines w:val="0"/>
              <w:widowControl/>
              <w:suppressLineNumbers w:val="0"/>
              <w:jc w:val="center"/>
              <w:textAlignment w:val="center"/>
              <w:rPr>
                <w:rFonts w:ascii="Arial"/>
                <w:color w:val="000000" w:themeColor="text1"/>
                <w:sz w:val="21"/>
                <w14:textFill>
                  <w14:solidFill>
                    <w14:schemeClr w14:val="tx1"/>
                  </w14:solidFill>
                </w14:textFill>
              </w:rPr>
            </w:pPr>
            <w:r>
              <w:rPr>
                <w:rFonts w:hint="eastAsia" w:ascii="仿宋" w:hAnsi="仿宋" w:eastAsia="仿宋" w:cs="仿宋"/>
                <w:i w:val="0"/>
                <w:iCs w:val="0"/>
                <w:color w:val="000000"/>
                <w:kern w:val="0"/>
                <w:sz w:val="20"/>
                <w:szCs w:val="20"/>
                <w:u w:val="none"/>
                <w:lang w:val="en-US" w:eastAsia="zh-CN" w:bidi="ar"/>
              </w:rPr>
              <w:t>下降18家</w:t>
            </w:r>
          </w:p>
        </w:tc>
        <w:tc>
          <w:tcPr>
            <w:tcW w:w="71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1"/>
                <w:szCs w:val="21"/>
                <w:u w:val="none"/>
                <w:lang w:val="en-US" w:eastAsia="zh-CN" w:bidi="ar"/>
              </w:rPr>
              <w:t>5</w:t>
            </w:r>
          </w:p>
        </w:tc>
        <w:tc>
          <w:tcPr>
            <w:tcW w:w="802"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1"/>
                <w:szCs w:val="21"/>
                <w:u w:val="none"/>
                <w:lang w:val="en-US" w:eastAsia="zh-CN" w:bidi="ar"/>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widowControl/>
              <w:suppressLineNumbers w:val="0"/>
              <w:jc w:val="left"/>
              <w:textAlignment w:val="center"/>
              <w:rPr>
                <w:rFonts w:ascii="Arial"/>
                <w:color w:val="000000" w:themeColor="text1"/>
                <w:sz w:val="19"/>
                <w14:textFill>
                  <w14:solidFill>
                    <w14:schemeClr w14:val="tx1"/>
                  </w14:solidFill>
                </w14:textFill>
              </w:rPr>
            </w:pPr>
            <w:r>
              <w:rPr>
                <w:rFonts w:hint="eastAsia" w:ascii="仿宋" w:hAnsi="仿宋" w:eastAsia="仿宋" w:cs="仿宋"/>
                <w:i w:val="0"/>
                <w:iCs w:val="0"/>
                <w:color w:val="000000"/>
                <w:kern w:val="0"/>
                <w:sz w:val="20"/>
                <w:szCs w:val="20"/>
                <w:u w:val="none"/>
                <w:lang w:val="en-US" w:eastAsia="zh-CN" w:bidi="ar"/>
              </w:rPr>
              <w:t>公共场所卫生许可证持证率</w:t>
            </w:r>
          </w:p>
        </w:tc>
        <w:tc>
          <w:tcPr>
            <w:tcW w:w="1319" w:type="dxa"/>
            <w:noWrap w:val="0"/>
            <w:vAlign w:val="center"/>
          </w:tcPr>
          <w:p>
            <w:pPr>
              <w:keepNext w:val="0"/>
              <w:keepLines w:val="0"/>
              <w:widowControl/>
              <w:suppressLineNumbers w:val="0"/>
              <w:jc w:val="center"/>
              <w:textAlignment w:val="center"/>
              <w:rPr>
                <w:rFonts w:ascii="Arial"/>
                <w:color w:val="000000" w:themeColor="text1"/>
                <w:sz w:val="19"/>
                <w14:textFill>
                  <w14:solidFill>
                    <w14:schemeClr w14:val="tx1"/>
                  </w14:solidFill>
                </w14:textFill>
              </w:rPr>
            </w:pPr>
            <w:r>
              <w:rPr>
                <w:rFonts w:hint="eastAsia" w:ascii="仿宋" w:hAnsi="仿宋" w:eastAsia="仿宋" w:cs="仿宋"/>
                <w:i w:val="0"/>
                <w:iCs w:val="0"/>
                <w:color w:val="000000"/>
                <w:kern w:val="0"/>
                <w:sz w:val="20"/>
                <w:szCs w:val="20"/>
                <w:u w:val="none"/>
                <w:lang w:val="en-US" w:eastAsia="zh-CN" w:bidi="ar"/>
              </w:rPr>
              <w:t>100%</w:t>
            </w:r>
          </w:p>
        </w:tc>
        <w:tc>
          <w:tcPr>
            <w:tcW w:w="1259" w:type="dxa"/>
            <w:noWrap w:val="0"/>
            <w:vAlign w:val="center"/>
          </w:tcPr>
          <w:p>
            <w:pPr>
              <w:keepNext w:val="0"/>
              <w:keepLines w:val="0"/>
              <w:widowControl/>
              <w:suppressLineNumbers w:val="0"/>
              <w:jc w:val="center"/>
              <w:textAlignment w:val="center"/>
              <w:rPr>
                <w:rFonts w:ascii="Arial"/>
                <w:color w:val="000000" w:themeColor="text1"/>
                <w:sz w:val="19"/>
                <w14:textFill>
                  <w14:solidFill>
                    <w14:schemeClr w14:val="tx1"/>
                  </w14:solidFill>
                </w14:textFill>
              </w:rPr>
            </w:pPr>
            <w:r>
              <w:rPr>
                <w:rFonts w:hint="eastAsia" w:ascii="仿宋" w:hAnsi="仿宋" w:eastAsia="仿宋" w:cs="仿宋"/>
                <w:i w:val="0"/>
                <w:iCs w:val="0"/>
                <w:color w:val="000000"/>
                <w:kern w:val="0"/>
                <w:sz w:val="20"/>
                <w:szCs w:val="20"/>
                <w:u w:val="none"/>
                <w:lang w:val="en-US" w:eastAsia="zh-CN" w:bidi="ar"/>
              </w:rPr>
              <w:t>100%</w:t>
            </w:r>
          </w:p>
        </w:tc>
        <w:tc>
          <w:tcPr>
            <w:tcW w:w="719" w:type="dxa"/>
            <w:noWrap w:val="0"/>
            <w:vAlign w:val="center"/>
          </w:tcPr>
          <w:p>
            <w:pPr>
              <w:keepNext w:val="0"/>
              <w:keepLines w:val="0"/>
              <w:widowControl/>
              <w:suppressLineNumbers w:val="0"/>
              <w:jc w:val="center"/>
              <w:textAlignment w:val="center"/>
              <w:rPr>
                <w:rFonts w:ascii="Arial"/>
                <w:color w:val="000000" w:themeColor="text1"/>
                <w:sz w:val="19"/>
                <w14:textFill>
                  <w14:solidFill>
                    <w14:schemeClr w14:val="tx1"/>
                  </w14:solidFill>
                </w14:textFill>
              </w:rPr>
            </w:pPr>
            <w:r>
              <w:rPr>
                <w:rFonts w:hint="eastAsia" w:ascii="仿宋" w:hAnsi="仿宋" w:eastAsia="仿宋" w:cs="仿宋"/>
                <w:i w:val="0"/>
                <w:iCs w:val="0"/>
                <w:color w:val="000000"/>
                <w:kern w:val="0"/>
                <w:sz w:val="20"/>
                <w:szCs w:val="20"/>
                <w:u w:val="none"/>
                <w:lang w:val="en-US" w:eastAsia="zh-CN" w:bidi="ar"/>
              </w:rPr>
              <w:t>5</w:t>
            </w:r>
          </w:p>
        </w:tc>
        <w:tc>
          <w:tcPr>
            <w:tcW w:w="802" w:type="dxa"/>
            <w:noWrap w:val="0"/>
            <w:vAlign w:val="center"/>
          </w:tcPr>
          <w:p>
            <w:pPr>
              <w:keepNext w:val="0"/>
              <w:keepLines w:val="0"/>
              <w:widowControl/>
              <w:suppressLineNumbers w:val="0"/>
              <w:jc w:val="center"/>
              <w:textAlignment w:val="center"/>
              <w:rPr>
                <w:rFonts w:ascii="Arial"/>
                <w:color w:val="000000" w:themeColor="text1"/>
                <w:sz w:val="19"/>
                <w14:textFill>
                  <w14:solidFill>
                    <w14:schemeClr w14:val="tx1"/>
                  </w14:solidFill>
                </w14:textFill>
              </w:rPr>
            </w:pPr>
            <w:r>
              <w:rPr>
                <w:rFonts w:hint="eastAsia" w:ascii="仿宋" w:hAnsi="仿宋" w:eastAsia="仿宋" w:cs="仿宋"/>
                <w:i w:val="0"/>
                <w:iCs w:val="0"/>
                <w:color w:val="000000"/>
                <w:kern w:val="0"/>
                <w:sz w:val="20"/>
                <w:szCs w:val="20"/>
                <w:u w:val="none"/>
                <w:lang w:val="en-US" w:eastAsia="zh-CN" w:bidi="ar"/>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jc w:val="center"/>
              <w:textAlignment w:val="auto"/>
              <w:rPr>
                <w:rFonts w:ascii="Arial"/>
                <w:color w:val="000000" w:themeColor="text1"/>
                <w:sz w:val="19"/>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时效指标</w:t>
            </w:r>
          </w:p>
        </w:tc>
        <w:tc>
          <w:tcPr>
            <w:tcW w:w="1269" w:type="dxa"/>
            <w:noWrap w:val="0"/>
            <w:vAlign w:val="center"/>
          </w:tcPr>
          <w:p>
            <w:pPr>
              <w:keepNext w:val="0"/>
              <w:keepLines w:val="0"/>
              <w:widowControl/>
              <w:suppressLineNumbers w:val="0"/>
              <w:jc w:val="left"/>
              <w:textAlignment w:val="center"/>
              <w:rPr>
                <w:rFonts w:ascii="Arial"/>
                <w:color w:val="000000" w:themeColor="text1"/>
                <w:sz w:val="20"/>
                <w14:textFill>
                  <w14:solidFill>
                    <w14:schemeClr w14:val="tx1"/>
                  </w14:solidFill>
                </w14:textFill>
              </w:rPr>
            </w:pPr>
            <w:r>
              <w:rPr>
                <w:rFonts w:hint="eastAsia" w:ascii="仿宋" w:hAnsi="仿宋" w:eastAsia="仿宋" w:cs="仿宋"/>
                <w:i w:val="0"/>
                <w:iCs w:val="0"/>
                <w:color w:val="000000"/>
                <w:kern w:val="0"/>
                <w:sz w:val="20"/>
                <w:szCs w:val="20"/>
                <w:u w:val="none"/>
                <w:lang w:val="en-US" w:eastAsia="zh-CN" w:bidi="ar"/>
              </w:rPr>
              <w:t>全年陆续开展专项行动</w:t>
            </w:r>
          </w:p>
        </w:tc>
        <w:tc>
          <w:tcPr>
            <w:tcW w:w="131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0"/>
                <w:lang w:val="en-US" w:eastAsia="zh-CN"/>
                <w14:textFill>
                  <w14:solidFill>
                    <w14:schemeClr w14:val="tx1"/>
                  </w14:solidFill>
                </w14:textFill>
              </w:rPr>
            </w:pPr>
            <w:r>
              <w:rPr>
                <w:rFonts w:hint="eastAsia" w:ascii="仿宋" w:hAnsi="仿宋" w:eastAsia="仿宋" w:cs="仿宋"/>
                <w:i w:val="0"/>
                <w:iCs w:val="0"/>
                <w:color w:val="000000"/>
                <w:kern w:val="0"/>
                <w:sz w:val="20"/>
                <w:szCs w:val="20"/>
                <w:u w:val="none"/>
                <w:lang w:val="en-US" w:eastAsia="zh-CN" w:bidi="ar"/>
              </w:rPr>
              <w:t>全年完成</w:t>
            </w:r>
          </w:p>
        </w:tc>
        <w:tc>
          <w:tcPr>
            <w:tcW w:w="125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0"/>
                <w:lang w:val="en-US" w:eastAsia="zh-CN"/>
                <w14:textFill>
                  <w14:solidFill>
                    <w14:schemeClr w14:val="tx1"/>
                  </w14:solidFill>
                </w14:textFill>
              </w:rPr>
            </w:pPr>
            <w:r>
              <w:rPr>
                <w:rFonts w:hint="eastAsia" w:ascii="仿宋" w:hAnsi="仿宋" w:eastAsia="仿宋" w:cs="仿宋"/>
                <w:i w:val="0"/>
                <w:iCs w:val="0"/>
                <w:color w:val="000000"/>
                <w:kern w:val="0"/>
                <w:sz w:val="20"/>
                <w:szCs w:val="20"/>
                <w:u w:val="none"/>
                <w:lang w:val="en-US" w:eastAsia="zh-CN" w:bidi="ar"/>
              </w:rPr>
              <w:t>已完成</w:t>
            </w:r>
          </w:p>
        </w:tc>
        <w:tc>
          <w:tcPr>
            <w:tcW w:w="71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0"/>
                <w:lang w:val="en-US" w:eastAsia="zh-CN"/>
                <w14:textFill>
                  <w14:solidFill>
                    <w14:schemeClr w14:val="tx1"/>
                  </w14:solidFill>
                </w14:textFill>
              </w:rPr>
            </w:pPr>
            <w:r>
              <w:rPr>
                <w:rFonts w:hint="eastAsia" w:ascii="仿宋" w:hAnsi="仿宋" w:eastAsia="仿宋" w:cs="仿宋"/>
                <w:i w:val="0"/>
                <w:iCs w:val="0"/>
                <w:color w:val="000000"/>
                <w:kern w:val="0"/>
                <w:sz w:val="20"/>
                <w:szCs w:val="20"/>
                <w:u w:val="none"/>
                <w:lang w:val="en-US" w:eastAsia="zh-CN" w:bidi="ar"/>
              </w:rPr>
              <w:t>5</w:t>
            </w:r>
          </w:p>
        </w:tc>
        <w:tc>
          <w:tcPr>
            <w:tcW w:w="802"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0"/>
                <w:lang w:val="en-US" w:eastAsia="zh-CN"/>
                <w14:textFill>
                  <w14:solidFill>
                    <w14:schemeClr w14:val="tx1"/>
                  </w14:solidFill>
                </w14:textFill>
              </w:rPr>
            </w:pPr>
            <w:r>
              <w:rPr>
                <w:rFonts w:hint="eastAsia" w:ascii="仿宋" w:hAnsi="仿宋" w:eastAsia="仿宋" w:cs="仿宋"/>
                <w:i w:val="0"/>
                <w:iCs w:val="0"/>
                <w:color w:val="000000"/>
                <w:kern w:val="0"/>
                <w:sz w:val="20"/>
                <w:szCs w:val="20"/>
                <w:u w:val="none"/>
                <w:lang w:val="en-US" w:eastAsia="zh-CN" w:bidi="ar"/>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成本指标</w:t>
            </w:r>
          </w:p>
        </w:tc>
        <w:tc>
          <w:tcPr>
            <w:tcW w:w="1269" w:type="dxa"/>
            <w:noWrap w:val="0"/>
            <w:vAlign w:val="center"/>
          </w:tcPr>
          <w:p>
            <w:pPr>
              <w:keepNext w:val="0"/>
              <w:keepLines w:val="0"/>
              <w:widowControl/>
              <w:suppressLineNumbers w:val="0"/>
              <w:jc w:val="both"/>
              <w:textAlignment w:val="center"/>
              <w:rPr>
                <w:rFonts w:ascii="Arial"/>
                <w:color w:val="000000" w:themeColor="text1"/>
                <w:sz w:val="20"/>
                <w14:textFill>
                  <w14:solidFill>
                    <w14:schemeClr w14:val="tx1"/>
                  </w14:solidFill>
                </w14:textFill>
              </w:rPr>
            </w:pPr>
            <w:r>
              <w:rPr>
                <w:rFonts w:hint="eastAsia" w:ascii="仿宋" w:hAnsi="仿宋" w:eastAsia="仿宋" w:cs="仿宋"/>
                <w:i w:val="0"/>
                <w:iCs w:val="0"/>
                <w:color w:val="000000"/>
                <w:kern w:val="0"/>
                <w:sz w:val="22"/>
                <w:szCs w:val="22"/>
                <w:u w:val="none"/>
                <w:lang w:val="en-US" w:eastAsia="zh-CN" w:bidi="ar"/>
              </w:rPr>
              <w:t>总成本控制</w:t>
            </w:r>
          </w:p>
        </w:tc>
        <w:tc>
          <w:tcPr>
            <w:tcW w:w="131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0"/>
                <w:lang w:val="en-US" w:eastAsia="zh-CN"/>
                <w14:textFill>
                  <w14:solidFill>
                    <w14:schemeClr w14:val="tx1"/>
                  </w14:solidFill>
                </w14:textFill>
              </w:rPr>
            </w:pPr>
            <w:r>
              <w:rPr>
                <w:rFonts w:hint="eastAsia" w:ascii="仿宋" w:hAnsi="仿宋" w:eastAsia="仿宋" w:cs="仿宋"/>
                <w:i w:val="0"/>
                <w:iCs w:val="0"/>
                <w:color w:val="000000"/>
                <w:kern w:val="0"/>
                <w:sz w:val="22"/>
                <w:szCs w:val="22"/>
                <w:u w:val="none"/>
                <w:lang w:val="en-US" w:eastAsia="zh-CN" w:bidi="ar"/>
              </w:rPr>
              <w:t>不超过预算投入</w:t>
            </w:r>
          </w:p>
        </w:tc>
        <w:tc>
          <w:tcPr>
            <w:tcW w:w="125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0"/>
                <w:lang w:val="en-US" w:eastAsia="zh-CN"/>
                <w14:textFill>
                  <w14:solidFill>
                    <w14:schemeClr w14:val="tx1"/>
                  </w14:solidFill>
                </w14:textFill>
              </w:rPr>
            </w:pPr>
            <w:r>
              <w:rPr>
                <w:rFonts w:hint="eastAsia" w:ascii="仿宋" w:hAnsi="仿宋" w:eastAsia="仿宋" w:cs="仿宋"/>
                <w:i w:val="0"/>
                <w:iCs w:val="0"/>
                <w:color w:val="000000"/>
                <w:kern w:val="0"/>
                <w:sz w:val="22"/>
                <w:szCs w:val="22"/>
                <w:u w:val="none"/>
                <w:lang w:val="en-US" w:eastAsia="zh-CN" w:bidi="ar"/>
              </w:rPr>
              <w:t>1001.24万元</w:t>
            </w:r>
          </w:p>
        </w:tc>
        <w:tc>
          <w:tcPr>
            <w:tcW w:w="71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0"/>
                <w:lang w:val="en-US" w:eastAsia="zh-CN"/>
                <w14:textFill>
                  <w14:solidFill>
                    <w14:schemeClr w14:val="tx1"/>
                  </w14:solidFill>
                </w14:textFill>
              </w:rPr>
            </w:pPr>
            <w:r>
              <w:rPr>
                <w:rFonts w:hint="eastAsia" w:ascii="仿宋" w:hAnsi="仿宋" w:eastAsia="仿宋" w:cs="仿宋"/>
                <w:i w:val="0"/>
                <w:iCs w:val="0"/>
                <w:color w:val="000000"/>
                <w:kern w:val="0"/>
                <w:sz w:val="22"/>
                <w:szCs w:val="22"/>
                <w:u w:val="none"/>
                <w:lang w:val="en-US" w:eastAsia="zh-CN" w:bidi="ar"/>
              </w:rPr>
              <w:t>10</w:t>
            </w:r>
          </w:p>
        </w:tc>
        <w:tc>
          <w:tcPr>
            <w:tcW w:w="802"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0"/>
                <w:lang w:val="en-US" w:eastAsia="zh-CN"/>
                <w14:textFill>
                  <w14:solidFill>
                    <w14:schemeClr w14:val="tx1"/>
                  </w14:solidFill>
                </w14:textFill>
              </w:rPr>
            </w:pPr>
            <w:r>
              <w:rPr>
                <w:rFonts w:hint="eastAsia" w:ascii="仿宋" w:hAnsi="仿宋" w:eastAsia="仿宋" w:cs="仿宋"/>
                <w:i w:val="0"/>
                <w:iCs w:val="0"/>
                <w:color w:val="000000"/>
                <w:kern w:val="0"/>
                <w:sz w:val="22"/>
                <w:szCs w:val="22"/>
                <w:u w:val="none"/>
                <w:lang w:val="en-US" w:eastAsia="zh-CN" w:bidi="ar"/>
              </w:rPr>
              <w:t>7</w:t>
            </w:r>
          </w:p>
        </w:tc>
        <w:tc>
          <w:tcPr>
            <w:tcW w:w="1275" w:type="dxa"/>
            <w:noWrap w:val="0"/>
            <w:vAlign w:val="center"/>
          </w:tcPr>
          <w:p>
            <w:pPr>
              <w:keepNext w:val="0"/>
              <w:keepLines w:val="0"/>
              <w:widowControl/>
              <w:suppressLineNumbers w:val="0"/>
              <w:jc w:val="left"/>
              <w:textAlignment w:val="center"/>
              <w:rPr>
                <w:rFonts w:hint="eastAsia" w:ascii="Arial" w:eastAsiaTheme="minorEastAsia"/>
                <w:color w:val="000000" w:themeColor="text1"/>
                <w:sz w:val="20"/>
                <w:lang w:val="en-US" w:eastAsia="zh-CN"/>
                <w14:textFill>
                  <w14:solidFill>
                    <w14:schemeClr w14:val="tx1"/>
                  </w14:solidFill>
                </w14:textFill>
              </w:rPr>
            </w:pPr>
            <w:r>
              <w:rPr>
                <w:rFonts w:hint="eastAsia" w:ascii="仿宋" w:hAnsi="仿宋" w:eastAsia="仿宋" w:cs="仿宋"/>
                <w:i w:val="0"/>
                <w:iCs w:val="0"/>
                <w:color w:val="000000"/>
                <w:kern w:val="0"/>
                <w:sz w:val="22"/>
                <w:szCs w:val="22"/>
                <w:u w:val="none"/>
                <w:lang w:val="en-US" w:eastAsia="zh-CN" w:bidi="ar"/>
              </w:rPr>
              <w:t>发放2021年10月-2022年1月调资月均每人预调300，并且2021年绩效考核奖励和2022年基础绩效奖一起发放。发放了2021年离退休人员一次性生活补贴。然后大家都在防疫一线蹲点值班，发放了防疫临时补助经费等。</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0"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91" w:lineRule="exact"/>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w:t>
            </w:r>
            <w:r>
              <w:rPr>
                <w:rFonts w:hint="eastAsia" w:ascii="宋体" w:hAnsi="宋体" w:eastAsia="宋体" w:cs="宋体"/>
                <w:color w:val="000000" w:themeColor="text1"/>
                <w:spacing w:val="9"/>
                <w:sz w:val="21"/>
                <w:szCs w:val="21"/>
                <w:lang w:val="en-US" w:eastAsia="zh-CN"/>
                <w14:textFill>
                  <w14:solidFill>
                    <w14:schemeClr w14:val="tx1"/>
                  </w14:solidFill>
                </w14:textFill>
              </w:rPr>
              <w:t>3</w:t>
            </w:r>
            <w:r>
              <w:rPr>
                <w:rFonts w:ascii="宋体" w:hAnsi="宋体" w:eastAsia="宋体" w:cs="宋体"/>
                <w:color w:val="000000" w:themeColor="text1"/>
                <w:spacing w:val="9"/>
                <w:sz w:val="21"/>
                <w:szCs w:val="21"/>
                <w14:textFill>
                  <w14:solidFill>
                    <w14:schemeClr w14:val="tx1"/>
                  </w14:solidFill>
                </w14:textFill>
              </w:rPr>
              <w:t>0分)</w:t>
            </w: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经济效</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269" w:type="dxa"/>
            <w:noWrap w:val="0"/>
            <w:vAlign w:val="center"/>
          </w:tcPr>
          <w:p>
            <w:pPr>
              <w:keepNext w:val="0"/>
              <w:keepLines w:val="0"/>
              <w:widowControl/>
              <w:suppressLineNumbers w:val="0"/>
              <w:jc w:val="both"/>
              <w:textAlignment w:val="center"/>
              <w:rPr>
                <w:rFonts w:ascii="宋体" w:hAnsi="宋体" w:eastAsia="宋体" w:cs="宋体"/>
                <w:color w:val="000000" w:themeColor="text1"/>
                <w:spacing w:val="-3"/>
                <w:sz w:val="21"/>
                <w:szCs w:val="21"/>
                <w14:textFill>
                  <w14:solidFill>
                    <w14:schemeClr w14:val="tx1"/>
                  </w14:solidFill>
                </w14:textFill>
              </w:rPr>
            </w:pPr>
            <w:r>
              <w:rPr>
                <w:rFonts w:hint="eastAsia" w:ascii="仿宋" w:hAnsi="仿宋" w:eastAsia="仿宋" w:cs="仿宋"/>
                <w:i w:val="0"/>
                <w:iCs w:val="0"/>
                <w:color w:val="000000"/>
                <w:kern w:val="0"/>
                <w:sz w:val="22"/>
                <w:szCs w:val="22"/>
                <w:u w:val="none"/>
                <w:lang w:val="en-US" w:eastAsia="zh-CN" w:bidi="ar"/>
              </w:rPr>
              <w:t>卫生执法减少损失</w:t>
            </w:r>
          </w:p>
        </w:tc>
        <w:tc>
          <w:tcPr>
            <w:tcW w:w="1319" w:type="dxa"/>
            <w:noWrap w:val="0"/>
            <w:vAlign w:val="center"/>
          </w:tcPr>
          <w:p>
            <w:pPr>
              <w:keepNext w:val="0"/>
              <w:keepLines w:val="0"/>
              <w:widowControl/>
              <w:suppressLineNumbers w:val="0"/>
              <w:jc w:val="center"/>
              <w:textAlignment w:val="center"/>
              <w:rPr>
                <w:rFonts w:hint="default" w:ascii="宋体" w:hAnsi="宋体" w:eastAsia="宋体" w:cs="宋体"/>
                <w:color w:val="000000" w:themeColor="text1"/>
                <w:spacing w:val="-3"/>
                <w:sz w:val="21"/>
                <w:szCs w:val="21"/>
                <w:lang w:val="en-US" w:eastAsia="zh-CN"/>
                <w14:textFill>
                  <w14:solidFill>
                    <w14:schemeClr w14:val="tx1"/>
                  </w14:solidFill>
                </w14:textFill>
              </w:rPr>
            </w:pPr>
            <w:r>
              <w:rPr>
                <w:rFonts w:hint="eastAsia" w:ascii="仿宋" w:hAnsi="仿宋" w:eastAsia="仿宋" w:cs="仿宋"/>
                <w:i w:val="0"/>
                <w:iCs w:val="0"/>
                <w:color w:val="000000"/>
                <w:kern w:val="0"/>
                <w:sz w:val="22"/>
                <w:szCs w:val="22"/>
                <w:u w:val="none"/>
                <w:lang w:val="en-US" w:eastAsia="zh-CN" w:bidi="ar"/>
              </w:rPr>
              <w:t>减少5%</w:t>
            </w:r>
          </w:p>
        </w:tc>
        <w:tc>
          <w:tcPr>
            <w:tcW w:w="125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0"/>
                <w:lang w:val="en-US" w:eastAsia="zh-CN"/>
                <w14:textFill>
                  <w14:solidFill>
                    <w14:schemeClr w14:val="tx1"/>
                  </w14:solidFill>
                </w14:textFill>
              </w:rPr>
            </w:pPr>
            <w:r>
              <w:rPr>
                <w:rFonts w:hint="eastAsia" w:ascii="仿宋" w:hAnsi="仿宋" w:eastAsia="仿宋" w:cs="仿宋"/>
                <w:i w:val="0"/>
                <w:iCs w:val="0"/>
                <w:color w:val="000000"/>
                <w:kern w:val="0"/>
                <w:sz w:val="22"/>
                <w:szCs w:val="22"/>
                <w:u w:val="none"/>
                <w:lang w:val="en-US" w:eastAsia="zh-CN" w:bidi="ar"/>
              </w:rPr>
              <w:t>减少9.5%</w:t>
            </w:r>
          </w:p>
        </w:tc>
        <w:tc>
          <w:tcPr>
            <w:tcW w:w="71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0"/>
                <w:lang w:val="en-US" w:eastAsia="zh-CN"/>
                <w14:textFill>
                  <w14:solidFill>
                    <w14:schemeClr w14:val="tx1"/>
                  </w14:solidFill>
                </w14:textFill>
              </w:rPr>
            </w:pPr>
            <w:r>
              <w:rPr>
                <w:rFonts w:hint="eastAsia" w:ascii="仿宋" w:hAnsi="仿宋" w:eastAsia="仿宋" w:cs="仿宋"/>
                <w:i w:val="0"/>
                <w:iCs w:val="0"/>
                <w:color w:val="000000"/>
                <w:kern w:val="0"/>
                <w:sz w:val="22"/>
                <w:szCs w:val="22"/>
                <w:u w:val="none"/>
                <w:lang w:val="en-US" w:eastAsia="zh-CN" w:bidi="ar"/>
              </w:rPr>
              <w:t>10</w:t>
            </w:r>
          </w:p>
        </w:tc>
        <w:tc>
          <w:tcPr>
            <w:tcW w:w="802"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0"/>
                <w:lang w:val="en-US" w:eastAsia="zh-CN"/>
                <w14:textFill>
                  <w14:solidFill>
                    <w14:schemeClr w14:val="tx1"/>
                  </w14:solidFill>
                </w14:textFill>
              </w:rPr>
            </w:pPr>
            <w:r>
              <w:rPr>
                <w:rFonts w:hint="eastAsia" w:ascii="仿宋" w:hAnsi="仿宋" w:eastAsia="仿宋" w:cs="仿宋"/>
                <w:i w:val="0"/>
                <w:iCs w:val="0"/>
                <w:color w:val="000000"/>
                <w:kern w:val="0"/>
                <w:sz w:val="22"/>
                <w:szCs w:val="22"/>
                <w:u w:val="none"/>
                <w:lang w:val="en-US" w:eastAsia="zh-CN" w:bidi="ar"/>
              </w:rPr>
              <w:t>10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269" w:type="dxa"/>
            <w:noWrap w:val="0"/>
            <w:vAlign w:val="center"/>
          </w:tcPr>
          <w:p>
            <w:pPr>
              <w:keepNext w:val="0"/>
              <w:keepLines w:val="0"/>
              <w:widowControl/>
              <w:suppressLineNumbers w:val="0"/>
              <w:jc w:val="both"/>
              <w:textAlignment w:val="center"/>
              <w:rPr>
                <w:rFonts w:hint="eastAsia" w:ascii="宋体" w:hAnsi="宋体" w:eastAsia="宋体" w:cs="宋体"/>
                <w:color w:val="000000" w:themeColor="text1"/>
                <w:spacing w:val="-3"/>
                <w:sz w:val="21"/>
                <w:szCs w:val="21"/>
                <w:lang w:val="en-US" w:eastAsia="zh-CN"/>
                <w14:textFill>
                  <w14:solidFill>
                    <w14:schemeClr w14:val="tx1"/>
                  </w14:solidFill>
                </w14:textFill>
              </w:rPr>
            </w:pPr>
            <w:r>
              <w:rPr>
                <w:rFonts w:hint="eastAsia" w:ascii="仿宋" w:hAnsi="仿宋" w:eastAsia="仿宋" w:cs="仿宋"/>
                <w:i w:val="0"/>
                <w:iCs w:val="0"/>
                <w:color w:val="000000"/>
                <w:kern w:val="0"/>
                <w:sz w:val="22"/>
                <w:szCs w:val="22"/>
                <w:u w:val="none"/>
                <w:lang w:val="en-US" w:eastAsia="zh-CN" w:bidi="ar"/>
              </w:rPr>
              <w:t>安全意识提升</w:t>
            </w:r>
          </w:p>
        </w:tc>
        <w:tc>
          <w:tcPr>
            <w:tcW w:w="1319" w:type="dxa"/>
            <w:noWrap w:val="0"/>
            <w:vAlign w:val="center"/>
          </w:tcPr>
          <w:p>
            <w:pPr>
              <w:keepNext w:val="0"/>
              <w:keepLines w:val="0"/>
              <w:widowControl/>
              <w:suppressLineNumbers w:val="0"/>
              <w:jc w:val="center"/>
              <w:textAlignment w:val="center"/>
              <w:rPr>
                <w:rFonts w:hint="default" w:ascii="宋体" w:hAnsi="宋体" w:eastAsia="宋体" w:cs="宋体"/>
                <w:color w:val="000000" w:themeColor="text1"/>
                <w:spacing w:val="-3"/>
                <w:sz w:val="21"/>
                <w:szCs w:val="21"/>
                <w:lang w:val="en-US" w:eastAsia="zh-CN"/>
                <w14:textFill>
                  <w14:solidFill>
                    <w14:schemeClr w14:val="tx1"/>
                  </w14:solidFill>
                </w14:textFill>
              </w:rPr>
            </w:pPr>
            <w:r>
              <w:rPr>
                <w:rFonts w:hint="eastAsia" w:ascii="仿宋" w:hAnsi="仿宋" w:eastAsia="仿宋" w:cs="仿宋"/>
                <w:i w:val="0"/>
                <w:iCs w:val="0"/>
                <w:color w:val="000000"/>
                <w:kern w:val="0"/>
                <w:sz w:val="22"/>
                <w:szCs w:val="22"/>
                <w:u w:val="none"/>
                <w:lang w:val="en-US" w:eastAsia="zh-CN" w:bidi="ar"/>
              </w:rPr>
              <w:t>较大提升</w:t>
            </w:r>
          </w:p>
        </w:tc>
        <w:tc>
          <w:tcPr>
            <w:tcW w:w="1259" w:type="dxa"/>
            <w:noWrap w:val="0"/>
            <w:vAlign w:val="center"/>
          </w:tcPr>
          <w:p>
            <w:pPr>
              <w:keepNext w:val="0"/>
              <w:keepLines w:val="0"/>
              <w:widowControl/>
              <w:suppressLineNumbers w:val="0"/>
              <w:jc w:val="center"/>
              <w:textAlignment w:val="center"/>
              <w:rPr>
                <w:rFonts w:hint="default" w:ascii="宋体" w:hAnsi="宋体" w:eastAsia="宋体" w:cs="宋体"/>
                <w:color w:val="000000" w:themeColor="text1"/>
                <w:spacing w:val="-3"/>
                <w:sz w:val="21"/>
                <w:szCs w:val="21"/>
                <w:lang w:val="en-US" w:eastAsia="zh-CN"/>
                <w14:textFill>
                  <w14:solidFill>
                    <w14:schemeClr w14:val="tx1"/>
                  </w14:solidFill>
                </w14:textFill>
              </w:rPr>
            </w:pPr>
            <w:r>
              <w:rPr>
                <w:rFonts w:hint="eastAsia" w:ascii="仿宋" w:hAnsi="仿宋" w:eastAsia="仿宋" w:cs="仿宋"/>
                <w:i w:val="0"/>
                <w:iCs w:val="0"/>
                <w:color w:val="000000"/>
                <w:kern w:val="0"/>
                <w:sz w:val="22"/>
                <w:szCs w:val="22"/>
                <w:u w:val="none"/>
                <w:lang w:val="en-US" w:eastAsia="zh-CN" w:bidi="ar"/>
              </w:rPr>
              <w:t>坚持日常安全生产工作检查，确保单位的用电、用水、用气安全，消防设备、设施正常运转</w:t>
            </w:r>
          </w:p>
        </w:tc>
        <w:tc>
          <w:tcPr>
            <w:tcW w:w="71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0"/>
                <w:lang w:val="en-US" w:eastAsia="zh-CN"/>
                <w14:textFill>
                  <w14:solidFill>
                    <w14:schemeClr w14:val="tx1"/>
                  </w14:solidFill>
                </w14:textFill>
              </w:rPr>
            </w:pPr>
            <w:r>
              <w:rPr>
                <w:rFonts w:hint="eastAsia" w:ascii="仿宋" w:hAnsi="仿宋" w:eastAsia="仿宋" w:cs="仿宋"/>
                <w:i w:val="0"/>
                <w:iCs w:val="0"/>
                <w:color w:val="000000"/>
                <w:kern w:val="0"/>
                <w:sz w:val="22"/>
                <w:szCs w:val="22"/>
                <w:u w:val="none"/>
                <w:lang w:val="en-US" w:eastAsia="zh-CN" w:bidi="ar"/>
              </w:rPr>
              <w:t>5</w:t>
            </w:r>
          </w:p>
        </w:tc>
        <w:tc>
          <w:tcPr>
            <w:tcW w:w="802"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0"/>
                <w:lang w:val="en-US" w:eastAsia="zh-CN"/>
                <w14:textFill>
                  <w14:solidFill>
                    <w14:schemeClr w14:val="tx1"/>
                  </w14:solidFill>
                </w14:textFill>
              </w:rPr>
            </w:pPr>
            <w:r>
              <w:rPr>
                <w:rFonts w:hint="eastAsia" w:ascii="仿宋" w:hAnsi="仿宋" w:eastAsia="仿宋" w:cs="仿宋"/>
                <w:i w:val="0"/>
                <w:iCs w:val="0"/>
                <w:color w:val="000000"/>
                <w:kern w:val="0"/>
                <w:sz w:val="22"/>
                <w:szCs w:val="22"/>
                <w:u w:val="none"/>
                <w:lang w:val="en-US" w:eastAsia="zh-CN" w:bidi="ar"/>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both"/>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37"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生态效</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269" w:type="dxa"/>
            <w:noWrap w:val="0"/>
            <w:vAlign w:val="center"/>
          </w:tcPr>
          <w:p>
            <w:pPr>
              <w:keepNext w:val="0"/>
              <w:keepLines w:val="0"/>
              <w:widowControl/>
              <w:suppressLineNumbers w:val="0"/>
              <w:jc w:val="both"/>
              <w:textAlignment w:val="center"/>
              <w:rPr>
                <w:rFonts w:ascii="Arial"/>
                <w:color w:val="000000" w:themeColor="text1"/>
                <w:sz w:val="20"/>
                <w14:textFill>
                  <w14:solidFill>
                    <w14:schemeClr w14:val="tx1"/>
                  </w14:solidFill>
                </w14:textFill>
              </w:rPr>
            </w:pPr>
            <w:r>
              <w:rPr>
                <w:rFonts w:hint="eastAsia" w:ascii="仿宋" w:hAnsi="仿宋" w:eastAsia="仿宋" w:cs="仿宋"/>
                <w:i w:val="0"/>
                <w:iCs w:val="0"/>
                <w:color w:val="000000"/>
                <w:kern w:val="0"/>
                <w:sz w:val="22"/>
                <w:szCs w:val="22"/>
                <w:u w:val="none"/>
                <w:lang w:val="en-US" w:eastAsia="zh-CN" w:bidi="ar"/>
              </w:rPr>
              <w:t>二级医院污水处理达标情况</w:t>
            </w:r>
          </w:p>
        </w:tc>
        <w:tc>
          <w:tcPr>
            <w:tcW w:w="131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0"/>
                <w:lang w:val="en-US" w:eastAsia="zh-CN"/>
                <w14:textFill>
                  <w14:solidFill>
                    <w14:schemeClr w14:val="tx1"/>
                  </w14:solidFill>
                </w14:textFill>
              </w:rPr>
            </w:pPr>
            <w:r>
              <w:rPr>
                <w:rFonts w:hint="eastAsia" w:ascii="仿宋" w:hAnsi="仿宋" w:eastAsia="仿宋" w:cs="仿宋"/>
                <w:i w:val="0"/>
                <w:iCs w:val="0"/>
                <w:color w:val="000000"/>
                <w:kern w:val="0"/>
                <w:sz w:val="22"/>
                <w:szCs w:val="22"/>
                <w:u w:val="none"/>
                <w:lang w:val="en-US" w:eastAsia="zh-CN" w:bidi="ar"/>
              </w:rPr>
              <w:t>全部达标</w:t>
            </w:r>
          </w:p>
        </w:tc>
        <w:tc>
          <w:tcPr>
            <w:tcW w:w="1259" w:type="dxa"/>
            <w:noWrap w:val="0"/>
            <w:vAlign w:val="center"/>
          </w:tcPr>
          <w:p>
            <w:pPr>
              <w:keepNext w:val="0"/>
              <w:keepLines w:val="0"/>
              <w:widowControl/>
              <w:suppressLineNumbers w:val="0"/>
              <w:jc w:val="center"/>
              <w:textAlignment w:val="center"/>
              <w:rPr>
                <w:rFonts w:hint="default" w:ascii="Arial"/>
                <w:color w:val="000000" w:themeColor="text1"/>
                <w:sz w:val="20"/>
                <w:lang w:val="en-US"/>
                <w14:textFill>
                  <w14:solidFill>
                    <w14:schemeClr w14:val="tx1"/>
                  </w14:solidFill>
                </w14:textFill>
              </w:rPr>
            </w:pPr>
            <w:r>
              <w:rPr>
                <w:rFonts w:hint="eastAsia" w:ascii="仿宋" w:hAnsi="仿宋" w:eastAsia="仿宋" w:cs="仿宋"/>
                <w:i w:val="0"/>
                <w:iCs w:val="0"/>
                <w:color w:val="000000"/>
                <w:kern w:val="0"/>
                <w:sz w:val="22"/>
                <w:szCs w:val="22"/>
                <w:u w:val="none"/>
                <w:lang w:val="en-US" w:eastAsia="zh-CN" w:bidi="ar"/>
              </w:rPr>
              <w:t>全部达标</w:t>
            </w:r>
          </w:p>
        </w:tc>
        <w:tc>
          <w:tcPr>
            <w:tcW w:w="71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0"/>
                <w:lang w:val="en-US" w:eastAsia="zh-CN"/>
                <w14:textFill>
                  <w14:solidFill>
                    <w14:schemeClr w14:val="tx1"/>
                  </w14:solidFill>
                </w14:textFill>
              </w:rPr>
            </w:pPr>
            <w:r>
              <w:rPr>
                <w:rFonts w:hint="eastAsia" w:ascii="仿宋" w:hAnsi="仿宋" w:eastAsia="仿宋" w:cs="仿宋"/>
                <w:i w:val="0"/>
                <w:iCs w:val="0"/>
                <w:color w:val="000000"/>
                <w:kern w:val="0"/>
                <w:sz w:val="22"/>
                <w:szCs w:val="22"/>
                <w:u w:val="none"/>
                <w:lang w:val="en-US" w:eastAsia="zh-CN" w:bidi="ar"/>
              </w:rPr>
              <w:t>5</w:t>
            </w:r>
          </w:p>
        </w:tc>
        <w:tc>
          <w:tcPr>
            <w:tcW w:w="802"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0"/>
                <w:lang w:val="en-US" w:eastAsia="zh-CN"/>
                <w14:textFill>
                  <w14:solidFill>
                    <w14:schemeClr w14:val="tx1"/>
                  </w14:solidFill>
                </w14:textFill>
              </w:rPr>
            </w:pPr>
            <w:r>
              <w:rPr>
                <w:rFonts w:hint="eastAsia" w:ascii="仿宋" w:hAnsi="仿宋" w:eastAsia="仿宋" w:cs="仿宋"/>
                <w:i w:val="0"/>
                <w:iCs w:val="0"/>
                <w:color w:val="000000"/>
                <w:kern w:val="0"/>
                <w:sz w:val="22"/>
                <w:szCs w:val="22"/>
                <w:u w:val="none"/>
                <w:lang w:val="en-US" w:eastAsia="zh-CN" w:bidi="ar"/>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3"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可持续影</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响指标</w:t>
            </w:r>
          </w:p>
        </w:tc>
        <w:tc>
          <w:tcPr>
            <w:tcW w:w="1269" w:type="dxa"/>
            <w:noWrap w:val="0"/>
            <w:vAlign w:val="center"/>
          </w:tcPr>
          <w:p>
            <w:pPr>
              <w:keepNext w:val="0"/>
              <w:keepLines w:val="0"/>
              <w:widowControl/>
              <w:suppressLineNumbers w:val="0"/>
              <w:jc w:val="both"/>
              <w:textAlignment w:val="center"/>
              <w:rPr>
                <w:rFonts w:ascii="Arial"/>
                <w:color w:val="000000" w:themeColor="text1"/>
                <w:sz w:val="21"/>
                <w14:textFill>
                  <w14:solidFill>
                    <w14:schemeClr w14:val="tx1"/>
                  </w14:solidFill>
                </w14:textFill>
              </w:rPr>
            </w:pPr>
            <w:r>
              <w:rPr>
                <w:rFonts w:hint="eastAsia" w:ascii="仿宋" w:hAnsi="仿宋" w:eastAsia="仿宋" w:cs="仿宋"/>
                <w:i w:val="0"/>
                <w:iCs w:val="0"/>
                <w:color w:val="000000"/>
                <w:kern w:val="0"/>
                <w:sz w:val="22"/>
                <w:szCs w:val="22"/>
                <w:u w:val="none"/>
                <w:lang w:val="en-US" w:eastAsia="zh-CN" w:bidi="ar"/>
              </w:rPr>
              <w:t>建立安全生产领导和推进机制</w:t>
            </w:r>
          </w:p>
        </w:tc>
        <w:tc>
          <w:tcPr>
            <w:tcW w:w="131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2"/>
                <w:szCs w:val="22"/>
                <w:u w:val="none"/>
                <w:lang w:val="en-US" w:eastAsia="zh-CN" w:bidi="ar"/>
              </w:rPr>
              <w:t>有效执行</w:t>
            </w:r>
          </w:p>
        </w:tc>
        <w:tc>
          <w:tcPr>
            <w:tcW w:w="125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2"/>
                <w:szCs w:val="22"/>
                <w:u w:val="none"/>
                <w:lang w:val="en-US" w:eastAsia="zh-CN" w:bidi="ar"/>
              </w:rPr>
              <w:t>已完成</w:t>
            </w:r>
          </w:p>
        </w:tc>
        <w:tc>
          <w:tcPr>
            <w:tcW w:w="71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2"/>
                <w:szCs w:val="22"/>
                <w:u w:val="none"/>
                <w:lang w:val="en-US" w:eastAsia="zh-CN" w:bidi="ar"/>
              </w:rPr>
              <w:t>10</w:t>
            </w:r>
          </w:p>
        </w:tc>
        <w:tc>
          <w:tcPr>
            <w:tcW w:w="802"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2"/>
                <w:szCs w:val="22"/>
                <w:u w:val="none"/>
                <w:lang w:val="en-US" w:eastAsia="zh-CN" w:bidi="ar"/>
              </w:rPr>
              <w:t>10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4"/>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(10分)</w:t>
            </w:r>
          </w:p>
        </w:tc>
        <w:tc>
          <w:tcPr>
            <w:tcW w:w="102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满意度指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标</w:t>
            </w:r>
          </w:p>
        </w:tc>
        <w:tc>
          <w:tcPr>
            <w:tcW w:w="1269" w:type="dxa"/>
            <w:noWrap w:val="0"/>
            <w:vAlign w:val="center"/>
          </w:tcPr>
          <w:p>
            <w:pPr>
              <w:keepNext w:val="0"/>
              <w:keepLines w:val="0"/>
              <w:widowControl/>
              <w:suppressLineNumbers w:val="0"/>
              <w:jc w:val="both"/>
              <w:textAlignment w:val="center"/>
              <w:rPr>
                <w:rFonts w:hint="default" w:ascii="Arial" w:eastAsiaTheme="minorEastAsia"/>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2"/>
                <w:szCs w:val="22"/>
                <w:u w:val="none"/>
                <w:lang w:val="en-US" w:eastAsia="zh-CN" w:bidi="ar"/>
              </w:rPr>
              <w:t>职工满意度</w:t>
            </w:r>
          </w:p>
        </w:tc>
        <w:tc>
          <w:tcPr>
            <w:tcW w:w="131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2"/>
                <w:szCs w:val="22"/>
                <w:u w:val="none"/>
                <w:lang w:val="en-US" w:eastAsia="zh-CN" w:bidi="ar"/>
              </w:rPr>
              <w:t>大于等于90%</w:t>
            </w:r>
          </w:p>
        </w:tc>
        <w:tc>
          <w:tcPr>
            <w:tcW w:w="125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2"/>
                <w:szCs w:val="22"/>
                <w:u w:val="none"/>
                <w:lang w:val="en-US" w:eastAsia="zh-CN" w:bidi="ar"/>
              </w:rPr>
              <w:t>95%</w:t>
            </w:r>
          </w:p>
        </w:tc>
        <w:tc>
          <w:tcPr>
            <w:tcW w:w="71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2"/>
                <w:szCs w:val="22"/>
                <w:u w:val="none"/>
                <w:lang w:val="en-US" w:eastAsia="zh-CN" w:bidi="ar"/>
              </w:rPr>
              <w:t>3</w:t>
            </w:r>
          </w:p>
        </w:tc>
        <w:tc>
          <w:tcPr>
            <w:tcW w:w="802"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2"/>
                <w:szCs w:val="22"/>
                <w:u w:val="none"/>
                <w:lang w:val="en-US" w:eastAsia="zh-CN" w:bidi="ar"/>
              </w:rPr>
              <w:t>3</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widowControl/>
              <w:suppressLineNumbers w:val="0"/>
              <w:jc w:val="both"/>
              <w:textAlignment w:val="center"/>
              <w:rPr>
                <w:rFonts w:ascii="Arial"/>
                <w:color w:val="000000" w:themeColor="text1"/>
                <w:sz w:val="21"/>
                <w14:textFill>
                  <w14:solidFill>
                    <w14:schemeClr w14:val="tx1"/>
                  </w14:solidFill>
                </w14:textFill>
              </w:rPr>
            </w:pPr>
            <w:r>
              <w:rPr>
                <w:rFonts w:hint="eastAsia" w:ascii="仿宋" w:hAnsi="仿宋" w:eastAsia="仿宋" w:cs="仿宋"/>
                <w:i w:val="0"/>
                <w:iCs w:val="0"/>
                <w:color w:val="000000"/>
                <w:kern w:val="0"/>
                <w:sz w:val="22"/>
                <w:szCs w:val="22"/>
                <w:u w:val="none"/>
                <w:lang w:val="en-US" w:eastAsia="zh-CN" w:bidi="ar"/>
              </w:rPr>
              <w:t>执法对象满意度</w:t>
            </w:r>
          </w:p>
        </w:tc>
        <w:tc>
          <w:tcPr>
            <w:tcW w:w="131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2"/>
                <w:szCs w:val="22"/>
                <w:u w:val="none"/>
                <w:lang w:val="en-US" w:eastAsia="zh-CN" w:bidi="ar"/>
              </w:rPr>
              <w:t>大于等于90%</w:t>
            </w:r>
          </w:p>
        </w:tc>
        <w:tc>
          <w:tcPr>
            <w:tcW w:w="125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2"/>
                <w:szCs w:val="22"/>
                <w:u w:val="none"/>
                <w:lang w:val="en-US" w:eastAsia="zh-CN" w:bidi="ar"/>
              </w:rPr>
              <w:t>95%</w:t>
            </w:r>
          </w:p>
        </w:tc>
        <w:tc>
          <w:tcPr>
            <w:tcW w:w="719" w:type="dxa"/>
            <w:noWrap w:val="0"/>
            <w:vAlign w:val="center"/>
          </w:tcPr>
          <w:p>
            <w:pPr>
              <w:keepNext w:val="0"/>
              <w:keepLines w:val="0"/>
              <w:widowControl/>
              <w:suppressLineNumbers w:val="0"/>
              <w:jc w:val="center"/>
              <w:textAlignment w:val="center"/>
              <w:rPr>
                <w:rFonts w:hint="eastAsia" w:ascii="Arial" w:eastAsiaTheme="minorEastAsia"/>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2"/>
                <w:szCs w:val="22"/>
                <w:u w:val="none"/>
                <w:lang w:val="en-US" w:eastAsia="zh-CN" w:bidi="ar"/>
              </w:rPr>
              <w:t>4</w:t>
            </w:r>
          </w:p>
        </w:tc>
        <w:tc>
          <w:tcPr>
            <w:tcW w:w="802" w:type="dxa"/>
            <w:noWrap w:val="0"/>
            <w:vAlign w:val="center"/>
          </w:tcPr>
          <w:p>
            <w:pPr>
              <w:keepNext w:val="0"/>
              <w:keepLines w:val="0"/>
              <w:widowControl/>
              <w:suppressLineNumbers w:val="0"/>
              <w:jc w:val="center"/>
              <w:textAlignment w:val="center"/>
              <w:rPr>
                <w:rFonts w:hint="eastAsia" w:ascii="Arial" w:eastAsiaTheme="minorEastAsia"/>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2"/>
                <w:szCs w:val="22"/>
                <w:u w:val="none"/>
                <w:lang w:val="en-US" w:eastAsia="zh-CN" w:bidi="ar"/>
              </w:rPr>
              <w:t>4</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084" w:type="dxa"/>
            <w:vMerge w:val="continue"/>
            <w:tcBorders>
              <w:top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widowControl/>
              <w:suppressLineNumbers w:val="0"/>
              <w:jc w:val="both"/>
              <w:textAlignment w:val="center"/>
              <w:rPr>
                <w:rFonts w:ascii="Arial"/>
                <w:color w:val="000000" w:themeColor="text1"/>
                <w:sz w:val="21"/>
                <w14:textFill>
                  <w14:solidFill>
                    <w14:schemeClr w14:val="tx1"/>
                  </w14:solidFill>
                </w14:textFill>
              </w:rPr>
            </w:pPr>
            <w:r>
              <w:rPr>
                <w:rFonts w:hint="eastAsia" w:ascii="仿宋" w:hAnsi="仿宋" w:eastAsia="仿宋" w:cs="仿宋"/>
                <w:i w:val="0"/>
                <w:iCs w:val="0"/>
                <w:color w:val="000000"/>
                <w:kern w:val="0"/>
                <w:sz w:val="22"/>
                <w:szCs w:val="22"/>
                <w:u w:val="none"/>
                <w:lang w:val="en-US" w:eastAsia="zh-CN" w:bidi="ar"/>
              </w:rPr>
              <w:t>群众满意度</w:t>
            </w:r>
          </w:p>
        </w:tc>
        <w:tc>
          <w:tcPr>
            <w:tcW w:w="1319" w:type="dxa"/>
            <w:noWrap w:val="0"/>
            <w:vAlign w:val="center"/>
          </w:tcPr>
          <w:p>
            <w:pPr>
              <w:keepNext w:val="0"/>
              <w:keepLines w:val="0"/>
              <w:widowControl/>
              <w:suppressLineNumbers w:val="0"/>
              <w:jc w:val="center"/>
              <w:textAlignment w:val="center"/>
              <w:rPr>
                <w:rFonts w:ascii="Arial"/>
                <w:color w:val="000000" w:themeColor="text1"/>
                <w:sz w:val="21"/>
                <w14:textFill>
                  <w14:solidFill>
                    <w14:schemeClr w14:val="tx1"/>
                  </w14:solidFill>
                </w14:textFill>
              </w:rPr>
            </w:pPr>
            <w:r>
              <w:rPr>
                <w:rFonts w:hint="eastAsia" w:ascii="仿宋" w:hAnsi="仿宋" w:eastAsia="仿宋" w:cs="仿宋"/>
                <w:i w:val="0"/>
                <w:iCs w:val="0"/>
                <w:color w:val="000000"/>
                <w:kern w:val="0"/>
                <w:sz w:val="22"/>
                <w:szCs w:val="22"/>
                <w:u w:val="none"/>
                <w:lang w:val="en-US" w:eastAsia="zh-CN" w:bidi="ar"/>
              </w:rPr>
              <w:t>大于等于90%</w:t>
            </w:r>
          </w:p>
        </w:tc>
        <w:tc>
          <w:tcPr>
            <w:tcW w:w="1259" w:type="dxa"/>
            <w:noWrap w:val="0"/>
            <w:vAlign w:val="center"/>
          </w:tcPr>
          <w:p>
            <w:pPr>
              <w:keepNext w:val="0"/>
              <w:keepLines w:val="0"/>
              <w:widowControl/>
              <w:suppressLineNumbers w:val="0"/>
              <w:jc w:val="center"/>
              <w:textAlignment w:val="center"/>
              <w:rPr>
                <w:rFonts w:ascii="Arial"/>
                <w:color w:val="000000" w:themeColor="text1"/>
                <w:sz w:val="21"/>
                <w14:textFill>
                  <w14:solidFill>
                    <w14:schemeClr w14:val="tx1"/>
                  </w14:solidFill>
                </w14:textFill>
              </w:rPr>
            </w:pPr>
            <w:r>
              <w:rPr>
                <w:rFonts w:hint="eastAsia" w:ascii="仿宋" w:hAnsi="仿宋" w:eastAsia="仿宋" w:cs="仿宋"/>
                <w:i w:val="0"/>
                <w:iCs w:val="0"/>
                <w:color w:val="000000"/>
                <w:kern w:val="0"/>
                <w:sz w:val="22"/>
                <w:szCs w:val="22"/>
                <w:u w:val="none"/>
                <w:lang w:val="en-US" w:eastAsia="zh-CN" w:bidi="ar"/>
              </w:rPr>
              <w:t>95%</w:t>
            </w:r>
          </w:p>
        </w:tc>
        <w:tc>
          <w:tcPr>
            <w:tcW w:w="719" w:type="dxa"/>
            <w:noWrap w:val="0"/>
            <w:vAlign w:val="center"/>
          </w:tcPr>
          <w:p>
            <w:pPr>
              <w:keepNext w:val="0"/>
              <w:keepLines w:val="0"/>
              <w:widowControl/>
              <w:suppressLineNumbers w:val="0"/>
              <w:jc w:val="center"/>
              <w:textAlignment w:val="center"/>
              <w:rPr>
                <w:rFonts w:ascii="Arial"/>
                <w:color w:val="000000" w:themeColor="text1"/>
                <w:sz w:val="21"/>
                <w14:textFill>
                  <w14:solidFill>
                    <w14:schemeClr w14:val="tx1"/>
                  </w14:solidFill>
                </w14:textFill>
              </w:rPr>
            </w:pPr>
            <w:r>
              <w:rPr>
                <w:rFonts w:hint="eastAsia" w:ascii="仿宋" w:hAnsi="仿宋" w:eastAsia="仿宋" w:cs="仿宋"/>
                <w:i w:val="0"/>
                <w:iCs w:val="0"/>
                <w:color w:val="000000"/>
                <w:kern w:val="0"/>
                <w:sz w:val="22"/>
                <w:szCs w:val="22"/>
                <w:u w:val="none"/>
                <w:lang w:val="en-US" w:eastAsia="zh-CN" w:bidi="ar"/>
              </w:rPr>
              <w:t>4</w:t>
            </w:r>
          </w:p>
        </w:tc>
        <w:tc>
          <w:tcPr>
            <w:tcW w:w="802" w:type="dxa"/>
            <w:noWrap w:val="0"/>
            <w:vAlign w:val="center"/>
          </w:tcPr>
          <w:p>
            <w:pPr>
              <w:keepNext w:val="0"/>
              <w:keepLines w:val="0"/>
              <w:widowControl/>
              <w:suppressLineNumbers w:val="0"/>
              <w:jc w:val="center"/>
              <w:textAlignment w:val="center"/>
              <w:rPr>
                <w:rFonts w:ascii="Arial"/>
                <w:color w:val="000000" w:themeColor="text1"/>
                <w:sz w:val="21"/>
                <w14:textFill>
                  <w14:solidFill>
                    <w14:schemeClr w14:val="tx1"/>
                  </w14:solidFill>
                </w14:textFill>
              </w:rPr>
            </w:pPr>
            <w:r>
              <w:rPr>
                <w:rFonts w:hint="eastAsia" w:ascii="仿宋" w:hAnsi="仿宋" w:eastAsia="仿宋" w:cs="仿宋"/>
                <w:i w:val="0"/>
                <w:iCs w:val="0"/>
                <w:color w:val="000000"/>
                <w:kern w:val="0"/>
                <w:sz w:val="22"/>
                <w:szCs w:val="22"/>
                <w:u w:val="none"/>
                <w:lang w:val="en-US" w:eastAsia="zh-CN" w:bidi="ar"/>
              </w:rPr>
              <w:t>4</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7039"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51" w:lineRule="exact"/>
              <w:ind w:left="0" w:firstLine="3274"/>
              <w:jc w:val="center"/>
              <w:textAlignment w:val="auto"/>
              <w:rPr>
                <w:color w:val="000000" w:themeColor="text1"/>
                <w14:textFill>
                  <w14:solidFill>
                    <w14:schemeClr w14:val="tx1"/>
                  </w14:solidFill>
                </w14:textFill>
              </w:rPr>
            </w:pPr>
            <w:r>
              <w:rPr>
                <w:color w:val="000000" w:themeColor="text1"/>
                <w14:textFill>
                  <w14:solidFill>
                    <w14:schemeClr w14:val="tx1"/>
                  </w14:solidFill>
                </w14:textFill>
              </w:rPr>
              <w:drawing>
                <wp:inline distT="0" distB="0" distL="114300" distR="114300">
                  <wp:extent cx="297815" cy="158750"/>
                  <wp:effectExtent l="0" t="0" r="6985" b="13335"/>
                  <wp:docPr id="1" name="图片 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5"/>
                          <a:stretch>
                            <a:fillRect/>
                          </a:stretch>
                        </pic:blipFill>
                        <pic:spPr>
                          <a:xfrm>
                            <a:off x="0" y="0"/>
                            <a:ext cx="297815" cy="158750"/>
                          </a:xfrm>
                          <a:prstGeom prst="rect">
                            <a:avLst/>
                          </a:prstGeom>
                          <a:noFill/>
                          <a:ln>
                            <a:noFill/>
                          </a:ln>
                        </pic:spPr>
                      </pic:pic>
                    </a:graphicData>
                  </a:graphic>
                </wp:inline>
              </w:drawing>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6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6"/>
                <w:sz w:val="21"/>
                <w:szCs w:val="21"/>
                <w14:textFill>
                  <w14:solidFill>
                    <w14:schemeClr w14:val="tx1"/>
                  </w14:solidFill>
                </w14:textFill>
              </w:rPr>
              <w:t>100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97</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p>
        </w:tc>
      </w:tr>
    </w:tbl>
    <w:p>
      <w:pPr>
        <w:keepNext w:val="0"/>
        <w:keepLines w:val="0"/>
        <w:pageBreakBefore w:val="0"/>
        <w:widowControl w:val="0"/>
        <w:kinsoku/>
        <w:wordWrap/>
        <w:overflowPunct/>
        <w:topLinePunct w:val="0"/>
        <w:autoSpaceDE/>
        <w:autoSpaceDN/>
        <w:bidi w:val="0"/>
        <w:adjustRightInd/>
        <w:snapToGrid/>
        <w:jc w:val="left"/>
        <w:textAlignment w:val="auto"/>
        <w:rPr>
          <w:rFonts w:hint="default"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填表人：郭周丽  联系电话：13975038998  单位负责人签字：</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填报日期：</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2023-06-11</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p>
    <w:p>
      <w:pPr>
        <w:rPr>
          <w:rFonts w:hint="default"/>
          <w:lang w:val="en-US" w:eastAsia="zh-CN"/>
        </w:rPr>
      </w:pPr>
    </w:p>
    <w:p>
      <w:pPr>
        <w:pStyle w:val="2"/>
        <w:rPr>
          <w:rFonts w:hint="default"/>
          <w:lang w:val="en-US" w:eastAsia="zh-CN"/>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3</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岳阳市岳阳楼区卫生计生综合监督执法局</w:t>
      </w: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单位整体支出绩效自评报告</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部门(单位)名称：   ( 盖 章 )</w:t>
      </w:r>
    </w:p>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2023年 06 月11  日</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岳阳市岳阳楼区卫生计生综合监督执法局</w:t>
      </w: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单位整体支出绩效自评报告</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numPr>
          <w:ilvl w:val="0"/>
          <w:numId w:val="1"/>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单位基本情况</w:t>
      </w:r>
    </w:p>
    <w:p>
      <w:pPr>
        <w:widowControl/>
        <w:spacing w:line="600" w:lineRule="exact"/>
        <w:ind w:firstLine="643" w:firstLineChars="200"/>
        <w:rPr>
          <w:rFonts w:hint="eastAsia" w:ascii="仿宋" w:hAnsi="仿宋" w:eastAsia="仿宋" w:cs="仿宋"/>
          <w:b/>
          <w:bCs/>
          <w:kern w:val="0"/>
          <w:sz w:val="32"/>
          <w:szCs w:val="32"/>
        </w:rPr>
      </w:pPr>
      <w:r>
        <w:rPr>
          <w:rFonts w:hint="eastAsia" w:ascii="仿宋" w:hAnsi="仿宋" w:eastAsia="仿宋" w:cs="仿宋"/>
          <w:b/>
          <w:bCs/>
          <w:kern w:val="0"/>
          <w:sz w:val="32"/>
          <w:szCs w:val="32"/>
        </w:rPr>
        <w:t>（一）职能职责</w:t>
      </w:r>
    </w:p>
    <w:p>
      <w:pPr>
        <w:pStyle w:val="12"/>
        <w:spacing w:before="0" w:beforeAutospacing="0" w:after="1" w:afterAutospacing="0"/>
        <w:ind w:left="0" w:firstLine="641"/>
        <w:rPr>
          <w:rFonts w:hint="eastAsia" w:ascii="仿宋" w:hAnsi="仿宋" w:eastAsia="仿宋" w:cs="仿宋"/>
          <w:kern w:val="2"/>
          <w:sz w:val="27"/>
          <w:szCs w:val="27"/>
        </w:rPr>
      </w:pPr>
      <w:r>
        <w:rPr>
          <w:rFonts w:hint="eastAsia" w:ascii="仿宋" w:hAnsi="仿宋" w:eastAsia="仿宋" w:cs="仿宋"/>
          <w:color w:val="000000"/>
          <w:kern w:val="2"/>
          <w:sz w:val="32"/>
          <w:szCs w:val="32"/>
        </w:rPr>
        <w:t>1、实施卫生健康专项整治和日常监督检查。</w:t>
      </w:r>
      <w:r>
        <w:rPr>
          <w:rFonts w:hint="eastAsia" w:ascii="仿宋" w:hAnsi="仿宋" w:eastAsia="仿宋" w:cs="仿宋"/>
          <w:color w:val="000000"/>
          <w:kern w:val="2"/>
          <w:sz w:val="27"/>
          <w:szCs w:val="27"/>
        </w:rPr>
        <w:t xml:space="preserve"> </w:t>
      </w:r>
    </w:p>
    <w:p>
      <w:pPr>
        <w:pStyle w:val="12"/>
        <w:spacing w:before="0" w:beforeAutospacing="0" w:after="1" w:afterAutospacing="0"/>
        <w:ind w:left="0" w:firstLine="641"/>
        <w:rPr>
          <w:rFonts w:hint="eastAsia" w:ascii="仿宋" w:hAnsi="仿宋" w:eastAsia="仿宋" w:cs="仿宋"/>
          <w:kern w:val="2"/>
          <w:sz w:val="27"/>
          <w:szCs w:val="27"/>
        </w:rPr>
      </w:pPr>
      <w:r>
        <w:rPr>
          <w:rFonts w:hint="eastAsia" w:ascii="仿宋" w:hAnsi="仿宋" w:eastAsia="仿宋" w:cs="仿宋"/>
          <w:color w:val="000000"/>
          <w:kern w:val="2"/>
          <w:sz w:val="32"/>
          <w:szCs w:val="32"/>
        </w:rPr>
        <w:t>2、对公共场所卫生、生活饮用水卫生、学校卫生及消毒产品进行监督检查。</w:t>
      </w:r>
      <w:r>
        <w:rPr>
          <w:rFonts w:hint="eastAsia" w:ascii="仿宋" w:hAnsi="仿宋" w:eastAsia="仿宋" w:cs="仿宋"/>
          <w:color w:val="000000"/>
          <w:kern w:val="2"/>
          <w:sz w:val="27"/>
          <w:szCs w:val="27"/>
        </w:rPr>
        <w:t xml:space="preserve"> </w:t>
      </w:r>
    </w:p>
    <w:p>
      <w:pPr>
        <w:pStyle w:val="12"/>
        <w:spacing w:before="0" w:beforeAutospacing="0" w:after="1" w:afterAutospacing="0"/>
        <w:ind w:left="0" w:firstLine="641"/>
        <w:rPr>
          <w:rFonts w:hint="eastAsia" w:ascii="仿宋" w:hAnsi="仿宋" w:eastAsia="仿宋" w:cs="仿宋"/>
          <w:kern w:val="2"/>
          <w:sz w:val="27"/>
          <w:szCs w:val="27"/>
        </w:rPr>
      </w:pPr>
      <w:r>
        <w:rPr>
          <w:rFonts w:hint="eastAsia" w:ascii="仿宋" w:hAnsi="仿宋" w:eastAsia="仿宋" w:cs="仿宋"/>
          <w:color w:val="000000"/>
          <w:kern w:val="2"/>
          <w:sz w:val="32"/>
          <w:szCs w:val="32"/>
        </w:rPr>
        <w:t>3、打击非法行医，整顿和规范医疗服务秩序。</w:t>
      </w:r>
      <w:r>
        <w:rPr>
          <w:rFonts w:hint="eastAsia" w:ascii="仿宋" w:hAnsi="仿宋" w:eastAsia="仿宋" w:cs="仿宋"/>
          <w:color w:val="000000"/>
          <w:kern w:val="2"/>
          <w:sz w:val="27"/>
          <w:szCs w:val="27"/>
        </w:rPr>
        <w:t xml:space="preserve"> </w:t>
      </w:r>
    </w:p>
    <w:p>
      <w:pPr>
        <w:pStyle w:val="12"/>
        <w:spacing w:before="0" w:beforeAutospacing="0" w:after="1" w:afterAutospacing="0"/>
        <w:ind w:left="0" w:firstLine="641"/>
        <w:rPr>
          <w:rFonts w:hint="eastAsia" w:ascii="仿宋" w:hAnsi="仿宋" w:eastAsia="仿宋" w:cs="仿宋"/>
          <w:kern w:val="2"/>
          <w:sz w:val="27"/>
          <w:szCs w:val="27"/>
        </w:rPr>
      </w:pPr>
      <w:r>
        <w:rPr>
          <w:rFonts w:hint="eastAsia" w:ascii="仿宋" w:hAnsi="仿宋" w:eastAsia="仿宋" w:cs="仿宋"/>
          <w:color w:val="000000"/>
          <w:kern w:val="2"/>
          <w:sz w:val="32"/>
          <w:szCs w:val="32"/>
        </w:rPr>
        <w:t>4、开展职业卫生、放射卫生监督检查，查处违法行为。</w:t>
      </w:r>
      <w:r>
        <w:rPr>
          <w:rFonts w:hint="eastAsia" w:ascii="仿宋" w:hAnsi="仿宋" w:eastAsia="仿宋" w:cs="仿宋"/>
          <w:color w:val="000000"/>
          <w:kern w:val="2"/>
          <w:sz w:val="27"/>
          <w:szCs w:val="27"/>
        </w:rPr>
        <w:t xml:space="preserve"> </w:t>
      </w:r>
    </w:p>
    <w:p>
      <w:pPr>
        <w:pStyle w:val="12"/>
        <w:spacing w:before="0" w:beforeAutospacing="0" w:after="1" w:afterAutospacing="0"/>
        <w:ind w:left="0" w:firstLine="641"/>
        <w:rPr>
          <w:rFonts w:hint="eastAsia" w:ascii="仿宋" w:hAnsi="仿宋" w:eastAsia="仿宋" w:cs="仿宋"/>
          <w:kern w:val="2"/>
          <w:sz w:val="27"/>
          <w:szCs w:val="27"/>
        </w:rPr>
      </w:pPr>
      <w:r>
        <w:rPr>
          <w:rFonts w:hint="eastAsia" w:ascii="仿宋" w:hAnsi="仿宋" w:eastAsia="仿宋" w:cs="仿宋"/>
          <w:color w:val="000000"/>
          <w:kern w:val="2"/>
          <w:sz w:val="32"/>
          <w:szCs w:val="32"/>
        </w:rPr>
        <w:t>5、对传染病防治进行监督检查，查处违法行为。</w:t>
      </w:r>
      <w:r>
        <w:rPr>
          <w:rFonts w:hint="eastAsia" w:ascii="仿宋" w:hAnsi="仿宋" w:eastAsia="仿宋" w:cs="仿宋"/>
          <w:color w:val="000000"/>
          <w:kern w:val="2"/>
          <w:sz w:val="27"/>
          <w:szCs w:val="27"/>
        </w:rPr>
        <w:t xml:space="preserve"> </w:t>
      </w:r>
    </w:p>
    <w:p>
      <w:pPr>
        <w:pStyle w:val="12"/>
        <w:spacing w:before="0" w:beforeAutospacing="0" w:after="1" w:afterAutospacing="0"/>
        <w:ind w:left="0" w:firstLine="641"/>
        <w:rPr>
          <w:rFonts w:hint="eastAsia" w:ascii="仿宋" w:hAnsi="仿宋" w:eastAsia="仿宋" w:cs="仿宋"/>
          <w:kern w:val="2"/>
          <w:sz w:val="27"/>
          <w:szCs w:val="27"/>
        </w:rPr>
      </w:pPr>
      <w:r>
        <w:rPr>
          <w:rFonts w:hint="eastAsia" w:ascii="仿宋" w:hAnsi="仿宋" w:eastAsia="仿宋" w:cs="仿宋"/>
          <w:color w:val="000000"/>
          <w:kern w:val="2"/>
          <w:sz w:val="32"/>
          <w:szCs w:val="32"/>
        </w:rPr>
        <w:t>6、对母婴保健机构、计划生育技术服务机构服务内容和从业人员的执业行为规范进行监督。</w:t>
      </w:r>
      <w:r>
        <w:rPr>
          <w:rFonts w:hint="eastAsia" w:ascii="仿宋" w:hAnsi="仿宋" w:eastAsia="仿宋" w:cs="仿宋"/>
          <w:color w:val="000000"/>
          <w:kern w:val="2"/>
          <w:sz w:val="27"/>
          <w:szCs w:val="27"/>
        </w:rPr>
        <w:t xml:space="preserve"> </w:t>
      </w:r>
    </w:p>
    <w:p>
      <w:pPr>
        <w:pStyle w:val="12"/>
        <w:spacing w:before="0" w:beforeAutospacing="0" w:after="1" w:afterAutospacing="0"/>
        <w:ind w:left="0" w:firstLine="641"/>
        <w:rPr>
          <w:rFonts w:hint="eastAsia" w:ascii="仿宋" w:hAnsi="仿宋" w:eastAsia="仿宋" w:cs="仿宋"/>
          <w:kern w:val="2"/>
          <w:sz w:val="27"/>
          <w:szCs w:val="27"/>
        </w:rPr>
      </w:pPr>
      <w:r>
        <w:rPr>
          <w:rFonts w:hint="eastAsia" w:ascii="仿宋" w:hAnsi="仿宋" w:eastAsia="仿宋" w:cs="仿宋"/>
          <w:color w:val="000000"/>
          <w:kern w:val="2"/>
          <w:sz w:val="32"/>
          <w:szCs w:val="32"/>
        </w:rPr>
        <w:t>7、负责社会抚养费征收管理工作，配合打击“两非”案件，查处计划生育违法违纪案件。</w:t>
      </w:r>
      <w:r>
        <w:rPr>
          <w:rFonts w:hint="eastAsia" w:ascii="仿宋" w:hAnsi="仿宋" w:eastAsia="仿宋" w:cs="仿宋"/>
          <w:color w:val="000000"/>
          <w:kern w:val="2"/>
          <w:sz w:val="27"/>
          <w:szCs w:val="27"/>
        </w:rPr>
        <w:t xml:space="preserve"> </w:t>
      </w:r>
    </w:p>
    <w:p>
      <w:pPr>
        <w:pStyle w:val="12"/>
        <w:spacing w:before="0" w:beforeAutospacing="0" w:after="1" w:afterAutospacing="0"/>
        <w:ind w:left="0" w:firstLine="641"/>
        <w:rPr>
          <w:rFonts w:hint="eastAsia" w:ascii="仿宋" w:hAnsi="仿宋" w:eastAsia="仿宋" w:cs="仿宋"/>
          <w:kern w:val="2"/>
          <w:sz w:val="27"/>
          <w:szCs w:val="27"/>
        </w:rPr>
      </w:pPr>
      <w:r>
        <w:rPr>
          <w:rFonts w:hint="eastAsia" w:ascii="仿宋" w:hAnsi="仿宋" w:eastAsia="仿宋" w:cs="仿宋"/>
          <w:color w:val="000000"/>
          <w:kern w:val="2"/>
          <w:sz w:val="32"/>
          <w:szCs w:val="32"/>
        </w:rPr>
        <w:t>8、对卫生监督协管员进行培训、业务指导。</w:t>
      </w:r>
      <w:r>
        <w:rPr>
          <w:rFonts w:hint="eastAsia" w:ascii="仿宋" w:hAnsi="仿宋" w:eastAsia="仿宋" w:cs="仿宋"/>
          <w:color w:val="000000"/>
          <w:kern w:val="2"/>
          <w:sz w:val="27"/>
          <w:szCs w:val="27"/>
        </w:rPr>
        <w:t xml:space="preserve"> </w:t>
      </w:r>
    </w:p>
    <w:p>
      <w:pPr>
        <w:pStyle w:val="12"/>
        <w:spacing w:before="0" w:beforeAutospacing="0" w:after="1" w:afterAutospacing="0"/>
        <w:ind w:left="0" w:firstLine="641"/>
        <w:rPr>
          <w:rFonts w:hint="eastAsia" w:ascii="仿宋" w:hAnsi="仿宋" w:eastAsia="仿宋" w:cs="仿宋"/>
          <w:kern w:val="2"/>
          <w:sz w:val="27"/>
          <w:szCs w:val="27"/>
        </w:rPr>
      </w:pPr>
      <w:r>
        <w:rPr>
          <w:rFonts w:hint="eastAsia" w:ascii="仿宋" w:hAnsi="仿宋" w:eastAsia="仿宋" w:cs="仿宋"/>
          <w:color w:val="000000"/>
          <w:kern w:val="2"/>
          <w:sz w:val="32"/>
          <w:szCs w:val="32"/>
        </w:rPr>
        <w:t>9、负责辖区内卫生健康监督信息的收集、核实和上报。</w:t>
      </w:r>
      <w:r>
        <w:rPr>
          <w:rFonts w:hint="eastAsia" w:ascii="仿宋" w:hAnsi="仿宋" w:eastAsia="仿宋" w:cs="仿宋"/>
          <w:color w:val="000000"/>
          <w:kern w:val="2"/>
          <w:sz w:val="27"/>
          <w:szCs w:val="27"/>
        </w:rPr>
        <w:t xml:space="preserve"> </w:t>
      </w:r>
    </w:p>
    <w:p>
      <w:pPr>
        <w:pStyle w:val="12"/>
        <w:spacing w:before="0" w:beforeAutospacing="0" w:after="1" w:afterAutospacing="0"/>
        <w:ind w:left="0" w:firstLine="641"/>
        <w:rPr>
          <w:rFonts w:hint="eastAsia" w:ascii="仿宋" w:hAnsi="仿宋" w:eastAsia="仿宋" w:cs="仿宋"/>
          <w:kern w:val="2"/>
          <w:sz w:val="27"/>
          <w:szCs w:val="27"/>
        </w:rPr>
      </w:pPr>
      <w:r>
        <w:rPr>
          <w:rFonts w:hint="eastAsia" w:ascii="仿宋" w:hAnsi="仿宋" w:eastAsia="仿宋" w:cs="仿宋"/>
          <w:color w:val="000000"/>
          <w:kern w:val="2"/>
          <w:sz w:val="32"/>
          <w:szCs w:val="32"/>
        </w:rPr>
        <w:t>10、受理对违法行为的投诉、举报，并组织调查处理和及时回复。</w:t>
      </w:r>
      <w:r>
        <w:rPr>
          <w:rFonts w:hint="eastAsia" w:ascii="仿宋" w:hAnsi="仿宋" w:eastAsia="仿宋" w:cs="仿宋"/>
          <w:color w:val="000000"/>
          <w:kern w:val="2"/>
          <w:sz w:val="27"/>
          <w:szCs w:val="27"/>
        </w:rPr>
        <w:t xml:space="preserve"> </w:t>
      </w:r>
    </w:p>
    <w:p>
      <w:pPr>
        <w:widowControl/>
        <w:spacing w:line="600" w:lineRule="exact"/>
        <w:ind w:firstLine="640" w:firstLineChars="200"/>
        <w:rPr>
          <w:rFonts w:hint="eastAsia" w:ascii="仿宋" w:hAnsi="仿宋" w:eastAsia="仿宋" w:cs="仿宋"/>
          <w:color w:val="000000"/>
          <w:kern w:val="2"/>
          <w:sz w:val="32"/>
          <w:szCs w:val="32"/>
        </w:rPr>
      </w:pPr>
      <w:r>
        <w:rPr>
          <w:rFonts w:hint="eastAsia" w:ascii="仿宋" w:hAnsi="仿宋" w:eastAsia="仿宋" w:cs="仿宋"/>
          <w:color w:val="000000"/>
          <w:kern w:val="2"/>
          <w:sz w:val="32"/>
          <w:szCs w:val="32"/>
        </w:rPr>
        <w:t>11、开展卫生健康法律法规宣传教育和执法检查。</w:t>
      </w:r>
    </w:p>
    <w:p>
      <w:pPr>
        <w:widowControl/>
        <w:spacing w:line="600" w:lineRule="exact"/>
        <w:ind w:firstLine="643" w:firstLineChars="200"/>
        <w:rPr>
          <w:rFonts w:hint="eastAsia" w:ascii="仿宋" w:hAnsi="仿宋" w:eastAsia="仿宋" w:cs="仿宋"/>
          <w:b/>
          <w:bCs/>
          <w:kern w:val="0"/>
          <w:sz w:val="32"/>
          <w:szCs w:val="32"/>
        </w:rPr>
      </w:pPr>
      <w:r>
        <w:rPr>
          <w:rFonts w:hint="eastAsia" w:ascii="仿宋" w:hAnsi="仿宋" w:eastAsia="仿宋" w:cs="仿宋"/>
          <w:b/>
          <w:bCs/>
          <w:kern w:val="0"/>
          <w:sz w:val="32"/>
          <w:szCs w:val="32"/>
        </w:rPr>
        <w:t>（二）机构设置</w:t>
      </w:r>
    </w:p>
    <w:p>
      <w:pPr>
        <w:spacing w:before="0" w:beforeAutospacing="0" w:after="1" w:afterAutospacing="0"/>
        <w:ind w:left="0" w:firstLine="628"/>
        <w:rPr>
          <w:rFonts w:hint="eastAsia" w:ascii="仿宋" w:hAnsi="仿宋" w:eastAsia="仿宋" w:cs="仿宋"/>
          <w:color w:val="000000"/>
          <w:kern w:val="2"/>
          <w:sz w:val="27"/>
          <w:szCs w:val="27"/>
        </w:rPr>
      </w:pPr>
      <w:r>
        <w:rPr>
          <w:rFonts w:hint="eastAsia" w:ascii="仿宋" w:hAnsi="仿宋" w:eastAsia="仿宋" w:cs="仿宋"/>
          <w:color w:val="000000"/>
          <w:kern w:val="2"/>
          <w:sz w:val="32"/>
          <w:szCs w:val="32"/>
        </w:rPr>
        <w:t>岳阳市岳阳楼区卫生计生综合监督执法局</w:t>
      </w:r>
      <w:r>
        <w:rPr>
          <w:rFonts w:hint="eastAsia" w:ascii="仿宋" w:hAnsi="仿宋" w:eastAsia="仿宋" w:cs="仿宋"/>
          <w:color w:val="000000"/>
          <w:kern w:val="2"/>
          <w:sz w:val="32"/>
          <w:szCs w:val="32"/>
          <w:lang w:val="en-US" w:eastAsia="zh-CN"/>
        </w:rPr>
        <w:t>是</w:t>
      </w:r>
      <w:r>
        <w:rPr>
          <w:rFonts w:hint="eastAsia" w:ascii="仿宋" w:hAnsi="仿宋" w:eastAsia="仿宋" w:cs="仿宋"/>
          <w:color w:val="000000"/>
          <w:kern w:val="2"/>
          <w:sz w:val="32"/>
          <w:szCs w:val="32"/>
        </w:rPr>
        <w:t>公益一类事业单位，为副科级，全额拨款事业编制56名，实有在职编制54人（不含退休16人），设置五个股室：办公室、宣传教育股、信息受理股、稽查股、法规股。</w:t>
      </w:r>
      <w:r>
        <w:rPr>
          <w:rFonts w:hint="eastAsia" w:ascii="仿宋" w:hAnsi="仿宋" w:eastAsia="仿宋" w:cs="仿宋"/>
          <w:color w:val="000000"/>
          <w:kern w:val="2"/>
          <w:sz w:val="27"/>
          <w:szCs w:val="27"/>
        </w:rPr>
        <w:t xml:space="preserve"> </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二、一般公共预算支出情况</w:t>
      </w:r>
    </w:p>
    <w:p>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(一)基本支出情况</w:t>
      </w:r>
    </w:p>
    <w:p>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default" w:ascii="仿宋" w:hAnsi="仿宋" w:eastAsia="仿宋" w:cs="仿宋"/>
          <w:color w:val="auto"/>
          <w:kern w:val="2"/>
          <w:sz w:val="32"/>
          <w:szCs w:val="32"/>
          <w:highlight w:val="none"/>
          <w:u w:val="none"/>
          <w:lang w:val="en-US" w:eastAsia="zh-CN"/>
        </w:rPr>
      </w:pPr>
      <w:r>
        <w:rPr>
          <w:rFonts w:hint="eastAsia" w:ascii="仿宋" w:hAnsi="仿宋" w:eastAsia="仿宋" w:cs="仿宋"/>
          <w:color w:val="auto"/>
          <w:kern w:val="2"/>
          <w:sz w:val="32"/>
          <w:szCs w:val="32"/>
          <w:highlight w:val="none"/>
          <w:u w:val="none"/>
          <w:lang w:val="en-US" w:eastAsia="zh-CN"/>
        </w:rPr>
        <w:t>2022年我单位基本支出是1001.24万元，其中：人员经费：778.44万元，占基本支出的77.75%，主要是包括基本工资、绩效工资、机关事业单位养老保险缴费、职业年金缴费、职工基本医疗保险缴费、其他社会保险缴费、住房公积金、退休费、抚恤金、生活补助、医疗费补助、其他对个人和家庭的补助；公用经费：222.80万元，占基本支出的22.25%，主要包括办公费、印刷费、咨询费、水费、电费、邮电费、物业管理费、差旅费、维修（护）费、租赁费、培训费、劳务费、委托业务费、工会经费、其他交通费、其他商品和服务支出。</w:t>
      </w:r>
    </w:p>
    <w:p>
      <w:pPr>
        <w:keepNext w:val="0"/>
        <w:keepLines w:val="0"/>
        <w:pageBreakBefore w:val="0"/>
        <w:widowControl w:val="0"/>
        <w:numPr>
          <w:ilvl w:val="0"/>
          <w:numId w:val="2"/>
        </w:numPr>
        <w:kinsoku/>
        <w:wordWrap/>
        <w:overflowPunct/>
        <w:topLinePunct w:val="0"/>
        <w:autoSpaceDE/>
        <w:autoSpaceDN/>
        <w:bidi w:val="0"/>
        <w:adjustRightInd/>
        <w:snapToGrid/>
        <w:ind w:left="0" w:firstLine="643" w:firstLineChars="200"/>
        <w:jc w:val="left"/>
        <w:textAlignment w:val="auto"/>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项目支出情况</w:t>
      </w:r>
    </w:p>
    <w:p>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eastAsia"/>
          <w:lang w:val="en-US" w:eastAsia="zh-CN"/>
        </w:rPr>
      </w:pPr>
      <w:r>
        <w:rPr>
          <w:rFonts w:hint="eastAsia" w:ascii="仿宋" w:hAnsi="仿宋" w:eastAsia="仿宋" w:cs="仿宋"/>
          <w:color w:val="auto"/>
          <w:kern w:val="2"/>
          <w:sz w:val="32"/>
          <w:szCs w:val="32"/>
          <w:highlight w:val="none"/>
          <w:u w:val="none"/>
          <w:lang w:val="en-US" w:eastAsia="zh-CN"/>
        </w:rPr>
        <w:t>我单位2022年度无项目支出。</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三、政府性基金预算支出情况</w:t>
      </w:r>
    </w:p>
    <w:p>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default" w:ascii="仿宋" w:hAnsi="仿宋" w:eastAsia="仿宋" w:cs="仿宋"/>
          <w:color w:val="auto"/>
          <w:kern w:val="2"/>
          <w:sz w:val="32"/>
          <w:szCs w:val="32"/>
          <w:highlight w:val="none"/>
          <w:u w:val="none"/>
          <w:lang w:val="en-US" w:eastAsia="zh-CN"/>
        </w:rPr>
      </w:pPr>
      <w:r>
        <w:rPr>
          <w:rFonts w:hint="eastAsia" w:ascii="仿宋" w:hAnsi="仿宋" w:eastAsia="仿宋" w:cs="仿宋"/>
          <w:color w:val="auto"/>
          <w:kern w:val="2"/>
          <w:sz w:val="32"/>
          <w:szCs w:val="32"/>
          <w:highlight w:val="none"/>
          <w:u w:val="none"/>
          <w:lang w:val="en-US" w:eastAsia="zh-CN"/>
        </w:rPr>
        <w:t>我单位2022年度无政府性基金预算。</w:t>
      </w:r>
    </w:p>
    <w:p>
      <w:pPr>
        <w:keepNext w:val="0"/>
        <w:keepLines w:val="0"/>
        <w:pageBreakBefore w:val="0"/>
        <w:widowControl w:val="0"/>
        <w:numPr>
          <w:ilvl w:val="0"/>
          <w:numId w:val="3"/>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国有资本经营预算支出情况</w:t>
      </w:r>
    </w:p>
    <w:p>
      <w:pPr>
        <w:keepNext w:val="0"/>
        <w:keepLines w:val="0"/>
        <w:pageBreakBefore w:val="0"/>
        <w:widowControl w:val="0"/>
        <w:numPr>
          <w:ilvl w:val="0"/>
          <w:numId w:val="0"/>
        </w:numPr>
        <w:kinsoku/>
        <w:wordWrap/>
        <w:overflowPunct/>
        <w:topLinePunct w:val="0"/>
        <w:autoSpaceDE/>
        <w:autoSpaceDN/>
        <w:bidi w:val="0"/>
        <w:adjustRightInd/>
        <w:snapToGrid/>
        <w:ind w:leftChars="200" w:firstLine="320" w:firstLineChars="1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仿宋" w:hAnsi="仿宋" w:eastAsia="仿宋" w:cs="仿宋"/>
          <w:color w:val="auto"/>
          <w:kern w:val="2"/>
          <w:sz w:val="32"/>
          <w:szCs w:val="32"/>
          <w:highlight w:val="none"/>
          <w:u w:val="none"/>
          <w:lang w:val="en-US" w:eastAsia="zh-CN"/>
        </w:rPr>
        <w:t>我单位2022年度无国有资本经营预算。</w:t>
      </w:r>
    </w:p>
    <w:p>
      <w:pPr>
        <w:keepNext w:val="0"/>
        <w:keepLines w:val="0"/>
        <w:pageBreakBefore w:val="0"/>
        <w:widowControl w:val="0"/>
        <w:numPr>
          <w:ilvl w:val="0"/>
          <w:numId w:val="3"/>
        </w:numPr>
        <w:kinsoku/>
        <w:wordWrap/>
        <w:overflowPunct/>
        <w:topLinePunct w:val="0"/>
        <w:autoSpaceDE/>
        <w:autoSpaceDN/>
        <w:bidi w:val="0"/>
        <w:adjustRightInd/>
        <w:snapToGrid/>
        <w:ind w:left="0" w:leftChars="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社会保险基金预算支出情况</w:t>
      </w:r>
    </w:p>
    <w:p>
      <w:pPr>
        <w:keepNext w:val="0"/>
        <w:keepLines w:val="0"/>
        <w:pageBreakBefore w:val="0"/>
        <w:widowControl w:val="0"/>
        <w:numPr>
          <w:ilvl w:val="0"/>
          <w:numId w:val="0"/>
        </w:numPr>
        <w:kinsoku/>
        <w:wordWrap/>
        <w:overflowPunct/>
        <w:topLinePunct w:val="0"/>
        <w:autoSpaceDE/>
        <w:autoSpaceDN/>
        <w:bidi w:val="0"/>
        <w:adjustRightInd/>
        <w:snapToGrid/>
        <w:ind w:leftChars="200" w:firstLine="320" w:firstLineChars="1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仿宋" w:hAnsi="仿宋" w:eastAsia="仿宋" w:cs="仿宋"/>
          <w:color w:val="auto"/>
          <w:kern w:val="2"/>
          <w:sz w:val="32"/>
          <w:szCs w:val="32"/>
          <w:highlight w:val="none"/>
          <w:u w:val="none"/>
          <w:lang w:val="en-US" w:eastAsia="zh-CN"/>
        </w:rPr>
        <w:t>我单位2022年度无社会保险基金预算。</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六、部门整体支出绩效情况</w:t>
      </w:r>
    </w:p>
    <w:p>
      <w:pPr>
        <w:keepNext w:val="0"/>
        <w:keepLines w:val="0"/>
        <w:pageBreakBefore w:val="0"/>
        <w:numPr>
          <w:ilvl w:val="0"/>
          <w:numId w:val="0"/>
        </w:numPr>
        <w:kinsoku/>
        <w:wordWrap/>
        <w:overflowPunct/>
        <w:topLinePunct w:val="0"/>
        <w:autoSpaceDE/>
        <w:autoSpaceDN/>
        <w:bidi w:val="0"/>
        <w:adjustRightInd/>
        <w:snapToGrid/>
        <w:spacing w:line="620" w:lineRule="exact"/>
        <w:ind w:firstLine="640" w:firstLineChars="200"/>
        <w:textAlignment w:val="auto"/>
        <w:rPr>
          <w:rFonts w:hint="default"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一、夯实基层组织</w:t>
      </w:r>
    </w:p>
    <w:p>
      <w:pPr>
        <w:keepNext w:val="0"/>
        <w:keepLines w:val="0"/>
        <w:pageBreakBefore w:val="0"/>
        <w:numPr>
          <w:ilvl w:val="0"/>
          <w:numId w:val="0"/>
        </w:numPr>
        <w:kinsoku/>
        <w:wordWrap/>
        <w:overflowPunct/>
        <w:topLinePunct w:val="0"/>
        <w:autoSpaceDE/>
        <w:autoSpaceDN/>
        <w:bidi w:val="0"/>
        <w:adjustRightInd/>
        <w:snapToGrid/>
        <w:spacing w:line="620" w:lineRule="exact"/>
        <w:ind w:firstLine="643" w:firstLineChars="200"/>
        <w:textAlignment w:val="auto"/>
        <w:rPr>
          <w:rFonts w:hint="default" w:ascii="楷体" w:hAnsi="楷体" w:eastAsia="楷体" w:cs="楷体"/>
          <w:b/>
          <w:bCs/>
          <w:sz w:val="32"/>
          <w:szCs w:val="32"/>
          <w:lang w:val="en-US" w:eastAsia="zh-CN"/>
        </w:rPr>
      </w:pPr>
      <w:r>
        <w:rPr>
          <w:rFonts w:hint="eastAsia" w:ascii="楷体" w:hAnsi="楷体" w:eastAsia="楷体" w:cs="楷体"/>
          <w:b/>
          <w:bCs/>
          <w:sz w:val="32"/>
          <w:szCs w:val="32"/>
          <w:lang w:val="en-US" w:eastAsia="zh-CN"/>
        </w:rPr>
        <w:t>（一）推进党的建设</w:t>
      </w:r>
    </w:p>
    <w:p>
      <w:pPr>
        <w:keepNext w:val="0"/>
        <w:keepLines w:val="0"/>
        <w:pageBreakBefore w:val="0"/>
        <w:widowControl w:val="0"/>
        <w:numPr>
          <w:ilvl w:val="0"/>
          <w:numId w:val="0"/>
        </w:numPr>
        <w:kinsoku/>
        <w:wordWrap/>
        <w:overflowPunct/>
        <w:topLinePunct w:val="0"/>
        <w:autoSpaceDE/>
        <w:autoSpaceDN/>
        <w:bidi w:val="0"/>
        <w:adjustRightInd/>
        <w:snapToGrid/>
        <w:spacing w:line="620" w:lineRule="exact"/>
        <w:ind w:firstLine="640" w:firstLineChars="200"/>
        <w:textAlignment w:val="auto"/>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一是定期召开“三会一课”。今年来共召开支委会12次，支部大会及党课各4次。二是召开组织生活会暨民主评议党员大会，开展批评和自我批评深刻，达到了“照镜子、正衣冠、洗洗澡、出出汗、治治病”的初衷。三是党员活动丰富多彩。先后开展</w:t>
      </w:r>
      <w:r>
        <w:rPr>
          <w:rFonts w:hint="default" w:ascii="仿宋" w:hAnsi="仿宋" w:eastAsia="仿宋" w:cs="仿宋"/>
          <w:sz w:val="32"/>
          <w:szCs w:val="32"/>
          <w:lang w:val="en-US" w:eastAsia="zh-CN"/>
        </w:rPr>
        <w:t>“七月党旗红似火 初心永驻跟党走”</w:t>
      </w:r>
      <w:r>
        <w:rPr>
          <w:rFonts w:hint="eastAsia" w:ascii="仿宋" w:hAnsi="仿宋" w:eastAsia="仿宋" w:cs="仿宋"/>
          <w:sz w:val="32"/>
          <w:szCs w:val="32"/>
          <w:lang w:val="en-US" w:eastAsia="zh-CN"/>
        </w:rPr>
        <w:t>、“巾帼心向党，喜迎二十大”等主题党员日活动，进一步凝聚了队伍、强化了团队意识，为工作良好开展营造了积极氛围。</w:t>
      </w:r>
    </w:p>
    <w:p>
      <w:pPr>
        <w:keepNext w:val="0"/>
        <w:keepLines w:val="0"/>
        <w:pageBreakBefore w:val="0"/>
        <w:numPr>
          <w:ilvl w:val="0"/>
          <w:numId w:val="0"/>
        </w:numPr>
        <w:kinsoku/>
        <w:wordWrap/>
        <w:overflowPunct/>
        <w:topLinePunct w:val="0"/>
        <w:autoSpaceDE/>
        <w:autoSpaceDN/>
        <w:bidi w:val="0"/>
        <w:adjustRightInd/>
        <w:snapToGrid/>
        <w:spacing w:line="620" w:lineRule="exact"/>
        <w:ind w:firstLine="643" w:firstLineChars="200"/>
        <w:textAlignment w:val="auto"/>
        <w:rPr>
          <w:rFonts w:hint="eastAsia" w:ascii="楷体" w:hAnsi="楷体" w:eastAsia="楷体" w:cs="楷体"/>
          <w:b/>
          <w:bCs/>
          <w:sz w:val="32"/>
          <w:szCs w:val="32"/>
          <w:lang w:val="en-US" w:eastAsia="zh-CN"/>
        </w:rPr>
      </w:pPr>
      <w:r>
        <w:rPr>
          <w:rFonts w:hint="eastAsia" w:ascii="楷体" w:hAnsi="楷体" w:eastAsia="楷体" w:cs="楷体"/>
          <w:b/>
          <w:bCs/>
          <w:sz w:val="32"/>
          <w:szCs w:val="32"/>
          <w:lang w:val="en-US" w:eastAsia="zh-CN"/>
        </w:rPr>
        <w:t>（二）加强廉政建设</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620" w:lineRule="exact"/>
        <w:ind w:firstLine="640" w:firstLineChars="200"/>
        <w:jc w:val="both"/>
        <w:textAlignment w:val="auto"/>
        <w:rPr>
          <w:rFonts w:hint="default" w:ascii="楷体" w:hAnsi="楷体" w:eastAsia="楷体" w:cs="楷体"/>
          <w:b/>
          <w:bCs/>
          <w:sz w:val="32"/>
          <w:szCs w:val="32"/>
          <w:lang w:val="en-US" w:eastAsia="zh-CN"/>
        </w:rPr>
      </w:pPr>
      <w:r>
        <w:rPr>
          <w:rFonts w:hint="eastAsia" w:ascii="仿宋_GB2312" w:hAnsi="仿宋_GB2312" w:eastAsia="仿宋_GB2312" w:cs="仿宋_GB2312"/>
          <w:color w:val="000000"/>
          <w:kern w:val="0"/>
          <w:sz w:val="32"/>
          <w:szCs w:val="32"/>
          <w:lang w:val="en-US" w:eastAsia="zh-CN" w:bidi="ar-SA"/>
        </w:rPr>
        <w:t>一是主动邀请区纪委监委驻卫健局检查组组长和联点领导来我局开展党风廉政建设教育并对班子进行集体谈心谈话；二是积极响应“清廉湖南”要求，开展清廉机关建设；三是要求单位所有工作人员签订了《廉洁从政承诺书》和《拒绝违规收送红包礼金承诺书》。</w:t>
      </w:r>
    </w:p>
    <w:p>
      <w:pPr>
        <w:keepNext w:val="0"/>
        <w:keepLines w:val="0"/>
        <w:pageBreakBefore w:val="0"/>
        <w:numPr>
          <w:ilvl w:val="0"/>
          <w:numId w:val="0"/>
        </w:numPr>
        <w:kinsoku/>
        <w:wordWrap/>
        <w:overflowPunct/>
        <w:topLinePunct w:val="0"/>
        <w:autoSpaceDE/>
        <w:autoSpaceDN/>
        <w:bidi w:val="0"/>
        <w:adjustRightInd/>
        <w:snapToGrid/>
        <w:spacing w:line="620" w:lineRule="exact"/>
        <w:ind w:firstLine="643" w:firstLineChars="200"/>
        <w:textAlignment w:val="auto"/>
        <w:rPr>
          <w:rFonts w:hint="eastAsia" w:ascii="楷体" w:hAnsi="楷体" w:eastAsia="楷体" w:cs="楷体"/>
          <w:b/>
          <w:bCs/>
          <w:sz w:val="32"/>
          <w:szCs w:val="32"/>
          <w:lang w:val="en-US" w:eastAsia="zh-CN"/>
        </w:rPr>
      </w:pPr>
      <w:r>
        <w:rPr>
          <w:rFonts w:hint="eastAsia" w:ascii="楷体" w:hAnsi="楷体" w:eastAsia="楷体" w:cs="楷体"/>
          <w:b/>
          <w:bCs/>
          <w:sz w:val="32"/>
          <w:szCs w:val="32"/>
          <w:lang w:val="en-US" w:eastAsia="zh-CN"/>
        </w:rPr>
        <w:t>（三）深化意识形态</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620" w:lineRule="exact"/>
        <w:ind w:firstLine="640" w:firstLineChars="200"/>
        <w:jc w:val="both"/>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一是组织全局党员干部集中收看党的二十大直播和江泽民同志追悼会；二是发放《习近平谈治国理政》第四卷、《当好改革开放的排头兵》、《干在实处、勇立潮头》、《闽山闽水物华新（上）（下）》、《让群众过上好日子》等书籍；三是积极落实中共岳阳市岳阳楼区委办公室和岳阳市岳阳楼区人民政府办公室《关于做好2022年度全区党报党刊发行工作的通知》；四是在岳阳日报发表3篇报道宣传卫生监督执法工作。</w:t>
      </w:r>
    </w:p>
    <w:p>
      <w:pPr>
        <w:keepNext w:val="0"/>
        <w:keepLines w:val="0"/>
        <w:pageBreakBefore w:val="0"/>
        <w:numPr>
          <w:ilvl w:val="0"/>
          <w:numId w:val="0"/>
        </w:numPr>
        <w:kinsoku/>
        <w:wordWrap/>
        <w:overflowPunct/>
        <w:topLinePunct w:val="0"/>
        <w:autoSpaceDE/>
        <w:autoSpaceDN/>
        <w:bidi w:val="0"/>
        <w:adjustRightInd/>
        <w:snapToGrid/>
        <w:spacing w:line="620" w:lineRule="exact"/>
        <w:ind w:firstLine="640" w:firstLineChars="200"/>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二、履行监督职责</w:t>
      </w:r>
    </w:p>
    <w:p>
      <w:pPr>
        <w:keepNext w:val="0"/>
        <w:keepLines w:val="0"/>
        <w:pageBreakBefore w:val="0"/>
        <w:numPr>
          <w:ilvl w:val="0"/>
          <w:numId w:val="0"/>
        </w:numPr>
        <w:kinsoku/>
        <w:wordWrap/>
        <w:overflowPunct/>
        <w:topLinePunct w:val="0"/>
        <w:autoSpaceDE/>
        <w:autoSpaceDN/>
        <w:bidi w:val="0"/>
        <w:adjustRightInd/>
        <w:snapToGrid/>
        <w:spacing w:line="620" w:lineRule="exact"/>
        <w:ind w:firstLine="643" w:firstLineChars="200"/>
        <w:textAlignment w:val="auto"/>
        <w:rPr>
          <w:rFonts w:hint="eastAsia" w:ascii="楷体" w:hAnsi="楷体" w:eastAsia="楷体" w:cs="楷体"/>
          <w:b/>
          <w:bCs/>
          <w:color w:val="000000"/>
          <w:kern w:val="0"/>
          <w:sz w:val="32"/>
          <w:szCs w:val="40"/>
          <w:lang w:val="en-US" w:eastAsia="zh-CN" w:bidi="ar-SA"/>
        </w:rPr>
      </w:pPr>
      <w:r>
        <w:rPr>
          <w:rFonts w:hint="eastAsia" w:ascii="楷体" w:hAnsi="楷体" w:eastAsia="楷体" w:cs="楷体"/>
          <w:b/>
          <w:bCs/>
          <w:color w:val="auto"/>
          <w:sz w:val="32"/>
          <w:szCs w:val="32"/>
          <w:lang w:val="en-US" w:eastAsia="zh-CN"/>
        </w:rPr>
        <w:t>（一）落实疫情防控</w:t>
      </w:r>
    </w:p>
    <w:p>
      <w:pPr>
        <w:keepNext w:val="0"/>
        <w:keepLines w:val="0"/>
        <w:pageBreakBefore w:val="0"/>
        <w:numPr>
          <w:ilvl w:val="0"/>
          <w:numId w:val="0"/>
        </w:numPr>
        <w:kinsoku/>
        <w:wordWrap/>
        <w:overflowPunct/>
        <w:topLinePunct w:val="0"/>
        <w:autoSpaceDE/>
        <w:autoSpaceDN/>
        <w:bidi w:val="0"/>
        <w:adjustRightInd/>
        <w:snapToGrid/>
        <w:spacing w:line="620" w:lineRule="exact"/>
        <w:ind w:firstLine="640" w:firstLineChars="200"/>
        <w:textAlignment w:val="auto"/>
        <w:rPr>
          <w:rFonts w:hint="eastAsia" w:ascii="仿宋" w:hAnsi="仿宋" w:eastAsia="仿宋" w:cs="仿宋"/>
          <w:color w:val="auto"/>
          <w:sz w:val="32"/>
          <w:szCs w:val="32"/>
          <w:lang w:val="en-US" w:eastAsia="zh-CN"/>
        </w:rPr>
      </w:pPr>
      <w:r>
        <w:rPr>
          <w:rFonts w:hint="eastAsia" w:ascii="仿宋_GB2312" w:hAnsi="仿宋_GB2312" w:eastAsia="仿宋_GB2312" w:cs="仿宋_GB2312"/>
          <w:sz w:val="32"/>
          <w:szCs w:val="32"/>
          <w:lang w:val="en-US" w:eastAsia="zh-CN"/>
        </w:rPr>
        <w:t>我局多次组织辖区医疗机构开展疫情防控与院感工作培训学习，全体执法员打桩定位，分为5组，对辖区范围内402家医疗机构开展防疫监督检查；</w:t>
      </w:r>
      <w:r>
        <w:rPr>
          <w:rFonts w:hint="eastAsia" w:ascii="仿宋_GB2312" w:hAnsi="仿宋_GB2312" w:eastAsia="仿宋_GB2312" w:cs="仿宋_GB2312"/>
          <w:color w:val="auto"/>
          <w:sz w:val="32"/>
          <w:szCs w:val="32"/>
          <w:vertAlign w:val="baseline"/>
          <w:lang w:val="en-US" w:eastAsia="zh-CN"/>
        </w:rPr>
        <w:t>且多个节假日、双休日</w:t>
      </w:r>
      <w:r>
        <w:rPr>
          <w:rFonts w:hint="eastAsia" w:ascii="仿宋_GB2312" w:hAnsi="仿宋_GB2312" w:eastAsia="仿宋_GB2312" w:cs="仿宋_GB2312"/>
          <w:sz w:val="32"/>
          <w:szCs w:val="32"/>
          <w:lang w:val="en-US" w:eastAsia="zh-CN"/>
        </w:rPr>
        <w:t>取消休假，特殊时期晚上加班开展巡查，</w:t>
      </w:r>
      <w:r>
        <w:rPr>
          <w:rFonts w:hint="eastAsia" w:ascii="仿宋_GB2312" w:hAnsi="仿宋_GB2312" w:eastAsia="仿宋_GB2312" w:cs="仿宋_GB2312"/>
          <w:i w:val="0"/>
          <w:iCs w:val="0"/>
          <w:caps w:val="0"/>
          <w:color w:val="222222"/>
          <w:spacing w:val="3"/>
          <w:sz w:val="32"/>
          <w:szCs w:val="32"/>
          <w:shd w:val="clear" w:color="auto" w:fill="FFFFFF"/>
        </w:rPr>
        <w:t>针对检查发现的问题，当场下达</w:t>
      </w:r>
      <w:r>
        <w:rPr>
          <w:rFonts w:hint="eastAsia" w:ascii="仿宋_GB2312" w:hAnsi="仿宋_GB2312" w:eastAsia="仿宋_GB2312" w:cs="仿宋_GB2312"/>
          <w:i w:val="0"/>
          <w:iCs w:val="0"/>
          <w:caps w:val="0"/>
          <w:color w:val="222222"/>
          <w:spacing w:val="3"/>
          <w:sz w:val="32"/>
          <w:szCs w:val="32"/>
          <w:shd w:val="clear" w:color="auto" w:fill="FFFFFF"/>
          <w:lang w:eastAsia="zh-CN"/>
        </w:rPr>
        <w:t>文</w:t>
      </w:r>
      <w:r>
        <w:rPr>
          <w:rFonts w:hint="eastAsia" w:ascii="仿宋_GB2312" w:hAnsi="仿宋_GB2312" w:eastAsia="仿宋_GB2312" w:cs="仿宋_GB2312"/>
          <w:i w:val="0"/>
          <w:iCs w:val="0"/>
          <w:caps w:val="0"/>
          <w:color w:val="222222"/>
          <w:spacing w:val="3"/>
          <w:sz w:val="32"/>
          <w:szCs w:val="32"/>
          <w:shd w:val="clear" w:color="auto" w:fill="FFFFFF"/>
        </w:rPr>
        <w:t>书，责令立即整改，并定期开展“回头看”，对</w:t>
      </w:r>
      <w:r>
        <w:rPr>
          <w:rFonts w:hint="eastAsia" w:ascii="仿宋_GB2312" w:hAnsi="仿宋_GB2312" w:eastAsia="仿宋_GB2312" w:cs="仿宋_GB2312"/>
          <w:i w:val="0"/>
          <w:iCs w:val="0"/>
          <w:caps w:val="0"/>
          <w:color w:val="222222"/>
          <w:spacing w:val="3"/>
          <w:sz w:val="32"/>
          <w:szCs w:val="32"/>
          <w:shd w:val="clear" w:color="auto" w:fill="FFFFFF"/>
          <w:lang w:eastAsia="zh-CN"/>
        </w:rPr>
        <w:t>存在问题</w:t>
      </w:r>
      <w:r>
        <w:rPr>
          <w:rFonts w:hint="eastAsia" w:ascii="仿宋_GB2312" w:hAnsi="仿宋_GB2312" w:eastAsia="仿宋_GB2312" w:cs="仿宋_GB2312"/>
          <w:i w:val="0"/>
          <w:iCs w:val="0"/>
          <w:caps w:val="0"/>
          <w:color w:val="222222"/>
          <w:spacing w:val="3"/>
          <w:sz w:val="32"/>
          <w:szCs w:val="32"/>
          <w:shd w:val="clear" w:color="auto" w:fill="FFFFFF"/>
        </w:rPr>
        <w:t>的单位依法严肃查处。</w:t>
      </w:r>
      <w:r>
        <w:rPr>
          <w:rFonts w:hint="eastAsia" w:ascii="仿宋" w:hAnsi="仿宋" w:eastAsia="仿宋" w:cs="仿宋"/>
          <w:color w:val="auto"/>
          <w:sz w:val="32"/>
          <w:szCs w:val="32"/>
          <w:lang w:val="en-US" w:eastAsia="zh-CN"/>
        </w:rPr>
        <w:t>今年以来共累计监督3000多家次，下达整改意见书及疫情防控文书800余份，停业整顿320多家次。</w:t>
      </w:r>
    </w:p>
    <w:p>
      <w:pPr>
        <w:keepNext w:val="0"/>
        <w:keepLines w:val="0"/>
        <w:pageBreakBefore w:val="0"/>
        <w:numPr>
          <w:ilvl w:val="0"/>
          <w:numId w:val="0"/>
        </w:numPr>
        <w:kinsoku/>
        <w:wordWrap/>
        <w:overflowPunct/>
        <w:topLinePunct w:val="0"/>
        <w:autoSpaceDE/>
        <w:autoSpaceDN/>
        <w:bidi w:val="0"/>
        <w:adjustRightInd/>
        <w:snapToGrid/>
        <w:spacing w:line="620" w:lineRule="exact"/>
        <w:ind w:firstLine="643" w:firstLineChars="200"/>
        <w:textAlignment w:val="auto"/>
        <w:rPr>
          <w:rFonts w:hint="default" w:ascii="楷体" w:hAnsi="楷体" w:eastAsia="楷体" w:cs="楷体"/>
          <w:b/>
          <w:bCs/>
          <w:color w:val="auto"/>
          <w:sz w:val="32"/>
          <w:szCs w:val="32"/>
          <w:lang w:val="en-US" w:eastAsia="zh-CN"/>
        </w:rPr>
      </w:pPr>
      <w:r>
        <w:rPr>
          <w:rFonts w:hint="eastAsia" w:ascii="楷体" w:hAnsi="楷体" w:eastAsia="楷体" w:cs="楷体"/>
          <w:b/>
          <w:bCs/>
          <w:color w:val="auto"/>
          <w:sz w:val="32"/>
          <w:szCs w:val="32"/>
          <w:lang w:val="en-US" w:eastAsia="zh-CN"/>
        </w:rPr>
        <w:t>（二）完成文明城市检查</w:t>
      </w:r>
    </w:p>
    <w:p>
      <w:pPr>
        <w:keepNext w:val="0"/>
        <w:keepLines w:val="0"/>
        <w:pageBreakBefore w:val="0"/>
        <w:numPr>
          <w:ilvl w:val="0"/>
          <w:numId w:val="0"/>
        </w:numPr>
        <w:kinsoku/>
        <w:wordWrap/>
        <w:overflowPunct/>
        <w:topLinePunct w:val="0"/>
        <w:autoSpaceDE/>
        <w:autoSpaceDN/>
        <w:bidi w:val="0"/>
        <w:adjustRightInd/>
        <w:snapToGrid/>
        <w:spacing w:line="620" w:lineRule="exact"/>
        <w:ind w:firstLine="640" w:firstLineChars="200"/>
        <w:textAlignment w:val="auto"/>
        <w:rPr>
          <w:rFonts w:hint="eastAsia" w:ascii="仿宋_GB2312" w:hAnsi="仿宋_GB2312" w:eastAsia="仿宋_GB2312" w:cs="仿宋_GB2312"/>
          <w:color w:val="000000"/>
          <w:kern w:val="0"/>
          <w:sz w:val="32"/>
          <w:szCs w:val="32"/>
          <w:lang w:val="en-US" w:eastAsia="zh-CN" w:bidi="ar-SA"/>
        </w:rPr>
      </w:pPr>
      <w:r>
        <w:rPr>
          <w:rFonts w:hint="eastAsia" w:ascii="仿宋_GB2312" w:hAnsi="仿宋_GB2312" w:eastAsia="仿宋_GB2312" w:cs="仿宋_GB2312"/>
          <w:color w:val="000000"/>
          <w:kern w:val="0"/>
          <w:sz w:val="32"/>
          <w:szCs w:val="32"/>
          <w:lang w:val="en-US" w:eastAsia="zh-CN" w:bidi="ar-SA"/>
        </w:rPr>
        <w:t>全力保障公共场所卫生安全，与文明城市复审工作相融合。对全区1800多家公共场所实行监督覆盖，下达卫生监督意见书2800多份，张贴公示牌、标志、宣传图片3000多张，办理健康证 7500多个，公共场所卫生许可证持证率达到100%。</w:t>
      </w:r>
    </w:p>
    <w:p>
      <w:pPr>
        <w:keepNext w:val="0"/>
        <w:keepLines w:val="0"/>
        <w:pageBreakBefore w:val="0"/>
        <w:numPr>
          <w:ilvl w:val="0"/>
          <w:numId w:val="0"/>
        </w:numPr>
        <w:kinsoku/>
        <w:wordWrap/>
        <w:overflowPunct/>
        <w:topLinePunct w:val="0"/>
        <w:autoSpaceDE/>
        <w:autoSpaceDN/>
        <w:bidi w:val="0"/>
        <w:adjustRightInd/>
        <w:snapToGrid/>
        <w:spacing w:line="620" w:lineRule="exact"/>
        <w:ind w:firstLine="643" w:firstLineChars="200"/>
        <w:textAlignment w:val="auto"/>
        <w:rPr>
          <w:rFonts w:hint="default" w:ascii="楷体" w:hAnsi="楷体" w:eastAsia="楷体" w:cs="楷体"/>
          <w:b/>
          <w:bCs/>
          <w:color w:val="auto"/>
          <w:sz w:val="32"/>
          <w:szCs w:val="32"/>
          <w:lang w:val="en-US" w:eastAsia="zh-CN"/>
        </w:rPr>
      </w:pPr>
      <w:r>
        <w:rPr>
          <w:rFonts w:hint="eastAsia" w:ascii="楷体" w:hAnsi="楷体" w:eastAsia="楷体" w:cs="楷体"/>
          <w:b/>
          <w:bCs/>
          <w:color w:val="auto"/>
          <w:sz w:val="32"/>
          <w:szCs w:val="32"/>
          <w:lang w:val="en-US" w:eastAsia="zh-CN"/>
        </w:rPr>
        <w:t>（三）加强安全生产</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620" w:lineRule="exact"/>
        <w:ind w:firstLine="640" w:firstLineChars="200"/>
        <w:jc w:val="both"/>
        <w:textAlignment w:val="auto"/>
        <w:rPr>
          <w:rFonts w:hint="default" w:ascii="仿宋_GB2312" w:hAnsi="仿宋_GB2312" w:eastAsia="仿宋_GB2312" w:cs="仿宋_GB2312"/>
          <w:color w:val="000000"/>
          <w:kern w:val="0"/>
          <w:sz w:val="32"/>
          <w:szCs w:val="32"/>
          <w:lang w:val="en-US" w:eastAsia="zh-CN" w:bidi="ar-SA"/>
        </w:rPr>
      </w:pPr>
      <w:r>
        <w:rPr>
          <w:rFonts w:hint="eastAsia" w:ascii="仿宋_GB2312" w:hAnsi="仿宋_GB2312" w:eastAsia="仿宋_GB2312" w:cs="仿宋_GB2312"/>
          <w:color w:val="000000"/>
          <w:kern w:val="0"/>
          <w:sz w:val="32"/>
          <w:szCs w:val="32"/>
          <w:lang w:val="en-US" w:eastAsia="zh-CN" w:bidi="ar-SA"/>
        </w:rPr>
        <w:t>一是成立安全生产工作小组，由主要负责人任组长，分管领导任副组长，推动单位安全生产工作；二是坚持日常安全生产工作检查，确保单位的用电、用水、用气安全，消防设备、设施正常运转；三是加强安全生产知识培训，年内参加了岳阳市卫生健康委员会组织的安全生产培训并邀请消防协会来我局授课。</w:t>
      </w:r>
    </w:p>
    <w:p>
      <w:pPr>
        <w:keepNext w:val="0"/>
        <w:keepLines w:val="0"/>
        <w:pageBreakBefore w:val="0"/>
        <w:numPr>
          <w:ilvl w:val="0"/>
          <w:numId w:val="0"/>
        </w:numPr>
        <w:kinsoku/>
        <w:wordWrap/>
        <w:overflowPunct/>
        <w:topLinePunct w:val="0"/>
        <w:autoSpaceDE/>
        <w:autoSpaceDN/>
        <w:bidi w:val="0"/>
        <w:adjustRightInd/>
        <w:snapToGrid/>
        <w:spacing w:line="620" w:lineRule="exact"/>
        <w:ind w:firstLine="643" w:firstLineChars="200"/>
        <w:textAlignment w:val="auto"/>
        <w:rPr>
          <w:rFonts w:hint="default" w:ascii="楷体" w:hAnsi="楷体" w:eastAsia="楷体" w:cs="楷体"/>
          <w:b/>
          <w:bCs/>
          <w:color w:val="auto"/>
          <w:sz w:val="32"/>
          <w:szCs w:val="32"/>
          <w:lang w:val="en-US" w:eastAsia="zh-CN"/>
        </w:rPr>
      </w:pPr>
      <w:r>
        <w:rPr>
          <w:rFonts w:hint="eastAsia" w:ascii="楷体" w:hAnsi="楷体" w:eastAsia="楷体" w:cs="楷体"/>
          <w:b/>
          <w:bCs/>
          <w:color w:val="auto"/>
          <w:sz w:val="32"/>
          <w:szCs w:val="32"/>
          <w:lang w:val="en-US" w:eastAsia="zh-CN"/>
        </w:rPr>
        <w:t>（四）开展专项行动</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620" w:lineRule="exact"/>
        <w:ind w:firstLine="640" w:firstLineChars="200"/>
        <w:jc w:val="both"/>
        <w:textAlignment w:val="auto"/>
        <w:rPr>
          <w:rFonts w:hint="eastAsia" w:ascii="仿宋_GB2312" w:hAnsi="仿宋_GB2312" w:eastAsia="仿宋_GB2312" w:cs="仿宋_GB2312"/>
          <w:color w:val="auto"/>
          <w:sz w:val="32"/>
          <w:szCs w:val="32"/>
          <w:u w:val="none"/>
          <w:lang w:val="en-US" w:eastAsia="zh-CN"/>
        </w:rPr>
      </w:pPr>
      <w:r>
        <w:rPr>
          <w:rFonts w:hint="eastAsia" w:ascii="仿宋_GB2312" w:hAnsi="仿宋_GB2312" w:eastAsia="仿宋_GB2312" w:cs="仿宋_GB2312"/>
          <w:color w:val="000000"/>
          <w:kern w:val="0"/>
          <w:sz w:val="32"/>
          <w:szCs w:val="32"/>
          <w:lang w:val="en-US" w:eastAsia="zh-CN" w:bidi="ar-SA"/>
        </w:rPr>
        <w:t>根据区卫生健康局</w:t>
      </w:r>
      <w:r>
        <w:rPr>
          <w:rFonts w:hint="default" w:ascii="仿宋_GB2312" w:hAnsi="仿宋_GB2312" w:eastAsia="仿宋_GB2312" w:cs="仿宋_GB2312"/>
          <w:color w:val="000000"/>
          <w:kern w:val="0"/>
          <w:sz w:val="32"/>
          <w:szCs w:val="32"/>
          <w:lang w:val="en-US" w:eastAsia="zh-CN" w:bidi="ar-SA"/>
        </w:rPr>
        <w:t>关于医疗卫生行业综合监管专项整治的</w:t>
      </w:r>
      <w:r>
        <w:rPr>
          <w:rFonts w:hint="eastAsia" w:ascii="仿宋_GB2312" w:hAnsi="仿宋_GB2312" w:eastAsia="仿宋_GB2312" w:cs="仿宋_GB2312"/>
          <w:color w:val="000000"/>
          <w:kern w:val="0"/>
          <w:sz w:val="32"/>
          <w:szCs w:val="32"/>
          <w:lang w:val="en-US" w:eastAsia="zh-CN" w:bidi="ar-SA"/>
        </w:rPr>
        <w:t>要求，</w:t>
      </w:r>
      <w:r>
        <w:rPr>
          <w:rFonts w:hint="eastAsia" w:ascii="仿宋" w:hAnsi="仿宋" w:eastAsia="仿宋" w:cs="仿宋"/>
          <w:sz w:val="32"/>
          <w:szCs w:val="32"/>
          <w:lang w:val="en-US" w:eastAsia="zh-CN"/>
        </w:rPr>
        <w:t>我局陆续开展了</w:t>
      </w:r>
      <w:r>
        <w:rPr>
          <w:rFonts w:hint="eastAsia" w:ascii="仿宋_GB2312" w:hAnsi="仿宋_GB2312" w:eastAsia="仿宋_GB2312" w:cs="仿宋_GB2312"/>
          <w:color w:val="000000"/>
          <w:kern w:val="0"/>
          <w:sz w:val="32"/>
          <w:szCs w:val="32"/>
          <w:lang w:val="en-US" w:eastAsia="zh-CN" w:bidi="ar-SA"/>
        </w:rPr>
        <w:t>打击非法行医、民营医院专项整治、医疗美容机构专项整治、精麻药品管理专项整治等13项专项整治行动，成效显著。根据上级要求，我局还开展了区级公立医院与社区卫生服务中心专项监督检查，医疗机构消毒效果采样检测，楼区范围内8家二级医院医疗污水处置的环保督查，市卫健委组织的全市医疗乱象整治等工作，较好地完成了任务。另外我局还</w:t>
      </w:r>
      <w:r>
        <w:rPr>
          <w:rFonts w:hint="eastAsia" w:ascii="仿宋" w:hAnsi="仿宋" w:eastAsia="仿宋" w:cs="仿宋"/>
          <w:color w:val="000000"/>
          <w:kern w:val="0"/>
          <w:sz w:val="31"/>
          <w:szCs w:val="31"/>
          <w:lang w:val="en-US" w:eastAsia="zh-CN" w:bidi="ar"/>
        </w:rPr>
        <w:t>制定并落实了</w:t>
      </w:r>
      <w:r>
        <w:rPr>
          <w:rFonts w:ascii="仿宋" w:hAnsi="仿宋" w:eastAsia="仿宋" w:cs="仿宋"/>
          <w:color w:val="000000"/>
          <w:kern w:val="0"/>
          <w:sz w:val="31"/>
          <w:szCs w:val="31"/>
          <w:lang w:val="en-US" w:eastAsia="zh-CN" w:bidi="ar"/>
        </w:rPr>
        <w:t>《岳阳楼区卫生健康系统开展医疗卫生行业乱象专项</w:t>
      </w:r>
      <w:r>
        <w:rPr>
          <w:rFonts w:hint="eastAsia" w:ascii="仿宋" w:hAnsi="仿宋" w:eastAsia="仿宋" w:cs="仿宋"/>
          <w:color w:val="000000"/>
          <w:kern w:val="0"/>
          <w:sz w:val="31"/>
          <w:szCs w:val="31"/>
          <w:lang w:val="en-US" w:eastAsia="zh-CN" w:bidi="ar"/>
        </w:rPr>
        <w:t>整治行动方案》，</w:t>
      </w:r>
      <w:r>
        <w:rPr>
          <w:rFonts w:hint="eastAsia" w:ascii="仿宋_GB2312" w:hAnsi="仿宋_GB2312" w:eastAsia="仿宋_GB2312" w:cs="仿宋_GB2312"/>
          <w:color w:val="auto"/>
          <w:sz w:val="32"/>
          <w:szCs w:val="32"/>
          <w:u w:val="none"/>
          <w:lang w:val="en-US" w:eastAsia="zh-CN"/>
        </w:rPr>
        <w:t>整治行动共向公安部门移送涉嫌非法行医罪案件2起,取缔非法行医场所2处,对重大违法行为立案6起,报请上级依法注销《医疗机构执业许可证》7家,责令定期校验医疗机构6家。</w:t>
      </w:r>
    </w:p>
    <w:p>
      <w:pPr>
        <w:pStyle w:val="13"/>
        <w:rPr>
          <w:rFonts w:hint="eastAsia" w:ascii="楷体" w:hAnsi="楷体" w:eastAsia="楷体" w:cs="楷体"/>
          <w:b/>
          <w:bCs/>
          <w:color w:val="000000"/>
          <w:kern w:val="0"/>
          <w:sz w:val="32"/>
          <w:szCs w:val="32"/>
          <w:lang w:val="en-US" w:eastAsia="zh-CN" w:bidi="ar-SA"/>
        </w:rPr>
      </w:pPr>
      <w:r>
        <w:rPr>
          <w:rFonts w:hint="eastAsia" w:ascii="楷体" w:hAnsi="楷体" w:eastAsia="楷体" w:cs="楷体"/>
          <w:b/>
          <w:bCs/>
          <w:color w:val="000000"/>
          <w:kern w:val="0"/>
          <w:sz w:val="32"/>
          <w:szCs w:val="32"/>
          <w:lang w:val="en-US" w:eastAsia="zh-CN" w:bidi="ar-SA"/>
        </w:rPr>
        <w:t xml:space="preserve">    （五）加大办案力度</w:t>
      </w:r>
    </w:p>
    <w:p>
      <w:pPr>
        <w:pStyle w:val="13"/>
        <w:ind w:firstLine="640" w:firstLineChars="200"/>
        <w:rPr>
          <w:rFonts w:hint="eastAsia"/>
          <w:lang w:val="en-US" w:eastAsia="zh-CN"/>
        </w:rPr>
      </w:pPr>
      <w:r>
        <w:rPr>
          <w:rFonts w:hint="eastAsia" w:ascii="仿宋_GB2312" w:hAnsi="仿宋_GB2312" w:eastAsia="仿宋_GB2312" w:cs="仿宋_GB2312"/>
          <w:color w:val="000000"/>
          <w:kern w:val="0"/>
          <w:sz w:val="32"/>
          <w:szCs w:val="32"/>
          <w:lang w:val="en-US" w:eastAsia="zh-CN" w:bidi="ar-SA"/>
        </w:rPr>
        <w:t>今年我局共办理卫生行政处罚案件136起，罚没款突破32万元。打击非法行医有所成效，共办理非法行医案件6起，加强行刑衔接，3起涉嫌非法行医罪案件移送到公安机关，2起行政处罚案件申请法院强制执行。</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七、存在的问题及原因分析</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Calibri" w:hAnsi="Calibri" w:eastAsia="仿宋_GB2312" w:cs="Times New Roman"/>
          <w:sz w:val="32"/>
          <w:szCs w:val="32"/>
        </w:rPr>
      </w:pPr>
      <w:r>
        <w:rPr>
          <w:rFonts w:hint="eastAsia" w:ascii="Calibri" w:hAnsi="Calibri" w:eastAsia="仿宋_GB2312" w:cs="Times New Roman"/>
          <w:sz w:val="32"/>
          <w:szCs w:val="32"/>
        </w:rPr>
        <w:t>1、卫生监督员队伍的整体素质不高，且专业结构不合理，与当前的工作要求有差距。目前</w:t>
      </w:r>
      <w:r>
        <w:rPr>
          <w:rFonts w:hint="eastAsia" w:ascii="Calibri" w:hAnsi="Calibri" w:eastAsia="仿宋_GB2312" w:cs="Times New Roman"/>
          <w:sz w:val="32"/>
          <w:szCs w:val="32"/>
          <w:lang w:val="en-US" w:eastAsia="zh-CN"/>
        </w:rPr>
        <w:t>我区</w:t>
      </w:r>
      <w:r>
        <w:rPr>
          <w:rFonts w:hint="eastAsia" w:ascii="Calibri" w:hAnsi="Calibri" w:eastAsia="仿宋_GB2312" w:cs="Times New Roman"/>
          <w:sz w:val="32"/>
          <w:szCs w:val="32"/>
        </w:rPr>
        <w:t>卫生计生综合监督执法局工作人员第一学历为本科及以上学历的仅占 30.7%，具有公卫、医疗及法律等相关专业背景人员</w:t>
      </w:r>
      <w:r>
        <w:rPr>
          <w:rFonts w:hint="eastAsia" w:ascii="Calibri" w:hAnsi="Calibri" w:eastAsia="仿宋_GB2312" w:cs="Times New Roman"/>
          <w:sz w:val="32"/>
          <w:szCs w:val="32"/>
          <w:lang w:val="en-US" w:eastAsia="zh-CN"/>
        </w:rPr>
        <w:t>8</w:t>
      </w:r>
      <w:r>
        <w:rPr>
          <w:rFonts w:hint="eastAsia" w:ascii="Calibri" w:hAnsi="Calibri" w:eastAsia="仿宋_GB2312" w:cs="Times New Roman"/>
          <w:sz w:val="32"/>
          <w:szCs w:val="32"/>
        </w:rPr>
        <w:t>人第一学历为本科及以上，</w:t>
      </w:r>
      <w:r>
        <w:rPr>
          <w:rFonts w:hint="eastAsia" w:ascii="Calibri" w:hAnsi="Calibri" w:eastAsia="仿宋_GB2312" w:cs="Times New Roman"/>
          <w:sz w:val="32"/>
          <w:szCs w:val="32"/>
          <w:lang w:val="en-US" w:eastAsia="zh-CN"/>
        </w:rPr>
        <w:t>10</w:t>
      </w:r>
      <w:r>
        <w:rPr>
          <w:rFonts w:hint="eastAsia" w:ascii="Calibri" w:hAnsi="Calibri" w:eastAsia="仿宋_GB2312" w:cs="Times New Roman"/>
          <w:sz w:val="32"/>
          <w:szCs w:val="32"/>
        </w:rPr>
        <w:t>人为在职本科，</w:t>
      </w:r>
      <w:r>
        <w:rPr>
          <w:rFonts w:hint="eastAsia" w:ascii="Calibri" w:hAnsi="Calibri" w:eastAsia="仿宋_GB2312" w:cs="Times New Roman"/>
          <w:sz w:val="32"/>
          <w:szCs w:val="32"/>
          <w:lang w:val="en-US" w:eastAsia="zh-CN"/>
        </w:rPr>
        <w:t>9</w:t>
      </w:r>
      <w:r>
        <w:rPr>
          <w:rFonts w:hint="eastAsia" w:ascii="Calibri" w:hAnsi="Calibri" w:eastAsia="仿宋_GB2312" w:cs="Times New Roman"/>
          <w:sz w:val="32"/>
          <w:szCs w:val="32"/>
        </w:rPr>
        <w:t>人为非相关专业在职本科学历。卫生监督工作是政策性、专业性、技术性的集合体，承担着为人民健康服务、为促进经济建设服务的任务工作繁重责任重大。</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Calibri" w:hAnsi="Calibri" w:eastAsia="仿宋_GB2312" w:cs="Times New Roman"/>
          <w:sz w:val="32"/>
          <w:szCs w:val="32"/>
        </w:rPr>
      </w:pPr>
      <w:r>
        <w:rPr>
          <w:rFonts w:hint="eastAsia" w:ascii="Calibri" w:hAnsi="Calibri" w:eastAsia="仿宋_GB2312" w:cs="Times New Roman"/>
          <w:sz w:val="32"/>
          <w:szCs w:val="32"/>
        </w:rPr>
        <w:t>2、卫生监督人员编制不足，不能满足经济社会发展需求。根据国家相关要求根据当地经济社会发展情况每万人配备1-1.5名卫生监督人员。而我区卫生监督机构仅达到每万人配备 0.65名专职卫生监督人员近年来我区卫生监督机构编制不增反降，近五年没招录专业对口新人最年轻的在编监督员年龄也达到了 36周岁，人员年龄结构严重不符合可持续发展要求</w:t>
      </w:r>
    </w:p>
    <w:p>
      <w:pPr>
        <w:pStyle w:val="2"/>
        <w:ind w:firstLine="640" w:firstLineChars="200"/>
        <w:rPr>
          <w:rFonts w:hint="eastAsia" w:ascii="Calibri" w:hAnsi="Calibri" w:eastAsia="仿宋_GB2312" w:cs="Times New Roman"/>
          <w:kern w:val="2"/>
          <w:sz w:val="32"/>
          <w:szCs w:val="32"/>
          <w:lang w:val="en-US" w:eastAsia="zh-CN" w:bidi="ar-SA"/>
        </w:rPr>
      </w:pPr>
      <w:r>
        <w:rPr>
          <w:rFonts w:hint="eastAsia" w:ascii="Calibri" w:hAnsi="Calibri" w:eastAsia="仿宋_GB2312" w:cs="Times New Roman"/>
          <w:kern w:val="2"/>
          <w:sz w:val="32"/>
          <w:szCs w:val="32"/>
          <w:lang w:val="en-US" w:eastAsia="zh-CN" w:bidi="ar-SA"/>
        </w:rPr>
        <w:t>3、财政资料不能满足卫生监督工作的需求目前，随着卫生监督体质的不断改革深化，之前存在的诸多收费项目逐步被取消，导致卫生监督结构在执法收入上锐减、财政划拨经费的短缺，资金支持不能及时到位的现象更是给卫生监督机构在执法过程中造成了极大的困难。财政资金支持力度直接决定了各级卫生监督机构的生存状况，对全省范围内的卫生监督体系建设造成了巨大的阻碍。同时资金短缺也造成了卫生局下属的卫监所等乡镇卫生监督机构执法方面的困难这对于卫生监督职能的全面展开造成了不利的影响。</w:t>
      </w:r>
    </w:p>
    <w:p>
      <w:pPr>
        <w:ind w:firstLine="640" w:firstLineChars="200"/>
        <w:rPr>
          <w:rFonts w:hint="eastAsia" w:ascii="Calibri" w:hAnsi="Calibri" w:eastAsia="仿宋_GB2312" w:cs="Times New Roman"/>
          <w:kern w:val="2"/>
          <w:sz w:val="32"/>
          <w:szCs w:val="32"/>
          <w:lang w:val="en-US" w:eastAsia="zh-CN" w:bidi="ar-SA"/>
        </w:rPr>
      </w:pPr>
      <w:r>
        <w:rPr>
          <w:rFonts w:hint="eastAsia" w:ascii="Calibri" w:hAnsi="Calibri" w:eastAsia="仿宋_GB2312" w:cs="Times New Roman"/>
          <w:kern w:val="2"/>
          <w:sz w:val="32"/>
          <w:szCs w:val="32"/>
          <w:lang w:val="en-US" w:eastAsia="zh-CN" w:bidi="ar-SA"/>
        </w:rPr>
        <w:t>4、卫生监督体制改革不完善</w:t>
      </w:r>
    </w:p>
    <w:p>
      <w:pPr>
        <w:ind w:firstLine="640" w:firstLineChars="200"/>
        <w:rPr>
          <w:rFonts w:hint="eastAsia"/>
          <w:lang w:val="en-US" w:eastAsia="zh-CN"/>
        </w:rPr>
      </w:pPr>
      <w:r>
        <w:rPr>
          <w:rFonts w:hint="eastAsia" w:ascii="Calibri" w:hAnsi="Calibri" w:eastAsia="仿宋_GB2312" w:cs="Times New Roman"/>
          <w:kern w:val="2"/>
          <w:sz w:val="32"/>
          <w:szCs w:val="32"/>
          <w:lang w:val="en-US" w:eastAsia="zh-CN" w:bidi="ar-SA"/>
        </w:rPr>
        <w:t>现阶段，虽然已经建立全国卫生监督体系，但也存在诸多不利因素，在省、地市、县区三级卫生监督机构中，执法主体仍待解决，机构设置仍未落实。主要表现为 :未体现国家卫生行政执法属性，未明确卫生监督机构性质，未解决监督执法主体地位。为统一和规范各地卫生监督机构的内设部门、行政级别、单位名称、人员管理等，未明确卫生监督机构职能以及职权范围同时 也未明确分工监督和检测内容尽管我国已经成立卫生监督局但是并不属于独立单位，从而对执法的权威性造成一定的影响，不能在全国范围内造大声势进而出现卫生执法不力的形象。以上情况均突出了卫生监督体制改革不完善问题</w:t>
      </w:r>
      <w:r>
        <w:rPr>
          <w:rFonts w:hint="eastAsia"/>
          <w:lang w:val="en-US" w:eastAsia="zh-CN"/>
        </w:rPr>
        <w:t>。</w:t>
      </w:r>
    </w:p>
    <w:p>
      <w:pPr>
        <w:pStyle w:val="2"/>
        <w:rPr>
          <w:rFonts w:hint="eastAsia" w:ascii="Calibri" w:hAnsi="Calibri" w:eastAsia="仿宋_GB2312" w:cs="Times New Roman"/>
          <w:kern w:val="2"/>
          <w:sz w:val="32"/>
          <w:szCs w:val="32"/>
          <w:lang w:val="en-US" w:eastAsia="zh-CN" w:bidi="ar-SA"/>
        </w:rPr>
      </w:pPr>
      <w:r>
        <w:rPr>
          <w:rFonts w:hint="eastAsia" w:ascii="Calibri" w:hAnsi="Calibri" w:eastAsia="仿宋_GB2312" w:cs="Times New Roman"/>
          <w:kern w:val="2"/>
          <w:sz w:val="32"/>
          <w:szCs w:val="32"/>
          <w:lang w:val="en-US" w:eastAsia="zh-CN" w:bidi="ar-SA"/>
        </w:rPr>
        <w:t>5、职能与权力不对称</w:t>
      </w:r>
    </w:p>
    <w:p>
      <w:pPr>
        <w:pStyle w:val="2"/>
        <w:rPr>
          <w:rFonts w:hint="eastAsia" w:ascii="Calibri" w:hAnsi="Calibri" w:eastAsia="仿宋_GB2312" w:cs="Times New Roman"/>
          <w:kern w:val="2"/>
          <w:sz w:val="32"/>
          <w:szCs w:val="32"/>
          <w:lang w:val="en-US" w:eastAsia="zh-CN" w:bidi="ar-SA"/>
        </w:rPr>
      </w:pPr>
      <w:r>
        <w:rPr>
          <w:rFonts w:hint="eastAsia" w:ascii="Calibri" w:hAnsi="Calibri" w:eastAsia="仿宋_GB2312" w:cs="Times New Roman"/>
          <w:kern w:val="2"/>
          <w:sz w:val="32"/>
          <w:szCs w:val="32"/>
          <w:lang w:val="en-US" w:eastAsia="zh-CN" w:bidi="ar-SA"/>
        </w:rPr>
        <w:t>在国内，卫生监督体系的建设起步相对较晚，虽然经过不断的深化改革，但至今体质建设仍处于探索阶段。在目前的卫生监督体系下，乡镇级别的卫生监督所和卫生院都属于卫生局的下属单位，让卫生监督所在卫生院行使卫生监督职能，难以公平、公正地进行职能的开展。作为卫生监督所和卫生院的上级单位，也很难平衡两者之间的各种矛盾冲突难以对其进行公平、公正的协调，这导致卫生监督机构执法举步维艰，寸步难行。除此之外，目前在食品各环节的监督管理因为管理方面的权利交叠，利益冲突，导致食品质量问题频出却找不到任何有效的改善措施，其原因在于在食品卫生监督管理过程中，质监部门负责食品的源头管理，工商部门负责流通环节的管理监督，食品药监局又独揽了餐饮行业的监督大权，这些相互交织的权利，在进行执法过程中，各自为政，互不相让，导致出现了权利的真空。在出现质量问题时，又相互推诿，推卸职责，执法效率低下。同时，执法范围的交互重叠也造成了各单位检查的负担。目前在学校企业等单位内不仅要接受质监部门、工商部门的监督检查还要接受食品药品监督管理局的监督检查，这些单位不监督的重复检查造成了学校、企业等单位检查成本的不断飙升付出了较多的精力和成本，其效率也难以达到合人满意的地步，阻碍了卫生监督工作的落实。</w:t>
      </w:r>
    </w:p>
    <w:p>
      <w:pPr>
        <w:keepNext w:val="0"/>
        <w:keepLines w:val="0"/>
        <w:pageBreakBefore w:val="0"/>
        <w:widowControl w:val="0"/>
        <w:numPr>
          <w:ilvl w:val="0"/>
          <w:numId w:val="4"/>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下一步改进措施</w:t>
      </w:r>
    </w:p>
    <w:p>
      <w:pPr>
        <w:pStyle w:val="2"/>
        <w:numPr>
          <w:ilvl w:val="0"/>
          <w:numId w:val="0"/>
        </w:numPr>
        <w:rPr>
          <w:rFonts w:hint="default" w:ascii="仿宋" w:hAnsi="仿宋" w:eastAsia="仿宋" w:cs="仿宋"/>
          <w:b w:val="0"/>
          <w:bCs w:val="0"/>
          <w:color w:val="000000"/>
          <w:kern w:val="0"/>
          <w:sz w:val="32"/>
          <w:szCs w:val="32"/>
          <w:lang w:val="en-US" w:eastAsia="zh-CN" w:bidi="ar-SA"/>
        </w:rPr>
      </w:pPr>
      <w:r>
        <w:rPr>
          <w:rFonts w:hint="eastAsia" w:ascii="仿宋" w:hAnsi="仿宋" w:eastAsia="仿宋" w:cs="仿宋"/>
          <w:b w:val="0"/>
          <w:bCs w:val="0"/>
          <w:color w:val="000000"/>
          <w:kern w:val="0"/>
          <w:sz w:val="32"/>
          <w:szCs w:val="32"/>
          <w:lang w:val="en-US" w:eastAsia="zh-CN" w:bidi="ar-SA"/>
        </w:rPr>
        <w:t>（一）加强单位内部体系建设</w:t>
      </w:r>
    </w:p>
    <w:p>
      <w:pPr>
        <w:keepNext w:val="0"/>
        <w:keepLines w:val="0"/>
        <w:pageBreakBefore w:val="0"/>
        <w:widowControl w:val="0"/>
        <w:numPr>
          <w:ilvl w:val="0"/>
          <w:numId w:val="0"/>
        </w:numPr>
        <w:kinsoku/>
        <w:wordWrap/>
        <w:overflowPunct/>
        <w:topLinePunct w:val="0"/>
        <w:autoSpaceDE/>
        <w:autoSpaceDN/>
        <w:bidi w:val="0"/>
        <w:adjustRightInd/>
        <w:snapToGrid/>
        <w:spacing w:line="620" w:lineRule="exact"/>
        <w:ind w:firstLine="643" w:firstLineChars="200"/>
        <w:jc w:val="both"/>
        <w:textAlignment w:val="auto"/>
        <w:rPr>
          <w:rFonts w:hint="default" w:ascii="仿宋" w:hAnsi="仿宋" w:eastAsia="仿宋" w:cs="仿宋"/>
          <w:b w:val="0"/>
          <w:bCs w:val="0"/>
          <w:sz w:val="32"/>
          <w:szCs w:val="32"/>
          <w:lang w:val="en-US" w:eastAsia="zh-CN"/>
        </w:rPr>
      </w:pPr>
      <w:r>
        <w:rPr>
          <w:rFonts w:hint="eastAsia" w:ascii="楷体" w:hAnsi="楷体" w:eastAsia="楷体" w:cs="楷体"/>
          <w:b/>
          <w:bCs/>
          <w:sz w:val="32"/>
          <w:szCs w:val="32"/>
          <w:lang w:val="en-US" w:eastAsia="zh-CN"/>
        </w:rPr>
        <w:t>加强队伍建设。</w:t>
      </w:r>
      <w:r>
        <w:rPr>
          <w:rFonts w:hint="eastAsia" w:ascii="仿宋" w:hAnsi="仿宋" w:eastAsia="仿宋" w:cs="仿宋"/>
          <w:b w:val="0"/>
          <w:bCs w:val="0"/>
          <w:sz w:val="32"/>
          <w:szCs w:val="32"/>
          <w:lang w:val="en-US" w:eastAsia="zh-CN"/>
        </w:rPr>
        <w:t>以党建、政工、纪检、宣传为抓手，强化政治素质；以网络学习、外出培训、内部上课、知识竞赛、案卷评查等方式强化业务素质，进一步提高队伍的德、能、勤、绩、廉综合素质。</w:t>
      </w:r>
    </w:p>
    <w:p>
      <w:pPr>
        <w:pStyle w:val="13"/>
        <w:keepNext w:val="0"/>
        <w:keepLines w:val="0"/>
        <w:pageBreakBefore w:val="0"/>
        <w:numPr>
          <w:ilvl w:val="0"/>
          <w:numId w:val="0"/>
        </w:numPr>
        <w:kinsoku/>
        <w:wordWrap/>
        <w:overflowPunct/>
        <w:topLinePunct w:val="0"/>
        <w:bidi w:val="0"/>
        <w:snapToGrid/>
        <w:spacing w:line="620" w:lineRule="exact"/>
        <w:ind w:firstLine="640"/>
        <w:textAlignment w:val="auto"/>
        <w:rPr>
          <w:rFonts w:hint="eastAsia" w:ascii="仿宋" w:hAnsi="仿宋" w:eastAsia="仿宋" w:cs="仿宋"/>
          <w:b w:val="0"/>
          <w:bCs w:val="0"/>
          <w:sz w:val="32"/>
          <w:szCs w:val="32"/>
          <w:lang w:val="en-US" w:eastAsia="zh-CN"/>
        </w:rPr>
      </w:pPr>
      <w:r>
        <w:rPr>
          <w:rFonts w:hint="eastAsia" w:ascii="楷体" w:hAnsi="楷体" w:eastAsia="楷体" w:cs="楷体"/>
          <w:b/>
          <w:bCs/>
          <w:color w:val="auto"/>
          <w:kern w:val="2"/>
          <w:sz w:val="32"/>
          <w:szCs w:val="32"/>
          <w:lang w:val="en-US" w:eastAsia="zh-CN" w:bidi="ar-SA"/>
        </w:rPr>
        <w:t>加强卫生监管。</w:t>
      </w:r>
      <w:r>
        <w:rPr>
          <w:rFonts w:hint="eastAsia" w:ascii="仿宋" w:hAnsi="仿宋" w:eastAsia="仿宋" w:cs="仿宋"/>
          <w:b w:val="0"/>
          <w:bCs w:val="0"/>
          <w:sz w:val="32"/>
          <w:szCs w:val="32"/>
          <w:lang w:val="en-US" w:eastAsia="zh-CN"/>
        </w:rPr>
        <w:t>履行医疗机构、公共场所、学校、饮用水、职业等卫生监督职责，规范案件办理，开展专项整治行动，让行业更加规范。</w:t>
      </w:r>
    </w:p>
    <w:p>
      <w:pPr>
        <w:pStyle w:val="13"/>
        <w:keepNext w:val="0"/>
        <w:keepLines w:val="0"/>
        <w:pageBreakBefore w:val="0"/>
        <w:numPr>
          <w:ilvl w:val="0"/>
          <w:numId w:val="0"/>
        </w:numPr>
        <w:kinsoku/>
        <w:wordWrap/>
        <w:overflowPunct/>
        <w:topLinePunct w:val="0"/>
        <w:bidi w:val="0"/>
        <w:snapToGrid/>
        <w:spacing w:line="620" w:lineRule="exact"/>
        <w:textAlignment w:val="auto"/>
        <w:rPr>
          <w:rFonts w:hint="default" w:ascii="仿宋" w:hAnsi="仿宋" w:eastAsia="仿宋" w:cs="仿宋"/>
          <w:b w:val="0"/>
          <w:bCs w:val="0"/>
          <w:sz w:val="32"/>
          <w:szCs w:val="32"/>
          <w:lang w:val="en-US" w:eastAsia="zh-CN"/>
        </w:rPr>
      </w:pPr>
      <w:r>
        <w:rPr>
          <w:rFonts w:hint="default" w:ascii="仿宋" w:hAnsi="仿宋" w:eastAsia="仿宋" w:cs="仿宋"/>
          <w:b w:val="0"/>
          <w:bCs w:val="0"/>
          <w:sz w:val="32"/>
          <w:szCs w:val="32"/>
          <w:lang w:val="en-US" w:eastAsia="zh-CN"/>
        </w:rPr>
        <w:t>(二)加大财政支持</w:t>
      </w:r>
    </w:p>
    <w:p>
      <w:pPr>
        <w:pStyle w:val="13"/>
        <w:keepNext w:val="0"/>
        <w:keepLines w:val="0"/>
        <w:pageBreakBefore w:val="0"/>
        <w:numPr>
          <w:ilvl w:val="0"/>
          <w:numId w:val="0"/>
        </w:numPr>
        <w:kinsoku/>
        <w:wordWrap/>
        <w:overflowPunct/>
        <w:topLinePunct w:val="0"/>
        <w:bidi w:val="0"/>
        <w:snapToGrid/>
        <w:spacing w:line="620" w:lineRule="exact"/>
        <w:ind w:firstLine="640"/>
        <w:textAlignment w:val="auto"/>
        <w:rPr>
          <w:rFonts w:hint="default" w:ascii="仿宋" w:hAnsi="仿宋" w:eastAsia="仿宋" w:cs="仿宋"/>
          <w:b w:val="0"/>
          <w:bCs w:val="0"/>
          <w:sz w:val="32"/>
          <w:szCs w:val="32"/>
          <w:lang w:val="en-US" w:eastAsia="zh-CN"/>
        </w:rPr>
      </w:pPr>
      <w:r>
        <w:rPr>
          <w:rFonts w:hint="default" w:ascii="仿宋" w:hAnsi="仿宋" w:eastAsia="仿宋" w:cs="仿宋"/>
          <w:b w:val="0"/>
          <w:bCs w:val="0"/>
          <w:sz w:val="32"/>
          <w:szCs w:val="32"/>
          <w:lang w:val="en-US" w:eastAsia="zh-CN"/>
        </w:rPr>
        <w:t>财政支持是卫生监督执法工作开展的前提。近年来，卫生监督执法工作受制于财政经费不足的困扰，导致执法力度不足。目前江苏省范围内已经将卫生监督执法工作的资金列入专项财政支出，以确保经费的及时满额到位。同时，在解决财政资金的良好背景下，重新对卫生监督执法队伍进行人员编制，尽最大可能根据目前的实际状况补充所需的人力。在补充人力的过程中，要严格按照相关规定，招募具有专业背景的卫生监督专业人员，严谨裙带关系人员的进入，确保卫生监督执法队伍整体素质的提升，为全省范围的卫生监督工作提供人力支持和专业保障，为卫生监督工作的全面开展铺平道路。</w:t>
      </w:r>
    </w:p>
    <w:p>
      <w:pPr>
        <w:pStyle w:val="13"/>
        <w:keepNext w:val="0"/>
        <w:keepLines w:val="0"/>
        <w:pageBreakBefore w:val="0"/>
        <w:numPr>
          <w:ilvl w:val="0"/>
          <w:numId w:val="0"/>
        </w:numPr>
        <w:kinsoku/>
        <w:wordWrap/>
        <w:overflowPunct/>
        <w:topLinePunct w:val="0"/>
        <w:bidi w:val="0"/>
        <w:snapToGrid/>
        <w:spacing w:line="620" w:lineRule="exact"/>
        <w:textAlignment w:val="auto"/>
        <w:rPr>
          <w:rFonts w:hint="default" w:ascii="仿宋" w:hAnsi="仿宋" w:eastAsia="仿宋" w:cs="仿宋"/>
          <w:b w:val="0"/>
          <w:bCs w:val="0"/>
          <w:sz w:val="32"/>
          <w:szCs w:val="32"/>
          <w:lang w:val="en-US" w:eastAsia="zh-CN"/>
        </w:rPr>
      </w:pPr>
      <w:r>
        <w:rPr>
          <w:rFonts w:hint="default" w:ascii="仿宋" w:hAnsi="仿宋" w:eastAsia="仿宋" w:cs="仿宋"/>
          <w:b w:val="0"/>
          <w:bCs w:val="0"/>
          <w:sz w:val="32"/>
          <w:szCs w:val="32"/>
          <w:lang w:val="en-US" w:eastAsia="zh-CN"/>
        </w:rPr>
        <w:t>(三)创新机制，为全面依法履行卫生监管职能保驾护</w:t>
      </w:r>
    </w:p>
    <w:p>
      <w:pPr>
        <w:pStyle w:val="13"/>
        <w:keepNext w:val="0"/>
        <w:keepLines w:val="0"/>
        <w:pageBreakBefore w:val="0"/>
        <w:numPr>
          <w:ilvl w:val="0"/>
          <w:numId w:val="0"/>
        </w:numPr>
        <w:kinsoku/>
        <w:wordWrap/>
        <w:overflowPunct/>
        <w:topLinePunct w:val="0"/>
        <w:bidi w:val="0"/>
        <w:snapToGrid/>
        <w:spacing w:line="620" w:lineRule="exact"/>
        <w:ind w:firstLine="640"/>
        <w:textAlignment w:val="auto"/>
        <w:rPr>
          <w:rFonts w:hint="default" w:ascii="仿宋" w:hAnsi="仿宋" w:eastAsia="仿宋" w:cs="仿宋"/>
          <w:b w:val="0"/>
          <w:bCs w:val="0"/>
          <w:sz w:val="32"/>
          <w:szCs w:val="32"/>
          <w:lang w:val="en-US" w:eastAsia="zh-CN"/>
        </w:rPr>
      </w:pPr>
      <w:r>
        <w:rPr>
          <w:rFonts w:hint="default" w:ascii="仿宋" w:hAnsi="仿宋" w:eastAsia="仿宋" w:cs="仿宋"/>
          <w:b w:val="0"/>
          <w:bCs w:val="0"/>
          <w:sz w:val="32"/>
          <w:szCs w:val="32"/>
          <w:lang w:val="en-US" w:eastAsia="zh-CN"/>
        </w:rPr>
        <w:t>航</w:t>
      </w:r>
    </w:p>
    <w:p>
      <w:pPr>
        <w:pStyle w:val="13"/>
        <w:keepNext w:val="0"/>
        <w:keepLines w:val="0"/>
        <w:pageBreakBefore w:val="0"/>
        <w:numPr>
          <w:ilvl w:val="0"/>
          <w:numId w:val="0"/>
        </w:numPr>
        <w:kinsoku/>
        <w:wordWrap/>
        <w:overflowPunct/>
        <w:topLinePunct w:val="0"/>
        <w:bidi w:val="0"/>
        <w:snapToGrid/>
        <w:spacing w:line="620" w:lineRule="exact"/>
        <w:ind w:firstLine="640"/>
        <w:textAlignment w:val="auto"/>
        <w:rPr>
          <w:rFonts w:hint="default" w:ascii="仿宋" w:hAnsi="仿宋" w:eastAsia="仿宋" w:cs="仿宋"/>
          <w:b w:val="0"/>
          <w:bCs w:val="0"/>
          <w:sz w:val="32"/>
          <w:szCs w:val="32"/>
          <w:lang w:val="en-US" w:eastAsia="zh-CN"/>
        </w:rPr>
      </w:pPr>
      <w:r>
        <w:rPr>
          <w:rFonts w:hint="default" w:ascii="仿宋" w:hAnsi="仿宋" w:eastAsia="仿宋" w:cs="仿宋"/>
          <w:b w:val="0"/>
          <w:bCs w:val="0"/>
          <w:sz w:val="32"/>
          <w:szCs w:val="32"/>
          <w:lang w:val="en-US" w:eastAsia="zh-CN"/>
        </w:rPr>
        <w:t>为了能够全面性地做好卫生监督工作，目前，江苏省范围内率先创建市、镇、村三位一体的执法网络，推行卫生监督“重心下沉、关口前移”的监管模式，以便于监督执法工作覆盖到社会的每个角落，确保监督执法真正能沉到底、覆盖到边，解决广大民众最为担心的问题。同时，为了不断提高江苏范围内卫生监督执法队伍的整体素质，卫生监督单位依托强大的财政支持，举办多种专业性的知识讲座、学术研讨会以及建立多处学习培训机构，以充实执法人员的专业能力，提高执法队伍的整体素养[3]。这些内容的开展，有效地提高了卫生监督执法队伍的语言表达、文书书写、信息利用以及问题分析等方面的能力，为确保文明执法、依法执法奠定了良好的基础。</w:t>
      </w:r>
    </w:p>
    <w:p>
      <w:pPr>
        <w:pStyle w:val="13"/>
        <w:keepNext w:val="0"/>
        <w:keepLines w:val="0"/>
        <w:pageBreakBefore w:val="0"/>
        <w:numPr>
          <w:ilvl w:val="0"/>
          <w:numId w:val="0"/>
        </w:numPr>
        <w:kinsoku/>
        <w:wordWrap/>
        <w:overflowPunct/>
        <w:topLinePunct w:val="0"/>
        <w:bidi w:val="0"/>
        <w:snapToGrid/>
        <w:spacing w:line="620" w:lineRule="exact"/>
        <w:textAlignment w:val="auto"/>
        <w:rPr>
          <w:rFonts w:hint="default" w:ascii="仿宋" w:hAnsi="仿宋" w:eastAsia="仿宋" w:cs="仿宋"/>
          <w:b w:val="0"/>
          <w:bCs w:val="0"/>
          <w:sz w:val="32"/>
          <w:szCs w:val="32"/>
          <w:lang w:val="en-US" w:eastAsia="zh-CN"/>
        </w:rPr>
      </w:pPr>
      <w:r>
        <w:rPr>
          <w:rFonts w:hint="default" w:ascii="仿宋" w:hAnsi="仿宋" w:eastAsia="仿宋" w:cs="仿宋"/>
          <w:b w:val="0"/>
          <w:bCs w:val="0"/>
          <w:sz w:val="32"/>
          <w:szCs w:val="32"/>
          <w:lang w:val="en-US" w:eastAsia="zh-CN"/>
        </w:rPr>
        <w:t>(四)深化卫生监督体制改革，加快卫生监督体系建设关于卫生监督体系建设的相关要求卫生部关必须进行明确密且做好落实工作。于药监、工商等监督执法体制改革一样将卫生方面列入国家行政体制改革，做到统一管理。国家应为作为行使权力的卫生监督执法单位单独设立执法机构按照政事分开、综合执法、依法行政、严格管理的原则，建立具有特色社会主义的卫生监督执法新体系，保证与行政执法主体明确、职能完善、体制畅通、行为规范、运转协调执法有力、程序明确，实现全国统一的名称、设置、性质法律地位、人员身份。另外,针对分散的各项卫生行政许可卫生执法应归纳在一个卫生监督部门或机构，综合管理</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九、部门整体支出绩效自评结果拟应用和公开情况</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无其他需要说明的情况</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spacing w:before="169" w:line="776" w:lineRule="exact"/>
        <w:ind w:left="372"/>
        <w:rPr>
          <w:rFonts w:hint="eastAsia" w:ascii="宋体" w:hAnsi="宋体" w:eastAsia="宋体" w:cs="宋体"/>
          <w:b/>
          <w:bCs/>
          <w:color w:val="000000" w:themeColor="text1"/>
          <w:spacing w:val="19"/>
          <w:position w:val="17"/>
          <w:sz w:val="36"/>
          <w:szCs w:val="36"/>
          <w:lang w:eastAsia="zh-CN"/>
          <w14:textFill>
            <w14:solidFill>
              <w14:schemeClr w14:val="tx1"/>
            </w14:solidFill>
          </w14:textFill>
        </w:rPr>
        <w:sectPr>
          <w:pgSz w:w="11906" w:h="16838"/>
          <w:pgMar w:top="1701" w:right="1701" w:bottom="1701" w:left="1701" w:header="851" w:footer="992" w:gutter="0"/>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2022年度项目支出绩效自评表</w:t>
      </w:r>
    </w:p>
    <w:tbl>
      <w:tblPr>
        <w:tblStyle w:val="9"/>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0.00</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4"/>
                <w:sz w:val="21"/>
                <w:szCs w:val="21"/>
                <w14:textFill>
                  <w14:solidFill>
                    <w14:schemeClr w14:val="tx1"/>
                  </w14:solidFill>
                </w14:textFill>
              </w:rPr>
              <w:t>经济效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4"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3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生态效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7"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3" w:hRule="atLeast"/>
        </w:trPr>
        <w:tc>
          <w:tcPr>
            <w:tcW w:w="1075" w:type="dxa"/>
            <w:vMerge w:val="continue"/>
            <w:tcBorders>
              <w:top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color w:val="000000" w:themeColor="text1"/>
                <w:spacing w:val="0"/>
                <w:sz w:val="21"/>
                <w:szCs w:val="21"/>
                <w:lang w:eastAsia="zh-CN"/>
                <w14:textFill>
                  <w14:solidFill>
                    <w14:schemeClr w14:val="tx1"/>
                  </w14:solidFill>
                </w14:textFill>
              </w:rPr>
              <w:t>总分</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w:t>
            </w:r>
            <w:bookmarkStart w:id="0" w:name="_GoBack"/>
            <w:bookmarkEnd w:id="0"/>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pPr>
        <w:spacing w:line="252" w:lineRule="auto"/>
        <w:rPr>
          <w:rFonts w:ascii="Arial"/>
          <w:color w:val="000000" w:themeColor="text1"/>
          <w:sz w:val="21"/>
          <w14:textFill>
            <w14:solidFill>
              <w14:schemeClr w14:val="tx1"/>
            </w14:solidFill>
          </w14:textFill>
        </w:rPr>
      </w:pPr>
    </w:p>
    <w:p>
      <w:pPr>
        <w:spacing w:before="75" w:line="230" w:lineRule="auto"/>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sectPr>
          <w:pgSz w:w="11906" w:h="16838"/>
          <w:pgMar w:top="1417" w:right="1417" w:bottom="1417" w:left="1417" w:header="851" w:footer="992" w:gutter="0"/>
          <w:pgNumType w:fmt="decimal"/>
          <w:cols w:space="0" w:num="1"/>
          <w:rtlGutter w:val="0"/>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ascii="仿宋" w:hAnsi="仿宋" w:eastAsia="仿宋" w:cs="仿宋"/>
          <w:color w:val="000000" w:themeColor="text1"/>
          <w:spacing w:val="4"/>
          <w:sz w:val="23"/>
          <w:szCs w:val="23"/>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附件5</w:t>
      </w:r>
    </w:p>
    <w:p>
      <w:pPr>
        <w:ind w:firstLine="1440" w:firstLineChars="400"/>
        <w:jc w:val="both"/>
        <w:rPr>
          <w:rFonts w:hint="eastAsia" w:eastAsia="方正小标宋简体"/>
          <w:sz w:val="36"/>
          <w:szCs w:val="36"/>
          <w:lang w:eastAsia="zh-CN"/>
        </w:rPr>
      </w:pPr>
    </w:p>
    <w:p>
      <w:pPr>
        <w:ind w:firstLine="1440" w:firstLineChars="400"/>
        <w:jc w:val="both"/>
        <w:rPr>
          <w:rFonts w:eastAsia="方正小标宋简体"/>
          <w:spacing w:val="-6"/>
          <w:sz w:val="36"/>
          <w:szCs w:val="36"/>
        </w:rPr>
      </w:pPr>
      <w:r>
        <w:rPr>
          <w:rFonts w:hint="eastAsia" w:eastAsia="方正小标宋简体"/>
          <w:sz w:val="36"/>
          <w:szCs w:val="36"/>
          <w:lang w:eastAsia="zh-CN"/>
        </w:rPr>
        <w:t>区级</w:t>
      </w:r>
      <w:r>
        <w:rPr>
          <w:rFonts w:eastAsia="方正小标宋简体"/>
          <w:sz w:val="36"/>
          <w:szCs w:val="36"/>
        </w:rPr>
        <w:t>预算</w:t>
      </w:r>
      <w:r>
        <w:rPr>
          <w:rFonts w:hint="eastAsia" w:eastAsia="方正小标宋简体"/>
          <w:sz w:val="36"/>
          <w:szCs w:val="36"/>
          <w:lang w:eastAsia="zh-CN"/>
        </w:rPr>
        <w:t>单位</w:t>
      </w:r>
      <w:r>
        <w:rPr>
          <w:rFonts w:eastAsia="方正小标宋简体"/>
          <w:spacing w:val="-6"/>
          <w:sz w:val="36"/>
          <w:szCs w:val="36"/>
        </w:rPr>
        <w:t>绩效自评工作考核评分表</w:t>
      </w:r>
    </w:p>
    <w:tbl>
      <w:tblPr>
        <w:tblStyle w:val="5"/>
        <w:tblW w:w="9510" w:type="dxa"/>
        <w:jc w:val="center"/>
        <w:tblLayout w:type="fixed"/>
        <w:tblCellMar>
          <w:top w:w="0" w:type="dxa"/>
          <w:left w:w="108" w:type="dxa"/>
          <w:bottom w:w="0" w:type="dxa"/>
          <w:right w:w="108" w:type="dxa"/>
        </w:tblCellMar>
      </w:tblPr>
      <w:tblGrid>
        <w:gridCol w:w="774"/>
        <w:gridCol w:w="1501"/>
        <w:gridCol w:w="6482"/>
        <w:gridCol w:w="753"/>
      </w:tblGrid>
      <w:tr>
        <w:tblPrEx>
          <w:tblCellMar>
            <w:top w:w="0" w:type="dxa"/>
            <w:left w:w="108" w:type="dxa"/>
            <w:bottom w:w="0" w:type="dxa"/>
            <w:right w:w="108" w:type="dxa"/>
          </w:tblCellMar>
        </w:tblPrEx>
        <w:trPr>
          <w:trHeight w:val="630" w:hRule="atLeast"/>
          <w:tblHeader/>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一级指标</w:t>
            </w: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二级指标</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评分标准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评分</w:t>
            </w:r>
          </w:p>
        </w:tc>
      </w:tr>
      <w:tr>
        <w:tblPrEx>
          <w:tblCellMar>
            <w:top w:w="0" w:type="dxa"/>
            <w:left w:w="108" w:type="dxa"/>
            <w:bottom w:w="0" w:type="dxa"/>
            <w:right w:w="108" w:type="dxa"/>
          </w:tblCellMar>
        </w:tblPrEx>
        <w:trPr>
          <w:trHeight w:val="1234"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实施评价</w:t>
            </w:r>
          </w:p>
          <w:p>
            <w:pPr>
              <w:spacing w:line="320" w:lineRule="exact"/>
              <w:jc w:val="center"/>
              <w:rPr>
                <w:rFonts w:hint="eastAsia" w:asciiTheme="majorEastAsia" w:hAnsiTheme="majorEastAsia" w:eastAsiaTheme="majorEastAsia" w:cstheme="majorEastAsia"/>
                <w:szCs w:val="21"/>
              </w:rPr>
            </w:pPr>
          </w:p>
          <w:p>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30分</w:t>
            </w: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单位自查</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（20分）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级预算单位都要开展绩效自查，转移支付项目单位都要开展绩效自查，区级主管部门都要汇总本区域转移支付情况；以上各项每发现一个单位没有做相应工作的，扣1分，最多扣20分。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rPr>
              <w:t>　</w:t>
            </w:r>
            <w:r>
              <w:rPr>
                <w:rFonts w:hint="eastAsia" w:asciiTheme="majorEastAsia" w:hAnsiTheme="majorEastAsia" w:eastAsiaTheme="majorEastAsia" w:cstheme="majorEastAsia"/>
                <w:szCs w:val="21"/>
                <w:lang w:val="en-US" w:eastAsia="zh-CN"/>
              </w:rPr>
              <w:t>20</w:t>
            </w:r>
          </w:p>
        </w:tc>
      </w:tr>
      <w:tr>
        <w:tblPrEx>
          <w:tblCellMar>
            <w:top w:w="0" w:type="dxa"/>
            <w:left w:w="108" w:type="dxa"/>
            <w:bottom w:w="0" w:type="dxa"/>
            <w:right w:w="108" w:type="dxa"/>
          </w:tblCellMar>
        </w:tblPrEx>
        <w:trPr>
          <w:trHeight w:val="682"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nil"/>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提交报告</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（10分）</w:t>
            </w:r>
          </w:p>
        </w:tc>
        <w:tc>
          <w:tcPr>
            <w:tcW w:w="6482" w:type="dxa"/>
            <w:tcBorders>
              <w:top w:val="nil"/>
              <w:left w:val="nil"/>
              <w:bottom w:val="single" w:color="auto" w:sz="4" w:space="0"/>
              <w:right w:val="single" w:color="auto" w:sz="4" w:space="0"/>
            </w:tcBorders>
            <w:noWrap w:val="0"/>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按时向</w:t>
            </w: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财政局报送报告的得10分；每推迟一天报送报告的扣1分，最多扣10分。</w:t>
            </w:r>
          </w:p>
        </w:tc>
        <w:tc>
          <w:tcPr>
            <w:tcW w:w="753" w:type="dxa"/>
            <w:tcBorders>
              <w:top w:val="nil"/>
              <w:left w:val="nil"/>
              <w:bottom w:val="single" w:color="auto" w:sz="4" w:space="0"/>
              <w:right w:val="single" w:color="auto" w:sz="4" w:space="0"/>
            </w:tcBorders>
            <w:noWrap w:val="0"/>
            <w:vAlign w:val="center"/>
          </w:tcPr>
          <w:p>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10</w:t>
            </w:r>
          </w:p>
        </w:tc>
      </w:tr>
      <w:tr>
        <w:tblPrEx>
          <w:tblCellMar>
            <w:top w:w="0" w:type="dxa"/>
            <w:left w:w="108" w:type="dxa"/>
            <w:bottom w:w="0" w:type="dxa"/>
            <w:right w:w="108" w:type="dxa"/>
          </w:tblCellMar>
        </w:tblPrEx>
        <w:trPr>
          <w:trHeight w:val="1408"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自评报告</w:t>
            </w:r>
          </w:p>
          <w:p>
            <w:pPr>
              <w:spacing w:line="240" w:lineRule="exact"/>
              <w:jc w:val="center"/>
              <w:rPr>
                <w:rFonts w:hint="eastAsia" w:asciiTheme="majorEastAsia" w:hAnsiTheme="majorEastAsia" w:eastAsiaTheme="majorEastAsia" w:cstheme="majorEastAsia"/>
                <w:szCs w:val="21"/>
              </w:rPr>
            </w:pPr>
          </w:p>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70</w:t>
            </w:r>
            <w:r>
              <w:rPr>
                <w:rFonts w:hint="eastAsia" w:asciiTheme="majorEastAsia" w:hAnsiTheme="majorEastAsia" w:eastAsiaTheme="majorEastAsia" w:cstheme="majorEastAsia"/>
                <w:szCs w:val="21"/>
              </w:rPr>
              <w:t>分</w:t>
            </w: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自评报告</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的完整性</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1.绩效自评报告正文部分内容齐全的，得8分；否则每少一个部分扣2分，最多扣8分。</w:t>
            </w:r>
          </w:p>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2.绩效自评报告附件部分内容齐全的，得7分；否则每少一个部分扣2分，最多扣7分。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14</w:t>
            </w:r>
            <w:r>
              <w:rPr>
                <w:rFonts w:hint="eastAsia" w:asciiTheme="majorEastAsia" w:hAnsiTheme="majorEastAsia" w:eastAsiaTheme="majorEastAsia" w:cstheme="majorEastAsia"/>
                <w:szCs w:val="21"/>
              </w:rPr>
              <w:t>　</w:t>
            </w:r>
          </w:p>
        </w:tc>
      </w:tr>
      <w:tr>
        <w:tblPrEx>
          <w:tblCellMar>
            <w:top w:w="0" w:type="dxa"/>
            <w:left w:w="108" w:type="dxa"/>
            <w:bottom w:w="0" w:type="dxa"/>
            <w:right w:w="108" w:type="dxa"/>
          </w:tblCellMar>
        </w:tblPrEx>
        <w:trPr>
          <w:trHeight w:val="3405"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nil"/>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绩效自评表</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1.部门整体支出和项目支出绩效指标反映产出、效益、服务对象满意度方面的指标和预算执行率的权重符合</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岳阳市市级预算部门绩效自评操作规程</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分，否则按比例扣除相应的分数。</w:t>
            </w:r>
          </w:p>
          <w:p>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2.部门整体支出和项目支出绩效指标全部细化到三级指标的，得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分；部分细化的，酌情扣分；没有细化的，不得分。</w:t>
            </w:r>
          </w:p>
          <w:p>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3.部门整体支出和项目支出三级绩效指标内涵明确、具体、可衡量的得5分；突出核心指标，精简实用的得3分；指标与部门整体支出和项目支出密切相关，全面反映产出和效益的得2分；否则每项酌情扣分，最多扣10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rPr>
              <w:t>　</w:t>
            </w:r>
            <w:r>
              <w:rPr>
                <w:rFonts w:hint="eastAsia" w:asciiTheme="majorEastAsia" w:hAnsiTheme="majorEastAsia" w:eastAsiaTheme="majorEastAsia" w:cstheme="majorEastAsia"/>
                <w:szCs w:val="21"/>
                <w:lang w:val="en-US" w:eastAsia="zh-CN"/>
              </w:rPr>
              <w:t>19</w:t>
            </w:r>
          </w:p>
        </w:tc>
      </w:tr>
      <w:tr>
        <w:tblPrEx>
          <w:tblCellMar>
            <w:top w:w="0" w:type="dxa"/>
            <w:left w:w="108" w:type="dxa"/>
            <w:bottom w:w="0" w:type="dxa"/>
            <w:right w:w="108" w:type="dxa"/>
          </w:tblCellMar>
        </w:tblPrEx>
        <w:trPr>
          <w:trHeight w:val="1640"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绩效评价</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报告反映</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问题情况</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3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10"/>
                <w:sz w:val="21"/>
                <w:szCs w:val="21"/>
              </w:rPr>
              <w:t>从预算和预算绩效管理，部门履职效能，资金分</w:t>
            </w:r>
            <w:r>
              <w:rPr>
                <w:rFonts w:hint="eastAsia" w:asciiTheme="majorEastAsia" w:hAnsiTheme="majorEastAsia" w:eastAsiaTheme="majorEastAsia" w:cstheme="majorEastAsia"/>
                <w:spacing w:val="9"/>
                <w:sz w:val="21"/>
                <w:szCs w:val="21"/>
              </w:rPr>
              <w:t>配、使用和管理，资产和财务管理，政府</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7"/>
                <w:sz w:val="21"/>
                <w:szCs w:val="21"/>
              </w:rPr>
              <w:t>采购等方面归纳问题、分析原因全面的，得20分；反映问题、分析原因较</w:t>
            </w:r>
            <w:r>
              <w:rPr>
                <w:rFonts w:hint="eastAsia" w:asciiTheme="majorEastAsia" w:hAnsiTheme="majorEastAsia" w:eastAsiaTheme="majorEastAsia" w:cstheme="majorEastAsia"/>
                <w:spacing w:val="6"/>
                <w:sz w:val="21"/>
                <w:szCs w:val="21"/>
              </w:rPr>
              <w:t>全面的，得16—</w:t>
            </w:r>
            <w:r>
              <w:rPr>
                <w:rFonts w:hint="eastAsia" w:asciiTheme="majorEastAsia" w:hAnsiTheme="majorEastAsia" w:eastAsiaTheme="majorEastAsia" w:cstheme="majorEastAsia"/>
                <w:spacing w:val="-73"/>
                <w:sz w:val="21"/>
                <w:szCs w:val="21"/>
              </w:rPr>
              <w:t xml:space="preserve"> </w:t>
            </w:r>
            <w:r>
              <w:rPr>
                <w:rFonts w:hint="eastAsia" w:asciiTheme="majorEastAsia" w:hAnsiTheme="majorEastAsia" w:eastAsiaTheme="majorEastAsia" w:cstheme="majorEastAsia"/>
                <w:spacing w:val="6"/>
                <w:sz w:val="21"/>
                <w:szCs w:val="21"/>
              </w:rPr>
              <w:t>18</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2"/>
                <w:sz w:val="21"/>
                <w:szCs w:val="21"/>
              </w:rPr>
              <w:t>分；反映问题、分析原因不全面的，得13—</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2"/>
                <w:sz w:val="21"/>
                <w:szCs w:val="21"/>
              </w:rPr>
              <w:t>15分；问题未归纳</w:t>
            </w:r>
            <w:r>
              <w:rPr>
                <w:rFonts w:hint="eastAsia" w:asciiTheme="majorEastAsia" w:hAnsiTheme="majorEastAsia" w:eastAsiaTheme="majorEastAsia" w:cstheme="majorEastAsia"/>
                <w:spacing w:val="11"/>
                <w:sz w:val="21"/>
                <w:szCs w:val="21"/>
              </w:rPr>
              <w:t>且过于简单的，得10—</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1"/>
                <w:sz w:val="21"/>
                <w:szCs w:val="21"/>
              </w:rPr>
              <w:t>12</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3"/>
                <w:sz w:val="21"/>
                <w:szCs w:val="21"/>
              </w:rPr>
              <w:t>分；只提出资金不足问题的不得分；其他情况酌情扣分，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19</w:t>
            </w:r>
            <w:r>
              <w:rPr>
                <w:rFonts w:hint="eastAsia" w:asciiTheme="majorEastAsia" w:hAnsiTheme="majorEastAsia" w:eastAsiaTheme="majorEastAsia" w:cstheme="majorEastAsia"/>
                <w:szCs w:val="21"/>
              </w:rPr>
              <w:t>　</w:t>
            </w:r>
          </w:p>
        </w:tc>
      </w:tr>
      <w:tr>
        <w:tblPrEx>
          <w:tblCellMar>
            <w:top w:w="0" w:type="dxa"/>
            <w:left w:w="108" w:type="dxa"/>
            <w:bottom w:w="0" w:type="dxa"/>
            <w:right w:w="108" w:type="dxa"/>
          </w:tblCellMar>
        </w:tblPrEx>
        <w:trPr>
          <w:trHeight w:val="1313"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针对问题</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提出可行性建议的情况</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16"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3"/>
                <w:sz w:val="21"/>
                <w:szCs w:val="21"/>
              </w:rPr>
              <w:t>建议与问题对应且全面的得15分，建议比较全面的得12—</w:t>
            </w:r>
            <w:r>
              <w:rPr>
                <w:rFonts w:hint="eastAsia" w:asciiTheme="majorEastAsia" w:hAnsiTheme="majorEastAsia" w:eastAsiaTheme="majorEastAsia" w:cstheme="majorEastAsia"/>
                <w:spacing w:val="-55"/>
                <w:sz w:val="21"/>
                <w:szCs w:val="21"/>
              </w:rPr>
              <w:t xml:space="preserve"> </w:t>
            </w:r>
            <w:r>
              <w:rPr>
                <w:rFonts w:hint="eastAsia" w:asciiTheme="majorEastAsia" w:hAnsiTheme="majorEastAsia" w:eastAsiaTheme="majorEastAsia" w:cstheme="majorEastAsia"/>
                <w:spacing w:val="3"/>
                <w:sz w:val="21"/>
                <w:szCs w:val="21"/>
              </w:rPr>
              <w:t>14分，建议不全面的得9—</w:t>
            </w:r>
            <w:r>
              <w:rPr>
                <w:rFonts w:hint="eastAsia" w:asciiTheme="majorEastAsia" w:hAnsiTheme="majorEastAsia" w:eastAsiaTheme="majorEastAsia" w:cstheme="majorEastAsia"/>
                <w:spacing w:val="-72"/>
                <w:sz w:val="21"/>
                <w:szCs w:val="21"/>
              </w:rPr>
              <w:t xml:space="preserve"> </w:t>
            </w:r>
            <w:r>
              <w:rPr>
                <w:rFonts w:hint="eastAsia" w:asciiTheme="majorEastAsia" w:hAnsiTheme="majorEastAsia" w:eastAsiaTheme="majorEastAsia" w:cstheme="majorEastAsia"/>
                <w:spacing w:val="3"/>
                <w:sz w:val="21"/>
                <w:szCs w:val="21"/>
              </w:rPr>
              <w:t>11</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2"/>
                <w:sz w:val="21"/>
                <w:szCs w:val="21"/>
              </w:rPr>
              <w:t>分，建议过于简单的得6—8分，只提出加大资金投入建议的不得分；其他情况酌情扣分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15</w:t>
            </w:r>
            <w:r>
              <w:rPr>
                <w:rFonts w:hint="eastAsia" w:asciiTheme="majorEastAsia" w:hAnsiTheme="majorEastAsia" w:eastAsiaTheme="majorEastAsia" w:cstheme="majorEastAsia"/>
                <w:szCs w:val="21"/>
              </w:rPr>
              <w:t>　</w:t>
            </w:r>
          </w:p>
        </w:tc>
      </w:tr>
      <w:tr>
        <w:tblPrEx>
          <w:tblCellMar>
            <w:top w:w="0" w:type="dxa"/>
            <w:left w:w="108" w:type="dxa"/>
            <w:bottom w:w="0" w:type="dxa"/>
            <w:right w:w="108" w:type="dxa"/>
          </w:tblCellMar>
        </w:tblPrEx>
        <w:trPr>
          <w:trHeight w:val="540" w:hRule="atLeast"/>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合计</w:t>
            </w:r>
          </w:p>
        </w:tc>
        <w:tc>
          <w:tcPr>
            <w:tcW w:w="1501"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100分</w:t>
            </w:r>
          </w:p>
        </w:tc>
        <w:tc>
          <w:tcPr>
            <w:tcW w:w="6482" w:type="dxa"/>
            <w:tcBorders>
              <w:top w:val="single" w:color="auto" w:sz="4" w:space="0"/>
              <w:left w:val="single" w:color="auto" w:sz="4" w:space="0"/>
              <w:bottom w:val="single" w:color="auto" w:sz="4" w:space="0"/>
              <w:right w:val="single" w:color="auto" w:sz="4" w:space="0"/>
            </w:tcBorders>
            <w:noWrap w:val="0"/>
            <w:vAlign w:val="center"/>
          </w:tcPr>
          <w:p>
            <w:pPr>
              <w:spacing w:line="240" w:lineRule="exact"/>
              <w:rPr>
                <w:rFonts w:hint="eastAsia" w:asciiTheme="majorEastAsia" w:hAnsiTheme="majorEastAsia" w:eastAsiaTheme="majorEastAsia" w:cstheme="majorEastAsia"/>
                <w:sz w:val="21"/>
                <w:szCs w:val="21"/>
              </w:rPr>
            </w:pPr>
          </w:p>
        </w:tc>
        <w:tc>
          <w:tcPr>
            <w:tcW w:w="753" w:type="dxa"/>
            <w:tcBorders>
              <w:top w:val="single" w:color="auto" w:sz="4" w:space="0"/>
              <w:left w:val="single" w:color="auto" w:sz="4" w:space="0"/>
              <w:bottom w:val="single" w:color="auto" w:sz="4" w:space="0"/>
              <w:right w:val="single" w:color="auto" w:sz="4" w:space="0"/>
            </w:tcBorders>
            <w:noWrap w:val="0"/>
            <w:vAlign w:val="center"/>
          </w:tcPr>
          <w:p>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rPr>
              <w:t>　</w:t>
            </w:r>
            <w:r>
              <w:rPr>
                <w:rFonts w:hint="eastAsia" w:asciiTheme="majorEastAsia" w:hAnsiTheme="majorEastAsia" w:eastAsiaTheme="majorEastAsia" w:cstheme="majorEastAsia"/>
                <w:szCs w:val="21"/>
                <w:lang w:val="en-US" w:eastAsia="zh-CN"/>
              </w:rPr>
              <w:t>97</w:t>
            </w:r>
          </w:p>
        </w:tc>
      </w:tr>
    </w:tbl>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sectPr>
      <w:pgSz w:w="11906" w:h="16838"/>
      <w:pgMar w:top="1701" w:right="1701" w:bottom="1701" w:left="1701"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方正小标宋简体">
    <w:altName w:val="黑体"/>
    <w:panose1 w:val="00000600000000000000"/>
    <w:charset w:val="86"/>
    <w:family w:val="auto"/>
    <w:pitch w:val="default"/>
    <w:sig w:usb0="00000000" w:usb1="00000000" w:usb2="00000012" w:usb3="00000000" w:csb0="00160001" w:csb1="1203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pPr>
                      <w:pStyle w:val="3"/>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E321C3E"/>
    <w:multiLevelType w:val="singleLevel"/>
    <w:tmpl w:val="8E321C3E"/>
    <w:lvl w:ilvl="0" w:tentative="0">
      <w:start w:val="1"/>
      <w:numFmt w:val="chineseCounting"/>
      <w:suff w:val="nothing"/>
      <w:lvlText w:val="%1、"/>
      <w:lvlJc w:val="left"/>
      <w:rPr>
        <w:rFonts w:hint="eastAsia"/>
      </w:rPr>
    </w:lvl>
  </w:abstractNum>
  <w:abstractNum w:abstractNumId="1">
    <w:nsid w:val="E4A2E93D"/>
    <w:multiLevelType w:val="singleLevel"/>
    <w:tmpl w:val="E4A2E93D"/>
    <w:lvl w:ilvl="0" w:tentative="0">
      <w:start w:val="2"/>
      <w:numFmt w:val="chineseCounting"/>
      <w:lvlText w:val="(%1)"/>
      <w:lvlJc w:val="left"/>
      <w:pPr>
        <w:tabs>
          <w:tab w:val="left" w:pos="312"/>
        </w:tabs>
      </w:pPr>
      <w:rPr>
        <w:rFonts w:hint="eastAsia"/>
      </w:rPr>
    </w:lvl>
  </w:abstractNum>
  <w:abstractNum w:abstractNumId="2">
    <w:nsid w:val="0F0BB7E7"/>
    <w:multiLevelType w:val="singleLevel"/>
    <w:tmpl w:val="0F0BB7E7"/>
    <w:lvl w:ilvl="0" w:tentative="0">
      <w:start w:val="4"/>
      <w:numFmt w:val="chineseCounting"/>
      <w:suff w:val="nothing"/>
      <w:lvlText w:val="%1、"/>
      <w:lvlJc w:val="left"/>
      <w:rPr>
        <w:rFonts w:hint="eastAsia"/>
      </w:rPr>
    </w:lvl>
  </w:abstractNum>
  <w:abstractNum w:abstractNumId="3">
    <w:nsid w:val="5CEB63A0"/>
    <w:multiLevelType w:val="singleLevel"/>
    <w:tmpl w:val="5CEB63A0"/>
    <w:lvl w:ilvl="0" w:tentative="0">
      <w:start w:val="8"/>
      <w:numFmt w:val="chineseCounting"/>
      <w:suff w:val="nothing"/>
      <w:lvlText w:val="%1、"/>
      <w:lvlJc w:val="left"/>
      <w:rPr>
        <w:rFonts w:hint="eastAsia"/>
      </w:r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Q2Yjk5NzBlNjIxNDhmODM4OGU0YzM5ZWM3YTY4OTAifQ=="/>
  </w:docVars>
  <w:rsids>
    <w:rsidRoot w:val="53FC3987"/>
    <w:rsid w:val="000A3765"/>
    <w:rsid w:val="001D7282"/>
    <w:rsid w:val="0039081D"/>
    <w:rsid w:val="005E6ECB"/>
    <w:rsid w:val="00742F6F"/>
    <w:rsid w:val="00744EA1"/>
    <w:rsid w:val="009419CA"/>
    <w:rsid w:val="00955854"/>
    <w:rsid w:val="009C7330"/>
    <w:rsid w:val="00A00FBB"/>
    <w:rsid w:val="00BF0721"/>
    <w:rsid w:val="00C03795"/>
    <w:rsid w:val="00CE3756"/>
    <w:rsid w:val="00D27A74"/>
    <w:rsid w:val="00E831C8"/>
    <w:rsid w:val="00EF287A"/>
    <w:rsid w:val="01057CDE"/>
    <w:rsid w:val="010B4A82"/>
    <w:rsid w:val="01192786"/>
    <w:rsid w:val="01201E6A"/>
    <w:rsid w:val="012D57C0"/>
    <w:rsid w:val="01457029"/>
    <w:rsid w:val="014900E3"/>
    <w:rsid w:val="014F5749"/>
    <w:rsid w:val="01521E95"/>
    <w:rsid w:val="01727F7E"/>
    <w:rsid w:val="01764DBE"/>
    <w:rsid w:val="01806F8C"/>
    <w:rsid w:val="0182483A"/>
    <w:rsid w:val="01863406"/>
    <w:rsid w:val="018D011E"/>
    <w:rsid w:val="019614B0"/>
    <w:rsid w:val="019C71AC"/>
    <w:rsid w:val="01BF03AA"/>
    <w:rsid w:val="01C33E74"/>
    <w:rsid w:val="01DF3C26"/>
    <w:rsid w:val="01EE0A2C"/>
    <w:rsid w:val="0200044D"/>
    <w:rsid w:val="020654E4"/>
    <w:rsid w:val="020C72F8"/>
    <w:rsid w:val="02121B7C"/>
    <w:rsid w:val="021813DE"/>
    <w:rsid w:val="021B6B30"/>
    <w:rsid w:val="02363BD8"/>
    <w:rsid w:val="023809F7"/>
    <w:rsid w:val="02431066"/>
    <w:rsid w:val="02595CF1"/>
    <w:rsid w:val="025C47D6"/>
    <w:rsid w:val="0263675C"/>
    <w:rsid w:val="02656E75"/>
    <w:rsid w:val="027431E5"/>
    <w:rsid w:val="02B544DB"/>
    <w:rsid w:val="02CB5D99"/>
    <w:rsid w:val="02F61D91"/>
    <w:rsid w:val="02FC4679"/>
    <w:rsid w:val="02FE5E0A"/>
    <w:rsid w:val="0347190C"/>
    <w:rsid w:val="034760CE"/>
    <w:rsid w:val="03487959"/>
    <w:rsid w:val="03505BE1"/>
    <w:rsid w:val="036D41A2"/>
    <w:rsid w:val="037F229C"/>
    <w:rsid w:val="03911277"/>
    <w:rsid w:val="039A540B"/>
    <w:rsid w:val="03BD010E"/>
    <w:rsid w:val="03E2685C"/>
    <w:rsid w:val="03E66326"/>
    <w:rsid w:val="03FE383E"/>
    <w:rsid w:val="03FF6E0F"/>
    <w:rsid w:val="0404259A"/>
    <w:rsid w:val="04051601"/>
    <w:rsid w:val="04150B3B"/>
    <w:rsid w:val="04327F62"/>
    <w:rsid w:val="04344800"/>
    <w:rsid w:val="044C7A61"/>
    <w:rsid w:val="045F666C"/>
    <w:rsid w:val="0460075C"/>
    <w:rsid w:val="04613BEE"/>
    <w:rsid w:val="0462054D"/>
    <w:rsid w:val="04675C34"/>
    <w:rsid w:val="046C0B29"/>
    <w:rsid w:val="04816E5C"/>
    <w:rsid w:val="048924DD"/>
    <w:rsid w:val="04914D95"/>
    <w:rsid w:val="0495144B"/>
    <w:rsid w:val="04AC07A1"/>
    <w:rsid w:val="04C63115"/>
    <w:rsid w:val="04CF5236"/>
    <w:rsid w:val="04CF5AF0"/>
    <w:rsid w:val="04D24FF1"/>
    <w:rsid w:val="04DE1BAB"/>
    <w:rsid w:val="04E411E4"/>
    <w:rsid w:val="04F37BBA"/>
    <w:rsid w:val="05085366"/>
    <w:rsid w:val="05145F64"/>
    <w:rsid w:val="054037EF"/>
    <w:rsid w:val="054E7FFF"/>
    <w:rsid w:val="05621117"/>
    <w:rsid w:val="058C5045"/>
    <w:rsid w:val="059C7C89"/>
    <w:rsid w:val="05A50C70"/>
    <w:rsid w:val="05B525CA"/>
    <w:rsid w:val="05C4448F"/>
    <w:rsid w:val="05D3138F"/>
    <w:rsid w:val="05E616EC"/>
    <w:rsid w:val="06146BAF"/>
    <w:rsid w:val="06286BB6"/>
    <w:rsid w:val="06405E9C"/>
    <w:rsid w:val="064D5380"/>
    <w:rsid w:val="064E0F6B"/>
    <w:rsid w:val="06617309"/>
    <w:rsid w:val="06650E6A"/>
    <w:rsid w:val="06854A05"/>
    <w:rsid w:val="068B5259"/>
    <w:rsid w:val="06986D10"/>
    <w:rsid w:val="06A14716"/>
    <w:rsid w:val="06C90184"/>
    <w:rsid w:val="06C9437B"/>
    <w:rsid w:val="06ED564C"/>
    <w:rsid w:val="06F22A7B"/>
    <w:rsid w:val="07023424"/>
    <w:rsid w:val="07043735"/>
    <w:rsid w:val="0725074E"/>
    <w:rsid w:val="07313C60"/>
    <w:rsid w:val="07331F0A"/>
    <w:rsid w:val="075939FE"/>
    <w:rsid w:val="076971BD"/>
    <w:rsid w:val="076D43AE"/>
    <w:rsid w:val="077323CA"/>
    <w:rsid w:val="0775145F"/>
    <w:rsid w:val="07967DE0"/>
    <w:rsid w:val="07970994"/>
    <w:rsid w:val="07B913B4"/>
    <w:rsid w:val="07BA1C6A"/>
    <w:rsid w:val="07BD44A3"/>
    <w:rsid w:val="07CE6155"/>
    <w:rsid w:val="07E11DA2"/>
    <w:rsid w:val="07E31891"/>
    <w:rsid w:val="07E40515"/>
    <w:rsid w:val="07EE6091"/>
    <w:rsid w:val="08017E70"/>
    <w:rsid w:val="0805190B"/>
    <w:rsid w:val="080C52E3"/>
    <w:rsid w:val="082A5F7E"/>
    <w:rsid w:val="08391F38"/>
    <w:rsid w:val="083A18D9"/>
    <w:rsid w:val="0848472A"/>
    <w:rsid w:val="084D20E7"/>
    <w:rsid w:val="08674899"/>
    <w:rsid w:val="086A5B0F"/>
    <w:rsid w:val="08754155"/>
    <w:rsid w:val="087B77E7"/>
    <w:rsid w:val="087D3D34"/>
    <w:rsid w:val="0889236C"/>
    <w:rsid w:val="088E051E"/>
    <w:rsid w:val="08935A7B"/>
    <w:rsid w:val="08A91E6C"/>
    <w:rsid w:val="08BA1B19"/>
    <w:rsid w:val="08D059DD"/>
    <w:rsid w:val="08DC08E7"/>
    <w:rsid w:val="08F33D56"/>
    <w:rsid w:val="092D1C9E"/>
    <w:rsid w:val="09377E5E"/>
    <w:rsid w:val="09383E9F"/>
    <w:rsid w:val="0939426E"/>
    <w:rsid w:val="09504F8C"/>
    <w:rsid w:val="09616470"/>
    <w:rsid w:val="096C1F5A"/>
    <w:rsid w:val="096C76C1"/>
    <w:rsid w:val="09906B28"/>
    <w:rsid w:val="09912E95"/>
    <w:rsid w:val="099159BD"/>
    <w:rsid w:val="099C1A23"/>
    <w:rsid w:val="09A948AF"/>
    <w:rsid w:val="09AC2A76"/>
    <w:rsid w:val="09B04837"/>
    <w:rsid w:val="09C95891"/>
    <w:rsid w:val="09CD698F"/>
    <w:rsid w:val="09D8005F"/>
    <w:rsid w:val="0A002E0D"/>
    <w:rsid w:val="0A140987"/>
    <w:rsid w:val="0A241A5C"/>
    <w:rsid w:val="0A2E3566"/>
    <w:rsid w:val="0A393280"/>
    <w:rsid w:val="0A5F2F6C"/>
    <w:rsid w:val="0A670B4E"/>
    <w:rsid w:val="0A851E03"/>
    <w:rsid w:val="0A985A6F"/>
    <w:rsid w:val="0AA808AF"/>
    <w:rsid w:val="0ABD142C"/>
    <w:rsid w:val="0AC644AE"/>
    <w:rsid w:val="0ACB61B4"/>
    <w:rsid w:val="0ACD4157"/>
    <w:rsid w:val="0AE73347"/>
    <w:rsid w:val="0AE964B0"/>
    <w:rsid w:val="0B163034"/>
    <w:rsid w:val="0B1F5B6D"/>
    <w:rsid w:val="0B2F4AF7"/>
    <w:rsid w:val="0B3312B6"/>
    <w:rsid w:val="0B4064B3"/>
    <w:rsid w:val="0B640DAA"/>
    <w:rsid w:val="0B6E529C"/>
    <w:rsid w:val="0B701D27"/>
    <w:rsid w:val="0B7245CE"/>
    <w:rsid w:val="0B943886"/>
    <w:rsid w:val="0B9C3CD1"/>
    <w:rsid w:val="0BB324D8"/>
    <w:rsid w:val="0BB672C7"/>
    <w:rsid w:val="0BC07BBF"/>
    <w:rsid w:val="0BC429EF"/>
    <w:rsid w:val="0BCE65D1"/>
    <w:rsid w:val="0BD27A8E"/>
    <w:rsid w:val="0BD60937"/>
    <w:rsid w:val="0BD912A4"/>
    <w:rsid w:val="0BE135FA"/>
    <w:rsid w:val="0BEE4F6B"/>
    <w:rsid w:val="0C03261E"/>
    <w:rsid w:val="0C0439FA"/>
    <w:rsid w:val="0C0B17DF"/>
    <w:rsid w:val="0C0F382B"/>
    <w:rsid w:val="0C160980"/>
    <w:rsid w:val="0C1B4EF7"/>
    <w:rsid w:val="0C1C297E"/>
    <w:rsid w:val="0C1D4988"/>
    <w:rsid w:val="0C297E69"/>
    <w:rsid w:val="0C55038F"/>
    <w:rsid w:val="0C607FF1"/>
    <w:rsid w:val="0C6B7DF9"/>
    <w:rsid w:val="0C6E2A56"/>
    <w:rsid w:val="0C7A708D"/>
    <w:rsid w:val="0C8E09E9"/>
    <w:rsid w:val="0CCA7495"/>
    <w:rsid w:val="0CD16BA2"/>
    <w:rsid w:val="0CD745A0"/>
    <w:rsid w:val="0CDE4E30"/>
    <w:rsid w:val="0D012A51"/>
    <w:rsid w:val="0D094F84"/>
    <w:rsid w:val="0D280615"/>
    <w:rsid w:val="0D2C07EB"/>
    <w:rsid w:val="0D2F57DE"/>
    <w:rsid w:val="0D353632"/>
    <w:rsid w:val="0D392C4E"/>
    <w:rsid w:val="0D482FA9"/>
    <w:rsid w:val="0D4A4299"/>
    <w:rsid w:val="0D5F1E28"/>
    <w:rsid w:val="0D671080"/>
    <w:rsid w:val="0D783B34"/>
    <w:rsid w:val="0D81754C"/>
    <w:rsid w:val="0DBE6AB7"/>
    <w:rsid w:val="0DBF116A"/>
    <w:rsid w:val="0DC00E38"/>
    <w:rsid w:val="0DC8400B"/>
    <w:rsid w:val="0DD34552"/>
    <w:rsid w:val="0DE03EAA"/>
    <w:rsid w:val="0DE12394"/>
    <w:rsid w:val="0DE45CA4"/>
    <w:rsid w:val="0DF36262"/>
    <w:rsid w:val="0E0E69D0"/>
    <w:rsid w:val="0E1E619E"/>
    <w:rsid w:val="0E267F81"/>
    <w:rsid w:val="0E365DE9"/>
    <w:rsid w:val="0E3E4633"/>
    <w:rsid w:val="0E4822EE"/>
    <w:rsid w:val="0E4E185D"/>
    <w:rsid w:val="0E522FBE"/>
    <w:rsid w:val="0E5D141B"/>
    <w:rsid w:val="0E8648D6"/>
    <w:rsid w:val="0E8C08DC"/>
    <w:rsid w:val="0E8E43C0"/>
    <w:rsid w:val="0E964CBE"/>
    <w:rsid w:val="0EB05323"/>
    <w:rsid w:val="0EBE40CB"/>
    <w:rsid w:val="0EC36A56"/>
    <w:rsid w:val="0EC62499"/>
    <w:rsid w:val="0ECE4E6F"/>
    <w:rsid w:val="0EDA5C56"/>
    <w:rsid w:val="0EFE4287"/>
    <w:rsid w:val="0F0D525E"/>
    <w:rsid w:val="0F2A2A37"/>
    <w:rsid w:val="0F2E6C95"/>
    <w:rsid w:val="0F4675CA"/>
    <w:rsid w:val="0F471A79"/>
    <w:rsid w:val="0F500384"/>
    <w:rsid w:val="0F5B4015"/>
    <w:rsid w:val="0F6071C8"/>
    <w:rsid w:val="0F7B0394"/>
    <w:rsid w:val="0FA00CB6"/>
    <w:rsid w:val="0FA434D3"/>
    <w:rsid w:val="0FB471F7"/>
    <w:rsid w:val="0FC95C51"/>
    <w:rsid w:val="0FC965F5"/>
    <w:rsid w:val="0FCD6B4B"/>
    <w:rsid w:val="0FCF7138"/>
    <w:rsid w:val="0FD35AB6"/>
    <w:rsid w:val="0FE017B9"/>
    <w:rsid w:val="0FE04B17"/>
    <w:rsid w:val="0FEC2891"/>
    <w:rsid w:val="0FF71EB7"/>
    <w:rsid w:val="10067489"/>
    <w:rsid w:val="10225AB2"/>
    <w:rsid w:val="102D74F0"/>
    <w:rsid w:val="103C47DA"/>
    <w:rsid w:val="103D5CB0"/>
    <w:rsid w:val="1043497A"/>
    <w:rsid w:val="104B6B58"/>
    <w:rsid w:val="105552F6"/>
    <w:rsid w:val="108449FF"/>
    <w:rsid w:val="108B34B0"/>
    <w:rsid w:val="109E2943"/>
    <w:rsid w:val="10C8346E"/>
    <w:rsid w:val="10E67830"/>
    <w:rsid w:val="10FE6AB1"/>
    <w:rsid w:val="1112624E"/>
    <w:rsid w:val="11153798"/>
    <w:rsid w:val="11297158"/>
    <w:rsid w:val="114B2C9B"/>
    <w:rsid w:val="115D78BB"/>
    <w:rsid w:val="116001E2"/>
    <w:rsid w:val="11793618"/>
    <w:rsid w:val="11813452"/>
    <w:rsid w:val="11913DD4"/>
    <w:rsid w:val="11961E43"/>
    <w:rsid w:val="11987ED2"/>
    <w:rsid w:val="119969A0"/>
    <w:rsid w:val="11A91B68"/>
    <w:rsid w:val="11B76464"/>
    <w:rsid w:val="11BC2DF3"/>
    <w:rsid w:val="11C43676"/>
    <w:rsid w:val="11EA3CA0"/>
    <w:rsid w:val="11F403BB"/>
    <w:rsid w:val="11FA6A1C"/>
    <w:rsid w:val="120B6973"/>
    <w:rsid w:val="12155876"/>
    <w:rsid w:val="12183A1B"/>
    <w:rsid w:val="122A11A6"/>
    <w:rsid w:val="123D1BD2"/>
    <w:rsid w:val="123E6D4D"/>
    <w:rsid w:val="124331DE"/>
    <w:rsid w:val="125613C2"/>
    <w:rsid w:val="125D4EF7"/>
    <w:rsid w:val="12637C4E"/>
    <w:rsid w:val="127030C8"/>
    <w:rsid w:val="128C183F"/>
    <w:rsid w:val="12B310FA"/>
    <w:rsid w:val="12B7582D"/>
    <w:rsid w:val="12C621E8"/>
    <w:rsid w:val="12CF0716"/>
    <w:rsid w:val="12D95227"/>
    <w:rsid w:val="12E070F9"/>
    <w:rsid w:val="12E33197"/>
    <w:rsid w:val="12EE1C9C"/>
    <w:rsid w:val="12F863E6"/>
    <w:rsid w:val="13094CA6"/>
    <w:rsid w:val="132156D8"/>
    <w:rsid w:val="132911E2"/>
    <w:rsid w:val="133868AE"/>
    <w:rsid w:val="135133AE"/>
    <w:rsid w:val="13914897"/>
    <w:rsid w:val="13A55CD5"/>
    <w:rsid w:val="13B654E3"/>
    <w:rsid w:val="13B819E6"/>
    <w:rsid w:val="13BC4189"/>
    <w:rsid w:val="13C169EC"/>
    <w:rsid w:val="13CA717D"/>
    <w:rsid w:val="13CE022A"/>
    <w:rsid w:val="13DF25B8"/>
    <w:rsid w:val="13E2403C"/>
    <w:rsid w:val="14047D3B"/>
    <w:rsid w:val="141A00EA"/>
    <w:rsid w:val="143A1FCF"/>
    <w:rsid w:val="14430D66"/>
    <w:rsid w:val="14477E65"/>
    <w:rsid w:val="14710CBF"/>
    <w:rsid w:val="14791934"/>
    <w:rsid w:val="147D213D"/>
    <w:rsid w:val="14A04833"/>
    <w:rsid w:val="14B12779"/>
    <w:rsid w:val="14B37576"/>
    <w:rsid w:val="14F4219E"/>
    <w:rsid w:val="150135C1"/>
    <w:rsid w:val="151C632A"/>
    <w:rsid w:val="152E4EB1"/>
    <w:rsid w:val="153E3566"/>
    <w:rsid w:val="154034C3"/>
    <w:rsid w:val="156B6CDB"/>
    <w:rsid w:val="15726626"/>
    <w:rsid w:val="15820278"/>
    <w:rsid w:val="158D1367"/>
    <w:rsid w:val="15914EE6"/>
    <w:rsid w:val="15A42FA4"/>
    <w:rsid w:val="15A6418F"/>
    <w:rsid w:val="15AA091B"/>
    <w:rsid w:val="15BC6BD3"/>
    <w:rsid w:val="15CF095E"/>
    <w:rsid w:val="15D35BCA"/>
    <w:rsid w:val="15DA784E"/>
    <w:rsid w:val="15DB017B"/>
    <w:rsid w:val="15E6370B"/>
    <w:rsid w:val="15E835FB"/>
    <w:rsid w:val="15E84717"/>
    <w:rsid w:val="160F0091"/>
    <w:rsid w:val="16144614"/>
    <w:rsid w:val="163E3AB2"/>
    <w:rsid w:val="165E3F72"/>
    <w:rsid w:val="166D0110"/>
    <w:rsid w:val="167050F1"/>
    <w:rsid w:val="16713DA7"/>
    <w:rsid w:val="16797776"/>
    <w:rsid w:val="16952546"/>
    <w:rsid w:val="16AB3FBF"/>
    <w:rsid w:val="16AC1654"/>
    <w:rsid w:val="16B12C6E"/>
    <w:rsid w:val="16BF0789"/>
    <w:rsid w:val="16CD5BA2"/>
    <w:rsid w:val="16D42F73"/>
    <w:rsid w:val="16DA34D2"/>
    <w:rsid w:val="16DA4E41"/>
    <w:rsid w:val="16F042AC"/>
    <w:rsid w:val="16F626B5"/>
    <w:rsid w:val="16FB005D"/>
    <w:rsid w:val="16FC4F3B"/>
    <w:rsid w:val="171630EB"/>
    <w:rsid w:val="17435DB3"/>
    <w:rsid w:val="174849B3"/>
    <w:rsid w:val="175075E0"/>
    <w:rsid w:val="175D3461"/>
    <w:rsid w:val="175F4C67"/>
    <w:rsid w:val="175F580B"/>
    <w:rsid w:val="17665207"/>
    <w:rsid w:val="17794395"/>
    <w:rsid w:val="178D50A9"/>
    <w:rsid w:val="178F0FE3"/>
    <w:rsid w:val="17B85018"/>
    <w:rsid w:val="17E339CC"/>
    <w:rsid w:val="17F33C57"/>
    <w:rsid w:val="181D4FAC"/>
    <w:rsid w:val="182B38C1"/>
    <w:rsid w:val="18351597"/>
    <w:rsid w:val="18353961"/>
    <w:rsid w:val="18474510"/>
    <w:rsid w:val="184F1D16"/>
    <w:rsid w:val="1852374B"/>
    <w:rsid w:val="185629F1"/>
    <w:rsid w:val="18685D91"/>
    <w:rsid w:val="188F0DAB"/>
    <w:rsid w:val="18905464"/>
    <w:rsid w:val="18910B5C"/>
    <w:rsid w:val="18A62960"/>
    <w:rsid w:val="18BD3DC4"/>
    <w:rsid w:val="18C149F3"/>
    <w:rsid w:val="18D233DB"/>
    <w:rsid w:val="18DC433F"/>
    <w:rsid w:val="18DC5635"/>
    <w:rsid w:val="18DD0C18"/>
    <w:rsid w:val="18DE4BF6"/>
    <w:rsid w:val="18EC1CA5"/>
    <w:rsid w:val="18F119B1"/>
    <w:rsid w:val="18F23C9D"/>
    <w:rsid w:val="18F554AB"/>
    <w:rsid w:val="18FE49D5"/>
    <w:rsid w:val="190F3527"/>
    <w:rsid w:val="19100497"/>
    <w:rsid w:val="19183CAC"/>
    <w:rsid w:val="193964B7"/>
    <w:rsid w:val="19521C94"/>
    <w:rsid w:val="195657BB"/>
    <w:rsid w:val="196B19EB"/>
    <w:rsid w:val="19717C66"/>
    <w:rsid w:val="198E7C2B"/>
    <w:rsid w:val="199945D5"/>
    <w:rsid w:val="199B5065"/>
    <w:rsid w:val="19D37D58"/>
    <w:rsid w:val="19DD0438"/>
    <w:rsid w:val="1A0A04E6"/>
    <w:rsid w:val="1A187AC0"/>
    <w:rsid w:val="1A213466"/>
    <w:rsid w:val="1A3F3F76"/>
    <w:rsid w:val="1A4B4BAE"/>
    <w:rsid w:val="1A5F35C0"/>
    <w:rsid w:val="1A8006B2"/>
    <w:rsid w:val="1A8D640E"/>
    <w:rsid w:val="1A974192"/>
    <w:rsid w:val="1ACA62AD"/>
    <w:rsid w:val="1ADA675E"/>
    <w:rsid w:val="1AE11CDA"/>
    <w:rsid w:val="1B113A6D"/>
    <w:rsid w:val="1B144B8D"/>
    <w:rsid w:val="1B17013D"/>
    <w:rsid w:val="1B1B14D3"/>
    <w:rsid w:val="1B1F6AF1"/>
    <w:rsid w:val="1B250DAE"/>
    <w:rsid w:val="1B2A34EB"/>
    <w:rsid w:val="1B2B0F4C"/>
    <w:rsid w:val="1B2D2734"/>
    <w:rsid w:val="1B3860E1"/>
    <w:rsid w:val="1B3F36F6"/>
    <w:rsid w:val="1B422830"/>
    <w:rsid w:val="1B4B369E"/>
    <w:rsid w:val="1B5271D4"/>
    <w:rsid w:val="1B6D7C0D"/>
    <w:rsid w:val="1B84594F"/>
    <w:rsid w:val="1B884364"/>
    <w:rsid w:val="1BA912AB"/>
    <w:rsid w:val="1BC74329"/>
    <w:rsid w:val="1BC90A36"/>
    <w:rsid w:val="1BD0347B"/>
    <w:rsid w:val="1BD40AF3"/>
    <w:rsid w:val="1BD802A4"/>
    <w:rsid w:val="1BDF236A"/>
    <w:rsid w:val="1C0435DD"/>
    <w:rsid w:val="1C044A22"/>
    <w:rsid w:val="1C0500B1"/>
    <w:rsid w:val="1C165874"/>
    <w:rsid w:val="1C1D4C3D"/>
    <w:rsid w:val="1C212C7F"/>
    <w:rsid w:val="1C4C28F3"/>
    <w:rsid w:val="1C71314E"/>
    <w:rsid w:val="1C82672C"/>
    <w:rsid w:val="1C89138D"/>
    <w:rsid w:val="1C8E76D2"/>
    <w:rsid w:val="1C937172"/>
    <w:rsid w:val="1C975C4B"/>
    <w:rsid w:val="1CA27BB1"/>
    <w:rsid w:val="1CAF7DCF"/>
    <w:rsid w:val="1CB07D7A"/>
    <w:rsid w:val="1CDA4D56"/>
    <w:rsid w:val="1CF810AC"/>
    <w:rsid w:val="1D0B3755"/>
    <w:rsid w:val="1D124C24"/>
    <w:rsid w:val="1D2C6C65"/>
    <w:rsid w:val="1D402518"/>
    <w:rsid w:val="1D4E7169"/>
    <w:rsid w:val="1D554265"/>
    <w:rsid w:val="1D660B43"/>
    <w:rsid w:val="1D69344A"/>
    <w:rsid w:val="1D6B31E8"/>
    <w:rsid w:val="1D6B7F83"/>
    <w:rsid w:val="1D776C3D"/>
    <w:rsid w:val="1D95321A"/>
    <w:rsid w:val="1DB85E5C"/>
    <w:rsid w:val="1DC46662"/>
    <w:rsid w:val="1DCA5E3A"/>
    <w:rsid w:val="1DCF5405"/>
    <w:rsid w:val="1DD75183"/>
    <w:rsid w:val="1DDE2626"/>
    <w:rsid w:val="1DFD7C50"/>
    <w:rsid w:val="1E080AB5"/>
    <w:rsid w:val="1E0E0D58"/>
    <w:rsid w:val="1E2A197B"/>
    <w:rsid w:val="1E35255F"/>
    <w:rsid w:val="1E3C5A5F"/>
    <w:rsid w:val="1E475D36"/>
    <w:rsid w:val="1E4E24A0"/>
    <w:rsid w:val="1E502588"/>
    <w:rsid w:val="1E53413D"/>
    <w:rsid w:val="1E550992"/>
    <w:rsid w:val="1E5A7A32"/>
    <w:rsid w:val="1E671817"/>
    <w:rsid w:val="1E6C3B44"/>
    <w:rsid w:val="1E7A4122"/>
    <w:rsid w:val="1E8879EE"/>
    <w:rsid w:val="1EB95D76"/>
    <w:rsid w:val="1EC54236"/>
    <w:rsid w:val="1ED464CA"/>
    <w:rsid w:val="1EDA5DF7"/>
    <w:rsid w:val="1EED4A44"/>
    <w:rsid w:val="1EFA39EA"/>
    <w:rsid w:val="1F00206F"/>
    <w:rsid w:val="1F0177DA"/>
    <w:rsid w:val="1F18467A"/>
    <w:rsid w:val="1F232A42"/>
    <w:rsid w:val="1F2645A8"/>
    <w:rsid w:val="1F4B71B8"/>
    <w:rsid w:val="1F4C39A9"/>
    <w:rsid w:val="1F5009C3"/>
    <w:rsid w:val="1F5665AD"/>
    <w:rsid w:val="1F643AA0"/>
    <w:rsid w:val="1F692382"/>
    <w:rsid w:val="1F8815CD"/>
    <w:rsid w:val="1F8D1995"/>
    <w:rsid w:val="1F935BDD"/>
    <w:rsid w:val="1F9730E6"/>
    <w:rsid w:val="1FBF4223"/>
    <w:rsid w:val="1FDE0273"/>
    <w:rsid w:val="1FEF73C9"/>
    <w:rsid w:val="1FFA024A"/>
    <w:rsid w:val="20020491"/>
    <w:rsid w:val="203C7C11"/>
    <w:rsid w:val="20421AEB"/>
    <w:rsid w:val="20471AED"/>
    <w:rsid w:val="20487E48"/>
    <w:rsid w:val="20666EBF"/>
    <w:rsid w:val="206F239E"/>
    <w:rsid w:val="20723DB0"/>
    <w:rsid w:val="2086258B"/>
    <w:rsid w:val="20A45C99"/>
    <w:rsid w:val="20AD18F5"/>
    <w:rsid w:val="20B77D0F"/>
    <w:rsid w:val="20BB288C"/>
    <w:rsid w:val="20D06EB4"/>
    <w:rsid w:val="20E40557"/>
    <w:rsid w:val="20EF04D3"/>
    <w:rsid w:val="210C69CF"/>
    <w:rsid w:val="21107C1A"/>
    <w:rsid w:val="213018E1"/>
    <w:rsid w:val="21392BC1"/>
    <w:rsid w:val="21431802"/>
    <w:rsid w:val="21463D2C"/>
    <w:rsid w:val="2151198F"/>
    <w:rsid w:val="2172070D"/>
    <w:rsid w:val="217B2C80"/>
    <w:rsid w:val="217D2EA2"/>
    <w:rsid w:val="21851E83"/>
    <w:rsid w:val="21861507"/>
    <w:rsid w:val="219020E3"/>
    <w:rsid w:val="21916EE8"/>
    <w:rsid w:val="219A308D"/>
    <w:rsid w:val="219F5834"/>
    <w:rsid w:val="21A35D48"/>
    <w:rsid w:val="21C12688"/>
    <w:rsid w:val="21CC4855"/>
    <w:rsid w:val="21E233A3"/>
    <w:rsid w:val="21E23F6C"/>
    <w:rsid w:val="21E345FD"/>
    <w:rsid w:val="22171E1E"/>
    <w:rsid w:val="22383B4D"/>
    <w:rsid w:val="22466CD3"/>
    <w:rsid w:val="225D1D49"/>
    <w:rsid w:val="225D33C8"/>
    <w:rsid w:val="226239FE"/>
    <w:rsid w:val="22626562"/>
    <w:rsid w:val="226A76AE"/>
    <w:rsid w:val="22733EB6"/>
    <w:rsid w:val="22906578"/>
    <w:rsid w:val="22973E77"/>
    <w:rsid w:val="22AB58F3"/>
    <w:rsid w:val="22C13FD4"/>
    <w:rsid w:val="22C24771"/>
    <w:rsid w:val="22CA56D0"/>
    <w:rsid w:val="22CB0895"/>
    <w:rsid w:val="231527D7"/>
    <w:rsid w:val="23184F83"/>
    <w:rsid w:val="23185AD8"/>
    <w:rsid w:val="23336451"/>
    <w:rsid w:val="23474320"/>
    <w:rsid w:val="23492735"/>
    <w:rsid w:val="235B5F37"/>
    <w:rsid w:val="235C3EA6"/>
    <w:rsid w:val="23604810"/>
    <w:rsid w:val="237A7609"/>
    <w:rsid w:val="23BE4330"/>
    <w:rsid w:val="23BF0A62"/>
    <w:rsid w:val="23C263BB"/>
    <w:rsid w:val="23CB14F2"/>
    <w:rsid w:val="23D04F68"/>
    <w:rsid w:val="23D50A64"/>
    <w:rsid w:val="23FC0268"/>
    <w:rsid w:val="240B4621"/>
    <w:rsid w:val="241061D3"/>
    <w:rsid w:val="24114322"/>
    <w:rsid w:val="24122F3C"/>
    <w:rsid w:val="24181A61"/>
    <w:rsid w:val="241A4D23"/>
    <w:rsid w:val="244328F6"/>
    <w:rsid w:val="245032E9"/>
    <w:rsid w:val="24536196"/>
    <w:rsid w:val="24626203"/>
    <w:rsid w:val="247573F6"/>
    <w:rsid w:val="247A4BE7"/>
    <w:rsid w:val="24806762"/>
    <w:rsid w:val="24814D5C"/>
    <w:rsid w:val="24831C33"/>
    <w:rsid w:val="248601CB"/>
    <w:rsid w:val="24917BA8"/>
    <w:rsid w:val="24981483"/>
    <w:rsid w:val="249B0370"/>
    <w:rsid w:val="24A24AC6"/>
    <w:rsid w:val="24B93055"/>
    <w:rsid w:val="24C252E5"/>
    <w:rsid w:val="24C93BB5"/>
    <w:rsid w:val="24D02E03"/>
    <w:rsid w:val="24F86BC7"/>
    <w:rsid w:val="250F44FD"/>
    <w:rsid w:val="2514288A"/>
    <w:rsid w:val="2523545D"/>
    <w:rsid w:val="256609A5"/>
    <w:rsid w:val="25781237"/>
    <w:rsid w:val="257A6914"/>
    <w:rsid w:val="2588530F"/>
    <w:rsid w:val="25963C8A"/>
    <w:rsid w:val="25AB3731"/>
    <w:rsid w:val="25B464A2"/>
    <w:rsid w:val="25BA0209"/>
    <w:rsid w:val="25BB4BF0"/>
    <w:rsid w:val="25E62DA9"/>
    <w:rsid w:val="25F465E7"/>
    <w:rsid w:val="25F6641C"/>
    <w:rsid w:val="25F74FA1"/>
    <w:rsid w:val="25FC3091"/>
    <w:rsid w:val="25FD11FA"/>
    <w:rsid w:val="25FF3210"/>
    <w:rsid w:val="2611098A"/>
    <w:rsid w:val="264221C6"/>
    <w:rsid w:val="265D3370"/>
    <w:rsid w:val="26666555"/>
    <w:rsid w:val="268B7C99"/>
    <w:rsid w:val="268C4A4A"/>
    <w:rsid w:val="269A7501"/>
    <w:rsid w:val="26A3584F"/>
    <w:rsid w:val="26A66B0A"/>
    <w:rsid w:val="26A73989"/>
    <w:rsid w:val="26A86D42"/>
    <w:rsid w:val="26C30557"/>
    <w:rsid w:val="26CB2EBC"/>
    <w:rsid w:val="26CB4B73"/>
    <w:rsid w:val="26E34A7B"/>
    <w:rsid w:val="26E9756C"/>
    <w:rsid w:val="26FA4570"/>
    <w:rsid w:val="27217FF0"/>
    <w:rsid w:val="27242893"/>
    <w:rsid w:val="27263C99"/>
    <w:rsid w:val="273612F4"/>
    <w:rsid w:val="27445146"/>
    <w:rsid w:val="277602F5"/>
    <w:rsid w:val="278038CA"/>
    <w:rsid w:val="2788650F"/>
    <w:rsid w:val="27C33BB0"/>
    <w:rsid w:val="27C55F98"/>
    <w:rsid w:val="27CC0CD0"/>
    <w:rsid w:val="27D071BC"/>
    <w:rsid w:val="27D4538F"/>
    <w:rsid w:val="27DE15AE"/>
    <w:rsid w:val="27E03A2F"/>
    <w:rsid w:val="280D297A"/>
    <w:rsid w:val="28276A98"/>
    <w:rsid w:val="285710C8"/>
    <w:rsid w:val="285C4BAF"/>
    <w:rsid w:val="285D0F42"/>
    <w:rsid w:val="28703320"/>
    <w:rsid w:val="289539A5"/>
    <w:rsid w:val="289C2B2F"/>
    <w:rsid w:val="289F019A"/>
    <w:rsid w:val="28B26E22"/>
    <w:rsid w:val="28CC6ED5"/>
    <w:rsid w:val="28F010D9"/>
    <w:rsid w:val="28F05C88"/>
    <w:rsid w:val="29082E70"/>
    <w:rsid w:val="291343EF"/>
    <w:rsid w:val="29166F16"/>
    <w:rsid w:val="294D5371"/>
    <w:rsid w:val="295A5964"/>
    <w:rsid w:val="29626133"/>
    <w:rsid w:val="29702C6A"/>
    <w:rsid w:val="297E6571"/>
    <w:rsid w:val="298756CC"/>
    <w:rsid w:val="29A81FA5"/>
    <w:rsid w:val="29AB297C"/>
    <w:rsid w:val="29C535D7"/>
    <w:rsid w:val="29C65905"/>
    <w:rsid w:val="29DA5777"/>
    <w:rsid w:val="29DF2425"/>
    <w:rsid w:val="2A0E6FDD"/>
    <w:rsid w:val="2A142C99"/>
    <w:rsid w:val="2A1E4871"/>
    <w:rsid w:val="2A214539"/>
    <w:rsid w:val="2A367BB2"/>
    <w:rsid w:val="2A3D54FD"/>
    <w:rsid w:val="2A410FE5"/>
    <w:rsid w:val="2A4173A1"/>
    <w:rsid w:val="2A596631"/>
    <w:rsid w:val="2A5A05BF"/>
    <w:rsid w:val="2A5F2983"/>
    <w:rsid w:val="2A601F6F"/>
    <w:rsid w:val="2A602297"/>
    <w:rsid w:val="2A7A07C0"/>
    <w:rsid w:val="2AB17620"/>
    <w:rsid w:val="2AB30FEA"/>
    <w:rsid w:val="2AB657B1"/>
    <w:rsid w:val="2AE07913"/>
    <w:rsid w:val="2AEA3FC0"/>
    <w:rsid w:val="2AEA4AC4"/>
    <w:rsid w:val="2B0E64B5"/>
    <w:rsid w:val="2B166BF6"/>
    <w:rsid w:val="2B2B0DE1"/>
    <w:rsid w:val="2B3E1E16"/>
    <w:rsid w:val="2B5D0E3B"/>
    <w:rsid w:val="2B5E2134"/>
    <w:rsid w:val="2B6F3EEE"/>
    <w:rsid w:val="2B70774D"/>
    <w:rsid w:val="2B7D446F"/>
    <w:rsid w:val="2B8D4A3E"/>
    <w:rsid w:val="2BCC1BD6"/>
    <w:rsid w:val="2BDF0CFB"/>
    <w:rsid w:val="2BE234F2"/>
    <w:rsid w:val="2BE33AA6"/>
    <w:rsid w:val="2BE40B44"/>
    <w:rsid w:val="2BEF68A7"/>
    <w:rsid w:val="2BF22DBE"/>
    <w:rsid w:val="2BF73785"/>
    <w:rsid w:val="2C0F30B3"/>
    <w:rsid w:val="2C1235EB"/>
    <w:rsid w:val="2C162BEC"/>
    <w:rsid w:val="2C2F0BC4"/>
    <w:rsid w:val="2C391765"/>
    <w:rsid w:val="2C3D18DD"/>
    <w:rsid w:val="2C3D5EB9"/>
    <w:rsid w:val="2C4C0F0A"/>
    <w:rsid w:val="2C5254C3"/>
    <w:rsid w:val="2C532EF2"/>
    <w:rsid w:val="2C5869D0"/>
    <w:rsid w:val="2C5C500F"/>
    <w:rsid w:val="2C6E3526"/>
    <w:rsid w:val="2C6F1E54"/>
    <w:rsid w:val="2C993631"/>
    <w:rsid w:val="2C9B7E11"/>
    <w:rsid w:val="2CAF1058"/>
    <w:rsid w:val="2CB32C99"/>
    <w:rsid w:val="2CBC36F5"/>
    <w:rsid w:val="2CC907F0"/>
    <w:rsid w:val="2CCC5126"/>
    <w:rsid w:val="2CF756B7"/>
    <w:rsid w:val="2CF9252D"/>
    <w:rsid w:val="2CF94F11"/>
    <w:rsid w:val="2CF97782"/>
    <w:rsid w:val="2D107154"/>
    <w:rsid w:val="2D143281"/>
    <w:rsid w:val="2D1C79F8"/>
    <w:rsid w:val="2D324177"/>
    <w:rsid w:val="2D3549AD"/>
    <w:rsid w:val="2D3A0EFB"/>
    <w:rsid w:val="2D5A7835"/>
    <w:rsid w:val="2D6578A0"/>
    <w:rsid w:val="2D7343C9"/>
    <w:rsid w:val="2DE44256"/>
    <w:rsid w:val="2DE557EB"/>
    <w:rsid w:val="2DEE74F1"/>
    <w:rsid w:val="2E0E6D42"/>
    <w:rsid w:val="2E0F4249"/>
    <w:rsid w:val="2E2F0A58"/>
    <w:rsid w:val="2E447583"/>
    <w:rsid w:val="2E4B4467"/>
    <w:rsid w:val="2E5520B9"/>
    <w:rsid w:val="2E63548C"/>
    <w:rsid w:val="2E640C1C"/>
    <w:rsid w:val="2E6B523D"/>
    <w:rsid w:val="2E7A08F9"/>
    <w:rsid w:val="2E7B33BD"/>
    <w:rsid w:val="2E836803"/>
    <w:rsid w:val="2E96363C"/>
    <w:rsid w:val="2EB86707"/>
    <w:rsid w:val="2EC92184"/>
    <w:rsid w:val="2ECD27F6"/>
    <w:rsid w:val="2F0E1C14"/>
    <w:rsid w:val="2F366FC1"/>
    <w:rsid w:val="2F5034C7"/>
    <w:rsid w:val="2F866106"/>
    <w:rsid w:val="2FA3249D"/>
    <w:rsid w:val="2FC05B92"/>
    <w:rsid w:val="2FDE3BE4"/>
    <w:rsid w:val="2FEC1413"/>
    <w:rsid w:val="2FEF5C51"/>
    <w:rsid w:val="301F1E0F"/>
    <w:rsid w:val="302E6295"/>
    <w:rsid w:val="303146B5"/>
    <w:rsid w:val="303329F0"/>
    <w:rsid w:val="303818E5"/>
    <w:rsid w:val="303B4884"/>
    <w:rsid w:val="303F1851"/>
    <w:rsid w:val="303F79AD"/>
    <w:rsid w:val="30492212"/>
    <w:rsid w:val="304C3A2B"/>
    <w:rsid w:val="30596318"/>
    <w:rsid w:val="306F339C"/>
    <w:rsid w:val="30762710"/>
    <w:rsid w:val="307750E9"/>
    <w:rsid w:val="30814CF1"/>
    <w:rsid w:val="308E4163"/>
    <w:rsid w:val="30A71077"/>
    <w:rsid w:val="30C20BA4"/>
    <w:rsid w:val="30C478ED"/>
    <w:rsid w:val="30EC01FB"/>
    <w:rsid w:val="30F54D00"/>
    <w:rsid w:val="31026564"/>
    <w:rsid w:val="310A5122"/>
    <w:rsid w:val="312107CD"/>
    <w:rsid w:val="31210CA8"/>
    <w:rsid w:val="31215285"/>
    <w:rsid w:val="312D0344"/>
    <w:rsid w:val="31346C1B"/>
    <w:rsid w:val="314A407E"/>
    <w:rsid w:val="314E2EDF"/>
    <w:rsid w:val="317038BB"/>
    <w:rsid w:val="317958D0"/>
    <w:rsid w:val="318D218C"/>
    <w:rsid w:val="31964319"/>
    <w:rsid w:val="319A32FE"/>
    <w:rsid w:val="31A53AB7"/>
    <w:rsid w:val="31A801F9"/>
    <w:rsid w:val="31C57FB2"/>
    <w:rsid w:val="31C932E2"/>
    <w:rsid w:val="31F61F62"/>
    <w:rsid w:val="320358D0"/>
    <w:rsid w:val="32052FE4"/>
    <w:rsid w:val="320B77FD"/>
    <w:rsid w:val="321976B1"/>
    <w:rsid w:val="321D6876"/>
    <w:rsid w:val="3220390C"/>
    <w:rsid w:val="322B51BC"/>
    <w:rsid w:val="322F26BF"/>
    <w:rsid w:val="32313F22"/>
    <w:rsid w:val="325B32AE"/>
    <w:rsid w:val="32643522"/>
    <w:rsid w:val="326470BA"/>
    <w:rsid w:val="32744A8B"/>
    <w:rsid w:val="32753DA5"/>
    <w:rsid w:val="32886DB3"/>
    <w:rsid w:val="32895C45"/>
    <w:rsid w:val="32A43D99"/>
    <w:rsid w:val="32B141E0"/>
    <w:rsid w:val="32B44D2D"/>
    <w:rsid w:val="32C90A49"/>
    <w:rsid w:val="32FA2D7F"/>
    <w:rsid w:val="32FC6C4E"/>
    <w:rsid w:val="33085CC5"/>
    <w:rsid w:val="33262CBA"/>
    <w:rsid w:val="332B323C"/>
    <w:rsid w:val="332E3189"/>
    <w:rsid w:val="334E650C"/>
    <w:rsid w:val="335B62EC"/>
    <w:rsid w:val="335E79BA"/>
    <w:rsid w:val="3360061D"/>
    <w:rsid w:val="336549AB"/>
    <w:rsid w:val="33782709"/>
    <w:rsid w:val="338A259F"/>
    <w:rsid w:val="3392025F"/>
    <w:rsid w:val="33A8285D"/>
    <w:rsid w:val="33AC1E29"/>
    <w:rsid w:val="33B17041"/>
    <w:rsid w:val="33B202F3"/>
    <w:rsid w:val="33B20F64"/>
    <w:rsid w:val="33EE53FA"/>
    <w:rsid w:val="33FD7485"/>
    <w:rsid w:val="34012F1B"/>
    <w:rsid w:val="34467089"/>
    <w:rsid w:val="34523AB5"/>
    <w:rsid w:val="346B4B47"/>
    <w:rsid w:val="346E4F77"/>
    <w:rsid w:val="34762AAC"/>
    <w:rsid w:val="348402A8"/>
    <w:rsid w:val="34B510BB"/>
    <w:rsid w:val="34BB2714"/>
    <w:rsid w:val="34C25EF7"/>
    <w:rsid w:val="34D20F28"/>
    <w:rsid w:val="34E22DC0"/>
    <w:rsid w:val="350233D4"/>
    <w:rsid w:val="35195F01"/>
    <w:rsid w:val="35310628"/>
    <w:rsid w:val="35313A72"/>
    <w:rsid w:val="35493C91"/>
    <w:rsid w:val="355C0228"/>
    <w:rsid w:val="357800DF"/>
    <w:rsid w:val="358527FB"/>
    <w:rsid w:val="358B5BCF"/>
    <w:rsid w:val="359A77E8"/>
    <w:rsid w:val="35A1790B"/>
    <w:rsid w:val="35A45B99"/>
    <w:rsid w:val="35B01090"/>
    <w:rsid w:val="35DD2073"/>
    <w:rsid w:val="35DF75FB"/>
    <w:rsid w:val="35EB21A5"/>
    <w:rsid w:val="35EC7269"/>
    <w:rsid w:val="35F52D00"/>
    <w:rsid w:val="35FF153A"/>
    <w:rsid w:val="3606622C"/>
    <w:rsid w:val="36077316"/>
    <w:rsid w:val="3613278E"/>
    <w:rsid w:val="36356D4F"/>
    <w:rsid w:val="36405687"/>
    <w:rsid w:val="36414112"/>
    <w:rsid w:val="365F3D60"/>
    <w:rsid w:val="36645530"/>
    <w:rsid w:val="367851C1"/>
    <w:rsid w:val="368C4D7F"/>
    <w:rsid w:val="369510BC"/>
    <w:rsid w:val="36973632"/>
    <w:rsid w:val="36A30194"/>
    <w:rsid w:val="36D21A02"/>
    <w:rsid w:val="37104DEB"/>
    <w:rsid w:val="372D0977"/>
    <w:rsid w:val="37337382"/>
    <w:rsid w:val="37427AD3"/>
    <w:rsid w:val="374D5647"/>
    <w:rsid w:val="374F42A7"/>
    <w:rsid w:val="37506DBE"/>
    <w:rsid w:val="3759338C"/>
    <w:rsid w:val="37654002"/>
    <w:rsid w:val="378E3E66"/>
    <w:rsid w:val="37C244FC"/>
    <w:rsid w:val="37D95C79"/>
    <w:rsid w:val="37E81F7B"/>
    <w:rsid w:val="38026A1B"/>
    <w:rsid w:val="38197832"/>
    <w:rsid w:val="383903C6"/>
    <w:rsid w:val="383C423B"/>
    <w:rsid w:val="38415136"/>
    <w:rsid w:val="38504C90"/>
    <w:rsid w:val="386C1D38"/>
    <w:rsid w:val="387A25A5"/>
    <w:rsid w:val="38963295"/>
    <w:rsid w:val="389D2F53"/>
    <w:rsid w:val="38A945B7"/>
    <w:rsid w:val="38CC2A09"/>
    <w:rsid w:val="38D677A2"/>
    <w:rsid w:val="38D770AE"/>
    <w:rsid w:val="38F70050"/>
    <w:rsid w:val="38FC33FC"/>
    <w:rsid w:val="38FD0E84"/>
    <w:rsid w:val="38FF1B5B"/>
    <w:rsid w:val="390273B1"/>
    <w:rsid w:val="39153767"/>
    <w:rsid w:val="39225CA9"/>
    <w:rsid w:val="3923070B"/>
    <w:rsid w:val="392C49BB"/>
    <w:rsid w:val="39381E2B"/>
    <w:rsid w:val="3942282F"/>
    <w:rsid w:val="3953338B"/>
    <w:rsid w:val="396B7002"/>
    <w:rsid w:val="396C2A15"/>
    <w:rsid w:val="39AC01F9"/>
    <w:rsid w:val="39B73BAC"/>
    <w:rsid w:val="39B7517F"/>
    <w:rsid w:val="39BA3B51"/>
    <w:rsid w:val="39C20795"/>
    <w:rsid w:val="39E90E2B"/>
    <w:rsid w:val="39E94D86"/>
    <w:rsid w:val="39F1638E"/>
    <w:rsid w:val="3A001C79"/>
    <w:rsid w:val="3A1513BA"/>
    <w:rsid w:val="3A2E618D"/>
    <w:rsid w:val="3A4109A1"/>
    <w:rsid w:val="3A5042B3"/>
    <w:rsid w:val="3A742C8C"/>
    <w:rsid w:val="3A7B2702"/>
    <w:rsid w:val="3A896EEE"/>
    <w:rsid w:val="3AAA2893"/>
    <w:rsid w:val="3ABB15C7"/>
    <w:rsid w:val="3AD8279E"/>
    <w:rsid w:val="3AE73EDB"/>
    <w:rsid w:val="3B08641D"/>
    <w:rsid w:val="3B1C7A19"/>
    <w:rsid w:val="3B2B5582"/>
    <w:rsid w:val="3B4234D4"/>
    <w:rsid w:val="3B5068F7"/>
    <w:rsid w:val="3B7622BA"/>
    <w:rsid w:val="3B7C1C88"/>
    <w:rsid w:val="3B8107C8"/>
    <w:rsid w:val="3B8972AA"/>
    <w:rsid w:val="3BA219B8"/>
    <w:rsid w:val="3BA96003"/>
    <w:rsid w:val="3BC61A51"/>
    <w:rsid w:val="3BE14893"/>
    <w:rsid w:val="3BE8265C"/>
    <w:rsid w:val="3BE92A35"/>
    <w:rsid w:val="3BEB460F"/>
    <w:rsid w:val="3BEF1DA2"/>
    <w:rsid w:val="3BF64635"/>
    <w:rsid w:val="3BF956C3"/>
    <w:rsid w:val="3C0E5CDB"/>
    <w:rsid w:val="3C4D3B02"/>
    <w:rsid w:val="3C5B1D89"/>
    <w:rsid w:val="3C85498F"/>
    <w:rsid w:val="3C8946A5"/>
    <w:rsid w:val="3CA372A1"/>
    <w:rsid w:val="3CA600E0"/>
    <w:rsid w:val="3CB765A9"/>
    <w:rsid w:val="3CBA4326"/>
    <w:rsid w:val="3CBC0BE3"/>
    <w:rsid w:val="3CC614DA"/>
    <w:rsid w:val="3CD01DA9"/>
    <w:rsid w:val="3CDA38F5"/>
    <w:rsid w:val="3CDD517D"/>
    <w:rsid w:val="3CE33FC3"/>
    <w:rsid w:val="3CEA3B31"/>
    <w:rsid w:val="3CF9401E"/>
    <w:rsid w:val="3CFC6325"/>
    <w:rsid w:val="3D093C71"/>
    <w:rsid w:val="3D1A22C0"/>
    <w:rsid w:val="3D294B1B"/>
    <w:rsid w:val="3D2B034D"/>
    <w:rsid w:val="3D5A60CA"/>
    <w:rsid w:val="3D9F4364"/>
    <w:rsid w:val="3DA702BF"/>
    <w:rsid w:val="3DB92106"/>
    <w:rsid w:val="3DCF457D"/>
    <w:rsid w:val="3DF169A7"/>
    <w:rsid w:val="3DF2399F"/>
    <w:rsid w:val="3DF40FE4"/>
    <w:rsid w:val="3E0519AD"/>
    <w:rsid w:val="3E4A1D40"/>
    <w:rsid w:val="3E4C287B"/>
    <w:rsid w:val="3E633FD2"/>
    <w:rsid w:val="3E6F32D2"/>
    <w:rsid w:val="3E742C66"/>
    <w:rsid w:val="3E7E19E7"/>
    <w:rsid w:val="3E8572BF"/>
    <w:rsid w:val="3E917B82"/>
    <w:rsid w:val="3E9656A5"/>
    <w:rsid w:val="3E997463"/>
    <w:rsid w:val="3E9F7600"/>
    <w:rsid w:val="3ECD5479"/>
    <w:rsid w:val="3ED62B90"/>
    <w:rsid w:val="3EE34DD3"/>
    <w:rsid w:val="3EF434CC"/>
    <w:rsid w:val="3EFB6FF7"/>
    <w:rsid w:val="3EFF0A75"/>
    <w:rsid w:val="3F1054CE"/>
    <w:rsid w:val="3F2534F3"/>
    <w:rsid w:val="3F3A1B65"/>
    <w:rsid w:val="3F3A5EB9"/>
    <w:rsid w:val="3F522210"/>
    <w:rsid w:val="3F544AF6"/>
    <w:rsid w:val="3F5C361D"/>
    <w:rsid w:val="3F5E64F5"/>
    <w:rsid w:val="3F656E2C"/>
    <w:rsid w:val="3F6D5029"/>
    <w:rsid w:val="3F92376D"/>
    <w:rsid w:val="3F9C1CD6"/>
    <w:rsid w:val="3FB035B9"/>
    <w:rsid w:val="3FC45A80"/>
    <w:rsid w:val="3FDE13B9"/>
    <w:rsid w:val="3FE029F1"/>
    <w:rsid w:val="3FE457AE"/>
    <w:rsid w:val="3FE57701"/>
    <w:rsid w:val="400C4E03"/>
    <w:rsid w:val="40126EBB"/>
    <w:rsid w:val="401A4D54"/>
    <w:rsid w:val="40262C07"/>
    <w:rsid w:val="404209E3"/>
    <w:rsid w:val="40451C67"/>
    <w:rsid w:val="404A1B2B"/>
    <w:rsid w:val="404A601E"/>
    <w:rsid w:val="404C52F4"/>
    <w:rsid w:val="405C0FC1"/>
    <w:rsid w:val="40733CBA"/>
    <w:rsid w:val="407A4DF7"/>
    <w:rsid w:val="407F6724"/>
    <w:rsid w:val="40B16CC2"/>
    <w:rsid w:val="40B81BAD"/>
    <w:rsid w:val="40BB2365"/>
    <w:rsid w:val="40D23962"/>
    <w:rsid w:val="40D61BC8"/>
    <w:rsid w:val="40DC4F1D"/>
    <w:rsid w:val="40DF2097"/>
    <w:rsid w:val="40E71ABD"/>
    <w:rsid w:val="40F5708E"/>
    <w:rsid w:val="41055BC9"/>
    <w:rsid w:val="413C11C7"/>
    <w:rsid w:val="41447F0E"/>
    <w:rsid w:val="414733E0"/>
    <w:rsid w:val="41566753"/>
    <w:rsid w:val="416A21FA"/>
    <w:rsid w:val="416B09D7"/>
    <w:rsid w:val="417D1E08"/>
    <w:rsid w:val="417D5552"/>
    <w:rsid w:val="4188208C"/>
    <w:rsid w:val="419B51EE"/>
    <w:rsid w:val="41B11897"/>
    <w:rsid w:val="41C57D35"/>
    <w:rsid w:val="41F34606"/>
    <w:rsid w:val="4200399D"/>
    <w:rsid w:val="420E20BD"/>
    <w:rsid w:val="421647B9"/>
    <w:rsid w:val="42263E3B"/>
    <w:rsid w:val="42291C88"/>
    <w:rsid w:val="422C70F1"/>
    <w:rsid w:val="423C6CFA"/>
    <w:rsid w:val="42442693"/>
    <w:rsid w:val="42625AF1"/>
    <w:rsid w:val="428D1B97"/>
    <w:rsid w:val="42B608A5"/>
    <w:rsid w:val="42BC6C8F"/>
    <w:rsid w:val="42C5446D"/>
    <w:rsid w:val="42E94337"/>
    <w:rsid w:val="43031943"/>
    <w:rsid w:val="431327F1"/>
    <w:rsid w:val="43182DB2"/>
    <w:rsid w:val="4368794F"/>
    <w:rsid w:val="436D0FB5"/>
    <w:rsid w:val="437518D1"/>
    <w:rsid w:val="438D1E49"/>
    <w:rsid w:val="43B23B98"/>
    <w:rsid w:val="43C2407B"/>
    <w:rsid w:val="43C80076"/>
    <w:rsid w:val="43D8550E"/>
    <w:rsid w:val="43DC0C7D"/>
    <w:rsid w:val="43EA69D8"/>
    <w:rsid w:val="44356D2F"/>
    <w:rsid w:val="44390E25"/>
    <w:rsid w:val="44433468"/>
    <w:rsid w:val="44437F9F"/>
    <w:rsid w:val="444F5C68"/>
    <w:rsid w:val="44613E6E"/>
    <w:rsid w:val="446A5324"/>
    <w:rsid w:val="447E7804"/>
    <w:rsid w:val="44943661"/>
    <w:rsid w:val="44A05C5C"/>
    <w:rsid w:val="44A45929"/>
    <w:rsid w:val="44AC7417"/>
    <w:rsid w:val="44B16853"/>
    <w:rsid w:val="450D5FAD"/>
    <w:rsid w:val="45172F07"/>
    <w:rsid w:val="451D5184"/>
    <w:rsid w:val="452F3716"/>
    <w:rsid w:val="453C65FD"/>
    <w:rsid w:val="454B256E"/>
    <w:rsid w:val="455D76E4"/>
    <w:rsid w:val="45646F33"/>
    <w:rsid w:val="45671007"/>
    <w:rsid w:val="456C331B"/>
    <w:rsid w:val="45A26739"/>
    <w:rsid w:val="45B07140"/>
    <w:rsid w:val="45C43431"/>
    <w:rsid w:val="45EE3358"/>
    <w:rsid w:val="46066722"/>
    <w:rsid w:val="461976C3"/>
    <w:rsid w:val="461C0664"/>
    <w:rsid w:val="463D42BA"/>
    <w:rsid w:val="46521A41"/>
    <w:rsid w:val="465D50F1"/>
    <w:rsid w:val="46771C91"/>
    <w:rsid w:val="467F06A4"/>
    <w:rsid w:val="4694259D"/>
    <w:rsid w:val="46A64B43"/>
    <w:rsid w:val="46AA5A85"/>
    <w:rsid w:val="46AC6264"/>
    <w:rsid w:val="46C01696"/>
    <w:rsid w:val="46C52BE0"/>
    <w:rsid w:val="46D118AB"/>
    <w:rsid w:val="46F30AEE"/>
    <w:rsid w:val="47123940"/>
    <w:rsid w:val="47204C1C"/>
    <w:rsid w:val="4726595C"/>
    <w:rsid w:val="47600773"/>
    <w:rsid w:val="47657C89"/>
    <w:rsid w:val="47661F26"/>
    <w:rsid w:val="476E25F3"/>
    <w:rsid w:val="47783B12"/>
    <w:rsid w:val="477D5156"/>
    <w:rsid w:val="477F2265"/>
    <w:rsid w:val="47890AD6"/>
    <w:rsid w:val="478D2FF6"/>
    <w:rsid w:val="478F6037"/>
    <w:rsid w:val="47907F82"/>
    <w:rsid w:val="4798720D"/>
    <w:rsid w:val="47BC4D2C"/>
    <w:rsid w:val="47BF7C9C"/>
    <w:rsid w:val="47C2246C"/>
    <w:rsid w:val="47CA5F05"/>
    <w:rsid w:val="47DA1720"/>
    <w:rsid w:val="47E11737"/>
    <w:rsid w:val="47E77D53"/>
    <w:rsid w:val="47EE48C0"/>
    <w:rsid w:val="47F35E3E"/>
    <w:rsid w:val="47FB766F"/>
    <w:rsid w:val="48064E6E"/>
    <w:rsid w:val="4808575C"/>
    <w:rsid w:val="480B439D"/>
    <w:rsid w:val="482F10F4"/>
    <w:rsid w:val="48606A0B"/>
    <w:rsid w:val="486D78BB"/>
    <w:rsid w:val="48723EEE"/>
    <w:rsid w:val="48915636"/>
    <w:rsid w:val="48985F31"/>
    <w:rsid w:val="48AC6E35"/>
    <w:rsid w:val="48BD43A0"/>
    <w:rsid w:val="48C96968"/>
    <w:rsid w:val="48F84416"/>
    <w:rsid w:val="48FF5824"/>
    <w:rsid w:val="4900614D"/>
    <w:rsid w:val="490874C4"/>
    <w:rsid w:val="491A6A98"/>
    <w:rsid w:val="491D4AAF"/>
    <w:rsid w:val="4926292B"/>
    <w:rsid w:val="49371235"/>
    <w:rsid w:val="494324F6"/>
    <w:rsid w:val="49455D20"/>
    <w:rsid w:val="497B341F"/>
    <w:rsid w:val="49B415EE"/>
    <w:rsid w:val="49B569B9"/>
    <w:rsid w:val="49B63FD6"/>
    <w:rsid w:val="49BF4D00"/>
    <w:rsid w:val="49D1562B"/>
    <w:rsid w:val="49DE1EF5"/>
    <w:rsid w:val="49E579C4"/>
    <w:rsid w:val="49EA2381"/>
    <w:rsid w:val="49F43753"/>
    <w:rsid w:val="49F54A10"/>
    <w:rsid w:val="49F94CE9"/>
    <w:rsid w:val="49FE0E45"/>
    <w:rsid w:val="4A040938"/>
    <w:rsid w:val="4A11169A"/>
    <w:rsid w:val="4A212635"/>
    <w:rsid w:val="4A2175B6"/>
    <w:rsid w:val="4A4260CB"/>
    <w:rsid w:val="4A611E1A"/>
    <w:rsid w:val="4A7055A6"/>
    <w:rsid w:val="4A902E54"/>
    <w:rsid w:val="4A9C47ED"/>
    <w:rsid w:val="4AA71D5E"/>
    <w:rsid w:val="4AAA6CA9"/>
    <w:rsid w:val="4AE008D2"/>
    <w:rsid w:val="4B0B3617"/>
    <w:rsid w:val="4B2815DF"/>
    <w:rsid w:val="4B473F5E"/>
    <w:rsid w:val="4B49191E"/>
    <w:rsid w:val="4B507FB2"/>
    <w:rsid w:val="4B647620"/>
    <w:rsid w:val="4B695935"/>
    <w:rsid w:val="4B7A55E6"/>
    <w:rsid w:val="4B82653E"/>
    <w:rsid w:val="4B894031"/>
    <w:rsid w:val="4B8C1A83"/>
    <w:rsid w:val="4B946154"/>
    <w:rsid w:val="4BB12731"/>
    <w:rsid w:val="4BE10A59"/>
    <w:rsid w:val="4BE123D1"/>
    <w:rsid w:val="4C0A534C"/>
    <w:rsid w:val="4C0F01F9"/>
    <w:rsid w:val="4C270B31"/>
    <w:rsid w:val="4C3202E6"/>
    <w:rsid w:val="4C6370A1"/>
    <w:rsid w:val="4C736886"/>
    <w:rsid w:val="4C7F7CEF"/>
    <w:rsid w:val="4C821AA7"/>
    <w:rsid w:val="4C991AEB"/>
    <w:rsid w:val="4CA43125"/>
    <w:rsid w:val="4CAC2A11"/>
    <w:rsid w:val="4CB01CB9"/>
    <w:rsid w:val="4CCD33EA"/>
    <w:rsid w:val="4CCF426B"/>
    <w:rsid w:val="4CF907DC"/>
    <w:rsid w:val="4CFE069C"/>
    <w:rsid w:val="4D033F9C"/>
    <w:rsid w:val="4D055E23"/>
    <w:rsid w:val="4D2433AC"/>
    <w:rsid w:val="4D4A4A28"/>
    <w:rsid w:val="4D5D7D7F"/>
    <w:rsid w:val="4D625C01"/>
    <w:rsid w:val="4D8F350E"/>
    <w:rsid w:val="4D924E46"/>
    <w:rsid w:val="4D9877E4"/>
    <w:rsid w:val="4DBD22E7"/>
    <w:rsid w:val="4DBF1A26"/>
    <w:rsid w:val="4DC73507"/>
    <w:rsid w:val="4DCD52C2"/>
    <w:rsid w:val="4DDA6A5F"/>
    <w:rsid w:val="4DDB7205"/>
    <w:rsid w:val="4DDF772B"/>
    <w:rsid w:val="4DEB15AD"/>
    <w:rsid w:val="4DF87443"/>
    <w:rsid w:val="4E370600"/>
    <w:rsid w:val="4E435024"/>
    <w:rsid w:val="4E4E7E80"/>
    <w:rsid w:val="4E534A5B"/>
    <w:rsid w:val="4E5C5562"/>
    <w:rsid w:val="4E5F69A8"/>
    <w:rsid w:val="4E655726"/>
    <w:rsid w:val="4E754A02"/>
    <w:rsid w:val="4E95725E"/>
    <w:rsid w:val="4E9A6CF9"/>
    <w:rsid w:val="4EA63D16"/>
    <w:rsid w:val="4EA65FD0"/>
    <w:rsid w:val="4ED33DCB"/>
    <w:rsid w:val="4EE34782"/>
    <w:rsid w:val="4EE63F4F"/>
    <w:rsid w:val="4F007E65"/>
    <w:rsid w:val="4F0A1AF8"/>
    <w:rsid w:val="4F203D73"/>
    <w:rsid w:val="4F27252E"/>
    <w:rsid w:val="4F323E26"/>
    <w:rsid w:val="4F3913E8"/>
    <w:rsid w:val="4F501419"/>
    <w:rsid w:val="4F594DAC"/>
    <w:rsid w:val="4F6C3F07"/>
    <w:rsid w:val="4F830574"/>
    <w:rsid w:val="4F8D5FB6"/>
    <w:rsid w:val="4F9753D7"/>
    <w:rsid w:val="4FA54804"/>
    <w:rsid w:val="4FBF34BA"/>
    <w:rsid w:val="4FCA2B98"/>
    <w:rsid w:val="4FCB218A"/>
    <w:rsid w:val="4FCE7BAE"/>
    <w:rsid w:val="4FFE4A87"/>
    <w:rsid w:val="500344EA"/>
    <w:rsid w:val="500B7B4C"/>
    <w:rsid w:val="503C3296"/>
    <w:rsid w:val="50494C36"/>
    <w:rsid w:val="504B0F0D"/>
    <w:rsid w:val="50527689"/>
    <w:rsid w:val="506633AA"/>
    <w:rsid w:val="507237E3"/>
    <w:rsid w:val="50911DB8"/>
    <w:rsid w:val="50943033"/>
    <w:rsid w:val="509D389C"/>
    <w:rsid w:val="50A642FD"/>
    <w:rsid w:val="50AF647F"/>
    <w:rsid w:val="50BB317D"/>
    <w:rsid w:val="50D06E68"/>
    <w:rsid w:val="50D37C72"/>
    <w:rsid w:val="50E466DC"/>
    <w:rsid w:val="50EA1869"/>
    <w:rsid w:val="50FD00F4"/>
    <w:rsid w:val="50FF056E"/>
    <w:rsid w:val="510F2A7F"/>
    <w:rsid w:val="5110096F"/>
    <w:rsid w:val="512746EF"/>
    <w:rsid w:val="51283E4C"/>
    <w:rsid w:val="51291D35"/>
    <w:rsid w:val="512B3A7F"/>
    <w:rsid w:val="51414399"/>
    <w:rsid w:val="515D5FD6"/>
    <w:rsid w:val="516A7012"/>
    <w:rsid w:val="51721A38"/>
    <w:rsid w:val="517D016D"/>
    <w:rsid w:val="51A45867"/>
    <w:rsid w:val="51AD7250"/>
    <w:rsid w:val="51CF1465"/>
    <w:rsid w:val="51D1247D"/>
    <w:rsid w:val="51EC4955"/>
    <w:rsid w:val="51F067B7"/>
    <w:rsid w:val="52077D46"/>
    <w:rsid w:val="52187D0D"/>
    <w:rsid w:val="52361B9C"/>
    <w:rsid w:val="52362A26"/>
    <w:rsid w:val="523B0BAD"/>
    <w:rsid w:val="524B7169"/>
    <w:rsid w:val="5250515D"/>
    <w:rsid w:val="526921DD"/>
    <w:rsid w:val="5297132B"/>
    <w:rsid w:val="529F28D8"/>
    <w:rsid w:val="529F6FBB"/>
    <w:rsid w:val="52C076EC"/>
    <w:rsid w:val="52C25708"/>
    <w:rsid w:val="52C315CC"/>
    <w:rsid w:val="52CD10CA"/>
    <w:rsid w:val="52EB6F11"/>
    <w:rsid w:val="52F0249E"/>
    <w:rsid w:val="531228DF"/>
    <w:rsid w:val="5353575F"/>
    <w:rsid w:val="535B2E70"/>
    <w:rsid w:val="535C4E8B"/>
    <w:rsid w:val="536278AA"/>
    <w:rsid w:val="53673357"/>
    <w:rsid w:val="53676B5F"/>
    <w:rsid w:val="536E21FF"/>
    <w:rsid w:val="5385006E"/>
    <w:rsid w:val="538A4A6D"/>
    <w:rsid w:val="53B45677"/>
    <w:rsid w:val="53CE2502"/>
    <w:rsid w:val="53DD2466"/>
    <w:rsid w:val="53E34323"/>
    <w:rsid w:val="53FC3987"/>
    <w:rsid w:val="5427381E"/>
    <w:rsid w:val="543B788E"/>
    <w:rsid w:val="54447CBB"/>
    <w:rsid w:val="545062A7"/>
    <w:rsid w:val="545C3555"/>
    <w:rsid w:val="54617320"/>
    <w:rsid w:val="547A28DC"/>
    <w:rsid w:val="54827775"/>
    <w:rsid w:val="54AC5134"/>
    <w:rsid w:val="54DE6078"/>
    <w:rsid w:val="54E86EBD"/>
    <w:rsid w:val="54F2526E"/>
    <w:rsid w:val="55075D9B"/>
    <w:rsid w:val="55184BBF"/>
    <w:rsid w:val="551874CA"/>
    <w:rsid w:val="551E6A56"/>
    <w:rsid w:val="552006D3"/>
    <w:rsid w:val="55301CB3"/>
    <w:rsid w:val="55327054"/>
    <w:rsid w:val="553A26BA"/>
    <w:rsid w:val="5556054C"/>
    <w:rsid w:val="5578513F"/>
    <w:rsid w:val="55862A42"/>
    <w:rsid w:val="55990578"/>
    <w:rsid w:val="55A56891"/>
    <w:rsid w:val="55AC66CB"/>
    <w:rsid w:val="55B94635"/>
    <w:rsid w:val="55C33131"/>
    <w:rsid w:val="55CD7903"/>
    <w:rsid w:val="55E172A0"/>
    <w:rsid w:val="55E24605"/>
    <w:rsid w:val="55F81C60"/>
    <w:rsid w:val="55FA0F14"/>
    <w:rsid w:val="56097F90"/>
    <w:rsid w:val="56133E90"/>
    <w:rsid w:val="562A3DF0"/>
    <w:rsid w:val="56474D43"/>
    <w:rsid w:val="564C1D1D"/>
    <w:rsid w:val="565F1E2E"/>
    <w:rsid w:val="56670F45"/>
    <w:rsid w:val="566F1BE2"/>
    <w:rsid w:val="567B004B"/>
    <w:rsid w:val="56825178"/>
    <w:rsid w:val="568F784B"/>
    <w:rsid w:val="569C0124"/>
    <w:rsid w:val="56A17AE8"/>
    <w:rsid w:val="56C9634D"/>
    <w:rsid w:val="56D41BE8"/>
    <w:rsid w:val="56EC7A5D"/>
    <w:rsid w:val="56F4599D"/>
    <w:rsid w:val="570D0322"/>
    <w:rsid w:val="57180ACE"/>
    <w:rsid w:val="571B61B6"/>
    <w:rsid w:val="57213E7D"/>
    <w:rsid w:val="5723561B"/>
    <w:rsid w:val="572362C9"/>
    <w:rsid w:val="572F37C6"/>
    <w:rsid w:val="5736629C"/>
    <w:rsid w:val="57540996"/>
    <w:rsid w:val="57802A35"/>
    <w:rsid w:val="578C3658"/>
    <w:rsid w:val="57B66918"/>
    <w:rsid w:val="57BD6FCE"/>
    <w:rsid w:val="57D214D2"/>
    <w:rsid w:val="57DA1A42"/>
    <w:rsid w:val="58002D08"/>
    <w:rsid w:val="58057728"/>
    <w:rsid w:val="581D1F94"/>
    <w:rsid w:val="58207565"/>
    <w:rsid w:val="582872BA"/>
    <w:rsid w:val="5829318A"/>
    <w:rsid w:val="582D7EE9"/>
    <w:rsid w:val="583343BB"/>
    <w:rsid w:val="583439B3"/>
    <w:rsid w:val="583906A4"/>
    <w:rsid w:val="583B5787"/>
    <w:rsid w:val="586759C7"/>
    <w:rsid w:val="58C07CA9"/>
    <w:rsid w:val="58CB36FC"/>
    <w:rsid w:val="58DE5A38"/>
    <w:rsid w:val="58FA7B16"/>
    <w:rsid w:val="58FB22A6"/>
    <w:rsid w:val="59003437"/>
    <w:rsid w:val="59182EE7"/>
    <w:rsid w:val="5921212C"/>
    <w:rsid w:val="59395687"/>
    <w:rsid w:val="59517781"/>
    <w:rsid w:val="596F472F"/>
    <w:rsid w:val="5974345D"/>
    <w:rsid w:val="597534AA"/>
    <w:rsid w:val="59951C91"/>
    <w:rsid w:val="59982867"/>
    <w:rsid w:val="599D01F8"/>
    <w:rsid w:val="59A11ED6"/>
    <w:rsid w:val="59AB0DFC"/>
    <w:rsid w:val="59C1557F"/>
    <w:rsid w:val="59C8615E"/>
    <w:rsid w:val="59E771C2"/>
    <w:rsid w:val="59E84659"/>
    <w:rsid w:val="59FF2575"/>
    <w:rsid w:val="5A344FB0"/>
    <w:rsid w:val="5A360707"/>
    <w:rsid w:val="5A482568"/>
    <w:rsid w:val="5A5755C9"/>
    <w:rsid w:val="5A5A13C0"/>
    <w:rsid w:val="5A65234E"/>
    <w:rsid w:val="5A772EA3"/>
    <w:rsid w:val="5A7D29E6"/>
    <w:rsid w:val="5A821401"/>
    <w:rsid w:val="5A8A2B4B"/>
    <w:rsid w:val="5A8C5ACF"/>
    <w:rsid w:val="5A9F5080"/>
    <w:rsid w:val="5AAB6618"/>
    <w:rsid w:val="5AC52E1B"/>
    <w:rsid w:val="5AE91049"/>
    <w:rsid w:val="5AEF582B"/>
    <w:rsid w:val="5B0B5334"/>
    <w:rsid w:val="5B0E3A7B"/>
    <w:rsid w:val="5B1B7ACD"/>
    <w:rsid w:val="5B247C71"/>
    <w:rsid w:val="5B2A406A"/>
    <w:rsid w:val="5B2B06FA"/>
    <w:rsid w:val="5B392BD6"/>
    <w:rsid w:val="5B561D67"/>
    <w:rsid w:val="5B6D1CAA"/>
    <w:rsid w:val="5B774FD6"/>
    <w:rsid w:val="5B814790"/>
    <w:rsid w:val="5B82237F"/>
    <w:rsid w:val="5B824855"/>
    <w:rsid w:val="5B856A19"/>
    <w:rsid w:val="5B88245B"/>
    <w:rsid w:val="5B8A0D7A"/>
    <w:rsid w:val="5B8B0F7C"/>
    <w:rsid w:val="5B9E05AD"/>
    <w:rsid w:val="5BAC159B"/>
    <w:rsid w:val="5BBB1AC4"/>
    <w:rsid w:val="5BE11C63"/>
    <w:rsid w:val="5BF24E07"/>
    <w:rsid w:val="5BFB55EA"/>
    <w:rsid w:val="5C15792E"/>
    <w:rsid w:val="5C1A5869"/>
    <w:rsid w:val="5C2404DB"/>
    <w:rsid w:val="5C290BF2"/>
    <w:rsid w:val="5C4E1E1E"/>
    <w:rsid w:val="5C4F343B"/>
    <w:rsid w:val="5C6A79EB"/>
    <w:rsid w:val="5C912690"/>
    <w:rsid w:val="5C970365"/>
    <w:rsid w:val="5C9F632F"/>
    <w:rsid w:val="5CAD1369"/>
    <w:rsid w:val="5CCB04A2"/>
    <w:rsid w:val="5CCD7E04"/>
    <w:rsid w:val="5CD51F6A"/>
    <w:rsid w:val="5CD6026B"/>
    <w:rsid w:val="5CE319F6"/>
    <w:rsid w:val="5CE42846"/>
    <w:rsid w:val="5CE9406B"/>
    <w:rsid w:val="5D0656E1"/>
    <w:rsid w:val="5D566DF5"/>
    <w:rsid w:val="5D5736EC"/>
    <w:rsid w:val="5D592213"/>
    <w:rsid w:val="5D7067ED"/>
    <w:rsid w:val="5D77660D"/>
    <w:rsid w:val="5D7A7C97"/>
    <w:rsid w:val="5D8A240A"/>
    <w:rsid w:val="5D8A4019"/>
    <w:rsid w:val="5D9907FA"/>
    <w:rsid w:val="5D9A56C3"/>
    <w:rsid w:val="5DCD4FAD"/>
    <w:rsid w:val="5DD45E20"/>
    <w:rsid w:val="5DD77F01"/>
    <w:rsid w:val="5DF376B4"/>
    <w:rsid w:val="5DF974C4"/>
    <w:rsid w:val="5E150E16"/>
    <w:rsid w:val="5E156702"/>
    <w:rsid w:val="5E2C3CE8"/>
    <w:rsid w:val="5E480DBB"/>
    <w:rsid w:val="5E532C32"/>
    <w:rsid w:val="5E6B78B9"/>
    <w:rsid w:val="5E72530D"/>
    <w:rsid w:val="5E7B3471"/>
    <w:rsid w:val="5E811840"/>
    <w:rsid w:val="5EAC620C"/>
    <w:rsid w:val="5EB56E43"/>
    <w:rsid w:val="5EC85C26"/>
    <w:rsid w:val="5EDB6E5E"/>
    <w:rsid w:val="5EE64F4B"/>
    <w:rsid w:val="5F050603"/>
    <w:rsid w:val="5F0F5BF5"/>
    <w:rsid w:val="5F1070E5"/>
    <w:rsid w:val="5F137093"/>
    <w:rsid w:val="5F475DFB"/>
    <w:rsid w:val="5F4A6912"/>
    <w:rsid w:val="5F897D68"/>
    <w:rsid w:val="5FA342D5"/>
    <w:rsid w:val="5FA40581"/>
    <w:rsid w:val="5FBF418B"/>
    <w:rsid w:val="5FC03F1C"/>
    <w:rsid w:val="5FC128D4"/>
    <w:rsid w:val="5FC577B3"/>
    <w:rsid w:val="5FFB751D"/>
    <w:rsid w:val="5FFC1DCE"/>
    <w:rsid w:val="600F0A34"/>
    <w:rsid w:val="602423C7"/>
    <w:rsid w:val="603F2394"/>
    <w:rsid w:val="604407B5"/>
    <w:rsid w:val="60487E62"/>
    <w:rsid w:val="605A5C34"/>
    <w:rsid w:val="60630B92"/>
    <w:rsid w:val="606E4C0D"/>
    <w:rsid w:val="60935B47"/>
    <w:rsid w:val="60C76F62"/>
    <w:rsid w:val="60CE1254"/>
    <w:rsid w:val="60D321CB"/>
    <w:rsid w:val="60D467A9"/>
    <w:rsid w:val="60EA12BA"/>
    <w:rsid w:val="60EB3CE8"/>
    <w:rsid w:val="61034470"/>
    <w:rsid w:val="61041400"/>
    <w:rsid w:val="6108421E"/>
    <w:rsid w:val="610C08D6"/>
    <w:rsid w:val="611504BF"/>
    <w:rsid w:val="61233B56"/>
    <w:rsid w:val="6129287D"/>
    <w:rsid w:val="6132559A"/>
    <w:rsid w:val="61535DEE"/>
    <w:rsid w:val="6166167A"/>
    <w:rsid w:val="617020C2"/>
    <w:rsid w:val="61755B39"/>
    <w:rsid w:val="617A0C46"/>
    <w:rsid w:val="618B1EF3"/>
    <w:rsid w:val="61A33787"/>
    <w:rsid w:val="61A66AB4"/>
    <w:rsid w:val="61BC38FA"/>
    <w:rsid w:val="61BE0E4F"/>
    <w:rsid w:val="61C85E7F"/>
    <w:rsid w:val="61CD78CF"/>
    <w:rsid w:val="61DA14FE"/>
    <w:rsid w:val="61E53D34"/>
    <w:rsid w:val="61E73697"/>
    <w:rsid w:val="61EE3162"/>
    <w:rsid w:val="61F62056"/>
    <w:rsid w:val="620208E6"/>
    <w:rsid w:val="620E46C5"/>
    <w:rsid w:val="620F37AC"/>
    <w:rsid w:val="621536B2"/>
    <w:rsid w:val="621C707C"/>
    <w:rsid w:val="621E0130"/>
    <w:rsid w:val="62271A32"/>
    <w:rsid w:val="6245212D"/>
    <w:rsid w:val="624B2E9D"/>
    <w:rsid w:val="62504ABA"/>
    <w:rsid w:val="62505B15"/>
    <w:rsid w:val="62510C1A"/>
    <w:rsid w:val="62607DE0"/>
    <w:rsid w:val="62635B76"/>
    <w:rsid w:val="62757089"/>
    <w:rsid w:val="627D56B9"/>
    <w:rsid w:val="62AE05DB"/>
    <w:rsid w:val="62B60A29"/>
    <w:rsid w:val="62B75646"/>
    <w:rsid w:val="62BA5EE7"/>
    <w:rsid w:val="62F04E93"/>
    <w:rsid w:val="62F14EED"/>
    <w:rsid w:val="62FF3767"/>
    <w:rsid w:val="63074094"/>
    <w:rsid w:val="63256E52"/>
    <w:rsid w:val="6337684E"/>
    <w:rsid w:val="63403C73"/>
    <w:rsid w:val="6351410B"/>
    <w:rsid w:val="635D4427"/>
    <w:rsid w:val="635F082F"/>
    <w:rsid w:val="63710CD7"/>
    <w:rsid w:val="639A0C81"/>
    <w:rsid w:val="63A00543"/>
    <w:rsid w:val="63BE2991"/>
    <w:rsid w:val="63D672A4"/>
    <w:rsid w:val="63E900E8"/>
    <w:rsid w:val="63F105D2"/>
    <w:rsid w:val="64003000"/>
    <w:rsid w:val="64020FD8"/>
    <w:rsid w:val="640B49C1"/>
    <w:rsid w:val="64156CD8"/>
    <w:rsid w:val="64413D22"/>
    <w:rsid w:val="64470699"/>
    <w:rsid w:val="644B6CD5"/>
    <w:rsid w:val="646253D3"/>
    <w:rsid w:val="64627D01"/>
    <w:rsid w:val="6473435B"/>
    <w:rsid w:val="64864D44"/>
    <w:rsid w:val="64A01013"/>
    <w:rsid w:val="64B835CA"/>
    <w:rsid w:val="64C76164"/>
    <w:rsid w:val="64D3186F"/>
    <w:rsid w:val="64EF2266"/>
    <w:rsid w:val="64F33559"/>
    <w:rsid w:val="64FD2EEA"/>
    <w:rsid w:val="64FF1ABC"/>
    <w:rsid w:val="650E3520"/>
    <w:rsid w:val="653E4CDE"/>
    <w:rsid w:val="654069DE"/>
    <w:rsid w:val="65413B3E"/>
    <w:rsid w:val="654B3E81"/>
    <w:rsid w:val="655555A6"/>
    <w:rsid w:val="655F14F0"/>
    <w:rsid w:val="65660277"/>
    <w:rsid w:val="656E6D13"/>
    <w:rsid w:val="65990AED"/>
    <w:rsid w:val="65A63707"/>
    <w:rsid w:val="65A80F59"/>
    <w:rsid w:val="65AA319F"/>
    <w:rsid w:val="65AC5539"/>
    <w:rsid w:val="65BB595A"/>
    <w:rsid w:val="65F22562"/>
    <w:rsid w:val="65F65692"/>
    <w:rsid w:val="660C7338"/>
    <w:rsid w:val="66407FD5"/>
    <w:rsid w:val="665346CA"/>
    <w:rsid w:val="6661498D"/>
    <w:rsid w:val="666B3926"/>
    <w:rsid w:val="668C5B9C"/>
    <w:rsid w:val="669265A4"/>
    <w:rsid w:val="66A421AD"/>
    <w:rsid w:val="66C77BCC"/>
    <w:rsid w:val="66CF58C8"/>
    <w:rsid w:val="66D00FF0"/>
    <w:rsid w:val="66E50A5C"/>
    <w:rsid w:val="66E5305A"/>
    <w:rsid w:val="66FA0A76"/>
    <w:rsid w:val="670314C2"/>
    <w:rsid w:val="670A28DD"/>
    <w:rsid w:val="671F2137"/>
    <w:rsid w:val="67256725"/>
    <w:rsid w:val="672C3BD3"/>
    <w:rsid w:val="673E6826"/>
    <w:rsid w:val="67441F0C"/>
    <w:rsid w:val="674465E9"/>
    <w:rsid w:val="67594618"/>
    <w:rsid w:val="675B3954"/>
    <w:rsid w:val="676B6466"/>
    <w:rsid w:val="67954429"/>
    <w:rsid w:val="679A4468"/>
    <w:rsid w:val="67C47F84"/>
    <w:rsid w:val="67D85572"/>
    <w:rsid w:val="67DD10E7"/>
    <w:rsid w:val="67E51A4F"/>
    <w:rsid w:val="67E81C89"/>
    <w:rsid w:val="67F16AAB"/>
    <w:rsid w:val="67FC2A34"/>
    <w:rsid w:val="68022928"/>
    <w:rsid w:val="68163291"/>
    <w:rsid w:val="68244FDF"/>
    <w:rsid w:val="682634A6"/>
    <w:rsid w:val="68335612"/>
    <w:rsid w:val="683D75EE"/>
    <w:rsid w:val="683F6341"/>
    <w:rsid w:val="68413BF7"/>
    <w:rsid w:val="684A3899"/>
    <w:rsid w:val="68516552"/>
    <w:rsid w:val="68553D9E"/>
    <w:rsid w:val="685D249D"/>
    <w:rsid w:val="685E03FF"/>
    <w:rsid w:val="68600066"/>
    <w:rsid w:val="6861776A"/>
    <w:rsid w:val="687222C2"/>
    <w:rsid w:val="6879445C"/>
    <w:rsid w:val="687A5897"/>
    <w:rsid w:val="687D194E"/>
    <w:rsid w:val="68945561"/>
    <w:rsid w:val="689D6C87"/>
    <w:rsid w:val="68A05E34"/>
    <w:rsid w:val="68A4599C"/>
    <w:rsid w:val="68AD0074"/>
    <w:rsid w:val="68D4182F"/>
    <w:rsid w:val="68DA458B"/>
    <w:rsid w:val="68E565D8"/>
    <w:rsid w:val="68ED4DA7"/>
    <w:rsid w:val="68FC5EBD"/>
    <w:rsid w:val="69122538"/>
    <w:rsid w:val="69194FE8"/>
    <w:rsid w:val="691F4315"/>
    <w:rsid w:val="69544350"/>
    <w:rsid w:val="69703FA0"/>
    <w:rsid w:val="69997B9C"/>
    <w:rsid w:val="69A84304"/>
    <w:rsid w:val="69B52A42"/>
    <w:rsid w:val="69B67148"/>
    <w:rsid w:val="69BE4DB3"/>
    <w:rsid w:val="69CF0E91"/>
    <w:rsid w:val="69CF0ED8"/>
    <w:rsid w:val="69D52B56"/>
    <w:rsid w:val="69D54DDD"/>
    <w:rsid w:val="69E028D2"/>
    <w:rsid w:val="69E874BD"/>
    <w:rsid w:val="69F54308"/>
    <w:rsid w:val="6A0A7A54"/>
    <w:rsid w:val="6A2622A1"/>
    <w:rsid w:val="6A35577F"/>
    <w:rsid w:val="6A3A22EA"/>
    <w:rsid w:val="6A3F2D1D"/>
    <w:rsid w:val="6A592054"/>
    <w:rsid w:val="6A72463D"/>
    <w:rsid w:val="6A777087"/>
    <w:rsid w:val="6A820574"/>
    <w:rsid w:val="6A8A7230"/>
    <w:rsid w:val="6A99048F"/>
    <w:rsid w:val="6AA077DB"/>
    <w:rsid w:val="6AA47C92"/>
    <w:rsid w:val="6AAD0032"/>
    <w:rsid w:val="6AB909BB"/>
    <w:rsid w:val="6ABA0C51"/>
    <w:rsid w:val="6ABD020C"/>
    <w:rsid w:val="6ADD6D64"/>
    <w:rsid w:val="6B0F06C2"/>
    <w:rsid w:val="6B2B6878"/>
    <w:rsid w:val="6B633F4F"/>
    <w:rsid w:val="6B70680D"/>
    <w:rsid w:val="6B816F14"/>
    <w:rsid w:val="6B8A298B"/>
    <w:rsid w:val="6B8A779B"/>
    <w:rsid w:val="6BAD6C20"/>
    <w:rsid w:val="6BB456BB"/>
    <w:rsid w:val="6BB62A44"/>
    <w:rsid w:val="6BC35E60"/>
    <w:rsid w:val="6BD81D0A"/>
    <w:rsid w:val="6BDC1378"/>
    <w:rsid w:val="6BE052CE"/>
    <w:rsid w:val="6BF2692A"/>
    <w:rsid w:val="6BF358A4"/>
    <w:rsid w:val="6BFA7226"/>
    <w:rsid w:val="6C051F4E"/>
    <w:rsid w:val="6C096C12"/>
    <w:rsid w:val="6C1A5960"/>
    <w:rsid w:val="6C417EB8"/>
    <w:rsid w:val="6C541D88"/>
    <w:rsid w:val="6C613F45"/>
    <w:rsid w:val="6C756221"/>
    <w:rsid w:val="6C771B2F"/>
    <w:rsid w:val="6C7B08BB"/>
    <w:rsid w:val="6C816AF9"/>
    <w:rsid w:val="6C846694"/>
    <w:rsid w:val="6CA841D2"/>
    <w:rsid w:val="6CB10385"/>
    <w:rsid w:val="6CDF0F3A"/>
    <w:rsid w:val="6CE47854"/>
    <w:rsid w:val="6D0D25B8"/>
    <w:rsid w:val="6D490A6B"/>
    <w:rsid w:val="6D582A6D"/>
    <w:rsid w:val="6D604FD1"/>
    <w:rsid w:val="6D635FBA"/>
    <w:rsid w:val="6D6534EB"/>
    <w:rsid w:val="6D6C0EA8"/>
    <w:rsid w:val="6D732F9C"/>
    <w:rsid w:val="6D9239A2"/>
    <w:rsid w:val="6DB664EE"/>
    <w:rsid w:val="6DBC6250"/>
    <w:rsid w:val="6DC64BAC"/>
    <w:rsid w:val="6DE50270"/>
    <w:rsid w:val="6E037AD7"/>
    <w:rsid w:val="6E056523"/>
    <w:rsid w:val="6E074EC9"/>
    <w:rsid w:val="6E160E52"/>
    <w:rsid w:val="6E2E569B"/>
    <w:rsid w:val="6E4064F1"/>
    <w:rsid w:val="6E4E39FC"/>
    <w:rsid w:val="6E5545BD"/>
    <w:rsid w:val="6E5D1964"/>
    <w:rsid w:val="6E614B19"/>
    <w:rsid w:val="6E616F13"/>
    <w:rsid w:val="6E7369B5"/>
    <w:rsid w:val="6E7B5CAB"/>
    <w:rsid w:val="6EAA56FE"/>
    <w:rsid w:val="6EB37B5B"/>
    <w:rsid w:val="6EBE6FBB"/>
    <w:rsid w:val="6ED26D8F"/>
    <w:rsid w:val="6ED70BA2"/>
    <w:rsid w:val="6EDB7671"/>
    <w:rsid w:val="6EF77260"/>
    <w:rsid w:val="6F2302E3"/>
    <w:rsid w:val="6F314C13"/>
    <w:rsid w:val="6F382FA6"/>
    <w:rsid w:val="6F391F60"/>
    <w:rsid w:val="6F694006"/>
    <w:rsid w:val="6F6C5490"/>
    <w:rsid w:val="6F761900"/>
    <w:rsid w:val="6FA71AD5"/>
    <w:rsid w:val="6FAF2607"/>
    <w:rsid w:val="6FD47D24"/>
    <w:rsid w:val="6FE17D06"/>
    <w:rsid w:val="6FF103DB"/>
    <w:rsid w:val="6FF536DD"/>
    <w:rsid w:val="6FFD71B3"/>
    <w:rsid w:val="700D2412"/>
    <w:rsid w:val="70112883"/>
    <w:rsid w:val="70243856"/>
    <w:rsid w:val="703F2471"/>
    <w:rsid w:val="704B4131"/>
    <w:rsid w:val="70531ED5"/>
    <w:rsid w:val="705A528C"/>
    <w:rsid w:val="7068062C"/>
    <w:rsid w:val="706F6827"/>
    <w:rsid w:val="707F47B3"/>
    <w:rsid w:val="70954F53"/>
    <w:rsid w:val="70A94A40"/>
    <w:rsid w:val="70C52A62"/>
    <w:rsid w:val="70D80F32"/>
    <w:rsid w:val="70D97C76"/>
    <w:rsid w:val="70F76E40"/>
    <w:rsid w:val="711337D0"/>
    <w:rsid w:val="713173E8"/>
    <w:rsid w:val="71420658"/>
    <w:rsid w:val="7143472C"/>
    <w:rsid w:val="71440341"/>
    <w:rsid w:val="71531561"/>
    <w:rsid w:val="71597148"/>
    <w:rsid w:val="716D089C"/>
    <w:rsid w:val="71715206"/>
    <w:rsid w:val="71743A1D"/>
    <w:rsid w:val="71774D56"/>
    <w:rsid w:val="71901CEF"/>
    <w:rsid w:val="719438F4"/>
    <w:rsid w:val="719D7F3F"/>
    <w:rsid w:val="71B55DFD"/>
    <w:rsid w:val="71B834E8"/>
    <w:rsid w:val="71D0750E"/>
    <w:rsid w:val="71D803D1"/>
    <w:rsid w:val="71E501C6"/>
    <w:rsid w:val="71F40A44"/>
    <w:rsid w:val="71FD671C"/>
    <w:rsid w:val="7202163F"/>
    <w:rsid w:val="723B04C8"/>
    <w:rsid w:val="724E6817"/>
    <w:rsid w:val="725128C6"/>
    <w:rsid w:val="72600D68"/>
    <w:rsid w:val="72604620"/>
    <w:rsid w:val="726B02C1"/>
    <w:rsid w:val="726D2C67"/>
    <w:rsid w:val="729A0F74"/>
    <w:rsid w:val="72F03574"/>
    <w:rsid w:val="72F77CB6"/>
    <w:rsid w:val="731438BD"/>
    <w:rsid w:val="733155C8"/>
    <w:rsid w:val="73422D3C"/>
    <w:rsid w:val="73625723"/>
    <w:rsid w:val="737007D9"/>
    <w:rsid w:val="738B5B50"/>
    <w:rsid w:val="73AA53A0"/>
    <w:rsid w:val="73B04F6B"/>
    <w:rsid w:val="73CB6B2F"/>
    <w:rsid w:val="73D20D1A"/>
    <w:rsid w:val="73E168D2"/>
    <w:rsid w:val="73E873C4"/>
    <w:rsid w:val="73F07AA4"/>
    <w:rsid w:val="74010DBC"/>
    <w:rsid w:val="74054701"/>
    <w:rsid w:val="740D2C3F"/>
    <w:rsid w:val="740D46DA"/>
    <w:rsid w:val="74135925"/>
    <w:rsid w:val="74163E96"/>
    <w:rsid w:val="742827DB"/>
    <w:rsid w:val="742C4D1B"/>
    <w:rsid w:val="742D6CA9"/>
    <w:rsid w:val="742E58A2"/>
    <w:rsid w:val="74525628"/>
    <w:rsid w:val="745A3D0B"/>
    <w:rsid w:val="745F06BF"/>
    <w:rsid w:val="746C713B"/>
    <w:rsid w:val="748D2368"/>
    <w:rsid w:val="749217E0"/>
    <w:rsid w:val="74A50915"/>
    <w:rsid w:val="74B22D8C"/>
    <w:rsid w:val="74C26B38"/>
    <w:rsid w:val="74C55FC1"/>
    <w:rsid w:val="74CC7EC1"/>
    <w:rsid w:val="74DA7552"/>
    <w:rsid w:val="74E41FDD"/>
    <w:rsid w:val="74EF6361"/>
    <w:rsid w:val="74F347DF"/>
    <w:rsid w:val="74FA7FE6"/>
    <w:rsid w:val="74FD4A9B"/>
    <w:rsid w:val="751D43A6"/>
    <w:rsid w:val="75453AE1"/>
    <w:rsid w:val="75573AC9"/>
    <w:rsid w:val="75595449"/>
    <w:rsid w:val="758B283A"/>
    <w:rsid w:val="75BD313A"/>
    <w:rsid w:val="75BF6D3D"/>
    <w:rsid w:val="75DC1EF4"/>
    <w:rsid w:val="75E50837"/>
    <w:rsid w:val="75EF5520"/>
    <w:rsid w:val="75F63713"/>
    <w:rsid w:val="76143A54"/>
    <w:rsid w:val="7637074A"/>
    <w:rsid w:val="763B63B0"/>
    <w:rsid w:val="764772A3"/>
    <w:rsid w:val="764C38F7"/>
    <w:rsid w:val="767B7960"/>
    <w:rsid w:val="769A6195"/>
    <w:rsid w:val="76A44430"/>
    <w:rsid w:val="76A71FBB"/>
    <w:rsid w:val="76AA5D81"/>
    <w:rsid w:val="76AB50DC"/>
    <w:rsid w:val="76BB3C83"/>
    <w:rsid w:val="76C80EC7"/>
    <w:rsid w:val="76F73D47"/>
    <w:rsid w:val="77006E1F"/>
    <w:rsid w:val="77032A24"/>
    <w:rsid w:val="771670C1"/>
    <w:rsid w:val="772C16E9"/>
    <w:rsid w:val="77683E14"/>
    <w:rsid w:val="77734EA5"/>
    <w:rsid w:val="77A06542"/>
    <w:rsid w:val="77A922C9"/>
    <w:rsid w:val="77AC049C"/>
    <w:rsid w:val="77B23714"/>
    <w:rsid w:val="77BB772D"/>
    <w:rsid w:val="77D43FD2"/>
    <w:rsid w:val="77F2363E"/>
    <w:rsid w:val="77FA155A"/>
    <w:rsid w:val="781137AD"/>
    <w:rsid w:val="781D13FA"/>
    <w:rsid w:val="782817E9"/>
    <w:rsid w:val="78555C26"/>
    <w:rsid w:val="78640057"/>
    <w:rsid w:val="78810787"/>
    <w:rsid w:val="78826969"/>
    <w:rsid w:val="788E3AAC"/>
    <w:rsid w:val="7890703F"/>
    <w:rsid w:val="78B50729"/>
    <w:rsid w:val="78B515B5"/>
    <w:rsid w:val="78C21620"/>
    <w:rsid w:val="78CE2D76"/>
    <w:rsid w:val="78EE2375"/>
    <w:rsid w:val="78FA244C"/>
    <w:rsid w:val="78FE1B78"/>
    <w:rsid w:val="79024116"/>
    <w:rsid w:val="790B5E4F"/>
    <w:rsid w:val="790D572F"/>
    <w:rsid w:val="79233654"/>
    <w:rsid w:val="79455569"/>
    <w:rsid w:val="79470AE2"/>
    <w:rsid w:val="795123A8"/>
    <w:rsid w:val="79535AC3"/>
    <w:rsid w:val="79620961"/>
    <w:rsid w:val="79987ED2"/>
    <w:rsid w:val="79AE1AE3"/>
    <w:rsid w:val="79AE77FB"/>
    <w:rsid w:val="79B85AA8"/>
    <w:rsid w:val="79C342A8"/>
    <w:rsid w:val="79C34F9F"/>
    <w:rsid w:val="79C81B6A"/>
    <w:rsid w:val="79E83652"/>
    <w:rsid w:val="79EF6059"/>
    <w:rsid w:val="7A074D7D"/>
    <w:rsid w:val="7A1053E1"/>
    <w:rsid w:val="7A17618B"/>
    <w:rsid w:val="7A1E05C7"/>
    <w:rsid w:val="7A3F1ABF"/>
    <w:rsid w:val="7A413A99"/>
    <w:rsid w:val="7A4642A9"/>
    <w:rsid w:val="7A4B6B30"/>
    <w:rsid w:val="7A5D3D51"/>
    <w:rsid w:val="7A5F0CF7"/>
    <w:rsid w:val="7A675EA5"/>
    <w:rsid w:val="7A6B3865"/>
    <w:rsid w:val="7A7041ED"/>
    <w:rsid w:val="7A832390"/>
    <w:rsid w:val="7A92679C"/>
    <w:rsid w:val="7A955810"/>
    <w:rsid w:val="7A985E92"/>
    <w:rsid w:val="7A9C2E47"/>
    <w:rsid w:val="7A9E009C"/>
    <w:rsid w:val="7AC019FF"/>
    <w:rsid w:val="7ACA6FB9"/>
    <w:rsid w:val="7AF46C5F"/>
    <w:rsid w:val="7AF91BCC"/>
    <w:rsid w:val="7B0C5BAE"/>
    <w:rsid w:val="7B2374FE"/>
    <w:rsid w:val="7B34342A"/>
    <w:rsid w:val="7B3873CB"/>
    <w:rsid w:val="7B496993"/>
    <w:rsid w:val="7B783675"/>
    <w:rsid w:val="7B796807"/>
    <w:rsid w:val="7BAC2D3A"/>
    <w:rsid w:val="7BAE3C97"/>
    <w:rsid w:val="7BB16076"/>
    <w:rsid w:val="7BB46DB9"/>
    <w:rsid w:val="7BC02341"/>
    <w:rsid w:val="7BD74454"/>
    <w:rsid w:val="7BE96DEC"/>
    <w:rsid w:val="7C021A51"/>
    <w:rsid w:val="7C033C13"/>
    <w:rsid w:val="7C041A0F"/>
    <w:rsid w:val="7C110306"/>
    <w:rsid w:val="7C212B8A"/>
    <w:rsid w:val="7C8464A1"/>
    <w:rsid w:val="7C9D2D7B"/>
    <w:rsid w:val="7CA26867"/>
    <w:rsid w:val="7CB43A8E"/>
    <w:rsid w:val="7CC106AB"/>
    <w:rsid w:val="7CDF4250"/>
    <w:rsid w:val="7CF16C56"/>
    <w:rsid w:val="7CFE7672"/>
    <w:rsid w:val="7D09113D"/>
    <w:rsid w:val="7D157A0E"/>
    <w:rsid w:val="7D1658AD"/>
    <w:rsid w:val="7D1D4159"/>
    <w:rsid w:val="7D243099"/>
    <w:rsid w:val="7D4B3993"/>
    <w:rsid w:val="7D5F5E30"/>
    <w:rsid w:val="7D6C208F"/>
    <w:rsid w:val="7D897D56"/>
    <w:rsid w:val="7D9B14E5"/>
    <w:rsid w:val="7DAA42B2"/>
    <w:rsid w:val="7DAA569A"/>
    <w:rsid w:val="7DB1501E"/>
    <w:rsid w:val="7DB676D9"/>
    <w:rsid w:val="7DBE16CF"/>
    <w:rsid w:val="7DC37DE3"/>
    <w:rsid w:val="7DD45912"/>
    <w:rsid w:val="7DDF258C"/>
    <w:rsid w:val="7E0D4E8F"/>
    <w:rsid w:val="7E107D04"/>
    <w:rsid w:val="7E202441"/>
    <w:rsid w:val="7E4B691E"/>
    <w:rsid w:val="7E616C7B"/>
    <w:rsid w:val="7E733A70"/>
    <w:rsid w:val="7E8A0780"/>
    <w:rsid w:val="7EA574A2"/>
    <w:rsid w:val="7EBB0DC0"/>
    <w:rsid w:val="7EC42E15"/>
    <w:rsid w:val="7EC50C54"/>
    <w:rsid w:val="7ED11A3C"/>
    <w:rsid w:val="7ED91C72"/>
    <w:rsid w:val="7EEB5BB3"/>
    <w:rsid w:val="7F1568D7"/>
    <w:rsid w:val="7F2E0D24"/>
    <w:rsid w:val="7F312E91"/>
    <w:rsid w:val="7F33645C"/>
    <w:rsid w:val="7F4E4DC2"/>
    <w:rsid w:val="7F66205C"/>
    <w:rsid w:val="7FA8327A"/>
    <w:rsid w:val="7FB32EED"/>
    <w:rsid w:val="7FB6358D"/>
    <w:rsid w:val="7FE076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toa heading"/>
    <w:next w:val="1"/>
    <w:qFormat/>
    <w:uiPriority w:val="99"/>
    <w:pPr>
      <w:widowControl w:val="0"/>
      <w:spacing w:before="120" w:after="200" w:line="276" w:lineRule="auto"/>
      <w:jc w:val="both"/>
    </w:pPr>
    <w:rPr>
      <w:rFonts w:ascii="Arial" w:hAnsi="Arial" w:eastAsia="宋体" w:cs="Times New Roman"/>
      <w:kern w:val="2"/>
      <w:sz w:val="24"/>
      <w:szCs w:val="21"/>
      <w:lang w:val="en-US" w:eastAsia="zh-CN" w:bidi="ar-SA"/>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8">
    <w:name w:val="Strong"/>
    <w:qFormat/>
    <w:uiPriority w:val="22"/>
    <w:rPr>
      <w:b/>
      <w:bCs/>
    </w:rPr>
  </w:style>
  <w:style w:type="table" w:customStyle="1" w:styleId="9">
    <w:name w:val="Table Normal"/>
    <w:unhideWhenUsed/>
    <w:qFormat/>
    <w:uiPriority w:val="0"/>
    <w:tblPr>
      <w:tblCellMar>
        <w:top w:w="0" w:type="dxa"/>
        <w:left w:w="0" w:type="dxa"/>
        <w:bottom w:w="0" w:type="dxa"/>
        <w:right w:w="0" w:type="dxa"/>
      </w:tblCellMar>
    </w:tblPr>
  </w:style>
  <w:style w:type="paragraph" w:customStyle="1" w:styleId="10">
    <w:name w:val="181"/>
    <w:qFormat/>
    <w:uiPriority w:val="0"/>
    <w:pPr>
      <w:keepNext w:val="0"/>
      <w:keepLines w:val="0"/>
      <w:widowControl w:val="0"/>
      <w:suppressLineNumbers w:val="0"/>
      <w:spacing w:before="0" w:beforeAutospacing="0" w:after="0" w:afterAutospacing="0"/>
      <w:ind w:left="0" w:right="0"/>
      <w:jc w:val="both"/>
    </w:pPr>
    <w:rPr>
      <w:rFonts w:hint="eastAsia" w:ascii="等线" w:hAnsi="等线" w:eastAsia="等线" w:cs="Times New Roman"/>
      <w:kern w:val="2"/>
      <w:sz w:val="21"/>
      <w:szCs w:val="21"/>
      <w:lang w:val="en-US" w:eastAsia="zh-CN" w:bidi="ar"/>
    </w:rPr>
  </w:style>
  <w:style w:type="paragraph" w:styleId="11">
    <w:name w:val="List Paragraph"/>
    <w:unhideWhenUsed/>
    <w:qFormat/>
    <w:uiPriority w:val="34"/>
    <w:pPr>
      <w:widowControl w:val="0"/>
      <w:ind w:firstLine="420" w:firstLineChars="200"/>
      <w:jc w:val="both"/>
    </w:pPr>
    <w:rPr>
      <w:rFonts w:hint="default" w:ascii="Calibri" w:hAnsi="Calibri" w:eastAsia="宋体" w:cs="Times New Roman"/>
      <w:kern w:val="2"/>
      <w:sz w:val="21"/>
      <w:szCs w:val="24"/>
      <w:lang w:val="en-US" w:eastAsia="zh-CN" w:bidi="ar-SA"/>
    </w:rPr>
  </w:style>
  <w:style w:type="paragraph" w:customStyle="1" w:styleId="12">
    <w:name w:val="18"/>
    <w:qFormat/>
    <w:uiPriority w:val="0"/>
    <w:pPr>
      <w:keepNext w:val="0"/>
      <w:keepLines w:val="0"/>
      <w:widowControl w:val="0"/>
      <w:suppressLineNumbers w:val="0"/>
      <w:spacing w:before="0" w:beforeAutospacing="0" w:after="0" w:afterAutospacing="0"/>
      <w:ind w:left="0" w:right="0"/>
      <w:jc w:val="both"/>
    </w:pPr>
    <w:rPr>
      <w:rFonts w:hint="eastAsia" w:ascii="等线" w:hAnsi="等线" w:eastAsia="等线" w:cs="Times New Roman"/>
      <w:kern w:val="2"/>
      <w:sz w:val="21"/>
      <w:szCs w:val="21"/>
      <w:lang w:val="en-US" w:eastAsia="zh-CN" w:bidi="ar"/>
    </w:rPr>
  </w:style>
  <w:style w:type="paragraph" w:customStyle="1" w:styleId="13">
    <w:name w:val="Default"/>
    <w:qFormat/>
    <w:uiPriority w:val="0"/>
    <w:pPr>
      <w:widowControl w:val="0"/>
      <w:autoSpaceDE w:val="0"/>
      <w:autoSpaceDN w:val="0"/>
      <w:adjustRightInd w:val="0"/>
      <w:jc w:val="left"/>
    </w:pPr>
    <w:rPr>
      <w:rFonts w:ascii="宋体" w:cs="宋体" w:hAnsiTheme="minorHAnsi" w:eastAsiaTheme="minorEastAsia"/>
      <w:color w:val="000000"/>
      <w:kern w:val="0"/>
      <w:sz w:val="24"/>
      <w:szCs w:val="24"/>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18</Pages>
  <Words>7624</Words>
  <Characters>8135</Characters>
  <Lines>0</Lines>
  <Paragraphs>0</Paragraphs>
  <TotalTime>4</TotalTime>
  <ScaleCrop>false</ScaleCrop>
  <LinksUpToDate>false</LinksUpToDate>
  <CharactersWithSpaces>8270</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2023-04-23T08:56:00Z</dcterms:created>
  <dc:creator>新一天</dc:creator>
  <cp:lastModifiedBy>王小纯</cp:lastModifiedBy>
  <cp:lastPrinted>2023-05-26T08:11:00Z</cp:lastPrinted>
  <dcterms:modified xsi:type="dcterms:W3CDTF">2024-06-18T01:49:08Z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50306CC149C84F98BF850919EA3E5AFB_13</vt:lpwstr>
  </property>
</Properties>
</file>