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pPr>
        <w:spacing w:line="115" w:lineRule="exact"/>
        <w:rPr>
          <w:color w:val="000000" w:themeColor="text1"/>
          <w14:textFill>
            <w14:solidFill>
              <w14:schemeClr w14:val="tx1"/>
            </w14:solidFill>
          </w14:textFill>
        </w:rPr>
      </w:pPr>
    </w:p>
    <w:tbl>
      <w:tblPr>
        <w:tblStyle w:val="10"/>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pPr>
              <w:spacing w:before="103" w:line="219" w:lineRule="auto"/>
              <w:ind w:left="708"/>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岳阳市岳阳楼区健康教育中心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7</w:t>
            </w:r>
          </w:p>
        </w:tc>
        <w:tc>
          <w:tcPr>
            <w:tcW w:w="1679"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0.20</w:t>
            </w:r>
          </w:p>
        </w:tc>
        <w:tc>
          <w:tcPr>
            <w:tcW w:w="1679"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0.20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13.00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13.00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85" w:line="220" w:lineRule="auto"/>
              <w:ind w:left="94"/>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53.23</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21.60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62.70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1.96</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2.50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1.20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2.20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0.13</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0.10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pPr>
              <w:spacing w:line="219" w:lineRule="auto"/>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填表人：任玲     联系电话：13575017808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2023-06-11</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pPr>
        <w:spacing w:line="168" w:lineRule="exact"/>
        <w:rPr>
          <w:color w:val="000000" w:themeColor="text1"/>
          <w14:textFill>
            <w14:solidFill>
              <w14:schemeClr w14:val="tx1"/>
            </w14:solidFill>
          </w14:textFill>
        </w:rPr>
      </w:pPr>
    </w:p>
    <w:tbl>
      <w:tblPr>
        <w:tblStyle w:val="10"/>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84" w:type="dxa"/>
            <w:noWrap w:val="0"/>
            <w:vAlign w:val="top"/>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top"/>
          </w:tcPr>
          <w:p>
            <w:pPr>
              <w:rPr>
                <w:rFonts w:ascii="Arial"/>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岳阳市岳阳楼区健康教育中心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203.41</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228.82</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228.82</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Arial"/>
                <w:color w:val="000000" w:themeColor="text1"/>
                <w:spacing w:val="0"/>
                <w:sz w:val="20"/>
                <w:lang w:val="en-US" w:eastAsia="zh-CN"/>
                <w14:textFill>
                  <w14:solidFill>
                    <w14:schemeClr w14:val="tx1"/>
                  </w14:solidFill>
                </w14:textFill>
              </w:rPr>
              <w:t>228.82</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Arial"/>
                <w:color w:val="000000" w:themeColor="text1"/>
                <w:spacing w:val="0"/>
                <w:sz w:val="20"/>
                <w:lang w:val="en-US" w:eastAsia="zh-CN"/>
                <w14:textFill>
                  <w14:solidFill>
                    <w14:schemeClr w14:val="tx1"/>
                  </w14:solidFill>
                </w14:textFill>
              </w:rPr>
              <w:t>228.82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widowControl/>
              <w:spacing w:line="480" w:lineRule="auto"/>
              <w:rPr>
                <w:rFonts w:hint="eastAsia" w:ascii="Arial" w:eastAsiaTheme="minorEastAsia"/>
                <w:color w:val="000000" w:themeColor="text1"/>
                <w:spacing w:val="0"/>
                <w:sz w:val="20"/>
                <w:lang w:val="en-US" w:eastAsia="zh-CN"/>
                <w14:textFill>
                  <w14:solidFill>
                    <w14:schemeClr w14:val="tx1"/>
                  </w14:solidFill>
                </w14:textFill>
              </w:rPr>
            </w:pPr>
            <w:r>
              <w:rPr>
                <w:rFonts w:hint="eastAsia" w:ascii="仿宋_GB2312" w:hAnsi="仿宋_GB2312" w:eastAsia="仿宋_GB2312" w:cs="仿宋_GB2312"/>
                <w:color w:val="000000"/>
                <w:sz w:val="21"/>
                <w:szCs w:val="21"/>
              </w:rPr>
              <w:t>1、开展健康知识普及行动：计划下发健康知识宣传折页10万份，开展“五进五讲”健康巡讲活动173场，健康教育讲座6场，531无烟日主题宣传活动8场；2、开展“岳阳楼区2022年居民健康素养水平调查”和“岳阳楼区2022年中医药文化素养水平调查”项目工作，2个项目涉及3个街道6个调查点，累计调查480人。</w:t>
            </w:r>
          </w:p>
        </w:tc>
        <w:tc>
          <w:tcPr>
            <w:tcW w:w="4055" w:type="dxa"/>
            <w:gridSpan w:val="4"/>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ascii="Arial"/>
                <w:color w:val="000000" w:themeColor="text1"/>
                <w:spacing w:val="0"/>
                <w:sz w:val="20"/>
                <w14:textFill>
                  <w14:solidFill>
                    <w14:schemeClr w14:val="tx1"/>
                  </w14:solidFill>
                </w14:textFill>
              </w:rPr>
            </w:pPr>
            <w:r>
              <w:rPr>
                <w:rFonts w:hint="eastAsia" w:ascii="仿宋_GB2312" w:hAnsi="仿宋_GB2312" w:eastAsia="仿宋_GB2312" w:cs="仿宋_GB2312"/>
                <w:color w:val="000000"/>
                <w:sz w:val="21"/>
                <w:szCs w:val="21"/>
                <w:lang w:val="en-US" w:eastAsia="zh-CN"/>
              </w:rPr>
              <w:t>1、开展健康知识普及行动。一是制作下发健康教育宣传栏12块，在居民点布置宣传栏400余块；二是制作下发健康素养66条、劝你戒烟、预防心血管疾病等宣传折页100000份；三是制作下发无纺布宣传袋、控油控烟壶、腰围尺等健康支持性工具；四是组织各医疗单位开展“五进五讲”健康巡讲活动173场，受益居民18000余人；五是组织开展531无烟日主题宣传活动，累计开展主题咨询活动8场，健康教育讲座6场。2、办好民生实事。一是积极利用发放折页、组织开展健康教育讲座、开展健康教育咨询、健康教育宣传栏等各类渠道及时发布健康相关知识，对提高居民健康素养水平起到了积极作用；二是根据省级要求，开展“岳阳楼区2022年居民健康素养水平调查”和“岳阳楼区2022年中医药文化素养水平调查”项目工作，2个项目涉及3个街道6个调查点，累计调查480人，均按要求完成调查。经省级反馈，我区2022年健康素养水平为26.8，高于上年度和岳阳市平均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084" w:type="dxa"/>
            <w:vMerge w:val="restart"/>
            <w:tcBorders>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产出指标（50分）</w:t>
            </w:r>
          </w:p>
        </w:tc>
        <w:tc>
          <w:tcPr>
            <w:tcW w:w="1029" w:type="dxa"/>
            <w:vMerge w:val="restart"/>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数量指标</w:t>
            </w:r>
          </w:p>
        </w:tc>
        <w:tc>
          <w:tcPr>
            <w:tcW w:w="1269" w:type="dxa"/>
            <w:noWrap w:val="0"/>
            <w:vAlign w:val="center"/>
          </w:tcPr>
          <w:p>
            <w:pPr>
              <w:keepNext w:val="0"/>
              <w:keepLines w:val="0"/>
              <w:widowControl/>
              <w:suppressLineNumbers w:val="0"/>
              <w:jc w:val="both"/>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“五进五讲”健康巡讲活动</w:t>
            </w:r>
          </w:p>
        </w:tc>
        <w:tc>
          <w:tcPr>
            <w:tcW w:w="1319" w:type="dxa"/>
            <w:noWrap w:val="0"/>
            <w:vAlign w:val="center"/>
          </w:tcPr>
          <w:p>
            <w:pPr>
              <w:keepNext w:val="0"/>
              <w:keepLines w:val="0"/>
              <w:widowControl/>
              <w:suppressLineNumbers w:val="0"/>
              <w:jc w:val="center"/>
              <w:textAlignment w:val="center"/>
              <w:rPr>
                <w:rFonts w:hint="default" w:ascii="Arial"/>
                <w:color w:val="000000" w:themeColor="text1"/>
                <w:sz w:val="21"/>
                <w:lang w:val="en-US"/>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173场</w:t>
            </w:r>
          </w:p>
        </w:tc>
        <w:tc>
          <w:tcPr>
            <w:tcW w:w="1259" w:type="dxa"/>
            <w:noWrap w:val="0"/>
            <w:vAlign w:val="center"/>
          </w:tcPr>
          <w:p>
            <w:pPr>
              <w:keepNext w:val="0"/>
              <w:keepLines w:val="0"/>
              <w:widowControl/>
              <w:suppressLineNumbers w:val="0"/>
              <w:jc w:val="center"/>
              <w:textAlignment w:val="center"/>
              <w:rPr>
                <w:rFonts w:hint="default" w:ascii="Arial"/>
                <w:color w:val="000000" w:themeColor="text1"/>
                <w:sz w:val="21"/>
                <w:lang w:val="en-US"/>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173场</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both"/>
              <w:textAlignment w:val="center"/>
              <w:rPr>
                <w:rFonts w:hint="eastAsia" w:ascii="Arial"/>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健康教育讲座</w:t>
            </w:r>
          </w:p>
        </w:tc>
        <w:tc>
          <w:tcPr>
            <w:tcW w:w="1319" w:type="dxa"/>
            <w:noWrap w:val="0"/>
            <w:vAlign w:val="center"/>
          </w:tcPr>
          <w:p>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6场</w:t>
            </w:r>
          </w:p>
        </w:tc>
        <w:tc>
          <w:tcPr>
            <w:tcW w:w="1259" w:type="dxa"/>
            <w:noWrap w:val="0"/>
            <w:vAlign w:val="center"/>
          </w:tcPr>
          <w:p>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6场</w:t>
            </w:r>
          </w:p>
        </w:tc>
        <w:tc>
          <w:tcPr>
            <w:tcW w:w="719" w:type="dxa"/>
            <w:noWrap w:val="0"/>
            <w:vAlign w:val="center"/>
          </w:tcPr>
          <w:p>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both"/>
              <w:textAlignment w:val="center"/>
              <w:rPr>
                <w:rFonts w:hint="eastAsia" w:ascii="Arial"/>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健康知识宣传折页</w:t>
            </w:r>
          </w:p>
        </w:tc>
        <w:tc>
          <w:tcPr>
            <w:tcW w:w="1319" w:type="dxa"/>
            <w:noWrap w:val="0"/>
            <w:vAlign w:val="center"/>
          </w:tcPr>
          <w:p>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10万份</w:t>
            </w:r>
          </w:p>
        </w:tc>
        <w:tc>
          <w:tcPr>
            <w:tcW w:w="1259" w:type="dxa"/>
            <w:noWrap w:val="0"/>
            <w:vAlign w:val="center"/>
          </w:tcPr>
          <w:p>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10万份</w:t>
            </w:r>
          </w:p>
        </w:tc>
        <w:tc>
          <w:tcPr>
            <w:tcW w:w="719" w:type="dxa"/>
            <w:noWrap w:val="0"/>
            <w:vAlign w:val="center"/>
          </w:tcPr>
          <w:p>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eastAsia" w:ascii="Arial"/>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both"/>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531无烟日主题宣传活动</w:t>
            </w:r>
          </w:p>
        </w:tc>
        <w:tc>
          <w:tcPr>
            <w:tcW w:w="1319" w:type="dxa"/>
            <w:noWrap w:val="0"/>
            <w:vAlign w:val="center"/>
          </w:tcPr>
          <w:p>
            <w:pPr>
              <w:keepNext w:val="0"/>
              <w:keepLines w:val="0"/>
              <w:widowControl/>
              <w:suppressLineNumbers w:val="0"/>
              <w:jc w:val="center"/>
              <w:textAlignment w:val="center"/>
              <w:rPr>
                <w:rFonts w:hint="eastAsia" w:ascii="Arial" w:eastAsia="仿宋_GB2312"/>
                <w:color w:val="000000" w:themeColor="text1"/>
                <w:sz w:val="20"/>
                <w:lang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8场</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8场</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质量指标</w:t>
            </w:r>
          </w:p>
        </w:tc>
        <w:tc>
          <w:tcPr>
            <w:tcW w:w="1269" w:type="dxa"/>
            <w:noWrap w:val="0"/>
            <w:vAlign w:val="center"/>
          </w:tcPr>
          <w:p>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健康巡讲活动受益率</w:t>
            </w:r>
          </w:p>
        </w:tc>
        <w:tc>
          <w:tcPr>
            <w:tcW w:w="1319" w:type="dxa"/>
            <w:noWrap w:val="0"/>
            <w:vAlign w:val="center"/>
          </w:tcPr>
          <w:p>
            <w:pPr>
              <w:keepNext w:val="0"/>
              <w:keepLines w:val="0"/>
              <w:widowControl/>
              <w:suppressLineNumbers w:val="0"/>
              <w:jc w:val="center"/>
              <w:textAlignment w:val="center"/>
              <w:rPr>
                <w:rFonts w:hint="default"/>
                <w:lang w:val="en-US" w:eastAsia="zh-CN"/>
              </w:rPr>
            </w:pPr>
            <w:r>
              <w:rPr>
                <w:rFonts w:hint="eastAsia" w:ascii="仿宋" w:hAnsi="仿宋" w:eastAsia="仿宋" w:cs="仿宋"/>
                <w:i w:val="0"/>
                <w:iCs w:val="0"/>
                <w:color w:val="000000"/>
                <w:kern w:val="0"/>
                <w:sz w:val="20"/>
                <w:szCs w:val="20"/>
                <w:u w:val="none"/>
                <w:lang w:val="en-US" w:eastAsia="zh-CN" w:bidi="ar"/>
              </w:rPr>
              <w:t>大于等于90%</w:t>
            </w:r>
          </w:p>
        </w:tc>
        <w:tc>
          <w:tcPr>
            <w:tcW w:w="125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95%</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left"/>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调查报告回收率</w:t>
            </w:r>
          </w:p>
        </w:tc>
        <w:tc>
          <w:tcPr>
            <w:tcW w:w="1319" w:type="dxa"/>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大于等于90%</w:t>
            </w:r>
          </w:p>
        </w:tc>
        <w:tc>
          <w:tcPr>
            <w:tcW w:w="1259" w:type="dxa"/>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95%</w:t>
            </w:r>
          </w:p>
        </w:tc>
        <w:tc>
          <w:tcPr>
            <w:tcW w:w="719" w:type="dxa"/>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5</w:t>
            </w:r>
          </w:p>
        </w:tc>
        <w:tc>
          <w:tcPr>
            <w:tcW w:w="802" w:type="dxa"/>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269" w:type="dxa"/>
            <w:noWrap w:val="0"/>
            <w:vAlign w:val="center"/>
          </w:tcPr>
          <w:p>
            <w:pPr>
              <w:keepNext w:val="0"/>
              <w:keepLines w:val="0"/>
              <w:widowControl/>
              <w:suppressLineNumbers w:val="0"/>
              <w:jc w:val="left"/>
              <w:textAlignment w:val="center"/>
              <w:rPr>
                <w:rFonts w:hint="default" w:ascii="Arial"/>
                <w:color w:val="000000" w:themeColor="text1"/>
                <w:sz w:val="20"/>
                <w:lang w:val="en-US"/>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每两个月举办一次健康教育讲座</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6场培训</w:t>
            </w:r>
          </w:p>
        </w:tc>
        <w:tc>
          <w:tcPr>
            <w:tcW w:w="1259" w:type="dxa"/>
            <w:noWrap w:val="0"/>
            <w:vAlign w:val="center"/>
          </w:tcPr>
          <w:p>
            <w:pPr>
              <w:keepNext w:val="0"/>
              <w:keepLines w:val="0"/>
              <w:widowControl/>
              <w:suppressLineNumbers w:val="0"/>
              <w:jc w:val="left"/>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已完成</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10</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269" w:type="dxa"/>
            <w:noWrap w:val="0"/>
            <w:vAlign w:val="center"/>
          </w:tcPr>
          <w:p>
            <w:pPr>
              <w:keepNext w:val="0"/>
              <w:keepLines w:val="0"/>
              <w:widowControl/>
              <w:suppressLineNumbers w:val="0"/>
              <w:jc w:val="both"/>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总成本控制</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不超过预算投入</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228.82万元</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8</w:t>
            </w:r>
          </w:p>
        </w:tc>
        <w:tc>
          <w:tcPr>
            <w:tcW w:w="1275" w:type="dxa"/>
            <w:noWrap w:val="0"/>
            <w:vAlign w:val="center"/>
          </w:tcPr>
          <w:p>
            <w:pPr>
              <w:keepNext w:val="0"/>
              <w:keepLines w:val="0"/>
              <w:widowControl/>
              <w:suppressLineNumbers w:val="0"/>
              <w:jc w:val="center"/>
              <w:textAlignment w:val="center"/>
              <w:rPr>
                <w:rFonts w:hint="eastAsia"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2021年绩效考核奖励和2022年基础绩效奖一起发放。然后大家都在防疫一线蹲点值班，发放了防疫临时补助经费等。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w:t>
            </w:r>
            <w:r>
              <w:rPr>
                <w:rFonts w:hint="eastAsia" w:ascii="宋体" w:hAnsi="宋体" w:eastAsia="宋体" w:cs="宋体"/>
                <w:color w:val="000000" w:themeColor="text1"/>
                <w:spacing w:val="9"/>
                <w:sz w:val="21"/>
                <w:szCs w:val="21"/>
                <w:lang w:val="en-US" w:eastAsia="zh-CN"/>
                <w14:textFill>
                  <w14:solidFill>
                    <w14:schemeClr w14:val="tx1"/>
                  </w14:solidFill>
                </w14:textFill>
              </w:rPr>
              <w:t>3</w:t>
            </w:r>
            <w:r>
              <w:rPr>
                <w:rFonts w:ascii="宋体" w:hAnsi="宋体" w:eastAsia="宋体" w:cs="宋体"/>
                <w:color w:val="000000" w:themeColor="text1"/>
                <w:spacing w:val="9"/>
                <w:sz w:val="21"/>
                <w:szCs w:val="21"/>
                <w14:textFill>
                  <w14:solidFill>
                    <w14:schemeClr w14:val="tx1"/>
                  </w14:solidFill>
                </w14:textFill>
              </w:rPr>
              <w:t>0分)</w:t>
            </w: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widowControl/>
              <w:suppressLineNumbers w:val="0"/>
              <w:jc w:val="both"/>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居民健康素养水平</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提升程度</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我区2022年健康素养水平为26.8，高于上年度和岳阳市平均水平</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both"/>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中医药文化素养水平</w:t>
            </w:r>
          </w:p>
        </w:tc>
        <w:tc>
          <w:tcPr>
            <w:tcW w:w="131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提升程度</w:t>
            </w:r>
          </w:p>
        </w:tc>
        <w:tc>
          <w:tcPr>
            <w:tcW w:w="125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高于上年度和岳阳市平均水平</w:t>
            </w:r>
          </w:p>
        </w:tc>
        <w:tc>
          <w:tcPr>
            <w:tcW w:w="71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802"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响指标</w:t>
            </w:r>
          </w:p>
        </w:tc>
        <w:tc>
          <w:tcPr>
            <w:tcW w:w="1269" w:type="dxa"/>
            <w:noWrap w:val="0"/>
            <w:vAlign w:val="center"/>
          </w:tcPr>
          <w:p>
            <w:pPr>
              <w:keepNext w:val="0"/>
              <w:keepLines w:val="0"/>
              <w:widowControl/>
              <w:suppressLineNumbers w:val="0"/>
              <w:jc w:val="both"/>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素养水平调查</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按省级要求完成调查</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已按要求完成调查</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269" w:type="dxa"/>
            <w:noWrap w:val="0"/>
            <w:vAlign w:val="center"/>
          </w:tcPr>
          <w:p>
            <w:pPr>
              <w:keepNext w:val="0"/>
              <w:keepLines w:val="0"/>
              <w:widowControl/>
              <w:suppressLineNumbers w:val="0"/>
              <w:jc w:val="both"/>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职工满意度</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大于等于90%</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95%</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98</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填表人：任玲   联系电话：13575017808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2023-06-11</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岳阳市岳阳楼区健康教育中心</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2023年 06 月11  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岳阳市岳阳楼区健康教育中心</w:t>
      </w: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pPr>
        <w:widowControl/>
        <w:spacing w:line="600" w:lineRule="exact"/>
        <w:ind w:firstLine="643"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rPr>
        <w:t>（一）职能职责</w:t>
      </w:r>
    </w:p>
    <w:p>
      <w:pPr>
        <w:pStyle w:val="11"/>
        <w:spacing w:before="0" w:beforeAutospacing="0" w:after="1" w:afterAutospacing="0"/>
        <w:ind w:left="0" w:firstLine="641"/>
        <w:rPr>
          <w:rFonts w:hint="eastAsia" w:ascii="仿宋" w:hAnsi="仿宋" w:eastAsia="仿宋" w:cs="仿宋"/>
          <w:kern w:val="2"/>
          <w:sz w:val="27"/>
          <w:szCs w:val="27"/>
        </w:rPr>
      </w:pPr>
      <w:r>
        <w:rPr>
          <w:rFonts w:hint="eastAsia" w:ascii="仿宋" w:hAnsi="仿宋" w:eastAsia="仿宋" w:cs="仿宋"/>
          <w:color w:val="000000"/>
          <w:kern w:val="2"/>
          <w:sz w:val="32"/>
          <w:szCs w:val="32"/>
        </w:rPr>
        <w:t>1、负责组织、协调、指导全区开展健康教育与健康促进工作。</w:t>
      </w:r>
      <w:r>
        <w:rPr>
          <w:rFonts w:hint="eastAsia" w:ascii="仿宋" w:hAnsi="仿宋" w:eastAsia="仿宋" w:cs="仿宋"/>
          <w:color w:val="000000"/>
          <w:kern w:val="2"/>
          <w:sz w:val="27"/>
          <w:szCs w:val="27"/>
        </w:rPr>
        <w:t xml:space="preserve"> </w:t>
      </w:r>
    </w:p>
    <w:p>
      <w:pPr>
        <w:pStyle w:val="11"/>
        <w:spacing w:before="0" w:beforeAutospacing="0" w:after="1" w:afterAutospacing="0"/>
        <w:ind w:left="0" w:firstLine="641"/>
        <w:rPr>
          <w:rFonts w:hint="eastAsia" w:ascii="仿宋" w:hAnsi="仿宋" w:eastAsia="仿宋" w:cs="仿宋"/>
          <w:kern w:val="2"/>
          <w:sz w:val="27"/>
          <w:szCs w:val="27"/>
        </w:rPr>
      </w:pPr>
      <w:r>
        <w:rPr>
          <w:rFonts w:hint="eastAsia" w:ascii="仿宋" w:hAnsi="仿宋" w:eastAsia="仿宋" w:cs="仿宋"/>
          <w:color w:val="000000"/>
          <w:kern w:val="2"/>
          <w:sz w:val="32"/>
          <w:szCs w:val="32"/>
        </w:rPr>
        <w:t>2、负责对全区各类健康教育与健康促进专业人员及相关卫生技术人员进行健康教育与健康促进知识和技能培训。</w:t>
      </w:r>
      <w:r>
        <w:rPr>
          <w:rFonts w:hint="eastAsia" w:ascii="仿宋" w:hAnsi="仿宋" w:eastAsia="仿宋" w:cs="仿宋"/>
          <w:color w:val="000000"/>
          <w:kern w:val="2"/>
          <w:sz w:val="27"/>
          <w:szCs w:val="27"/>
        </w:rPr>
        <w:t xml:space="preserve"> </w:t>
      </w:r>
    </w:p>
    <w:p>
      <w:pPr>
        <w:pStyle w:val="11"/>
        <w:spacing w:before="0" w:beforeAutospacing="0" w:after="1" w:afterAutospacing="0"/>
        <w:ind w:left="0" w:firstLine="641"/>
        <w:rPr>
          <w:rFonts w:hint="eastAsia" w:ascii="仿宋" w:hAnsi="仿宋" w:eastAsia="仿宋" w:cs="仿宋"/>
          <w:kern w:val="2"/>
          <w:sz w:val="27"/>
          <w:szCs w:val="27"/>
        </w:rPr>
      </w:pPr>
      <w:r>
        <w:rPr>
          <w:rFonts w:hint="eastAsia" w:ascii="仿宋" w:hAnsi="仿宋" w:eastAsia="仿宋" w:cs="仿宋"/>
          <w:color w:val="000000"/>
          <w:kern w:val="2"/>
          <w:sz w:val="32"/>
          <w:szCs w:val="32"/>
        </w:rPr>
        <w:t>3、负责组织开展健康知识传播活动，设计、制作和分发健康教育传播资料。</w:t>
      </w:r>
      <w:r>
        <w:rPr>
          <w:rFonts w:hint="eastAsia" w:ascii="仿宋" w:hAnsi="仿宋" w:eastAsia="仿宋" w:cs="仿宋"/>
          <w:color w:val="000000"/>
          <w:kern w:val="2"/>
          <w:sz w:val="27"/>
          <w:szCs w:val="27"/>
        </w:rPr>
        <w:t xml:space="preserve"> </w:t>
      </w:r>
    </w:p>
    <w:p>
      <w:pPr>
        <w:pStyle w:val="11"/>
        <w:spacing w:before="0" w:beforeAutospacing="0" w:after="1" w:afterAutospacing="0"/>
        <w:ind w:left="0" w:firstLine="641"/>
        <w:rPr>
          <w:rFonts w:hint="eastAsia" w:ascii="仿宋" w:hAnsi="仿宋" w:eastAsia="仿宋" w:cs="仿宋"/>
          <w:kern w:val="2"/>
          <w:sz w:val="27"/>
          <w:szCs w:val="27"/>
        </w:rPr>
      </w:pPr>
      <w:r>
        <w:rPr>
          <w:rFonts w:hint="eastAsia" w:ascii="仿宋" w:hAnsi="仿宋" w:eastAsia="仿宋" w:cs="仿宋"/>
          <w:color w:val="000000"/>
          <w:kern w:val="2"/>
          <w:sz w:val="32"/>
          <w:szCs w:val="32"/>
        </w:rPr>
        <w:t>4、及时向被统管单位领导和有关部门报送会计报表和财务情况分析；严把支出关，利用年度财务收支预算控制不合理开支行为。</w:t>
      </w:r>
      <w:r>
        <w:rPr>
          <w:rFonts w:hint="eastAsia" w:ascii="仿宋" w:hAnsi="仿宋" w:eastAsia="仿宋" w:cs="仿宋"/>
          <w:color w:val="000000"/>
          <w:kern w:val="2"/>
          <w:sz w:val="27"/>
          <w:szCs w:val="27"/>
        </w:rPr>
        <w:t xml:space="preserve"> </w:t>
      </w:r>
    </w:p>
    <w:p>
      <w:pPr>
        <w:pStyle w:val="11"/>
        <w:spacing w:before="0" w:beforeAutospacing="0" w:after="1" w:afterAutospacing="0"/>
        <w:ind w:left="0" w:firstLine="641"/>
        <w:rPr>
          <w:rFonts w:hint="eastAsia" w:ascii="仿宋" w:hAnsi="仿宋" w:eastAsia="仿宋" w:cs="仿宋"/>
          <w:kern w:val="2"/>
          <w:sz w:val="27"/>
          <w:szCs w:val="27"/>
        </w:rPr>
      </w:pPr>
      <w:r>
        <w:rPr>
          <w:rFonts w:hint="eastAsia" w:ascii="仿宋" w:hAnsi="仿宋" w:eastAsia="仿宋" w:cs="仿宋"/>
          <w:color w:val="000000"/>
          <w:kern w:val="2"/>
          <w:sz w:val="32"/>
          <w:szCs w:val="32"/>
        </w:rPr>
        <w:t>5、负责收集、整理和发布健康教育有关的核心信息，向社会提供预防疾病、促进健康的相关理念、知识和技能，提高公众健康素养；建立健全全区健康教育工作网络，推广健康教育与健康促进新成果。</w:t>
      </w:r>
      <w:r>
        <w:rPr>
          <w:rFonts w:hint="eastAsia" w:ascii="仿宋" w:hAnsi="仿宋" w:eastAsia="仿宋" w:cs="仿宋"/>
          <w:color w:val="000000"/>
          <w:kern w:val="2"/>
          <w:sz w:val="27"/>
          <w:szCs w:val="27"/>
        </w:rPr>
        <w:t xml:space="preserve"> </w:t>
      </w:r>
    </w:p>
    <w:p>
      <w:pPr>
        <w:widowControl/>
        <w:spacing w:line="600" w:lineRule="exact"/>
        <w:ind w:firstLine="640" w:firstLineChars="200"/>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rPr>
        <w:t>6、负责开展健康危险因素和健康素养监测，开展健康教育与健康促进需求与效果评估，及时发布监测与评估结果；负责开展健康教育与健康促进的合作与交流。。</w:t>
      </w:r>
    </w:p>
    <w:p>
      <w:pPr>
        <w:widowControl/>
        <w:spacing w:line="600" w:lineRule="exact"/>
        <w:ind w:firstLine="643"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rPr>
        <w:t>（二）机构设置</w:t>
      </w:r>
    </w:p>
    <w:p>
      <w:pPr>
        <w:pStyle w:val="13"/>
        <w:spacing w:before="0" w:beforeAutospacing="0" w:after="1" w:afterAutospacing="0"/>
        <w:ind w:left="0" w:firstLine="641"/>
        <w:rPr>
          <w:rFonts w:hint="eastAsia" w:ascii="仿宋" w:hAnsi="仿宋" w:eastAsia="仿宋" w:cs="仿宋"/>
          <w:color w:val="000000"/>
          <w:kern w:val="2"/>
          <w:sz w:val="27"/>
          <w:szCs w:val="27"/>
        </w:rPr>
      </w:pPr>
      <w:r>
        <w:rPr>
          <w:rFonts w:hint="eastAsia" w:ascii="仿宋" w:hAnsi="仿宋" w:eastAsia="仿宋" w:cs="仿宋"/>
          <w:color w:val="000000"/>
          <w:kern w:val="2"/>
          <w:sz w:val="32"/>
          <w:szCs w:val="32"/>
        </w:rPr>
        <w:t>岳阳市岳阳楼区健康教育中心内设机构包括：根据编办核定，现有职工人数</w:t>
      </w:r>
      <w:r>
        <w:rPr>
          <w:rFonts w:hint="eastAsia" w:ascii="仿宋" w:hAnsi="仿宋" w:eastAsia="仿宋" w:cs="仿宋"/>
          <w:color w:val="000000"/>
          <w:kern w:val="2"/>
          <w:sz w:val="32"/>
          <w:szCs w:val="32"/>
          <w:lang w:val="en-US" w:eastAsia="zh-CN"/>
        </w:rPr>
        <w:t>7</w:t>
      </w:r>
      <w:r>
        <w:rPr>
          <w:rFonts w:hint="eastAsia" w:ascii="仿宋" w:hAnsi="仿宋" w:eastAsia="仿宋" w:cs="仿宋"/>
          <w:color w:val="000000"/>
          <w:kern w:val="2"/>
          <w:sz w:val="32"/>
          <w:szCs w:val="32"/>
        </w:rPr>
        <w:t>人。其中：在职编制</w:t>
      </w:r>
      <w:r>
        <w:rPr>
          <w:rFonts w:hint="eastAsia" w:ascii="仿宋" w:hAnsi="仿宋" w:eastAsia="仿宋" w:cs="仿宋"/>
          <w:color w:val="000000"/>
          <w:kern w:val="2"/>
          <w:sz w:val="32"/>
          <w:szCs w:val="32"/>
          <w:lang w:val="en-US" w:eastAsia="zh-CN"/>
        </w:rPr>
        <w:t>7</w:t>
      </w:r>
      <w:r>
        <w:rPr>
          <w:rFonts w:hint="eastAsia" w:ascii="仿宋" w:hAnsi="仿宋" w:eastAsia="仿宋" w:cs="仿宋"/>
          <w:color w:val="000000"/>
          <w:kern w:val="2"/>
          <w:sz w:val="32"/>
          <w:szCs w:val="32"/>
        </w:rPr>
        <w:t>人，无退休人员。机关属正股级纯公益类事业单位。内设办公室。</w:t>
      </w:r>
      <w:r>
        <w:rPr>
          <w:rFonts w:hint="eastAsia" w:ascii="仿宋" w:hAnsi="仿宋" w:eastAsia="仿宋" w:cs="仿宋"/>
          <w:color w:val="000000"/>
          <w:kern w:val="2"/>
          <w:sz w:val="27"/>
          <w:szCs w:val="27"/>
        </w:rPr>
        <w:t xml:space="preserve"> </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auto"/>
          <w:kern w:val="2"/>
          <w:sz w:val="32"/>
          <w:szCs w:val="32"/>
          <w:highlight w:val="none"/>
          <w:u w:val="none"/>
          <w:lang w:val="en-US" w:eastAsia="zh-CN"/>
        </w:rPr>
      </w:pPr>
      <w:r>
        <w:rPr>
          <w:rFonts w:hint="eastAsia" w:ascii="仿宋" w:hAnsi="仿宋" w:eastAsia="仿宋" w:cs="仿宋"/>
          <w:color w:val="auto"/>
          <w:kern w:val="2"/>
          <w:sz w:val="32"/>
          <w:szCs w:val="32"/>
          <w:highlight w:val="none"/>
          <w:u w:val="none"/>
          <w:lang w:val="en-US" w:eastAsia="zh-CN"/>
        </w:rPr>
        <w:t>2022年我单位基本支出是228.82万元，其中：人员经费：166.12万元，占基本支出的72.60%，主要是包括基本工资、绩效工资、机关事业单位养老保险缴费、职业年金缴费、职工基本医疗保险缴费、其他社会保险缴费、住房公积金；公用经费：62.70万元，占基本支出的27.40%，主要包括办公费、印刷费、水费、电费、邮电费、劳务费、委托业务费、工会经费、其他交通费、其他商品和服务支出。</w:t>
      </w:r>
    </w:p>
    <w:p>
      <w:pPr>
        <w:keepNext w:val="0"/>
        <w:keepLines w:val="0"/>
        <w:pageBreakBefore w:val="0"/>
        <w:widowControl w:val="0"/>
        <w:numPr>
          <w:ilvl w:val="0"/>
          <w:numId w:val="2"/>
        </w:numPr>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项目支出情况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lang w:val="en-US" w:eastAsia="zh-CN"/>
        </w:rPr>
      </w:pPr>
      <w:r>
        <w:rPr>
          <w:rFonts w:hint="eastAsia" w:ascii="仿宋" w:hAnsi="仿宋" w:eastAsia="仿宋" w:cs="仿宋"/>
          <w:color w:val="auto"/>
          <w:kern w:val="2"/>
          <w:sz w:val="32"/>
          <w:szCs w:val="32"/>
          <w:highlight w:val="none"/>
          <w:u w:val="none"/>
          <w:lang w:val="en-US" w:eastAsia="zh-CN"/>
        </w:rPr>
        <w:t>我单位2022年度无项目支出。</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auto"/>
          <w:kern w:val="2"/>
          <w:sz w:val="32"/>
          <w:szCs w:val="32"/>
          <w:highlight w:val="none"/>
          <w:u w:val="none"/>
          <w:lang w:val="en-US" w:eastAsia="zh-CN"/>
        </w:rPr>
      </w:pPr>
      <w:r>
        <w:rPr>
          <w:rFonts w:hint="eastAsia" w:ascii="仿宋" w:hAnsi="仿宋" w:eastAsia="仿宋" w:cs="仿宋"/>
          <w:color w:val="auto"/>
          <w:kern w:val="2"/>
          <w:sz w:val="32"/>
          <w:szCs w:val="32"/>
          <w:highlight w:val="none"/>
          <w:u w:val="none"/>
          <w:lang w:val="en-US" w:eastAsia="zh-CN"/>
        </w:rPr>
        <w:t>我单位2022年度无政府性基金预算。</w:t>
      </w:r>
    </w:p>
    <w:p>
      <w:pPr>
        <w:keepNext w:val="0"/>
        <w:keepLines w:val="0"/>
        <w:pageBreakBefore w:val="0"/>
        <w:widowControl w:val="0"/>
        <w:numPr>
          <w:ilvl w:val="0"/>
          <w:numId w:val="3"/>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auto"/>
          <w:kern w:val="2"/>
          <w:sz w:val="32"/>
          <w:szCs w:val="32"/>
          <w:highlight w:val="none"/>
          <w:u w:val="none"/>
          <w:lang w:val="en-US" w:eastAsia="zh-CN"/>
        </w:rPr>
        <w:t>我单位2022年度无国有资本经营预算。</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auto"/>
          <w:kern w:val="2"/>
          <w:sz w:val="32"/>
          <w:szCs w:val="32"/>
          <w:highlight w:val="none"/>
          <w:u w:val="none"/>
          <w:lang w:val="en-US" w:eastAsia="zh-CN"/>
        </w:rPr>
        <w:t>我单位2022年度无社会保险基金预算。</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（一）做好新冠疫情防控健康教育</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szCs w:val="22"/>
          <w:lang w:eastAsia="zh-CN"/>
        </w:rPr>
      </w:pPr>
      <w:r>
        <w:rPr>
          <w:rFonts w:hint="eastAsia" w:ascii="楷体_GB2312" w:hAnsi="楷体_GB2312" w:eastAsia="楷体_GB2312" w:cs="楷体_GB2312"/>
          <w:b/>
          <w:bCs/>
          <w:sz w:val="32"/>
          <w:szCs w:val="32"/>
          <w:lang w:val="en-US" w:eastAsia="zh-CN"/>
        </w:rPr>
        <w:t>一是</w:t>
      </w:r>
      <w:r>
        <w:rPr>
          <w:rFonts w:hint="eastAsia" w:ascii="仿宋_GB2312" w:hAnsi="Times New Roman" w:eastAsia="仿宋_GB2312" w:cs="Times New Roman"/>
          <w:sz w:val="32"/>
          <w:szCs w:val="32"/>
          <w:lang w:val="en-US" w:eastAsia="zh-CN"/>
        </w:rPr>
        <w:t>利用手机平台、微信公众号等新媒体渠道推送防控知识</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b/>
          <w:bCs/>
          <w:sz w:val="32"/>
          <w:szCs w:val="32"/>
          <w:lang w:val="en-US" w:eastAsia="zh-CN"/>
        </w:rPr>
        <w:t>二是</w:t>
      </w:r>
      <w:r>
        <w:rPr>
          <w:rFonts w:hint="eastAsia" w:ascii="仿宋_GB2312" w:hAnsi="Times New Roman" w:eastAsia="仿宋_GB2312" w:cs="Times New Roman"/>
          <w:sz w:val="32"/>
          <w:szCs w:val="32"/>
          <w:lang w:eastAsia="zh-CN"/>
        </w:rPr>
        <w:t>制作了</w:t>
      </w:r>
      <w:r>
        <w:rPr>
          <w:rFonts w:hint="eastAsia" w:ascii="仿宋_GB2312" w:hAnsi="Times New Roman" w:eastAsia="仿宋_GB2312" w:cs="Times New Roman"/>
          <w:sz w:val="32"/>
          <w:szCs w:val="32"/>
          <w:lang w:val="en-US" w:eastAsia="zh-CN"/>
        </w:rPr>
        <w:t>新冠防控知识折页50000份、疫苗接种海报30套、新冠感染后的治疗手册3000本，通过社区卫生服务中心发放给居民；</w:t>
      </w:r>
      <w:r>
        <w:rPr>
          <w:rFonts w:hint="eastAsia" w:ascii="仿宋_GB2312" w:hAnsi="Times New Roman" w:eastAsia="仿宋_GB2312" w:cs="Times New Roman"/>
          <w:b/>
          <w:bCs/>
          <w:sz w:val="32"/>
          <w:szCs w:val="32"/>
          <w:lang w:val="en-US" w:eastAsia="zh-CN"/>
        </w:rPr>
        <w:t>三是</w:t>
      </w:r>
      <w:r>
        <w:rPr>
          <w:rFonts w:hint="eastAsia" w:ascii="仿宋_GB2312" w:hAnsi="Times New Roman" w:eastAsia="仿宋_GB2312" w:cs="Times New Roman"/>
          <w:sz w:val="32"/>
          <w:szCs w:val="32"/>
          <w:lang w:val="en-US" w:eastAsia="zh-CN"/>
        </w:rPr>
        <w:t>制作新冠疫情防控专题宣传栏200余块布置在各居民点；</w:t>
      </w:r>
      <w:r>
        <w:rPr>
          <w:rFonts w:hint="eastAsia" w:ascii="仿宋_GB2312" w:hAnsi="Times New Roman" w:eastAsia="仿宋_GB2312" w:cs="Times New Roman"/>
          <w:b/>
          <w:bCs/>
          <w:sz w:val="32"/>
          <w:szCs w:val="32"/>
          <w:lang w:val="en-US" w:eastAsia="zh-CN"/>
        </w:rPr>
        <w:t>四是</w:t>
      </w:r>
      <w:r>
        <w:rPr>
          <w:rFonts w:hint="eastAsia" w:ascii="仿宋_GB2312" w:hAnsi="仿宋" w:eastAsia="仿宋_GB2312" w:cs="Times New Roman"/>
          <w:sz w:val="32"/>
          <w:szCs w:val="32"/>
          <w:lang w:val="en-US" w:eastAsia="zh-CN"/>
        </w:rPr>
        <w:t>根据区防控指挥部的安排</w:t>
      </w:r>
      <w:r>
        <w:rPr>
          <w:rFonts w:hint="eastAsia" w:ascii="仿宋_GB2312" w:hAnsi="Times New Roman" w:eastAsia="仿宋_GB2312" w:cs="Times New Roman"/>
          <w:sz w:val="32"/>
          <w:szCs w:val="32"/>
          <w:lang w:val="en-US" w:eastAsia="zh-CN"/>
        </w:rPr>
        <w:t>，</w:t>
      </w:r>
      <w:r>
        <w:rPr>
          <w:rFonts w:hint="eastAsia" w:ascii="仿宋_GB2312" w:hAnsi="仿宋" w:eastAsia="仿宋_GB2312" w:cs="Times New Roman"/>
          <w:sz w:val="32"/>
          <w:szCs w:val="32"/>
          <w:lang w:val="en-US" w:eastAsia="zh-CN"/>
        </w:rPr>
        <w:t>我中心周朝辉、汤敏、喻晗、袁应成、言芬、任玲分别抽调至区防疫指挥部风险岗位专班、督查组、综合组、热线组、核酸检测点、疫苗接种点参与常态化疫情防控工作</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b/>
          <w:bCs/>
          <w:sz w:val="32"/>
          <w:szCs w:val="32"/>
          <w:lang w:val="en-US" w:eastAsia="zh-CN"/>
        </w:rPr>
        <w:t>五是</w:t>
      </w:r>
      <w:r>
        <w:rPr>
          <w:rFonts w:hint="eastAsia" w:ascii="仿宋_GB2312" w:hAnsi="仿宋" w:eastAsia="仿宋_GB2312" w:cs="Times New Roman"/>
          <w:sz w:val="32"/>
          <w:szCs w:val="32"/>
          <w:lang w:val="en-US" w:eastAsia="zh-CN"/>
        </w:rPr>
        <w:t>由我中心和区血防站工作人员组成的暗访督导组</w:t>
      </w:r>
      <w:r>
        <w:rPr>
          <w:rFonts w:hint="eastAsia" w:ascii="仿宋_GB2312" w:hAnsi="Times New Roman" w:eastAsia="仿宋_GB2312" w:cs="Times New Roman"/>
          <w:sz w:val="32"/>
          <w:szCs w:val="32"/>
        </w:rPr>
        <w:t>对</w:t>
      </w:r>
      <w:r>
        <w:rPr>
          <w:rFonts w:hint="eastAsia" w:ascii="仿宋_GB2312" w:hAnsi="仿宋" w:eastAsia="仿宋_GB2312" w:cs="Times New Roman"/>
          <w:sz w:val="32"/>
          <w:szCs w:val="32"/>
          <w:lang w:eastAsia="zh-CN"/>
        </w:rPr>
        <w:t>全区</w:t>
      </w:r>
      <w:r>
        <w:rPr>
          <w:rFonts w:hint="eastAsia" w:ascii="仿宋_GB2312" w:hAnsi="仿宋" w:eastAsia="仿宋_GB2312" w:cs="Times New Roman"/>
          <w:sz w:val="32"/>
          <w:szCs w:val="32"/>
          <w:lang w:val="en-US" w:eastAsia="zh-CN"/>
        </w:rPr>
        <w:t>15个乡街109个社区（村）和辖区内</w:t>
      </w:r>
      <w:r>
        <w:rPr>
          <w:rFonts w:hint="eastAsia" w:ascii="仿宋_GB2312" w:hAnsi="Times New Roman" w:eastAsia="仿宋_GB2312" w:cs="Times New Roman"/>
          <w:sz w:val="32"/>
          <w:szCs w:val="32"/>
          <w:lang w:eastAsia="zh-CN"/>
        </w:rPr>
        <w:t>各</w:t>
      </w:r>
      <w:r>
        <w:rPr>
          <w:rFonts w:hint="eastAsia" w:ascii="仿宋_GB2312" w:hAnsi="仿宋" w:eastAsia="仿宋_GB2312" w:cs="Times New Roman"/>
          <w:sz w:val="32"/>
          <w:szCs w:val="32"/>
          <w:lang w:val="en-US" w:eastAsia="zh-CN"/>
        </w:rPr>
        <w:t>社区（村）和辖区内重点场所疫情常态化防控情况、场所码推广情况等重点场所</w:t>
      </w:r>
      <w:r>
        <w:rPr>
          <w:rFonts w:hint="eastAsia" w:ascii="仿宋_GB2312" w:hAnsi="Times New Roman" w:eastAsia="仿宋_GB2312" w:cs="Times New Roman"/>
          <w:sz w:val="32"/>
          <w:szCs w:val="32"/>
        </w:rPr>
        <w:t>进行</w:t>
      </w:r>
      <w:r>
        <w:rPr>
          <w:rFonts w:hint="eastAsia" w:ascii="仿宋_GB2312" w:hAnsi="Times New Roman" w:eastAsia="仿宋_GB2312" w:cs="Times New Roman"/>
          <w:sz w:val="32"/>
          <w:szCs w:val="32"/>
          <w:lang w:eastAsia="zh-CN"/>
        </w:rPr>
        <w:t>暗访</w:t>
      </w:r>
      <w:r>
        <w:rPr>
          <w:rFonts w:hint="eastAsia" w:ascii="仿宋_GB2312" w:hAnsi="Times New Roman" w:eastAsia="仿宋_GB2312" w:cs="Times New Roman"/>
          <w:sz w:val="32"/>
          <w:szCs w:val="32"/>
        </w:rPr>
        <w:t>督导</w:t>
      </w:r>
      <w:r>
        <w:rPr>
          <w:rFonts w:hint="eastAsia" w:ascii="仿宋_GB2312" w:hAnsi="Times New Roman" w:eastAsia="仿宋_GB2312" w:cs="Times New Roman"/>
          <w:sz w:val="32"/>
          <w:szCs w:val="32"/>
          <w:lang w:eastAsia="zh-CN"/>
        </w:rPr>
        <w:t>，共</w:t>
      </w:r>
      <w:r>
        <w:rPr>
          <w:rFonts w:hint="eastAsia" w:ascii="仿宋_GB2312" w:hAnsi="Times New Roman" w:eastAsia="仿宋_GB2312" w:cs="Times New Roman"/>
          <w:sz w:val="32"/>
          <w:szCs w:val="32"/>
        </w:rPr>
        <w:t>开展</w:t>
      </w:r>
      <w:r>
        <w:rPr>
          <w:rFonts w:hint="eastAsia" w:ascii="仿宋_GB2312" w:hAnsi="Times New Roman" w:eastAsia="仿宋_GB2312" w:cs="Times New Roman"/>
          <w:sz w:val="32"/>
          <w:szCs w:val="32"/>
          <w:lang w:eastAsia="zh-CN"/>
        </w:rPr>
        <w:t>暗访督查约</w:t>
      </w:r>
      <w:r>
        <w:rPr>
          <w:rFonts w:hint="eastAsia" w:ascii="仿宋_GB2312" w:hAnsi="Times New Roman" w:eastAsia="仿宋_GB2312" w:cs="Times New Roman"/>
          <w:sz w:val="32"/>
          <w:szCs w:val="32"/>
          <w:lang w:val="en-US" w:eastAsia="zh-CN"/>
        </w:rPr>
        <w:t>80余</w:t>
      </w:r>
      <w:r>
        <w:rPr>
          <w:rFonts w:hint="eastAsia" w:ascii="仿宋_GB2312" w:hAnsi="Times New Roman" w:eastAsia="仿宋_GB2312" w:cs="Times New Roman"/>
          <w:sz w:val="32"/>
          <w:szCs w:val="32"/>
        </w:rPr>
        <w:t>次</w:t>
      </w:r>
      <w:r>
        <w:rPr>
          <w:rFonts w:hint="eastAsia" w:ascii="仿宋_GB2312" w:hAnsi="仿宋"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val="en-US" w:eastAsia="zh-CN"/>
        </w:rPr>
        <w:t>（二）落实</w:t>
      </w:r>
      <w:r>
        <w:rPr>
          <w:rFonts w:hint="eastAsia" w:ascii="楷体_GB2312" w:hAnsi="楷体_GB2312" w:eastAsia="楷体_GB2312" w:cs="楷体_GB2312"/>
          <w:b/>
          <w:bCs/>
          <w:sz w:val="32"/>
          <w:szCs w:val="32"/>
          <w:lang w:eastAsia="zh-CN"/>
        </w:rPr>
        <w:t>基本公共卫生服务健康教育</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一是</w:t>
      </w:r>
      <w:r>
        <w:rPr>
          <w:rFonts w:hint="eastAsia" w:ascii="仿宋_GB2312" w:hAnsi="仿宋_GB2312" w:eastAsia="仿宋_GB2312" w:cs="仿宋_GB2312"/>
          <w:color w:val="000000"/>
          <w:sz w:val="32"/>
          <w:szCs w:val="32"/>
          <w:lang w:val="en-US" w:eastAsia="zh-CN"/>
        </w:rPr>
        <w:t>加强指导工作，向各医疗卫生单位下发折页、视频等多种健教宣传物料，召开专干培训会议2次；</w:t>
      </w:r>
      <w:r>
        <w:rPr>
          <w:rFonts w:hint="eastAsia" w:ascii="仿宋_GB2312" w:hAnsi="仿宋_GB2312" w:eastAsia="仿宋_GB2312" w:cs="仿宋_GB2312"/>
          <w:b/>
          <w:bCs/>
          <w:color w:val="000000"/>
          <w:sz w:val="32"/>
          <w:szCs w:val="32"/>
          <w:lang w:val="en-US" w:eastAsia="zh-CN"/>
        </w:rPr>
        <w:t>二是</w:t>
      </w:r>
      <w:r>
        <w:rPr>
          <w:rFonts w:hint="eastAsia" w:ascii="仿宋_GB2312" w:hAnsi="仿宋_GB2312" w:eastAsia="仿宋_GB2312" w:cs="仿宋_GB2312"/>
          <w:color w:val="000000"/>
          <w:sz w:val="32"/>
          <w:szCs w:val="32"/>
          <w:lang w:val="en-US" w:eastAsia="zh-CN"/>
        </w:rPr>
        <w:t>及时开展督导考核全年开展督导2次，开展考核2次，并组织中心干部职工下社区开展面对面座谈1次，了解社区健康教育实际困难4类，为今后工作打好基础。</w:t>
      </w:r>
      <w:r>
        <w:rPr>
          <w:rFonts w:hint="eastAsia" w:ascii="仿宋_GB2312" w:hAnsi="Times New Roman" w:eastAsia="仿宋_GB2312" w:cs="Times New Roman"/>
          <w:sz w:val="32"/>
          <w:szCs w:val="32"/>
          <w:lang w:val="en-US" w:eastAsia="zh-CN"/>
        </w:rPr>
        <w:t xml:space="preserve">  </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（三）开展健康知识普及行动</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default"/>
          <w:lang w:val="en-US" w:eastAsia="zh-CN"/>
        </w:rPr>
      </w:pP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color w:val="000000"/>
          <w:sz w:val="32"/>
          <w:szCs w:val="32"/>
          <w:lang w:val="en-US" w:eastAsia="zh-CN"/>
        </w:rPr>
        <w:t>制作下发健康教育宣传栏12块，在居民点布置宣传栏400余块；</w:t>
      </w:r>
      <w:r>
        <w:rPr>
          <w:rFonts w:hint="eastAsia" w:ascii="仿宋_GB2312" w:hAnsi="仿宋_GB2312" w:eastAsia="仿宋_GB2312" w:cs="仿宋_GB2312"/>
          <w:b/>
          <w:bCs/>
          <w:color w:val="000000"/>
          <w:sz w:val="32"/>
          <w:szCs w:val="32"/>
          <w:lang w:val="en-US" w:eastAsia="zh-CN"/>
        </w:rPr>
        <w:t>二是</w:t>
      </w:r>
      <w:r>
        <w:rPr>
          <w:rFonts w:hint="eastAsia" w:ascii="仿宋_GB2312" w:hAnsi="仿宋_GB2312" w:eastAsia="仿宋_GB2312" w:cs="仿宋_GB2312"/>
          <w:color w:val="000000"/>
          <w:sz w:val="32"/>
          <w:szCs w:val="32"/>
          <w:lang w:val="en-US" w:eastAsia="zh-CN"/>
        </w:rPr>
        <w:t>制作下发健康素养66条、劝你戒烟、预防心血管疾病等宣传折页100000份；</w:t>
      </w:r>
      <w:r>
        <w:rPr>
          <w:rFonts w:hint="eastAsia" w:ascii="仿宋_GB2312" w:hAnsi="仿宋_GB2312" w:eastAsia="仿宋_GB2312" w:cs="仿宋_GB2312"/>
          <w:b/>
          <w:bCs/>
          <w:color w:val="000000"/>
          <w:sz w:val="32"/>
          <w:szCs w:val="32"/>
          <w:lang w:val="en-US" w:eastAsia="zh-CN"/>
        </w:rPr>
        <w:t>三是</w:t>
      </w:r>
      <w:r>
        <w:rPr>
          <w:rFonts w:hint="eastAsia" w:ascii="仿宋_GB2312" w:hAnsi="仿宋_GB2312" w:eastAsia="仿宋_GB2312" w:cs="仿宋_GB2312"/>
          <w:color w:val="000000"/>
          <w:sz w:val="32"/>
          <w:szCs w:val="32"/>
          <w:lang w:val="en-US" w:eastAsia="zh-CN"/>
        </w:rPr>
        <w:t>制作下发无纺布宣传袋、控油控烟壶、腰围尺等健康支持性工具</w:t>
      </w:r>
      <w:r>
        <w:rPr>
          <w:rFonts w:hint="eastAsia" w:ascii="仿宋_GB2312" w:hAnsi="仿宋_GB2312" w:eastAsia="仿宋_GB2312" w:cs="仿宋_GB2312"/>
          <w:b w:val="0"/>
          <w:bCs w:val="0"/>
          <w:color w:val="000000"/>
          <w:sz w:val="32"/>
          <w:szCs w:val="32"/>
          <w:u w:val="none"/>
          <w:lang w:val="en-US" w:eastAsia="zh-CN"/>
        </w:rPr>
        <w:t>；</w:t>
      </w:r>
      <w:r>
        <w:rPr>
          <w:rFonts w:hint="eastAsia" w:ascii="仿宋_GB2312" w:hAnsi="仿宋_GB2312" w:eastAsia="仿宋_GB2312" w:cs="仿宋_GB2312"/>
          <w:b/>
          <w:bCs/>
          <w:color w:val="000000"/>
          <w:sz w:val="32"/>
          <w:szCs w:val="32"/>
          <w:u w:val="none"/>
          <w:lang w:val="en-US" w:eastAsia="zh-CN"/>
        </w:rPr>
        <w:t>四是</w:t>
      </w:r>
      <w:r>
        <w:rPr>
          <w:rFonts w:hint="eastAsia" w:ascii="仿宋_GB2312" w:hAnsi="仿宋_GB2312" w:eastAsia="仿宋_GB2312" w:cs="仿宋_GB2312"/>
          <w:color w:val="000000"/>
          <w:sz w:val="32"/>
          <w:szCs w:val="32"/>
          <w:lang w:val="en-US" w:eastAsia="zh-CN"/>
        </w:rPr>
        <w:t>组织</w:t>
      </w:r>
      <w:r>
        <w:rPr>
          <w:rFonts w:hint="eastAsia" w:ascii="仿宋_GB2312" w:hAnsi="仿宋_GB2312" w:eastAsia="仿宋_GB2312" w:cs="仿宋_GB2312"/>
          <w:color w:val="000000"/>
          <w:sz w:val="32"/>
          <w:szCs w:val="32"/>
        </w:rPr>
        <w:t>各医疗单位开展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五进五讲</w:t>
      </w:r>
      <w:r>
        <w:rPr>
          <w:rFonts w:hint="eastAsia" w:ascii="仿宋_GB2312" w:hAnsi="仿宋_GB2312" w:eastAsia="仿宋_GB2312" w:cs="仿宋_GB2312"/>
          <w:color w:val="000000"/>
          <w:sz w:val="32"/>
          <w:szCs w:val="32"/>
          <w:lang w:eastAsia="zh-CN"/>
        </w:rPr>
        <w:t>”健康</w:t>
      </w:r>
      <w:r>
        <w:rPr>
          <w:rFonts w:hint="eastAsia" w:ascii="仿宋_GB2312" w:hAnsi="仿宋_GB2312" w:eastAsia="仿宋_GB2312" w:cs="仿宋_GB2312"/>
          <w:color w:val="000000"/>
          <w:sz w:val="32"/>
          <w:szCs w:val="32"/>
        </w:rPr>
        <w:t>巡讲活动</w:t>
      </w:r>
      <w:r>
        <w:rPr>
          <w:rFonts w:hint="eastAsia" w:ascii="仿宋_GB2312" w:hAnsi="仿宋_GB2312" w:eastAsia="仿宋_GB2312" w:cs="仿宋_GB2312"/>
          <w:color w:val="000000"/>
          <w:sz w:val="32"/>
          <w:szCs w:val="32"/>
          <w:lang w:val="en-US" w:eastAsia="zh-CN"/>
        </w:rPr>
        <w:t>173</w:t>
      </w:r>
      <w:r>
        <w:rPr>
          <w:rFonts w:hint="eastAsia" w:ascii="仿宋_GB2312" w:hAnsi="仿宋_GB2312" w:eastAsia="仿宋_GB2312" w:cs="仿宋_GB2312"/>
          <w:color w:val="000000"/>
          <w:sz w:val="32"/>
          <w:szCs w:val="32"/>
        </w:rPr>
        <w:t>场，受</w:t>
      </w:r>
      <w:r>
        <w:rPr>
          <w:rFonts w:hint="eastAsia" w:ascii="仿宋_GB2312" w:hAnsi="仿宋_GB2312" w:eastAsia="仿宋_GB2312" w:cs="仿宋_GB2312"/>
          <w:bCs/>
          <w:color w:val="000000"/>
          <w:sz w:val="32"/>
          <w:szCs w:val="32"/>
          <w:u w:val="none"/>
        </w:rPr>
        <w:t>益</w:t>
      </w:r>
      <w:r>
        <w:rPr>
          <w:rFonts w:hint="eastAsia" w:ascii="仿宋_GB2312" w:hAnsi="仿宋_GB2312" w:eastAsia="仿宋_GB2312" w:cs="仿宋_GB2312"/>
          <w:bCs/>
          <w:color w:val="000000"/>
          <w:sz w:val="32"/>
          <w:szCs w:val="32"/>
          <w:u w:val="none"/>
          <w:lang w:eastAsia="zh-CN"/>
        </w:rPr>
        <w:t>居民</w:t>
      </w:r>
      <w:r>
        <w:rPr>
          <w:rFonts w:hint="eastAsia" w:ascii="仿宋_GB2312" w:hAnsi="仿宋_GB2312" w:eastAsia="仿宋_GB2312" w:cs="仿宋_GB2312"/>
          <w:bCs/>
          <w:color w:val="000000"/>
          <w:sz w:val="32"/>
          <w:szCs w:val="32"/>
          <w:u w:val="none"/>
          <w:lang w:val="en-US" w:eastAsia="zh-CN"/>
        </w:rPr>
        <w:t>18000</w:t>
      </w:r>
      <w:r>
        <w:rPr>
          <w:rFonts w:hint="eastAsia" w:ascii="仿宋_GB2312" w:hAnsi="仿宋_GB2312" w:eastAsia="仿宋_GB2312" w:cs="仿宋_GB2312"/>
          <w:bCs/>
          <w:color w:val="000000"/>
          <w:sz w:val="32"/>
          <w:szCs w:val="32"/>
          <w:u w:val="none"/>
        </w:rPr>
        <w:t>余人</w:t>
      </w:r>
      <w:r>
        <w:rPr>
          <w:rFonts w:hint="eastAsia" w:ascii="仿宋_GB2312" w:hAnsi="仿宋_GB2312" w:eastAsia="仿宋_GB2312" w:cs="仿宋_GB2312"/>
          <w:bCs/>
          <w:color w:val="000000"/>
          <w:sz w:val="32"/>
          <w:szCs w:val="32"/>
          <w:u w:val="none"/>
          <w:lang w:eastAsia="zh-CN"/>
        </w:rPr>
        <w:t>；</w:t>
      </w:r>
      <w:r>
        <w:rPr>
          <w:rFonts w:hint="eastAsia" w:ascii="仿宋_GB2312" w:hAnsi="仿宋_GB2312" w:eastAsia="仿宋_GB2312" w:cs="仿宋_GB2312"/>
          <w:b/>
          <w:bCs w:val="0"/>
          <w:color w:val="000000"/>
          <w:sz w:val="32"/>
          <w:szCs w:val="32"/>
          <w:u w:val="none"/>
          <w:lang w:val="en-US" w:eastAsia="zh-CN"/>
        </w:rPr>
        <w:t>五是</w:t>
      </w:r>
      <w:r>
        <w:rPr>
          <w:rFonts w:hint="eastAsia" w:ascii="仿宋_GB2312" w:hAnsi="仿宋_GB2312" w:eastAsia="仿宋_GB2312" w:cs="仿宋_GB2312"/>
          <w:color w:val="000000"/>
          <w:sz w:val="32"/>
          <w:szCs w:val="32"/>
          <w:lang w:val="en-US" w:eastAsia="zh-CN"/>
        </w:rPr>
        <w:t>组织开展531无烟日主题宣传活动，累计开展主题咨询活动8场，健康教育讲座6场。</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（四）做好党建工作</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制定了</w:t>
      </w:r>
      <w:r>
        <w:rPr>
          <w:rFonts w:hint="eastAsia" w:ascii="仿宋_GB2312" w:hAnsi="仿宋_GB2312" w:eastAsia="仿宋_GB2312" w:cs="仿宋_GB2312"/>
          <w:color w:val="000000"/>
          <w:kern w:val="0"/>
          <w:sz w:val="32"/>
          <w:szCs w:val="32"/>
          <w:lang w:val="en-US" w:eastAsia="zh-CN"/>
        </w:rPr>
        <w:t>2022年党支部工作计划；</w:t>
      </w:r>
      <w:r>
        <w:rPr>
          <w:rFonts w:hint="eastAsia" w:ascii="仿宋_GB2312" w:hAnsi="仿宋_GB2312" w:eastAsia="仿宋_GB2312" w:cs="仿宋_GB2312"/>
          <w:b w:val="0"/>
          <w:bCs w:val="0"/>
          <w:sz w:val="32"/>
          <w:szCs w:val="32"/>
          <w:lang w:val="en-US" w:eastAsia="zh-CN"/>
        </w:rPr>
        <w:t>全年召开了12次支委会；分别于3月份、7月份召开</w:t>
      </w:r>
      <w:r>
        <w:rPr>
          <w:rFonts w:hint="eastAsia" w:ascii="仿宋_GB2312" w:hAnsi="仿宋_GB2312" w:eastAsia="仿宋_GB2312" w:cs="仿宋_GB2312"/>
          <w:i w:val="0"/>
          <w:caps w:val="0"/>
          <w:color w:val="000000"/>
          <w:spacing w:val="0"/>
          <w:sz w:val="32"/>
          <w:szCs w:val="32"/>
        </w:rPr>
        <w:t>组织生活会</w:t>
      </w:r>
      <w:r>
        <w:rPr>
          <w:rFonts w:hint="eastAsia" w:ascii="仿宋_GB2312" w:hAnsi="仿宋_GB2312" w:eastAsia="仿宋_GB2312" w:cs="仿宋_GB2312"/>
          <w:b w:val="0"/>
          <w:bCs w:val="0"/>
          <w:sz w:val="32"/>
          <w:szCs w:val="32"/>
          <w:lang w:val="en-US" w:eastAsia="zh-CN"/>
        </w:rPr>
        <w:t>和民主评议党员大会；召开了“建设副中心、我来当先锋”专题</w:t>
      </w:r>
      <w:r>
        <w:rPr>
          <w:rFonts w:hint="eastAsia" w:ascii="仿宋_GB2312" w:hAnsi="仿宋_GB2312" w:eastAsia="仿宋_GB2312" w:cs="仿宋_GB2312"/>
          <w:b w:val="0"/>
          <w:bCs w:val="0"/>
          <w:i w:val="0"/>
          <w:caps w:val="0"/>
          <w:color w:val="000000"/>
          <w:spacing w:val="0"/>
          <w:sz w:val="32"/>
          <w:szCs w:val="32"/>
        </w:rPr>
        <w:t>组织生活</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z w:val="32"/>
          <w:szCs w:val="32"/>
          <w:lang w:val="en-US" w:eastAsia="zh-CN"/>
        </w:rPr>
        <w:t>每季度定期召开党员大会；每月定期开展集中学习</w:t>
      </w:r>
      <w:r>
        <w:rPr>
          <w:rFonts w:hint="eastAsia" w:ascii="仿宋_GB2312" w:hAnsi="仿宋_GB2312" w:eastAsia="仿宋_GB2312" w:cs="仿宋_GB2312"/>
          <w:b w:val="0"/>
          <w:bCs w:val="0"/>
          <w:i w:val="0"/>
          <w:iCs w:val="0"/>
          <w:caps w:val="0"/>
          <w:color w:val="333333"/>
          <w:spacing w:val="0"/>
          <w:sz w:val="32"/>
          <w:szCs w:val="32"/>
        </w:rPr>
        <w:t>培训</w:t>
      </w:r>
      <w:r>
        <w:rPr>
          <w:rFonts w:hint="eastAsia" w:ascii="仿宋_GB2312" w:hAnsi="仿宋_GB2312" w:eastAsia="仿宋_GB2312" w:cs="仿宋_GB2312"/>
          <w:b w:val="0"/>
          <w:bCs w:val="0"/>
          <w:i w:val="0"/>
          <w:iCs w:val="0"/>
          <w:caps w:val="0"/>
          <w:color w:val="333333"/>
          <w:spacing w:val="0"/>
          <w:sz w:val="32"/>
          <w:szCs w:val="32"/>
          <w:lang w:val="en-US" w:eastAsia="zh-CN"/>
        </w:rPr>
        <w:t>;</w:t>
      </w:r>
      <w:r>
        <w:rPr>
          <w:rFonts w:hint="eastAsia" w:ascii="仿宋_GB2312" w:hAnsi="仿宋_GB2312" w:eastAsia="仿宋_GB2312" w:cs="仿宋_GB2312"/>
          <w:sz w:val="32"/>
          <w:szCs w:val="32"/>
          <w:lang w:val="en-US" w:eastAsia="zh-CN"/>
        </w:rPr>
        <w:t>开展</w:t>
      </w:r>
      <w:r>
        <w:rPr>
          <w:rFonts w:hint="eastAsia" w:ascii="仿宋" w:hAnsi="仿宋" w:eastAsia="仿宋" w:cs="仿宋"/>
          <w:color w:val="000000"/>
          <w:spacing w:val="0"/>
          <w:w w:val="100"/>
          <w:position w:val="0"/>
          <w:sz w:val="32"/>
          <w:szCs w:val="32"/>
          <w:lang w:val="zh-CN" w:eastAsia="zh-CN" w:bidi="zh-CN"/>
        </w:rPr>
        <w:t>“亮形象</w:t>
      </w:r>
      <w:r>
        <w:rPr>
          <w:rFonts w:hint="eastAsia" w:ascii="仿宋" w:hAnsi="仿宋" w:eastAsia="仿宋" w:cs="仿宋"/>
          <w:color w:val="000000"/>
          <w:spacing w:val="0"/>
          <w:w w:val="100"/>
          <w:position w:val="0"/>
          <w:sz w:val="32"/>
          <w:szCs w:val="32"/>
        </w:rPr>
        <w:t>”</w:t>
      </w:r>
      <w:r>
        <w:rPr>
          <w:rFonts w:hint="eastAsia" w:ascii="仿宋" w:hAnsi="仿宋" w:eastAsia="仿宋" w:cs="仿宋"/>
          <w:color w:val="000000"/>
          <w:spacing w:val="0"/>
          <w:w w:val="100"/>
          <w:position w:val="0"/>
          <w:sz w:val="32"/>
          <w:szCs w:val="32"/>
          <w:lang w:eastAsia="zh-CN"/>
        </w:rPr>
        <w:t>促规范</w:t>
      </w:r>
      <w:r>
        <w:rPr>
          <w:rFonts w:hint="eastAsia" w:ascii="仿宋" w:hAnsi="仿宋" w:eastAsia="仿宋" w:cs="仿宋"/>
          <w:color w:val="000000"/>
          <w:spacing w:val="0"/>
          <w:w w:val="100"/>
          <w:position w:val="0"/>
          <w:sz w:val="32"/>
          <w:szCs w:val="32"/>
          <w:lang w:val="en-US" w:eastAsia="zh-CN"/>
        </w:rPr>
        <w:t>--</w:t>
      </w:r>
      <w:r>
        <w:rPr>
          <w:rFonts w:hint="eastAsia" w:ascii="仿宋" w:hAnsi="仿宋" w:eastAsia="仿宋" w:cs="仿宋"/>
          <w:b w:val="0"/>
          <w:bCs/>
          <w:i w:val="0"/>
          <w:caps w:val="0"/>
          <w:color w:val="000000"/>
          <w:spacing w:val="0"/>
          <w:sz w:val="32"/>
          <w:szCs w:val="32"/>
          <w:lang w:eastAsia="zh-CN"/>
        </w:rPr>
        <w:t>支部送</w:t>
      </w:r>
      <w:r>
        <w:rPr>
          <w:rFonts w:hint="eastAsia" w:ascii="仿宋_GB2312" w:hAnsi="仿宋_GB2312" w:eastAsia="仿宋_GB2312" w:cs="仿宋_GB2312"/>
          <w:sz w:val="32"/>
          <w:szCs w:val="32"/>
          <w:lang w:val="en-US" w:eastAsia="zh-CN"/>
        </w:rPr>
        <w:t>“新冠”防控知识进</w:t>
      </w:r>
      <w:r>
        <w:rPr>
          <w:rFonts w:hint="eastAsia" w:ascii="仿宋_GB2312" w:hAnsi="仿宋_GB2312" w:eastAsia="仿宋_GB2312" w:cs="仿宋_GB2312"/>
          <w:sz w:val="32"/>
          <w:szCs w:val="32"/>
        </w:rPr>
        <w:t>集中隔离医学观察点</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“四亮”主题活动;</w:t>
      </w:r>
      <w:r>
        <w:rPr>
          <w:rFonts w:hint="eastAsia" w:ascii="仿宋_GB2312" w:hAnsi="仿宋_GB2312" w:eastAsia="仿宋_GB2312" w:cs="仿宋_GB2312"/>
          <w:b w:val="0"/>
          <w:bCs w:val="0"/>
          <w:sz w:val="32"/>
          <w:szCs w:val="32"/>
          <w:lang w:eastAsia="zh-CN"/>
        </w:rPr>
        <w:t>开展党的二十大精神学习；开展</w:t>
      </w:r>
      <w:r>
        <w:rPr>
          <w:rFonts w:hint="eastAsia" w:ascii="仿宋_GB2312" w:hAnsi="仿宋_GB2312" w:eastAsia="仿宋_GB2312" w:cs="仿宋_GB2312"/>
          <w:b w:val="0"/>
          <w:bCs w:val="0"/>
          <w:sz w:val="32"/>
          <w:szCs w:val="32"/>
          <w:lang w:val="en-US" w:eastAsia="zh-CN"/>
        </w:rPr>
        <w:t>了</w:t>
      </w:r>
      <w:r>
        <w:rPr>
          <w:rFonts w:hint="eastAsia" w:ascii="仿宋_GB2312" w:hAnsi="仿宋_GB2312" w:eastAsia="仿宋_GB2312" w:cs="仿宋_GB2312"/>
          <w:b w:val="0"/>
          <w:bCs w:val="0"/>
          <w:sz w:val="32"/>
          <w:szCs w:val="32"/>
          <w:lang w:eastAsia="zh-CN"/>
        </w:rPr>
        <w:t>“一课一片一实践”活动</w:t>
      </w:r>
      <w:r>
        <w:rPr>
          <w:rFonts w:hint="eastAsia" w:ascii="仿宋_GB2312" w:hAnsi="仿宋_GB2312" w:eastAsia="仿宋_GB2312" w:cs="仿宋_GB2312"/>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（五）办好民生实事。</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b w:val="0"/>
          <w:bCs w:val="0"/>
          <w:kern w:val="2"/>
          <w:sz w:val="32"/>
          <w:szCs w:val="32"/>
          <w:lang w:val="en-US" w:eastAsia="zh-CN" w:bidi="ar-SA"/>
        </w:rPr>
        <w:t>积极利用发放折页、组织开展健康教育讲座、开展健康教育咨询、健康教育宣传栏等各类渠道及时发布健康相关知识，对提高居民健康素养水平起到了积极作用；</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val="0"/>
          <w:bCs w:val="0"/>
          <w:color w:val="000000"/>
          <w:sz w:val="32"/>
          <w:szCs w:val="32"/>
          <w:lang w:val="en-US" w:eastAsia="zh-CN"/>
        </w:rPr>
        <w:t>根据省级要求，开展“岳阳楼区2022年居民健康素养水调查”和“岳阳楼区2022年中医药文化素养水平调查”项目工作，2个项目涉及3个街道6个调查点，累计调查480人，均按要求完成调查。经省级反馈，我区2022年健康素养水平为26.8，高于上年度和岳阳市平均水平。</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sz w:val="32"/>
          <w:szCs w:val="32"/>
          <w:lang w:val="en-US" w:eastAsia="zh-CN"/>
        </w:rPr>
        <w:t>（六）党风廉政建设、安全生产工作和</w:t>
      </w:r>
      <w:r>
        <w:rPr>
          <w:rFonts w:hint="eastAsia" w:ascii="楷体" w:hAnsi="楷体" w:eastAsia="楷体" w:cs="楷体"/>
          <w:b/>
          <w:bCs/>
          <w:kern w:val="2"/>
          <w:sz w:val="32"/>
          <w:szCs w:val="32"/>
          <w:lang w:val="en-US" w:eastAsia="zh-CN" w:bidi="ar-SA"/>
        </w:rPr>
        <w:t>新闻媒体供稿</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szCs w:val="22"/>
          <w:lang w:val="en-US" w:eastAsia="zh-CN"/>
        </w:rPr>
      </w:pPr>
      <w:r>
        <w:rPr>
          <w:rFonts w:hint="eastAsia" w:ascii="仿宋_GB2312" w:hAnsi="Times New Roman" w:eastAsia="仿宋_GB2312" w:cs="Times New Roman"/>
          <w:b/>
          <w:bCs/>
          <w:sz w:val="32"/>
          <w:szCs w:val="32"/>
          <w:lang w:val="en-US" w:eastAsia="zh-CN"/>
        </w:rPr>
        <w:t>一是</w:t>
      </w:r>
      <w:r>
        <w:rPr>
          <w:rFonts w:hint="eastAsia" w:ascii="仿宋_GB2312" w:hAnsi="Times New Roman" w:eastAsia="仿宋_GB2312" w:cs="Times New Roman"/>
          <w:sz w:val="32"/>
          <w:szCs w:val="32"/>
          <w:lang w:val="en-US" w:eastAsia="zh-CN"/>
        </w:rPr>
        <w:t>及时</w:t>
      </w:r>
      <w:r>
        <w:rPr>
          <w:rFonts w:hint="eastAsia" w:ascii="仿宋_GB2312" w:hAnsi="Times New Roman" w:eastAsia="仿宋_GB2312" w:cs="Times New Roman"/>
          <w:sz w:val="32"/>
          <w:szCs w:val="32"/>
        </w:rPr>
        <w:t>召开党风廉政建设工作会议，邀请联点局领导安排部署党风廉政建设工作，落实各级廉政谈话，传达学习上级相关文件精神；按时上报局纪检监察室下发的月报表；进行</w:t>
      </w:r>
      <w:r>
        <w:rPr>
          <w:rFonts w:hint="eastAsia" w:ascii="仿宋_GB2312" w:hAnsi="Times New Roman" w:eastAsia="仿宋_GB2312" w:cs="Times New Roman"/>
          <w:sz w:val="32"/>
          <w:szCs w:val="32"/>
          <w:lang w:val="en-US" w:eastAsia="zh-CN"/>
        </w:rPr>
        <w:t>节日</w:t>
      </w:r>
      <w:r>
        <w:rPr>
          <w:rFonts w:hint="eastAsia" w:ascii="仿宋_GB2312" w:hAnsi="Times New Roman" w:eastAsia="仿宋_GB2312" w:cs="Times New Roman"/>
          <w:sz w:val="32"/>
          <w:szCs w:val="32"/>
        </w:rPr>
        <w:t>期间纠“四风”问题检查并上报；组织观看反腐倡廉警示片；制定并严格落实考勤制度，每月开展作风督查并通报</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b/>
          <w:bCs/>
          <w:sz w:val="32"/>
          <w:szCs w:val="32"/>
          <w:lang w:val="en-US" w:eastAsia="zh-CN"/>
        </w:rPr>
        <w:t>二是</w:t>
      </w:r>
      <w:r>
        <w:rPr>
          <w:rFonts w:hint="eastAsia" w:ascii="仿宋_GB2312" w:hAnsi="仿宋_GB2312" w:eastAsia="仿宋_GB2312" w:cs="仿宋_GB2312"/>
          <w:b w:val="0"/>
          <w:bCs w:val="0"/>
          <w:sz w:val="32"/>
          <w:szCs w:val="32"/>
        </w:rPr>
        <w:t>落实消防安全生产制度、工作方案、应急预案；召开安全生产工作会议，学习上级相关文件精神；组织学习消防安全讲座；定期进行安全隐患排查。</w:t>
      </w:r>
      <w:r>
        <w:rPr>
          <w:rFonts w:hint="eastAsia" w:ascii="仿宋_GB2312" w:hAnsi="仿宋_GB2312" w:eastAsia="仿宋_GB2312" w:cs="仿宋_GB2312"/>
          <w:b w:val="0"/>
          <w:bCs w:val="0"/>
          <w:sz w:val="32"/>
          <w:szCs w:val="32"/>
          <w:lang w:val="en-US" w:eastAsia="zh-CN"/>
        </w:rPr>
        <w:t>三是</w:t>
      </w:r>
      <w:r>
        <w:rPr>
          <w:rFonts w:hint="eastAsia" w:ascii="仿宋_GB2312" w:hAnsi="仿宋_GB2312" w:eastAsia="仿宋_GB2312" w:cs="仿宋_GB2312"/>
          <w:b w:val="0"/>
          <w:bCs w:val="0"/>
          <w:kern w:val="2"/>
          <w:sz w:val="32"/>
          <w:szCs w:val="32"/>
          <w:lang w:val="en-US" w:eastAsia="zh-CN" w:bidi="ar-SA"/>
        </w:rPr>
        <w:t>做好媒体供稿工作，在楼区融媒体发表稿件1篇：“岳阳楼区健康素养水平调查工作启动”。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（一）健康教育工作网络仍需继续完善。</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（二）健康知识普及行动的开展渠道还不够丰富，形式过于单一。</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（三）</w:t>
      </w:r>
      <w:r>
        <w:rPr>
          <w:rFonts w:hint="default" w:ascii="仿宋_GB2312" w:hAnsi="仿宋_GB2312" w:eastAsia="仿宋_GB2312" w:cs="仿宋_GB2312"/>
          <w:b w:val="0"/>
          <w:bCs w:val="0"/>
          <w:color w:val="000000"/>
          <w:sz w:val="32"/>
          <w:szCs w:val="32"/>
          <w:lang w:val="en-US" w:eastAsia="zh-CN"/>
        </w:rPr>
        <w:t>健康教育工作计划的制定往往没有根据管辖的社区卫生诊断报告存在的主要卫生与健康问题来制定，由于人员少，健康讲座往往不能如期举行，健康讲座内容无计划，随意性很大，为了应付上级检查，流于形式，用块黑板，坐上7-8人就算是讲座活动了。</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（四）</w:t>
      </w:r>
      <w:r>
        <w:rPr>
          <w:rFonts w:hint="default" w:ascii="仿宋_GB2312" w:hAnsi="仿宋_GB2312" w:eastAsia="仿宋_GB2312" w:cs="仿宋_GB2312"/>
          <w:b w:val="0"/>
          <w:bCs w:val="0"/>
          <w:color w:val="000000"/>
          <w:sz w:val="32"/>
          <w:szCs w:val="32"/>
          <w:lang w:val="en-US" w:eastAsia="zh-CN"/>
        </w:rPr>
        <w:t>对健康教育认识不足</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受传统护理模式的影响,护士对患者实施健康教育应停留在疾病知识的普及和宣教上,把健康教育看做是卫生宣教的延续,对护理健康教育和卫生宣教的区别认识不清。在履行教育职责上缺乏主动性,不能从根本上帮助患者建立健康的行为</w:t>
      </w:r>
      <w:r>
        <w:rPr>
          <w:rFonts w:hint="eastAsia" w:ascii="仿宋_GB2312" w:hAnsi="仿宋_GB2312" w:eastAsia="仿宋_GB2312" w:cs="仿宋_GB2312"/>
          <w:b w:val="0"/>
          <w:bCs w:val="0"/>
          <w:color w:val="000000"/>
          <w:sz w:val="32"/>
          <w:szCs w:val="32"/>
          <w:lang w:val="en-US" w:eastAsia="zh-CN"/>
        </w:rPr>
        <w:t>。</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（五）</w:t>
      </w:r>
      <w:r>
        <w:rPr>
          <w:rFonts w:hint="default" w:ascii="仿宋_GB2312" w:hAnsi="仿宋_GB2312" w:eastAsia="仿宋_GB2312" w:cs="仿宋_GB2312"/>
          <w:b w:val="0"/>
          <w:bCs w:val="0"/>
          <w:color w:val="000000"/>
          <w:sz w:val="32"/>
          <w:szCs w:val="32"/>
          <w:lang w:val="en-US" w:eastAsia="zh-CN"/>
        </w:rPr>
        <w:t>护理健康教育相关知识缺乏</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护士在开展健康教育中,对护理健康教育的基本内容掌握贫乏,对教育程序了解肤浅,缺乏系统的护理健康教育理论知识和技能的培训,因此健康教育内容缺乏针对性,不能把握好教育的时机、技巧、缺乏效果评价等都是影响护士深入、有效地开展健康教育的因素</w:t>
      </w:r>
      <w:r>
        <w:rPr>
          <w:rFonts w:hint="eastAsia" w:ascii="仿宋_GB2312" w:hAnsi="仿宋_GB2312" w:eastAsia="仿宋_GB2312" w:cs="仿宋_GB2312"/>
          <w:b w:val="0"/>
          <w:bCs w:val="0"/>
          <w:color w:val="000000"/>
          <w:sz w:val="32"/>
          <w:szCs w:val="32"/>
          <w:lang w:val="en-US" w:eastAsia="zh-CN"/>
        </w:rPr>
        <w:t>。</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（六）</w:t>
      </w:r>
      <w:r>
        <w:rPr>
          <w:rFonts w:hint="default" w:ascii="仿宋_GB2312" w:hAnsi="仿宋_GB2312" w:eastAsia="仿宋_GB2312" w:cs="仿宋_GB2312"/>
          <w:b w:val="0"/>
          <w:bCs w:val="0"/>
          <w:color w:val="000000"/>
          <w:sz w:val="32"/>
          <w:szCs w:val="32"/>
          <w:lang w:val="en-US" w:eastAsia="zh-CN"/>
        </w:rPr>
        <w:t>缺乏沟通交流技巧,教育方法不当</w:t>
      </w:r>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良好的护患沟通是开展健康教育的前提。护士与患者交谈时语言应通俗易懂,不宜生搬硬套医学术语,针对不同文化程度的人采用相应的语言表达方式,使患者都能接受</w:t>
      </w:r>
      <w:r>
        <w:rPr>
          <w:rFonts w:hint="eastAsia" w:ascii="仿宋_GB2312" w:hAnsi="仿宋_GB2312" w:eastAsia="仿宋_GB2312" w:cs="仿宋_GB2312"/>
          <w:b w:val="0"/>
          <w:bCs w:val="0"/>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八、下一步改进措施</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Times New Roman" w:eastAsia="仿宋_GB2312" w:cs="Times New Roman"/>
          <w:b w:val="0"/>
          <w:bCs w:val="0"/>
          <w:sz w:val="32"/>
          <w:szCs w:val="32"/>
          <w:lang w:val="en-US" w:eastAsia="zh-CN"/>
        </w:rPr>
        <w:t>（一）根据上级要求，</w:t>
      </w:r>
      <w:r>
        <w:rPr>
          <w:rFonts w:hint="eastAsia" w:ascii="仿宋_GB2312" w:hAnsi="仿宋" w:eastAsia="仿宋_GB2312" w:cs="Times New Roman"/>
          <w:sz w:val="32"/>
          <w:szCs w:val="32"/>
          <w:lang w:val="en-US" w:eastAsia="zh-CN"/>
        </w:rPr>
        <w:t>做好新冠感染相关的健康教育</w:t>
      </w:r>
      <w:r>
        <w:rPr>
          <w:rFonts w:hint="eastAsia" w:ascii="仿宋_GB2312" w:hAnsi="仿宋_GB2312" w:eastAsia="仿宋_GB2312" w:cs="仿宋_GB2312"/>
          <w:sz w:val="32"/>
          <w:szCs w:val="32"/>
          <w:lang w:eastAsia="zh-CN"/>
        </w:rPr>
        <w:t>工作。</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按照“健康</w:t>
      </w:r>
      <w:r>
        <w:rPr>
          <w:rFonts w:hint="eastAsia" w:ascii="仿宋_GB2312" w:hAnsi="仿宋_GB2312" w:eastAsia="仿宋_GB2312" w:cs="仿宋_GB2312"/>
          <w:color w:val="000000"/>
          <w:sz w:val="32"/>
          <w:szCs w:val="32"/>
          <w:lang w:val="en-US" w:eastAsia="zh-CN"/>
        </w:rPr>
        <w:t>楼区</w:t>
      </w:r>
      <w:r>
        <w:rPr>
          <w:rFonts w:hint="eastAsia" w:ascii="仿宋_GB2312" w:hAnsi="仿宋_GB2312" w:eastAsia="仿宋_GB2312" w:cs="仿宋_GB2312"/>
          <w:color w:val="000000"/>
          <w:sz w:val="32"/>
          <w:szCs w:val="32"/>
        </w:rPr>
        <w:t>行动”实施方案，</w:t>
      </w:r>
      <w:r>
        <w:rPr>
          <w:rFonts w:hint="eastAsia" w:ascii="仿宋_GB2312" w:hAnsi="仿宋_GB2312" w:eastAsia="仿宋_GB2312" w:cs="仿宋_GB2312"/>
          <w:color w:val="000000"/>
          <w:sz w:val="32"/>
          <w:szCs w:val="32"/>
          <w:lang w:val="en-US" w:eastAsia="zh-CN"/>
        </w:rPr>
        <w:t>加强与其他部门的沟通，</w:t>
      </w:r>
      <w:r>
        <w:rPr>
          <w:rFonts w:hint="eastAsia" w:ascii="仿宋_GB2312" w:hAnsi="仿宋_GB2312" w:eastAsia="仿宋_GB2312" w:cs="仿宋_GB2312"/>
          <w:color w:val="000000"/>
          <w:sz w:val="32"/>
          <w:szCs w:val="32"/>
        </w:rPr>
        <w:t>推进健康知识普及行动，</w:t>
      </w:r>
      <w:r>
        <w:rPr>
          <w:rFonts w:hint="eastAsia" w:ascii="仿宋_GB2312" w:hAnsi="仿宋_GB2312" w:eastAsia="仿宋_GB2312" w:cs="仿宋_GB2312"/>
          <w:color w:val="000000"/>
          <w:sz w:val="32"/>
          <w:szCs w:val="32"/>
          <w:lang w:val="en-US" w:eastAsia="zh-CN"/>
        </w:rPr>
        <w:t>开展</w:t>
      </w:r>
      <w:r>
        <w:rPr>
          <w:rFonts w:hint="eastAsia" w:ascii="仿宋_GB2312" w:hAnsi="仿宋_GB2312" w:eastAsia="仿宋_GB2312" w:cs="仿宋_GB2312"/>
          <w:color w:val="000000"/>
          <w:sz w:val="32"/>
          <w:szCs w:val="32"/>
        </w:rPr>
        <w:t>“三个一”工程和“健康促进医院”建设。</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（三）组织开展健康教育业务水平培训班，进一步完善我区健康教育工作机制，提高工作水平。</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（四）</w:t>
      </w:r>
      <w:r>
        <w:rPr>
          <w:rFonts w:hint="default" w:ascii="仿宋_GB2312" w:hAnsi="仿宋_GB2312" w:eastAsia="仿宋_GB2312" w:cs="仿宋_GB2312"/>
          <w:color w:val="000000"/>
          <w:sz w:val="32"/>
          <w:szCs w:val="32"/>
          <w:lang w:val="en-US" w:eastAsia="zh-CN"/>
        </w:rPr>
        <w:t>优化教育内容,开展形式多样的教育方法</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健康教育有着丰富的内容,如入院教育、饮食、用药、心理护理、术前术后康复指导、行为实践、自我护理技能等。为了避免健康教育内容千篇一律,我院组织各科制定健康教育工作流程,编写本科常见病、多发病的健康教育手册,既有实用性,又有针对性,突出重点,针对教育对象身心所处的不同阶段选择教育内容。教育的形式由口头宣讲到集体教育,发放教育处方、宣传板报、示范教育等,使健康教育更加标准化、规范化、科学化,患者能够分清轻、重、缓急易于接受,知道该怎么做,不该怎么做,为什么这么做,深受欢迎。</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（五）</w:t>
      </w:r>
      <w:r>
        <w:rPr>
          <w:rFonts w:hint="default" w:ascii="仿宋_GB2312" w:hAnsi="仿宋_GB2312" w:eastAsia="仿宋_GB2312" w:cs="仿宋_GB2312"/>
          <w:color w:val="000000"/>
          <w:sz w:val="32"/>
          <w:szCs w:val="32"/>
          <w:lang w:val="en-US" w:eastAsia="zh-CN"/>
        </w:rPr>
        <w:t>选择有利时机进行教育,注意效果</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培养健康教育意识,随机进行。先处理好患者及需解决的问题,稳定情绪,再在各种操作中检查前后,手术前后,换药过程中,因人而教,因病施教,定期进行评价,效果不佳者反复进行,直至患者基本掌握。</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无其他需要说明的情况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spacing w:before="169" w:line="776" w:lineRule="exact"/>
        <w:ind w:left="372"/>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10"/>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
                <w:sz w:val="21"/>
                <w:szCs w:val="21"/>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bookmarkStart w:id="0" w:name="_GoBack"/>
            <w:bookmarkEnd w:id="0"/>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pPr>
        <w:spacing w:line="252" w:lineRule="auto"/>
        <w:rPr>
          <w:rFonts w:ascii="Arial"/>
          <w:color w:val="000000" w:themeColor="text1"/>
          <w:sz w:val="21"/>
          <w14:textFill>
            <w14:solidFill>
              <w14:schemeClr w14:val="tx1"/>
            </w14:solidFill>
          </w14:textFill>
        </w:rPr>
      </w:pPr>
    </w:p>
    <w:p>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pPr>
        <w:ind w:firstLine="1440" w:firstLineChars="400"/>
        <w:jc w:val="both"/>
        <w:rPr>
          <w:rFonts w:hint="eastAsia" w:eastAsia="方正小标宋简体"/>
          <w:sz w:val="36"/>
          <w:szCs w:val="36"/>
          <w:lang w:eastAsia="zh-CN"/>
        </w:rPr>
      </w:pPr>
    </w:p>
    <w:p>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6"/>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hint="eastAsia" w:asciiTheme="majorEastAsia" w:hAnsiTheme="majorEastAsia" w:eastAsiaTheme="majorEastAsia" w:cstheme="majorEastAsia"/>
                <w:szCs w:val="21"/>
              </w:rPr>
            </w:pPr>
          </w:p>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hint="eastAsia" w:asciiTheme="majorEastAsia" w:hAnsiTheme="majorEastAsia" w:eastAsiaTheme="majorEastAsia" w:cstheme="majorEastAsia"/>
                <w:szCs w:val="21"/>
              </w:rPr>
            </w:pPr>
          </w:p>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19</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20</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14</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98</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600000000000000"/>
    <w:charset w:val="86"/>
    <w:family w:val="auto"/>
    <w:pitch w:val="default"/>
    <w:sig w:usb0="00000000" w:usb1="00000000" w:usb2="00000012" w:usb3="00000000" w:csb0="00160001" w:csb1="1203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21C3E"/>
    <w:multiLevelType w:val="singleLevel"/>
    <w:tmpl w:val="8E321C3E"/>
    <w:lvl w:ilvl="0" w:tentative="0">
      <w:start w:val="1"/>
      <w:numFmt w:val="chineseCounting"/>
      <w:suff w:val="nothing"/>
      <w:lvlText w:val="%1、"/>
      <w:lvlJc w:val="left"/>
      <w:rPr>
        <w:rFonts w:hint="eastAsia"/>
      </w:rPr>
    </w:lvl>
  </w:abstractNum>
  <w:abstractNum w:abstractNumId="1">
    <w:nsid w:val="E4A2E93D"/>
    <w:multiLevelType w:val="singleLevel"/>
    <w:tmpl w:val="E4A2E93D"/>
    <w:lvl w:ilvl="0" w:tentative="0">
      <w:start w:val="2"/>
      <w:numFmt w:val="chineseCounting"/>
      <w:lvlText w:val="(%1)"/>
      <w:lvlJc w:val="left"/>
      <w:pPr>
        <w:tabs>
          <w:tab w:val="left" w:pos="312"/>
        </w:tabs>
      </w:pPr>
      <w:rPr>
        <w:rFonts w:hint="eastAsia"/>
      </w:rPr>
    </w:lvl>
  </w:abstractNum>
  <w:abstractNum w:abstractNumId="2">
    <w:nsid w:val="0F0BB7E7"/>
    <w:multiLevelType w:val="singleLevel"/>
    <w:tmpl w:val="0F0BB7E7"/>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Yjk5NzBlNjIxNDhmODM4OGU0YzM5ZWM3YTY4OTAifQ=="/>
  </w:docVars>
  <w:rsids>
    <w:rsidRoot w:val="53FC3987"/>
    <w:rsid w:val="000A3765"/>
    <w:rsid w:val="001D7282"/>
    <w:rsid w:val="0039081D"/>
    <w:rsid w:val="005E6ECB"/>
    <w:rsid w:val="00742F6F"/>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E383E"/>
    <w:rsid w:val="03FF6E0F"/>
    <w:rsid w:val="0404259A"/>
    <w:rsid w:val="04051601"/>
    <w:rsid w:val="04150B3B"/>
    <w:rsid w:val="04327F62"/>
    <w:rsid w:val="04344800"/>
    <w:rsid w:val="044C7A61"/>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22420A"/>
    <w:rsid w:val="054037EF"/>
    <w:rsid w:val="054E7FFF"/>
    <w:rsid w:val="05621117"/>
    <w:rsid w:val="058C5045"/>
    <w:rsid w:val="059C7C89"/>
    <w:rsid w:val="05A50C70"/>
    <w:rsid w:val="05B525CA"/>
    <w:rsid w:val="05C4448F"/>
    <w:rsid w:val="05D3138F"/>
    <w:rsid w:val="05DD6E6E"/>
    <w:rsid w:val="05E616EC"/>
    <w:rsid w:val="06146BAF"/>
    <w:rsid w:val="06286BB6"/>
    <w:rsid w:val="063279D7"/>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CF61D3"/>
    <w:rsid w:val="07E11DA2"/>
    <w:rsid w:val="07E31891"/>
    <w:rsid w:val="07E40515"/>
    <w:rsid w:val="07EE6091"/>
    <w:rsid w:val="08017E70"/>
    <w:rsid w:val="0805190B"/>
    <w:rsid w:val="080C52E3"/>
    <w:rsid w:val="082A5F7E"/>
    <w:rsid w:val="08391F38"/>
    <w:rsid w:val="083A18D9"/>
    <w:rsid w:val="0848472A"/>
    <w:rsid w:val="084D20E7"/>
    <w:rsid w:val="08674899"/>
    <w:rsid w:val="086A5B0F"/>
    <w:rsid w:val="08754155"/>
    <w:rsid w:val="087B77E7"/>
    <w:rsid w:val="087D3D34"/>
    <w:rsid w:val="0889236C"/>
    <w:rsid w:val="088E051E"/>
    <w:rsid w:val="08935A7B"/>
    <w:rsid w:val="08A91E6C"/>
    <w:rsid w:val="08BA1B19"/>
    <w:rsid w:val="08D059DD"/>
    <w:rsid w:val="08DC08E7"/>
    <w:rsid w:val="092D1C9E"/>
    <w:rsid w:val="09377E5E"/>
    <w:rsid w:val="09383E9F"/>
    <w:rsid w:val="0939426E"/>
    <w:rsid w:val="093C07E0"/>
    <w:rsid w:val="09504F8C"/>
    <w:rsid w:val="09616470"/>
    <w:rsid w:val="096C1F5A"/>
    <w:rsid w:val="096C76C1"/>
    <w:rsid w:val="09906B28"/>
    <w:rsid w:val="09912E95"/>
    <w:rsid w:val="099C1A23"/>
    <w:rsid w:val="09A948AF"/>
    <w:rsid w:val="09AC2A76"/>
    <w:rsid w:val="09B04837"/>
    <w:rsid w:val="09C95891"/>
    <w:rsid w:val="09CD698F"/>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73347"/>
    <w:rsid w:val="0AE964B0"/>
    <w:rsid w:val="0B163034"/>
    <w:rsid w:val="0B1F5B6D"/>
    <w:rsid w:val="0B2F4AF7"/>
    <w:rsid w:val="0B3312B6"/>
    <w:rsid w:val="0B4064B3"/>
    <w:rsid w:val="0B640DAA"/>
    <w:rsid w:val="0B6E529C"/>
    <w:rsid w:val="0B701D27"/>
    <w:rsid w:val="0B7245CE"/>
    <w:rsid w:val="0B943886"/>
    <w:rsid w:val="0B9C3CD1"/>
    <w:rsid w:val="0BB324D8"/>
    <w:rsid w:val="0BB672C7"/>
    <w:rsid w:val="0BC07BBF"/>
    <w:rsid w:val="0BC24954"/>
    <w:rsid w:val="0BC429EF"/>
    <w:rsid w:val="0BCE65D1"/>
    <w:rsid w:val="0BD27A8E"/>
    <w:rsid w:val="0BD60937"/>
    <w:rsid w:val="0BD86AFE"/>
    <w:rsid w:val="0BD912A4"/>
    <w:rsid w:val="0BE135FA"/>
    <w:rsid w:val="0BEE4F6B"/>
    <w:rsid w:val="0C03261E"/>
    <w:rsid w:val="0C0439FA"/>
    <w:rsid w:val="0C0B17DF"/>
    <w:rsid w:val="0C0F382B"/>
    <w:rsid w:val="0C160980"/>
    <w:rsid w:val="0C1B4EF7"/>
    <w:rsid w:val="0C1C297E"/>
    <w:rsid w:val="0C1D4988"/>
    <w:rsid w:val="0C297E69"/>
    <w:rsid w:val="0C55038F"/>
    <w:rsid w:val="0C607FF1"/>
    <w:rsid w:val="0C6B7DF9"/>
    <w:rsid w:val="0C6E2A56"/>
    <w:rsid w:val="0C7A708D"/>
    <w:rsid w:val="0C8E09E9"/>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0E69D0"/>
    <w:rsid w:val="0E1E619E"/>
    <w:rsid w:val="0E267F81"/>
    <w:rsid w:val="0E365DE9"/>
    <w:rsid w:val="0E3E4633"/>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0627A3"/>
    <w:rsid w:val="10067489"/>
    <w:rsid w:val="10102602"/>
    <w:rsid w:val="10225AB2"/>
    <w:rsid w:val="102D74F0"/>
    <w:rsid w:val="103C47DA"/>
    <w:rsid w:val="103D5CB0"/>
    <w:rsid w:val="1043497A"/>
    <w:rsid w:val="104B6B58"/>
    <w:rsid w:val="105552F6"/>
    <w:rsid w:val="108449FF"/>
    <w:rsid w:val="108B34B0"/>
    <w:rsid w:val="109E2943"/>
    <w:rsid w:val="10C8346E"/>
    <w:rsid w:val="10E67830"/>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24BAE"/>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8D1367"/>
    <w:rsid w:val="15914EE6"/>
    <w:rsid w:val="15A42FA4"/>
    <w:rsid w:val="15A6418F"/>
    <w:rsid w:val="15AA091B"/>
    <w:rsid w:val="15BC6BD3"/>
    <w:rsid w:val="15CF095E"/>
    <w:rsid w:val="15D35BCA"/>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127B9"/>
    <w:rsid w:val="18A62960"/>
    <w:rsid w:val="18BD3DC4"/>
    <w:rsid w:val="18C149F3"/>
    <w:rsid w:val="18D233DB"/>
    <w:rsid w:val="18DC433F"/>
    <w:rsid w:val="18DC5635"/>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60B43"/>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4D4737"/>
    <w:rsid w:val="1F5009C3"/>
    <w:rsid w:val="1F5665AD"/>
    <w:rsid w:val="1F643AA0"/>
    <w:rsid w:val="1F692382"/>
    <w:rsid w:val="1F8815CD"/>
    <w:rsid w:val="1F8D1995"/>
    <w:rsid w:val="1F935BDD"/>
    <w:rsid w:val="1F9730E6"/>
    <w:rsid w:val="1FDE0273"/>
    <w:rsid w:val="1FEF73C9"/>
    <w:rsid w:val="1FFA024A"/>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A56D0"/>
    <w:rsid w:val="22CB0895"/>
    <w:rsid w:val="230E42CE"/>
    <w:rsid w:val="231527D7"/>
    <w:rsid w:val="23185AD8"/>
    <w:rsid w:val="23336451"/>
    <w:rsid w:val="23474320"/>
    <w:rsid w:val="23492735"/>
    <w:rsid w:val="235B5F37"/>
    <w:rsid w:val="235C3EA6"/>
    <w:rsid w:val="23604810"/>
    <w:rsid w:val="237A7609"/>
    <w:rsid w:val="23BE4330"/>
    <w:rsid w:val="23BF0A62"/>
    <w:rsid w:val="23C263BB"/>
    <w:rsid w:val="23CB14F2"/>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9F5DD7"/>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263C99"/>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602297"/>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4F11"/>
    <w:rsid w:val="2CF97782"/>
    <w:rsid w:val="2D107154"/>
    <w:rsid w:val="2D143281"/>
    <w:rsid w:val="2D1C79F8"/>
    <w:rsid w:val="2D324177"/>
    <w:rsid w:val="2D3549AD"/>
    <w:rsid w:val="2D3A0EFB"/>
    <w:rsid w:val="2D5A7835"/>
    <w:rsid w:val="2D6578A0"/>
    <w:rsid w:val="2D7343C9"/>
    <w:rsid w:val="2DE44256"/>
    <w:rsid w:val="2DE557EB"/>
    <w:rsid w:val="2DEE74F1"/>
    <w:rsid w:val="2E0E6D42"/>
    <w:rsid w:val="2E0F4249"/>
    <w:rsid w:val="2E2A15CD"/>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AC753F"/>
    <w:rsid w:val="2FC05B92"/>
    <w:rsid w:val="2FDE3BE4"/>
    <w:rsid w:val="2FEC1413"/>
    <w:rsid w:val="2FEF5C51"/>
    <w:rsid w:val="301F1E0F"/>
    <w:rsid w:val="302E6295"/>
    <w:rsid w:val="303329F0"/>
    <w:rsid w:val="303818E5"/>
    <w:rsid w:val="303B4884"/>
    <w:rsid w:val="303F1851"/>
    <w:rsid w:val="303F79AD"/>
    <w:rsid w:val="30492212"/>
    <w:rsid w:val="304C3A2B"/>
    <w:rsid w:val="30596318"/>
    <w:rsid w:val="306F339C"/>
    <w:rsid w:val="30762710"/>
    <w:rsid w:val="307750E9"/>
    <w:rsid w:val="30814CF1"/>
    <w:rsid w:val="308E4163"/>
    <w:rsid w:val="30A71077"/>
    <w:rsid w:val="30C20BA4"/>
    <w:rsid w:val="30C478ED"/>
    <w:rsid w:val="30D5770F"/>
    <w:rsid w:val="30EC01FB"/>
    <w:rsid w:val="30F54D00"/>
    <w:rsid w:val="31026564"/>
    <w:rsid w:val="310A5122"/>
    <w:rsid w:val="312107CD"/>
    <w:rsid w:val="31210CA8"/>
    <w:rsid w:val="31215285"/>
    <w:rsid w:val="312D0344"/>
    <w:rsid w:val="31346C1B"/>
    <w:rsid w:val="314A407E"/>
    <w:rsid w:val="314E2EDF"/>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1B6962"/>
    <w:rsid w:val="33262CBA"/>
    <w:rsid w:val="332B323C"/>
    <w:rsid w:val="332E3189"/>
    <w:rsid w:val="334E650C"/>
    <w:rsid w:val="335B62EC"/>
    <w:rsid w:val="335E79BA"/>
    <w:rsid w:val="3360061D"/>
    <w:rsid w:val="336549AB"/>
    <w:rsid w:val="33782709"/>
    <w:rsid w:val="338A259F"/>
    <w:rsid w:val="3392025F"/>
    <w:rsid w:val="33A8285D"/>
    <w:rsid w:val="33AC1E29"/>
    <w:rsid w:val="33B17041"/>
    <w:rsid w:val="33B202F3"/>
    <w:rsid w:val="33B20F64"/>
    <w:rsid w:val="33EE53FA"/>
    <w:rsid w:val="33F35D4B"/>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138B2"/>
    <w:rsid w:val="35195F01"/>
    <w:rsid w:val="35310628"/>
    <w:rsid w:val="35313A72"/>
    <w:rsid w:val="35493C91"/>
    <w:rsid w:val="355C0228"/>
    <w:rsid w:val="357800DF"/>
    <w:rsid w:val="358527FB"/>
    <w:rsid w:val="358B5BCF"/>
    <w:rsid w:val="359A77E8"/>
    <w:rsid w:val="35A1790B"/>
    <w:rsid w:val="35A45B99"/>
    <w:rsid w:val="35B01090"/>
    <w:rsid w:val="35DD2073"/>
    <w:rsid w:val="35DF75FB"/>
    <w:rsid w:val="35EB21A5"/>
    <w:rsid w:val="35EC7269"/>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504C90"/>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5042B3"/>
    <w:rsid w:val="3A742C8C"/>
    <w:rsid w:val="3A7B2702"/>
    <w:rsid w:val="3A896EEE"/>
    <w:rsid w:val="3AAA2893"/>
    <w:rsid w:val="3ABB15C7"/>
    <w:rsid w:val="3AD8279E"/>
    <w:rsid w:val="3AE73EDB"/>
    <w:rsid w:val="3B08641D"/>
    <w:rsid w:val="3B1C7A19"/>
    <w:rsid w:val="3B2B5582"/>
    <w:rsid w:val="3B4234D4"/>
    <w:rsid w:val="3B5068F7"/>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662E76"/>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343687"/>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055BC9"/>
    <w:rsid w:val="413C11C7"/>
    <w:rsid w:val="41447F0E"/>
    <w:rsid w:val="414733E0"/>
    <w:rsid w:val="41566753"/>
    <w:rsid w:val="416A21FA"/>
    <w:rsid w:val="416B09D7"/>
    <w:rsid w:val="417D1E08"/>
    <w:rsid w:val="417D5552"/>
    <w:rsid w:val="418426C5"/>
    <w:rsid w:val="4188208C"/>
    <w:rsid w:val="419B51EE"/>
    <w:rsid w:val="41B11897"/>
    <w:rsid w:val="41C57D35"/>
    <w:rsid w:val="41F34606"/>
    <w:rsid w:val="4200399D"/>
    <w:rsid w:val="420E20BD"/>
    <w:rsid w:val="421647B9"/>
    <w:rsid w:val="42263E3B"/>
    <w:rsid w:val="42291C88"/>
    <w:rsid w:val="422C70F1"/>
    <w:rsid w:val="423C6CFA"/>
    <w:rsid w:val="42442693"/>
    <w:rsid w:val="42625AF1"/>
    <w:rsid w:val="428D1B97"/>
    <w:rsid w:val="42B608A5"/>
    <w:rsid w:val="42BC6C8F"/>
    <w:rsid w:val="42C5446D"/>
    <w:rsid w:val="42E94337"/>
    <w:rsid w:val="43031943"/>
    <w:rsid w:val="430531AC"/>
    <w:rsid w:val="431327F1"/>
    <w:rsid w:val="43182DB2"/>
    <w:rsid w:val="4368794F"/>
    <w:rsid w:val="436D0FB5"/>
    <w:rsid w:val="437518D1"/>
    <w:rsid w:val="438D1E49"/>
    <w:rsid w:val="43B23B98"/>
    <w:rsid w:val="43C2407B"/>
    <w:rsid w:val="43C80076"/>
    <w:rsid w:val="43D42973"/>
    <w:rsid w:val="43D8550E"/>
    <w:rsid w:val="43DC0C7D"/>
    <w:rsid w:val="43EA69D8"/>
    <w:rsid w:val="44161682"/>
    <w:rsid w:val="44356D2F"/>
    <w:rsid w:val="44390E25"/>
    <w:rsid w:val="44433468"/>
    <w:rsid w:val="44437F9F"/>
    <w:rsid w:val="444F5C68"/>
    <w:rsid w:val="44613E6E"/>
    <w:rsid w:val="446A5324"/>
    <w:rsid w:val="447E7804"/>
    <w:rsid w:val="44943661"/>
    <w:rsid w:val="44A05C5C"/>
    <w:rsid w:val="44A45929"/>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B053A1"/>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992182"/>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723EEE"/>
    <w:rsid w:val="48915636"/>
    <w:rsid w:val="48985F31"/>
    <w:rsid w:val="48AC6E35"/>
    <w:rsid w:val="48BD43A0"/>
    <w:rsid w:val="48C96968"/>
    <w:rsid w:val="48F84416"/>
    <w:rsid w:val="4900614D"/>
    <w:rsid w:val="490874C4"/>
    <w:rsid w:val="491A6A98"/>
    <w:rsid w:val="491D4AAF"/>
    <w:rsid w:val="4926292B"/>
    <w:rsid w:val="49371235"/>
    <w:rsid w:val="494324F6"/>
    <w:rsid w:val="49455D20"/>
    <w:rsid w:val="497B341F"/>
    <w:rsid w:val="49B415EE"/>
    <w:rsid w:val="49B569B9"/>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991AEB"/>
    <w:rsid w:val="4CA43125"/>
    <w:rsid w:val="4CAC2A11"/>
    <w:rsid w:val="4CB01CB9"/>
    <w:rsid w:val="4CCD33EA"/>
    <w:rsid w:val="4CCF426B"/>
    <w:rsid w:val="4CF907DC"/>
    <w:rsid w:val="4CFE069C"/>
    <w:rsid w:val="4D033F9C"/>
    <w:rsid w:val="4D055E23"/>
    <w:rsid w:val="4D2433AC"/>
    <w:rsid w:val="4D4A4A28"/>
    <w:rsid w:val="4D5D7D7F"/>
    <w:rsid w:val="4D625C01"/>
    <w:rsid w:val="4D8F350E"/>
    <w:rsid w:val="4D924E46"/>
    <w:rsid w:val="4D9877E4"/>
    <w:rsid w:val="4DBD22E7"/>
    <w:rsid w:val="4DC73507"/>
    <w:rsid w:val="4DCD52C2"/>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3D16"/>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94C3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1228DF"/>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6A563B"/>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B94635"/>
    <w:rsid w:val="55C33131"/>
    <w:rsid w:val="55CD7903"/>
    <w:rsid w:val="55DE2790"/>
    <w:rsid w:val="55E172A0"/>
    <w:rsid w:val="55E24605"/>
    <w:rsid w:val="55F81C60"/>
    <w:rsid w:val="55FA0F14"/>
    <w:rsid w:val="56097F90"/>
    <w:rsid w:val="56133E90"/>
    <w:rsid w:val="562A3DF0"/>
    <w:rsid w:val="56474D43"/>
    <w:rsid w:val="564C1D1D"/>
    <w:rsid w:val="565F1E2E"/>
    <w:rsid w:val="56670F45"/>
    <w:rsid w:val="566F1BE2"/>
    <w:rsid w:val="567B004B"/>
    <w:rsid w:val="56825178"/>
    <w:rsid w:val="568E6439"/>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07565"/>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517781"/>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65234E"/>
    <w:rsid w:val="5A772EA3"/>
    <w:rsid w:val="5A7D29E6"/>
    <w:rsid w:val="5A821401"/>
    <w:rsid w:val="5A8A2B4B"/>
    <w:rsid w:val="5A8C5ACF"/>
    <w:rsid w:val="5A9F5080"/>
    <w:rsid w:val="5AAB6618"/>
    <w:rsid w:val="5AC52E1B"/>
    <w:rsid w:val="5AE91049"/>
    <w:rsid w:val="5AEF582B"/>
    <w:rsid w:val="5B0B5334"/>
    <w:rsid w:val="5B0E3A7B"/>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AD1369"/>
    <w:rsid w:val="5CCB04A2"/>
    <w:rsid w:val="5CCD7E04"/>
    <w:rsid w:val="5CD51F6A"/>
    <w:rsid w:val="5CD6026B"/>
    <w:rsid w:val="5CDD7651"/>
    <w:rsid w:val="5CE319F6"/>
    <w:rsid w:val="5CE42846"/>
    <w:rsid w:val="5CE9406B"/>
    <w:rsid w:val="5D0656E1"/>
    <w:rsid w:val="5D566DF5"/>
    <w:rsid w:val="5D5736EC"/>
    <w:rsid w:val="5D592213"/>
    <w:rsid w:val="5D7067ED"/>
    <w:rsid w:val="5D77660D"/>
    <w:rsid w:val="5D7A7C97"/>
    <w:rsid w:val="5D8A240A"/>
    <w:rsid w:val="5D8A4019"/>
    <w:rsid w:val="5D9907FA"/>
    <w:rsid w:val="5D9A56C3"/>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C85C26"/>
    <w:rsid w:val="5EDB6E5E"/>
    <w:rsid w:val="5EE64F4B"/>
    <w:rsid w:val="5F050603"/>
    <w:rsid w:val="5F0F5BF5"/>
    <w:rsid w:val="5F1070E5"/>
    <w:rsid w:val="5F137093"/>
    <w:rsid w:val="5F475DFB"/>
    <w:rsid w:val="5F4A6912"/>
    <w:rsid w:val="5F897D68"/>
    <w:rsid w:val="5FA342D5"/>
    <w:rsid w:val="5FA40581"/>
    <w:rsid w:val="5FBF418B"/>
    <w:rsid w:val="5FC03F1C"/>
    <w:rsid w:val="5FC128D4"/>
    <w:rsid w:val="5FC577B3"/>
    <w:rsid w:val="5FFB751D"/>
    <w:rsid w:val="5FFC1DCE"/>
    <w:rsid w:val="600F0A34"/>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05B15"/>
    <w:rsid w:val="62510C1A"/>
    <w:rsid w:val="62607DE0"/>
    <w:rsid w:val="62635B76"/>
    <w:rsid w:val="62757089"/>
    <w:rsid w:val="62AE05DB"/>
    <w:rsid w:val="62B60A29"/>
    <w:rsid w:val="62B75646"/>
    <w:rsid w:val="62BA5EE7"/>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74337"/>
    <w:rsid w:val="640B49C1"/>
    <w:rsid w:val="64156CD8"/>
    <w:rsid w:val="64413D22"/>
    <w:rsid w:val="64470699"/>
    <w:rsid w:val="644B20D5"/>
    <w:rsid w:val="644B6CD5"/>
    <w:rsid w:val="646253D3"/>
    <w:rsid w:val="64627D01"/>
    <w:rsid w:val="646A471B"/>
    <w:rsid w:val="6473435B"/>
    <w:rsid w:val="64864D44"/>
    <w:rsid w:val="64A01013"/>
    <w:rsid w:val="64C76164"/>
    <w:rsid w:val="64D3186F"/>
    <w:rsid w:val="64EF2266"/>
    <w:rsid w:val="64F33559"/>
    <w:rsid w:val="64FD2EEA"/>
    <w:rsid w:val="64FF1ABC"/>
    <w:rsid w:val="650E3520"/>
    <w:rsid w:val="653E4CDE"/>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9265A4"/>
    <w:rsid w:val="66A421AD"/>
    <w:rsid w:val="66C77BCC"/>
    <w:rsid w:val="66CF58C8"/>
    <w:rsid w:val="66D00FF0"/>
    <w:rsid w:val="66E50A5C"/>
    <w:rsid w:val="66E5305A"/>
    <w:rsid w:val="66FA0A76"/>
    <w:rsid w:val="670314C2"/>
    <w:rsid w:val="670A28DD"/>
    <w:rsid w:val="671F2137"/>
    <w:rsid w:val="67256725"/>
    <w:rsid w:val="672C3BD3"/>
    <w:rsid w:val="673E6826"/>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4C04E3"/>
    <w:rsid w:val="68516552"/>
    <w:rsid w:val="68553D9E"/>
    <w:rsid w:val="685D249D"/>
    <w:rsid w:val="685E03FF"/>
    <w:rsid w:val="68600066"/>
    <w:rsid w:val="6861776A"/>
    <w:rsid w:val="687222C2"/>
    <w:rsid w:val="6879445C"/>
    <w:rsid w:val="687A5897"/>
    <w:rsid w:val="687D194E"/>
    <w:rsid w:val="68945561"/>
    <w:rsid w:val="689D6C87"/>
    <w:rsid w:val="68A05E34"/>
    <w:rsid w:val="68A4599C"/>
    <w:rsid w:val="68AD0074"/>
    <w:rsid w:val="68C66D80"/>
    <w:rsid w:val="68D4182F"/>
    <w:rsid w:val="68DA458B"/>
    <w:rsid w:val="68E565D8"/>
    <w:rsid w:val="68ED4DA7"/>
    <w:rsid w:val="68FC5EBD"/>
    <w:rsid w:val="69122538"/>
    <w:rsid w:val="69194FE8"/>
    <w:rsid w:val="691F4315"/>
    <w:rsid w:val="69544350"/>
    <w:rsid w:val="69703FA0"/>
    <w:rsid w:val="69997B9C"/>
    <w:rsid w:val="699B2EEF"/>
    <w:rsid w:val="69A84304"/>
    <w:rsid w:val="69B52A42"/>
    <w:rsid w:val="69B67148"/>
    <w:rsid w:val="69BD2B6E"/>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2463D"/>
    <w:rsid w:val="6A777087"/>
    <w:rsid w:val="6A820574"/>
    <w:rsid w:val="6A8A7230"/>
    <w:rsid w:val="6A99048F"/>
    <w:rsid w:val="6AA077DB"/>
    <w:rsid w:val="6AA47C92"/>
    <w:rsid w:val="6AAD003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C35E60"/>
    <w:rsid w:val="6BD81D0A"/>
    <w:rsid w:val="6BDC1378"/>
    <w:rsid w:val="6BE052CE"/>
    <w:rsid w:val="6BF2692A"/>
    <w:rsid w:val="6BF358A4"/>
    <w:rsid w:val="6C051F4E"/>
    <w:rsid w:val="6C096C12"/>
    <w:rsid w:val="6C1A5960"/>
    <w:rsid w:val="6C417EB8"/>
    <w:rsid w:val="6C541D8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DE50270"/>
    <w:rsid w:val="6E037AD7"/>
    <w:rsid w:val="6E056523"/>
    <w:rsid w:val="6E074EC9"/>
    <w:rsid w:val="6E160E52"/>
    <w:rsid w:val="6E2E569B"/>
    <w:rsid w:val="6E4064F1"/>
    <w:rsid w:val="6E417047"/>
    <w:rsid w:val="6E4E39FC"/>
    <w:rsid w:val="6E5545BD"/>
    <w:rsid w:val="6E5D1964"/>
    <w:rsid w:val="6E614B19"/>
    <w:rsid w:val="6E616F13"/>
    <w:rsid w:val="6E7369B5"/>
    <w:rsid w:val="6E7B5CAB"/>
    <w:rsid w:val="6EAA56FE"/>
    <w:rsid w:val="6EB37B5B"/>
    <w:rsid w:val="6EBE6FBB"/>
    <w:rsid w:val="6ED26D8F"/>
    <w:rsid w:val="6ED70BA2"/>
    <w:rsid w:val="6ED91C07"/>
    <w:rsid w:val="6EDB7671"/>
    <w:rsid w:val="6EF77260"/>
    <w:rsid w:val="6F2302E3"/>
    <w:rsid w:val="6F314C13"/>
    <w:rsid w:val="6F382FA6"/>
    <w:rsid w:val="6F391F60"/>
    <w:rsid w:val="6F694006"/>
    <w:rsid w:val="6F6C5490"/>
    <w:rsid w:val="6F761900"/>
    <w:rsid w:val="6FA71AD5"/>
    <w:rsid w:val="6FAF2607"/>
    <w:rsid w:val="6FD252FB"/>
    <w:rsid w:val="6FD47D24"/>
    <w:rsid w:val="6FE17D06"/>
    <w:rsid w:val="6FF536DD"/>
    <w:rsid w:val="6FFD71B3"/>
    <w:rsid w:val="700D2412"/>
    <w:rsid w:val="70112883"/>
    <w:rsid w:val="70176FD3"/>
    <w:rsid w:val="70243856"/>
    <w:rsid w:val="703F2471"/>
    <w:rsid w:val="704B4131"/>
    <w:rsid w:val="70531ED5"/>
    <w:rsid w:val="705A528C"/>
    <w:rsid w:val="7068062C"/>
    <w:rsid w:val="706F6827"/>
    <w:rsid w:val="707F47B3"/>
    <w:rsid w:val="70954F53"/>
    <w:rsid w:val="70A94A40"/>
    <w:rsid w:val="70D80F32"/>
    <w:rsid w:val="70D97C76"/>
    <w:rsid w:val="70F76E40"/>
    <w:rsid w:val="711337D0"/>
    <w:rsid w:val="713173E8"/>
    <w:rsid w:val="71420658"/>
    <w:rsid w:val="7143472C"/>
    <w:rsid w:val="71440341"/>
    <w:rsid w:val="71531561"/>
    <w:rsid w:val="71597148"/>
    <w:rsid w:val="715B1DCB"/>
    <w:rsid w:val="716D089C"/>
    <w:rsid w:val="71715206"/>
    <w:rsid w:val="71743A1D"/>
    <w:rsid w:val="71774D56"/>
    <w:rsid w:val="71901CEF"/>
    <w:rsid w:val="719438F4"/>
    <w:rsid w:val="719D7F3F"/>
    <w:rsid w:val="71B55DFD"/>
    <w:rsid w:val="71B834E8"/>
    <w:rsid w:val="71D0750E"/>
    <w:rsid w:val="71D803D1"/>
    <w:rsid w:val="71E501C6"/>
    <w:rsid w:val="71F40A44"/>
    <w:rsid w:val="71FD671C"/>
    <w:rsid w:val="7202163F"/>
    <w:rsid w:val="723B04C8"/>
    <w:rsid w:val="7242215D"/>
    <w:rsid w:val="724E6817"/>
    <w:rsid w:val="72600D68"/>
    <w:rsid w:val="72604620"/>
    <w:rsid w:val="726B02C1"/>
    <w:rsid w:val="726D2C67"/>
    <w:rsid w:val="729A0F74"/>
    <w:rsid w:val="72BD4139"/>
    <w:rsid w:val="72F03574"/>
    <w:rsid w:val="72F77CB6"/>
    <w:rsid w:val="731438BD"/>
    <w:rsid w:val="733155C8"/>
    <w:rsid w:val="73422D3C"/>
    <w:rsid w:val="73625723"/>
    <w:rsid w:val="73696FFE"/>
    <w:rsid w:val="737007D9"/>
    <w:rsid w:val="738B5B50"/>
    <w:rsid w:val="73AA53A0"/>
    <w:rsid w:val="73B04F6B"/>
    <w:rsid w:val="73CB6B2F"/>
    <w:rsid w:val="73D20D1A"/>
    <w:rsid w:val="73E168D2"/>
    <w:rsid w:val="73E873C4"/>
    <w:rsid w:val="73F07AA4"/>
    <w:rsid w:val="74010DBC"/>
    <w:rsid w:val="74054701"/>
    <w:rsid w:val="740D2C3F"/>
    <w:rsid w:val="74135925"/>
    <w:rsid w:val="74163E96"/>
    <w:rsid w:val="742827DB"/>
    <w:rsid w:val="742D6CA9"/>
    <w:rsid w:val="742E58A2"/>
    <w:rsid w:val="74525628"/>
    <w:rsid w:val="745A3D0B"/>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277BF9"/>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76704"/>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90703F"/>
    <w:rsid w:val="78B515B5"/>
    <w:rsid w:val="78C21620"/>
    <w:rsid w:val="78CE2D76"/>
    <w:rsid w:val="78EE2375"/>
    <w:rsid w:val="78FA244C"/>
    <w:rsid w:val="78FE1B78"/>
    <w:rsid w:val="79024116"/>
    <w:rsid w:val="790B5E4F"/>
    <w:rsid w:val="790D572F"/>
    <w:rsid w:val="791A27C3"/>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2D3A06"/>
    <w:rsid w:val="7D4B3993"/>
    <w:rsid w:val="7D5F5E30"/>
    <w:rsid w:val="7D6C208F"/>
    <w:rsid w:val="7D897D56"/>
    <w:rsid w:val="7D9B14E5"/>
    <w:rsid w:val="7DAA42B2"/>
    <w:rsid w:val="7DAA569A"/>
    <w:rsid w:val="7DB1501E"/>
    <w:rsid w:val="7DB676D9"/>
    <w:rsid w:val="7DBE16CF"/>
    <w:rsid w:val="7DC37DE3"/>
    <w:rsid w:val="7DD45912"/>
    <w:rsid w:val="7E082D42"/>
    <w:rsid w:val="7E0D4E8F"/>
    <w:rsid w:val="7E107D04"/>
    <w:rsid w:val="7E202441"/>
    <w:rsid w:val="7E2808DF"/>
    <w:rsid w:val="7E4B691E"/>
    <w:rsid w:val="7E5C510F"/>
    <w:rsid w:val="7E616C7B"/>
    <w:rsid w:val="7E733A70"/>
    <w:rsid w:val="7E8A0780"/>
    <w:rsid w:val="7EA574A2"/>
    <w:rsid w:val="7EBB0DC0"/>
    <w:rsid w:val="7EC42E15"/>
    <w:rsid w:val="7EC50C54"/>
    <w:rsid w:val="7ED11A3C"/>
    <w:rsid w:val="7ED91C72"/>
    <w:rsid w:val="7EEB5BB3"/>
    <w:rsid w:val="7F007624"/>
    <w:rsid w:val="7F1568D7"/>
    <w:rsid w:val="7F271A00"/>
    <w:rsid w:val="7F2E0D24"/>
    <w:rsid w:val="7F312E91"/>
    <w:rsid w:val="7F33645C"/>
    <w:rsid w:val="7F4E4DC2"/>
    <w:rsid w:val="7F66205C"/>
    <w:rsid w:val="7F7D75D9"/>
    <w:rsid w:val="7F973130"/>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 w:type="paragraph" w:styleId="3">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22"/>
    <w:rPr>
      <w:b/>
      <w:bCs/>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18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 w:type="paragraph" w:styleId="12">
    <w:name w:val="List Paragraph"/>
    <w:unhideWhenUsed/>
    <w:qFormat/>
    <w:uiPriority w:val="34"/>
    <w:pPr>
      <w:widowControl w:val="0"/>
      <w:ind w:firstLine="420" w:firstLineChars="200"/>
      <w:jc w:val="both"/>
    </w:pPr>
    <w:rPr>
      <w:rFonts w:hint="default" w:ascii="Calibri" w:hAnsi="Calibri" w:eastAsia="宋体" w:cs="Times New Roman"/>
      <w:kern w:val="2"/>
      <w:sz w:val="21"/>
      <w:szCs w:val="24"/>
      <w:lang w:val="en-US" w:eastAsia="zh-CN" w:bidi="ar-SA"/>
    </w:rPr>
  </w:style>
  <w:style w:type="paragraph" w:customStyle="1" w:styleId="13">
    <w:name w:val="18"/>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5615</Words>
  <Characters>6087</Characters>
  <Lines>0</Lines>
  <Paragraphs>0</Paragraphs>
  <TotalTime>0</TotalTime>
  <ScaleCrop>false</ScaleCrop>
  <LinksUpToDate>false</LinksUpToDate>
  <CharactersWithSpaces>6212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王小纯</cp:lastModifiedBy>
  <cp:lastPrinted>2023-05-26T08:11:00Z</cp:lastPrinted>
  <dcterms:modified xsi:type="dcterms:W3CDTF">2024-06-18T01:48:12Z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50306CC149C84F98BF850919EA3E5AFB_13</vt:lpwstr>
  </property>
</Properties>
</file>