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DBED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1625DA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7CD09959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0100CF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61F9F524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49D51992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岳阳市市容环境卫生收费管理所</w:t>
            </w:r>
          </w:p>
        </w:tc>
      </w:tr>
      <w:tr w14:paraId="5DE554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7455ACCD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917A01B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F677323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8A2410F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41B889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3435481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3350FF8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E4B706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00972A3">
            <w:pPr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89.47%</w:t>
            </w:r>
          </w:p>
        </w:tc>
      </w:tr>
      <w:tr w14:paraId="200A8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4713B295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AD5E478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74143B9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7768799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2E3E24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05ECCEF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AE40A3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5E82FE4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33D2BD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3.83</w:t>
            </w:r>
          </w:p>
        </w:tc>
      </w:tr>
      <w:tr w14:paraId="4C068C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4FD56C9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8114DD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9.37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014FF3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0EC7E5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3.83</w:t>
            </w:r>
          </w:p>
        </w:tc>
      </w:tr>
      <w:tr w14:paraId="25880C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2F760A7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BC1402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63DABC3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6C79CB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2EBBE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94D421D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B362CE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9.37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293267C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148F346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3.83</w:t>
            </w:r>
          </w:p>
        </w:tc>
      </w:tr>
      <w:tr w14:paraId="2A8E77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53DA88F1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9317FA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9B2F91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B0A0D1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23035E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3A49D12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239A37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E412C9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7E6F2AE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60602F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E060996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4238B1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2CED90B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125A14B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999.19</w:t>
            </w:r>
          </w:p>
        </w:tc>
      </w:tr>
      <w:tr w14:paraId="69763F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7DDFFF79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E80260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7DEAB4C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81ED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999.19</w:t>
            </w:r>
          </w:p>
        </w:tc>
      </w:tr>
      <w:tr w14:paraId="56AD1F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4AC274DC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7CF0A2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4A7066E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41E4AB7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AADF7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0E16EEE">
            <w:pPr>
              <w:ind w:left="420" w:leftChars="200" w:firstLine="0" w:firstLineChars="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3、一般公共服务支出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D82E64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2DA2CEF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77294F5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375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76</w:t>
            </w:r>
          </w:p>
        </w:tc>
      </w:tr>
      <w:tr w14:paraId="4EB365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457A4F4B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城市综合管理专项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61AFBC9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67F07F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102E73B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</w:tr>
      <w:tr w14:paraId="057D6E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A41BACC">
            <w:pPr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卫生健康支出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8BE35A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09B46A6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4AE3B21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38</w:t>
            </w:r>
          </w:p>
        </w:tc>
      </w:tr>
      <w:tr w14:paraId="4BDFBE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CB9A546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6、城乡社区支出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1E1400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2C87C6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6C44D41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584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</w:tr>
      <w:tr w14:paraId="05E58C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DF2C673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7、城市综合管理专项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C21014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0B0EB02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292BB0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</w:tr>
      <w:tr w14:paraId="0EDEC0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BE30B3B">
            <w:pPr>
              <w:spacing w:before="85" w:line="220" w:lineRule="auto"/>
              <w:ind w:firstLine="492" w:firstLineChars="200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8、住房保障支出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386EB7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77BFEED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44C004D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</w:tr>
      <w:tr w14:paraId="401A1B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E8344F8">
            <w:pPr>
              <w:spacing w:before="85" w:line="220" w:lineRule="auto"/>
              <w:ind w:firstLine="492" w:firstLineChars="200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9、其他支出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FB2F95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61D8BE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61FB674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188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</w:tr>
      <w:tr w14:paraId="66B0B3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ADC31D4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93F42B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B1D3F2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7A0213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7BB5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F86EDA0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259BFC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114.91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0ED225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93.6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347E3FB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62.34</w:t>
            </w:r>
          </w:p>
        </w:tc>
      </w:tr>
      <w:tr w14:paraId="45BDEC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0E8A3502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52BD1D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0.95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2DF950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34AEA3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4.95</w:t>
            </w:r>
          </w:p>
        </w:tc>
      </w:tr>
      <w:tr w14:paraId="1BD327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529DCBE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185928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0.05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B129CE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BC3482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0.15</w:t>
            </w:r>
          </w:p>
        </w:tc>
      </w:tr>
      <w:tr w14:paraId="12CE60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" w:hRule="atLeast"/>
        </w:trPr>
        <w:tc>
          <w:tcPr>
            <w:tcW w:w="3850" w:type="dxa"/>
            <w:noWrap w:val="0"/>
            <w:vAlign w:val="top"/>
          </w:tcPr>
          <w:p w14:paraId="72595173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A985F4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752D4CE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276.55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1C3631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219.97</w:t>
            </w:r>
          </w:p>
        </w:tc>
      </w:tr>
      <w:tr w14:paraId="2C551B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E11F7AE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9F2E184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FCD74C1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2FBE16D6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2E0F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0A8532CA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1889DF1D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5378C6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29F828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76993E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009C4A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4DD374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705DAC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6103D4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34633E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45BA64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7AED84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0F0D47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019CB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1249B8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10EB71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629E5CE3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6FE4598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52C74A93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328528D3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583ABA59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42B1560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6CBC1E8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00750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7A5A58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540B07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353124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13255C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:陈烨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13973014185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2023年6月14日</w:t>
      </w:r>
    </w:p>
    <w:p w14:paraId="5169FD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1F8E6F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5F08A3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49E3CE3C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952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903"/>
        <w:gridCol w:w="990"/>
        <w:gridCol w:w="2250"/>
        <w:gridCol w:w="1020"/>
        <w:gridCol w:w="1155"/>
        <w:gridCol w:w="525"/>
        <w:gridCol w:w="750"/>
        <w:gridCol w:w="1275"/>
      </w:tblGrid>
      <w:tr w14:paraId="695234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1084" w:type="dxa"/>
            <w:noWrap w:val="0"/>
            <w:vAlign w:val="top"/>
          </w:tcPr>
          <w:p w14:paraId="43B7F5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868" w:type="dxa"/>
            <w:gridSpan w:val="8"/>
            <w:noWrap w:val="0"/>
            <w:vAlign w:val="top"/>
          </w:tcPr>
          <w:p w14:paraId="44701C2B">
            <w:pPr>
              <w:jc w:val="center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岳阳市市容环境卫生收费管理所</w:t>
            </w:r>
          </w:p>
        </w:tc>
      </w:tr>
      <w:tr w14:paraId="72678C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E2B75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1E9A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4DBAD2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218B32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1893" w:type="dxa"/>
            <w:gridSpan w:val="2"/>
            <w:noWrap w:val="0"/>
            <w:vAlign w:val="center"/>
          </w:tcPr>
          <w:p w14:paraId="6C9715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noWrap w:val="0"/>
            <w:vAlign w:val="center"/>
          </w:tcPr>
          <w:p w14:paraId="250B30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020" w:type="dxa"/>
            <w:noWrap w:val="0"/>
            <w:vAlign w:val="center"/>
          </w:tcPr>
          <w:p w14:paraId="7DB91C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155" w:type="dxa"/>
            <w:noWrap w:val="0"/>
            <w:vAlign w:val="center"/>
          </w:tcPr>
          <w:p w14:paraId="3864C8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525" w:type="dxa"/>
            <w:noWrap w:val="0"/>
            <w:vAlign w:val="center"/>
          </w:tcPr>
          <w:p w14:paraId="73AC82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50" w:type="dxa"/>
            <w:noWrap w:val="0"/>
            <w:vAlign w:val="center"/>
          </w:tcPr>
          <w:p w14:paraId="6AD8DA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5D9FDD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4DA052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AAD46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93" w:type="dxa"/>
            <w:gridSpan w:val="2"/>
            <w:noWrap w:val="0"/>
            <w:vAlign w:val="center"/>
          </w:tcPr>
          <w:p w14:paraId="70CC27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2250" w:type="dxa"/>
            <w:noWrap w:val="0"/>
            <w:vAlign w:val="center"/>
          </w:tcPr>
          <w:p w14:paraId="5E27B4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950.3</w:t>
            </w:r>
          </w:p>
        </w:tc>
        <w:tc>
          <w:tcPr>
            <w:tcW w:w="1020" w:type="dxa"/>
            <w:noWrap w:val="0"/>
            <w:vAlign w:val="center"/>
          </w:tcPr>
          <w:p w14:paraId="028A53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1763.7</w:t>
            </w:r>
          </w:p>
        </w:tc>
        <w:tc>
          <w:tcPr>
            <w:tcW w:w="1155" w:type="dxa"/>
            <w:noWrap w:val="0"/>
            <w:vAlign w:val="center"/>
          </w:tcPr>
          <w:p w14:paraId="791E18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1763.7</w:t>
            </w:r>
          </w:p>
        </w:tc>
        <w:tc>
          <w:tcPr>
            <w:tcW w:w="525" w:type="dxa"/>
            <w:noWrap w:val="0"/>
            <w:vAlign w:val="center"/>
          </w:tcPr>
          <w:p w14:paraId="5697A6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50" w:type="dxa"/>
            <w:noWrap w:val="0"/>
            <w:vAlign w:val="center"/>
          </w:tcPr>
          <w:p w14:paraId="6BEED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 w14:paraId="6B57B4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</w:tr>
      <w:tr w14:paraId="1ECF4C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64D07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63" w:type="dxa"/>
            <w:gridSpan w:val="4"/>
            <w:noWrap w:val="0"/>
            <w:vAlign w:val="center"/>
          </w:tcPr>
          <w:p w14:paraId="07076B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3705" w:type="dxa"/>
            <w:gridSpan w:val="4"/>
            <w:noWrap w:val="0"/>
            <w:vAlign w:val="center"/>
          </w:tcPr>
          <w:p w14:paraId="2A059F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 w14:paraId="1C9104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EE7E2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63" w:type="dxa"/>
            <w:gridSpan w:val="4"/>
            <w:noWrap w:val="0"/>
            <w:vAlign w:val="center"/>
          </w:tcPr>
          <w:p w14:paraId="2FEDC9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1763.7</w:t>
            </w:r>
          </w:p>
        </w:tc>
        <w:tc>
          <w:tcPr>
            <w:tcW w:w="3705" w:type="dxa"/>
            <w:gridSpan w:val="4"/>
            <w:noWrap w:val="0"/>
            <w:vAlign w:val="center"/>
          </w:tcPr>
          <w:p w14:paraId="1177CE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764.51</w:t>
            </w:r>
          </w:p>
        </w:tc>
      </w:tr>
      <w:tr w14:paraId="20B826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F07FE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63" w:type="dxa"/>
            <w:gridSpan w:val="4"/>
            <w:noWrap w:val="0"/>
            <w:vAlign w:val="center"/>
          </w:tcPr>
          <w:p w14:paraId="2513B1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3705" w:type="dxa"/>
            <w:gridSpan w:val="4"/>
            <w:noWrap w:val="0"/>
            <w:vAlign w:val="center"/>
          </w:tcPr>
          <w:p w14:paraId="1D0D24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999.19</w:t>
            </w:r>
          </w:p>
        </w:tc>
      </w:tr>
      <w:tr w14:paraId="66DF35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B4662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63" w:type="dxa"/>
            <w:gridSpan w:val="4"/>
            <w:noWrap w:val="0"/>
            <w:vAlign w:val="center"/>
          </w:tcPr>
          <w:p w14:paraId="78159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3705" w:type="dxa"/>
            <w:gridSpan w:val="4"/>
            <w:noWrap w:val="0"/>
            <w:vAlign w:val="center"/>
          </w:tcPr>
          <w:p w14:paraId="0DAE6E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4B637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5892FE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63" w:type="dxa"/>
            <w:gridSpan w:val="4"/>
            <w:noWrap w:val="0"/>
            <w:vAlign w:val="center"/>
          </w:tcPr>
          <w:p w14:paraId="1E6C1B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</w:p>
        </w:tc>
        <w:tc>
          <w:tcPr>
            <w:tcW w:w="3705" w:type="dxa"/>
            <w:gridSpan w:val="4"/>
            <w:noWrap w:val="0"/>
            <w:vAlign w:val="center"/>
          </w:tcPr>
          <w:p w14:paraId="6872F9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49B2F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701D09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5163" w:type="dxa"/>
            <w:gridSpan w:val="4"/>
            <w:noWrap w:val="0"/>
            <w:vAlign w:val="center"/>
          </w:tcPr>
          <w:p w14:paraId="6044E8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705" w:type="dxa"/>
            <w:gridSpan w:val="4"/>
            <w:noWrap w:val="0"/>
            <w:vAlign w:val="center"/>
          </w:tcPr>
          <w:p w14:paraId="2F7015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2C0A98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102E4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63" w:type="dxa"/>
            <w:gridSpan w:val="4"/>
            <w:noWrap w:val="0"/>
            <w:vAlign w:val="center"/>
          </w:tcPr>
          <w:p w14:paraId="581BDB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firstLine="420" w:firstLineChars="20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1.环卫收费收入完成780万元。</w:t>
            </w:r>
          </w:p>
          <w:p w14:paraId="68BCD8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firstLine="420" w:firstLineChars="20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2.管辖范围、南湖新区范围放置的钩臂桶、塑料密封桶垃圾日产日清，内外洁净，垃圾容器完好。</w:t>
            </w:r>
          </w:p>
          <w:p w14:paraId="76AF40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firstLine="420" w:firstLineChars="20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3.管辖范围垃圾屋、垃圾围垃圾日产日清，内外洁净，设施功能完好。</w:t>
            </w:r>
          </w:p>
          <w:p w14:paraId="62A7E5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firstLine="420" w:firstLineChars="20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4.环卫设施、设备、车辆维修维护。</w:t>
            </w:r>
          </w:p>
        </w:tc>
        <w:tc>
          <w:tcPr>
            <w:tcW w:w="3705" w:type="dxa"/>
            <w:gridSpan w:val="4"/>
            <w:noWrap w:val="0"/>
            <w:vAlign w:val="center"/>
          </w:tcPr>
          <w:p w14:paraId="706545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eastAsia="zh-CN"/>
              </w:rPr>
              <w:t>一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、突出主业，切实加强环卫收费工作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全年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eastAsia="zh-CN"/>
              </w:rPr>
              <w:t>监管、对接市自来水公司，并水代征居民住户生活垃圾处理费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2039万元；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在市政务中心设立基建污染费窗口，安排专人收取基建污染费116万元；充分利用收费政策，保费源、增费额，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上门收取未并水部分生活垃圾处理费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878万元（超额完成98万元）。</w:t>
            </w:r>
          </w:p>
          <w:p w14:paraId="303DAF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二、严格标准，持续提升市容卫生质量。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坚持对岳阳楼区、南湖新区范围生活垃圾转运日产日清、规范入站，全年转运入站生活垃圾12.8万吨；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在设备清洗上，安排2台清洗车，每天对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205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只钩臂桶、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val="en-US" w:eastAsia="zh-CN"/>
              </w:rPr>
              <w:t>860余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只塑料密封桶进行精细清洗，及时维修、更换损毁破旧垃圾容器，长期保持垃圾容器完好整洁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 w:val="0"/>
                <w:sz w:val="21"/>
                <w:szCs w:val="21"/>
              </w:rPr>
              <w:t>在考评考核上，采取每日巡查方式，发现的问题要求立即整改，压实工作责任。在设施设备维护上，年初制订设备车辆维修维护计划，定期维护保养，对车况差、维修频次高、维修费用高的车辆重点维修。</w:t>
            </w:r>
          </w:p>
        </w:tc>
      </w:tr>
      <w:tr w14:paraId="128B1F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4C4AED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5F0CB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903" w:type="dxa"/>
            <w:noWrap w:val="0"/>
            <w:vAlign w:val="center"/>
          </w:tcPr>
          <w:p w14:paraId="3BAC57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990" w:type="dxa"/>
            <w:noWrap w:val="0"/>
            <w:vAlign w:val="center"/>
          </w:tcPr>
          <w:p w14:paraId="528E7A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2250" w:type="dxa"/>
            <w:noWrap w:val="0"/>
            <w:vAlign w:val="center"/>
          </w:tcPr>
          <w:p w14:paraId="587B10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020" w:type="dxa"/>
            <w:noWrap w:val="0"/>
            <w:vAlign w:val="center"/>
          </w:tcPr>
          <w:p w14:paraId="29FDA1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155" w:type="dxa"/>
            <w:noWrap w:val="0"/>
            <w:vAlign w:val="center"/>
          </w:tcPr>
          <w:p w14:paraId="353726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525" w:type="dxa"/>
            <w:noWrap w:val="0"/>
            <w:vAlign w:val="center"/>
          </w:tcPr>
          <w:p w14:paraId="0EFA56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50" w:type="dxa"/>
            <w:noWrap w:val="0"/>
            <w:vAlign w:val="center"/>
          </w:tcPr>
          <w:p w14:paraId="472894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102EE6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6FBFC0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797FBA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32A7F9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restart"/>
            <w:noWrap w:val="0"/>
            <w:vAlign w:val="center"/>
          </w:tcPr>
          <w:p w14:paraId="551B2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0A7B8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8BCF1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33721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6753A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51292F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990" w:type="dxa"/>
            <w:vMerge w:val="restart"/>
            <w:noWrap w:val="0"/>
            <w:vAlign w:val="center"/>
          </w:tcPr>
          <w:p w14:paraId="3F726E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1367C8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上门征收部分生活垃圾处理费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3113B2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780万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5B96594F">
            <w:pPr>
              <w:keepNext w:val="0"/>
              <w:keepLines w:val="0"/>
              <w:pageBreakBefore w:val="0"/>
              <w:widowControl w:val="0"/>
              <w:tabs>
                <w:tab w:val="left" w:pos="444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878万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44D71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38A133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7D03CD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F17EA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B3749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noWrap w:val="0"/>
            <w:vAlign w:val="center"/>
          </w:tcPr>
          <w:p w14:paraId="1192FF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noWrap w:val="0"/>
            <w:vAlign w:val="center"/>
          </w:tcPr>
          <w:p w14:paraId="304768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7443FF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全年转运入站生活垃圾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07BB65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12.8万吨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19D44F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12.8万吨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66BBFC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7417ED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362988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</w:tr>
      <w:tr w14:paraId="4772AC4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8599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noWrap w:val="0"/>
            <w:vAlign w:val="center"/>
          </w:tcPr>
          <w:p w14:paraId="5E1E92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noWrap w:val="0"/>
            <w:vAlign w:val="center"/>
          </w:tcPr>
          <w:p w14:paraId="71217C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44CEB8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清洗垃圾容器车辆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182165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2台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59915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2台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3F2266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4BA05E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12D623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</w:tr>
      <w:tr w14:paraId="15AB18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5F07D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noWrap w:val="0"/>
            <w:vAlign w:val="center"/>
          </w:tcPr>
          <w:p w14:paraId="3B20A2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noWrap w:val="0"/>
            <w:vAlign w:val="center"/>
          </w:tcPr>
          <w:p w14:paraId="278904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396572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清洗垃圾运输车辆设备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57D62C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1台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130277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1台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0B0CB1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78233E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0AC94E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</w:tr>
      <w:tr w14:paraId="5307B5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2EF78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noWrap w:val="0"/>
            <w:vAlign w:val="center"/>
          </w:tcPr>
          <w:p w14:paraId="20AC39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noWrap w:val="0"/>
            <w:vAlign w:val="center"/>
          </w:tcPr>
          <w:p w14:paraId="632A02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35D2C2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车辆维修维护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7C021F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27台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240AFE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27台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11E757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140DB9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49EA0D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</w:tr>
      <w:tr w14:paraId="08C905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CC981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noWrap w:val="0"/>
            <w:vAlign w:val="center"/>
          </w:tcPr>
          <w:p w14:paraId="07168D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noWrap w:val="0"/>
            <w:vAlign w:val="center"/>
          </w:tcPr>
          <w:p w14:paraId="73FE0C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05D38E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更换损毁破损旧塑料密封桶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7FEE23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210只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1E9D81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210只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660B41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29BE34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17F32D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</w:tr>
      <w:tr w14:paraId="21CE9B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EB05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noWrap w:val="0"/>
            <w:vAlign w:val="center"/>
          </w:tcPr>
          <w:p w14:paraId="722F2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noWrap w:val="0"/>
            <w:vAlign w:val="center"/>
          </w:tcPr>
          <w:p w14:paraId="41717B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03CEEC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维修维护铁质、不锈钢钩臂桶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3376D9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205只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280AB1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205只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055484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40FDA3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0C0999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</w:tr>
      <w:tr w14:paraId="28ACAA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1084" w:type="dxa"/>
            <w:vMerge w:val="continue"/>
            <w:tcBorders>
              <w:bottom w:val="nil"/>
            </w:tcBorders>
            <w:noWrap w:val="0"/>
            <w:textDirection w:val="tbRlV"/>
            <w:vAlign w:val="top"/>
          </w:tcPr>
          <w:p w14:paraId="699985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tcBorders>
              <w:bottom w:val="nil"/>
            </w:tcBorders>
            <w:noWrap w:val="0"/>
            <w:vAlign w:val="center"/>
          </w:tcPr>
          <w:p w14:paraId="72AC14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tcBorders>
              <w:bottom w:val="nil"/>
            </w:tcBorders>
            <w:noWrap w:val="0"/>
            <w:vAlign w:val="center"/>
          </w:tcPr>
          <w:p w14:paraId="5D3944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tcBorders>
              <w:bottom w:val="nil"/>
            </w:tcBorders>
            <w:noWrap w:val="0"/>
            <w:vAlign w:val="center"/>
          </w:tcPr>
          <w:p w14:paraId="6EF8C7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维修维护塑料密封桶</w:t>
            </w:r>
          </w:p>
        </w:tc>
        <w:tc>
          <w:tcPr>
            <w:tcW w:w="1020" w:type="dxa"/>
            <w:tcBorders>
              <w:bottom w:val="nil"/>
            </w:tcBorders>
            <w:noWrap w:val="0"/>
            <w:vAlign w:val="center"/>
          </w:tcPr>
          <w:p w14:paraId="53F211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860余只</w:t>
            </w:r>
          </w:p>
        </w:tc>
        <w:tc>
          <w:tcPr>
            <w:tcW w:w="1155" w:type="dxa"/>
            <w:tcBorders>
              <w:bottom w:val="nil"/>
            </w:tcBorders>
            <w:noWrap w:val="0"/>
            <w:vAlign w:val="center"/>
          </w:tcPr>
          <w:p w14:paraId="570930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860余只</w:t>
            </w:r>
          </w:p>
        </w:tc>
        <w:tc>
          <w:tcPr>
            <w:tcW w:w="525" w:type="dxa"/>
            <w:tcBorders>
              <w:bottom w:val="nil"/>
            </w:tcBorders>
            <w:noWrap w:val="0"/>
            <w:vAlign w:val="center"/>
          </w:tcPr>
          <w:p w14:paraId="77A659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750" w:type="dxa"/>
            <w:tcBorders>
              <w:bottom w:val="nil"/>
            </w:tcBorders>
            <w:noWrap w:val="0"/>
            <w:vAlign w:val="center"/>
          </w:tcPr>
          <w:p w14:paraId="751AE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275" w:type="dxa"/>
            <w:tcBorders>
              <w:bottom w:val="nil"/>
            </w:tcBorders>
            <w:noWrap w:val="0"/>
            <w:vAlign w:val="center"/>
          </w:tcPr>
          <w:p w14:paraId="60C99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</w:pPr>
          </w:p>
        </w:tc>
      </w:tr>
      <w:tr w14:paraId="522E02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793BE8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8729A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Merge w:val="restart"/>
            <w:tcBorders>
              <w:bottom w:val="nil"/>
            </w:tcBorders>
            <w:noWrap w:val="0"/>
            <w:vAlign w:val="center"/>
          </w:tcPr>
          <w:p w14:paraId="2C6704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2250" w:type="dxa"/>
            <w:noWrap w:val="0"/>
            <w:vAlign w:val="center"/>
          </w:tcPr>
          <w:p w14:paraId="5C182C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环卫收费任务完成率</w:t>
            </w:r>
          </w:p>
        </w:tc>
        <w:tc>
          <w:tcPr>
            <w:tcW w:w="1020" w:type="dxa"/>
            <w:noWrap w:val="0"/>
            <w:vAlign w:val="center"/>
          </w:tcPr>
          <w:p w14:paraId="2995C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1155" w:type="dxa"/>
            <w:noWrap w:val="0"/>
            <w:vAlign w:val="center"/>
          </w:tcPr>
          <w:p w14:paraId="7F9E0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525" w:type="dxa"/>
            <w:noWrap w:val="0"/>
            <w:vAlign w:val="center"/>
          </w:tcPr>
          <w:p w14:paraId="2421C0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50" w:type="dxa"/>
            <w:noWrap w:val="0"/>
            <w:vAlign w:val="center"/>
          </w:tcPr>
          <w:p w14:paraId="1F9047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71776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2CD4F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D3F175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45054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B8D4C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noWrap w:val="0"/>
            <w:vAlign w:val="center"/>
          </w:tcPr>
          <w:p w14:paraId="337FFC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垃圾转运率</w:t>
            </w:r>
          </w:p>
        </w:tc>
        <w:tc>
          <w:tcPr>
            <w:tcW w:w="1020" w:type="dxa"/>
            <w:noWrap w:val="0"/>
            <w:vAlign w:val="center"/>
          </w:tcPr>
          <w:p w14:paraId="324F5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1155" w:type="dxa"/>
            <w:noWrap w:val="0"/>
            <w:vAlign w:val="center"/>
          </w:tcPr>
          <w:p w14:paraId="4292E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525" w:type="dxa"/>
            <w:noWrap w:val="0"/>
            <w:vAlign w:val="center"/>
          </w:tcPr>
          <w:p w14:paraId="0CE306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50" w:type="dxa"/>
            <w:noWrap w:val="0"/>
            <w:vAlign w:val="center"/>
          </w:tcPr>
          <w:p w14:paraId="308460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39B250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BAAD9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4235A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5E1A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Merge w:val="continue"/>
            <w:tcBorders>
              <w:top w:val="nil"/>
            </w:tcBorders>
            <w:noWrap w:val="0"/>
            <w:vAlign w:val="center"/>
          </w:tcPr>
          <w:p w14:paraId="286837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50" w:type="dxa"/>
            <w:noWrap w:val="0"/>
            <w:vAlign w:val="center"/>
          </w:tcPr>
          <w:p w14:paraId="065E6F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环卫设施设备完好率</w:t>
            </w:r>
          </w:p>
        </w:tc>
        <w:tc>
          <w:tcPr>
            <w:tcW w:w="1020" w:type="dxa"/>
            <w:noWrap w:val="0"/>
            <w:vAlign w:val="center"/>
          </w:tcPr>
          <w:p w14:paraId="3B34A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55" w:type="dxa"/>
            <w:noWrap w:val="0"/>
            <w:vAlign w:val="center"/>
          </w:tcPr>
          <w:p w14:paraId="6B90A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525" w:type="dxa"/>
            <w:noWrap w:val="0"/>
            <w:vAlign w:val="center"/>
          </w:tcPr>
          <w:p w14:paraId="5EE596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50" w:type="dxa"/>
            <w:noWrap w:val="0"/>
            <w:vAlign w:val="center"/>
          </w:tcPr>
          <w:p w14:paraId="08E085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5294AE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0BCA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C215C7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E9369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Merge w:val="restart"/>
            <w:noWrap w:val="0"/>
            <w:vAlign w:val="center"/>
          </w:tcPr>
          <w:p w14:paraId="6C7538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2250" w:type="dxa"/>
            <w:noWrap w:val="0"/>
            <w:vAlign w:val="center"/>
          </w:tcPr>
          <w:p w14:paraId="03B2A7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收费工作完成时间</w:t>
            </w:r>
          </w:p>
        </w:tc>
        <w:tc>
          <w:tcPr>
            <w:tcW w:w="1020" w:type="dxa"/>
            <w:noWrap w:val="0"/>
            <w:vAlign w:val="center"/>
          </w:tcPr>
          <w:p w14:paraId="55BCF5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12月31日</w:t>
            </w:r>
          </w:p>
        </w:tc>
        <w:tc>
          <w:tcPr>
            <w:tcW w:w="1155" w:type="dxa"/>
            <w:noWrap w:val="0"/>
            <w:vAlign w:val="center"/>
          </w:tcPr>
          <w:p w14:paraId="501611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12月31日</w:t>
            </w:r>
          </w:p>
        </w:tc>
        <w:tc>
          <w:tcPr>
            <w:tcW w:w="525" w:type="dxa"/>
            <w:noWrap w:val="0"/>
            <w:vAlign w:val="center"/>
          </w:tcPr>
          <w:p w14:paraId="450EF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50" w:type="dxa"/>
            <w:noWrap w:val="0"/>
            <w:vAlign w:val="center"/>
          </w:tcPr>
          <w:p w14:paraId="067B1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66AD2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210CB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084" w:type="dxa"/>
            <w:vMerge w:val="continue"/>
            <w:tcBorders>
              <w:bottom w:val="nil"/>
            </w:tcBorders>
            <w:noWrap w:val="0"/>
            <w:textDirection w:val="tbRlV"/>
            <w:vAlign w:val="top"/>
          </w:tcPr>
          <w:p w14:paraId="17F925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tcBorders>
              <w:bottom w:val="nil"/>
            </w:tcBorders>
            <w:noWrap w:val="0"/>
            <w:vAlign w:val="center"/>
          </w:tcPr>
          <w:p w14:paraId="20B72A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tcBorders>
              <w:bottom w:val="nil"/>
            </w:tcBorders>
            <w:noWrap w:val="0"/>
            <w:vAlign w:val="center"/>
          </w:tcPr>
          <w:p w14:paraId="41A341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</w:pPr>
          </w:p>
        </w:tc>
        <w:tc>
          <w:tcPr>
            <w:tcW w:w="2250" w:type="dxa"/>
            <w:noWrap w:val="0"/>
            <w:vAlign w:val="center"/>
          </w:tcPr>
          <w:p w14:paraId="28AB20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</w:pPr>
            <w:r>
              <w:rPr>
                <w:rFonts w:hint="eastAsia"/>
              </w:rPr>
              <w:t>垃圾转运及清洗作业：每天坚持对主干道两侧、公共区域垃圾屋、垃圾分类点及委托转运企事业单位、学校、医院、宾馆、门店生活垃圾彻底转运</w:t>
            </w:r>
          </w:p>
        </w:tc>
        <w:tc>
          <w:tcPr>
            <w:tcW w:w="1020" w:type="dxa"/>
            <w:noWrap w:val="0"/>
            <w:vAlign w:val="center"/>
          </w:tcPr>
          <w:p w14:paraId="1F4396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每天</w:t>
            </w:r>
          </w:p>
        </w:tc>
        <w:tc>
          <w:tcPr>
            <w:tcW w:w="1155" w:type="dxa"/>
            <w:noWrap w:val="0"/>
            <w:vAlign w:val="center"/>
          </w:tcPr>
          <w:p w14:paraId="0F25F5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每天</w:t>
            </w:r>
          </w:p>
        </w:tc>
        <w:tc>
          <w:tcPr>
            <w:tcW w:w="525" w:type="dxa"/>
            <w:noWrap w:val="0"/>
            <w:vAlign w:val="center"/>
          </w:tcPr>
          <w:p w14:paraId="5DF351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750" w:type="dxa"/>
            <w:noWrap w:val="0"/>
            <w:vAlign w:val="center"/>
          </w:tcPr>
          <w:p w14:paraId="7F303E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E8EE0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</w:pPr>
          </w:p>
        </w:tc>
      </w:tr>
      <w:tr w14:paraId="6D87EE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650545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E38F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tcBorders>
              <w:bottom w:val="nil"/>
            </w:tcBorders>
            <w:noWrap w:val="0"/>
            <w:vAlign w:val="center"/>
          </w:tcPr>
          <w:p w14:paraId="7CBACB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2250" w:type="dxa"/>
            <w:noWrap w:val="0"/>
            <w:vAlign w:val="center"/>
          </w:tcPr>
          <w:p w14:paraId="0F446B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不超过预算投入</w:t>
            </w:r>
          </w:p>
        </w:tc>
        <w:tc>
          <w:tcPr>
            <w:tcW w:w="1020" w:type="dxa"/>
            <w:noWrap w:val="0"/>
            <w:vAlign w:val="center"/>
          </w:tcPr>
          <w:p w14:paraId="34845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1867.3万</w:t>
            </w:r>
          </w:p>
        </w:tc>
        <w:tc>
          <w:tcPr>
            <w:tcW w:w="1155" w:type="dxa"/>
            <w:noWrap w:val="0"/>
            <w:vAlign w:val="center"/>
          </w:tcPr>
          <w:p w14:paraId="23111D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1753.06万</w:t>
            </w:r>
          </w:p>
        </w:tc>
        <w:tc>
          <w:tcPr>
            <w:tcW w:w="525" w:type="dxa"/>
            <w:noWrap w:val="0"/>
            <w:vAlign w:val="center"/>
          </w:tcPr>
          <w:p w14:paraId="5D08BC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50" w:type="dxa"/>
            <w:noWrap w:val="0"/>
            <w:vAlign w:val="center"/>
          </w:tcPr>
          <w:p w14:paraId="6087A5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467ABA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343D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BBFCE6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restart"/>
            <w:tcBorders>
              <w:bottom w:val="nil"/>
            </w:tcBorders>
            <w:noWrap w:val="0"/>
            <w:vAlign w:val="center"/>
          </w:tcPr>
          <w:p w14:paraId="654DD5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D7A77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555FA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CC3DA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8A81A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0DA231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990" w:type="dxa"/>
            <w:tcBorders>
              <w:bottom w:val="nil"/>
            </w:tcBorders>
            <w:noWrap w:val="0"/>
            <w:vAlign w:val="center"/>
          </w:tcPr>
          <w:p w14:paraId="6CF5F1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3395E5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2250" w:type="dxa"/>
            <w:noWrap w:val="0"/>
            <w:vAlign w:val="center"/>
          </w:tcPr>
          <w:p w14:paraId="4CC640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非税收入指标</w:t>
            </w:r>
          </w:p>
        </w:tc>
        <w:tc>
          <w:tcPr>
            <w:tcW w:w="1020" w:type="dxa"/>
            <w:noWrap w:val="0"/>
            <w:vAlign w:val="center"/>
          </w:tcPr>
          <w:p w14:paraId="15502E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780万</w:t>
            </w:r>
          </w:p>
        </w:tc>
        <w:tc>
          <w:tcPr>
            <w:tcW w:w="1155" w:type="dxa"/>
            <w:noWrap w:val="0"/>
            <w:vAlign w:val="center"/>
          </w:tcPr>
          <w:p w14:paraId="2E4815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878万</w:t>
            </w:r>
          </w:p>
        </w:tc>
        <w:tc>
          <w:tcPr>
            <w:tcW w:w="525" w:type="dxa"/>
            <w:noWrap w:val="0"/>
            <w:vAlign w:val="center"/>
          </w:tcPr>
          <w:p w14:paraId="7A5160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50" w:type="dxa"/>
            <w:noWrap w:val="0"/>
            <w:vAlign w:val="center"/>
          </w:tcPr>
          <w:p w14:paraId="26580A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5BB1B9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8B3A4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B21818F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50029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tcBorders>
              <w:bottom w:val="nil"/>
            </w:tcBorders>
            <w:noWrap w:val="0"/>
            <w:vAlign w:val="center"/>
          </w:tcPr>
          <w:p w14:paraId="610DE0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60E9B8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2250" w:type="dxa"/>
            <w:noWrap w:val="0"/>
            <w:vAlign w:val="center"/>
          </w:tcPr>
          <w:p w14:paraId="14AE77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国家卫生城市、全国文明城市检查及市级六区考评中，每天坚持垃圾转运彻底，垃圾容器清洗干净，收到上级领导的肯定及市名好评。</w:t>
            </w:r>
          </w:p>
        </w:tc>
        <w:tc>
          <w:tcPr>
            <w:tcW w:w="1020" w:type="dxa"/>
            <w:noWrap w:val="0"/>
            <w:vAlign w:val="center"/>
          </w:tcPr>
          <w:p w14:paraId="637EC1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55" w:type="dxa"/>
            <w:noWrap w:val="0"/>
            <w:vAlign w:val="center"/>
          </w:tcPr>
          <w:p w14:paraId="31106C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525" w:type="dxa"/>
            <w:noWrap w:val="0"/>
            <w:vAlign w:val="center"/>
          </w:tcPr>
          <w:p w14:paraId="2FCB47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50" w:type="dxa"/>
            <w:noWrap w:val="0"/>
            <w:vAlign w:val="center"/>
          </w:tcPr>
          <w:p w14:paraId="4D43D1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7331FD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C6528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07F645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CCADB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tcBorders>
              <w:bottom w:val="nil"/>
            </w:tcBorders>
            <w:noWrap w:val="0"/>
            <w:vAlign w:val="center"/>
          </w:tcPr>
          <w:p w14:paraId="1483A1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59FFEA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2250" w:type="dxa"/>
            <w:noWrap w:val="0"/>
            <w:vAlign w:val="center"/>
          </w:tcPr>
          <w:p w14:paraId="26230E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企事业单位、学校、医院、宾馆、门店垃圾转运及时彻底，主干道、公共区域、办公、居民环境改善，臭气、蚊蝇滋生得到有效控制。</w:t>
            </w:r>
          </w:p>
        </w:tc>
        <w:tc>
          <w:tcPr>
            <w:tcW w:w="1020" w:type="dxa"/>
            <w:noWrap w:val="0"/>
            <w:vAlign w:val="center"/>
          </w:tcPr>
          <w:p w14:paraId="64B8C4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55" w:type="dxa"/>
            <w:noWrap w:val="0"/>
            <w:vAlign w:val="center"/>
          </w:tcPr>
          <w:p w14:paraId="7EFF0D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525" w:type="dxa"/>
            <w:noWrap w:val="0"/>
            <w:vAlign w:val="center"/>
          </w:tcPr>
          <w:p w14:paraId="01BD5B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50" w:type="dxa"/>
            <w:noWrap w:val="0"/>
            <w:vAlign w:val="center"/>
          </w:tcPr>
          <w:p w14:paraId="6C9CA3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76EA5D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D3EDF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C67FAB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DC5FD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vMerge w:val="restart"/>
            <w:noWrap w:val="0"/>
            <w:vAlign w:val="center"/>
          </w:tcPr>
          <w:p w14:paraId="49CFDB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23494D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2250" w:type="dxa"/>
            <w:noWrap w:val="0"/>
            <w:vAlign w:val="center"/>
          </w:tcPr>
          <w:p w14:paraId="36CBD5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生活垃圾处理收取</w:t>
            </w:r>
          </w:p>
        </w:tc>
        <w:tc>
          <w:tcPr>
            <w:tcW w:w="1020" w:type="dxa"/>
            <w:noWrap w:val="0"/>
            <w:vAlign w:val="center"/>
          </w:tcPr>
          <w:p w14:paraId="4CDCB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780万</w:t>
            </w:r>
          </w:p>
        </w:tc>
        <w:tc>
          <w:tcPr>
            <w:tcW w:w="1155" w:type="dxa"/>
            <w:noWrap w:val="0"/>
            <w:vAlign w:val="center"/>
          </w:tcPr>
          <w:p w14:paraId="448D2B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878万</w:t>
            </w:r>
          </w:p>
        </w:tc>
        <w:tc>
          <w:tcPr>
            <w:tcW w:w="525" w:type="dxa"/>
            <w:noWrap w:val="0"/>
            <w:vAlign w:val="center"/>
          </w:tcPr>
          <w:p w14:paraId="580FB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750" w:type="dxa"/>
            <w:noWrap w:val="0"/>
            <w:vAlign w:val="center"/>
          </w:tcPr>
          <w:p w14:paraId="46EB45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275" w:type="dxa"/>
            <w:vMerge w:val="restart"/>
            <w:noWrap w:val="0"/>
            <w:vAlign w:val="center"/>
          </w:tcPr>
          <w:p w14:paraId="7C3988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A962D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084" w:type="dxa"/>
            <w:vMerge w:val="continue"/>
            <w:tcBorders>
              <w:bottom w:val="nil"/>
            </w:tcBorders>
            <w:noWrap w:val="0"/>
            <w:textDirection w:val="tbRlV"/>
            <w:vAlign w:val="top"/>
          </w:tcPr>
          <w:p w14:paraId="7B00E7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</w:pPr>
          </w:p>
        </w:tc>
        <w:tc>
          <w:tcPr>
            <w:tcW w:w="903" w:type="dxa"/>
            <w:vMerge w:val="continue"/>
            <w:tcBorders>
              <w:bottom w:val="nil"/>
            </w:tcBorders>
            <w:noWrap w:val="0"/>
            <w:vAlign w:val="center"/>
          </w:tcPr>
          <w:p w14:paraId="32777B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</w:pPr>
          </w:p>
        </w:tc>
        <w:tc>
          <w:tcPr>
            <w:tcW w:w="990" w:type="dxa"/>
            <w:vMerge w:val="continue"/>
            <w:tcBorders>
              <w:bottom w:val="nil"/>
            </w:tcBorders>
            <w:noWrap w:val="0"/>
            <w:vAlign w:val="center"/>
          </w:tcPr>
          <w:p w14:paraId="6C4415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</w:pPr>
          </w:p>
        </w:tc>
        <w:tc>
          <w:tcPr>
            <w:tcW w:w="2250" w:type="dxa"/>
            <w:noWrap w:val="0"/>
            <w:vAlign w:val="center"/>
          </w:tcPr>
          <w:p w14:paraId="4B2E0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办公、居住、生活环境改善</w:t>
            </w:r>
          </w:p>
        </w:tc>
        <w:tc>
          <w:tcPr>
            <w:tcW w:w="1020" w:type="dxa"/>
            <w:noWrap w:val="0"/>
            <w:vAlign w:val="center"/>
          </w:tcPr>
          <w:p w14:paraId="70F0C6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=100%</w:t>
            </w:r>
          </w:p>
        </w:tc>
        <w:tc>
          <w:tcPr>
            <w:tcW w:w="1155" w:type="dxa"/>
            <w:noWrap w:val="0"/>
            <w:vAlign w:val="center"/>
          </w:tcPr>
          <w:p w14:paraId="1C48BC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=100%</w:t>
            </w:r>
          </w:p>
        </w:tc>
        <w:tc>
          <w:tcPr>
            <w:tcW w:w="525" w:type="dxa"/>
            <w:noWrap w:val="0"/>
            <w:vAlign w:val="center"/>
          </w:tcPr>
          <w:p w14:paraId="6BBDD8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750" w:type="dxa"/>
            <w:noWrap w:val="0"/>
            <w:vAlign w:val="center"/>
          </w:tcPr>
          <w:p w14:paraId="77FBB2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275" w:type="dxa"/>
            <w:vMerge w:val="continue"/>
            <w:noWrap w:val="0"/>
            <w:vAlign w:val="center"/>
          </w:tcPr>
          <w:p w14:paraId="25732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FB578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1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CB03F7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3" w:type="dxa"/>
            <w:tcBorders>
              <w:bottom w:val="nil"/>
            </w:tcBorders>
            <w:noWrap w:val="0"/>
            <w:vAlign w:val="center"/>
          </w:tcPr>
          <w:p w14:paraId="7D36D2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32B63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680FB0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990" w:type="dxa"/>
            <w:tcBorders>
              <w:bottom w:val="nil"/>
            </w:tcBorders>
            <w:noWrap w:val="0"/>
            <w:vAlign w:val="center"/>
          </w:tcPr>
          <w:p w14:paraId="7B2A6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74D0D8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27A547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2250" w:type="dxa"/>
            <w:noWrap w:val="0"/>
            <w:vAlign w:val="center"/>
          </w:tcPr>
          <w:p w14:paraId="0613BE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社会公众满意度指标</w:t>
            </w:r>
          </w:p>
        </w:tc>
        <w:tc>
          <w:tcPr>
            <w:tcW w:w="1020" w:type="dxa"/>
            <w:noWrap w:val="0"/>
            <w:vAlign w:val="center"/>
          </w:tcPr>
          <w:p w14:paraId="3C637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55" w:type="dxa"/>
            <w:noWrap w:val="0"/>
            <w:vAlign w:val="center"/>
          </w:tcPr>
          <w:p w14:paraId="136EC0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525" w:type="dxa"/>
            <w:noWrap w:val="0"/>
            <w:vAlign w:val="center"/>
          </w:tcPr>
          <w:p w14:paraId="69BD1E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50" w:type="dxa"/>
            <w:noWrap w:val="0"/>
            <w:vAlign w:val="center"/>
          </w:tcPr>
          <w:p w14:paraId="4CBCE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1BAA69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C9264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402" w:type="dxa"/>
            <w:gridSpan w:val="6"/>
            <w:noWrap w:val="0"/>
            <w:vAlign w:val="center"/>
          </w:tcPr>
          <w:p w14:paraId="4CF64B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" w:type="dxa"/>
            <w:noWrap w:val="0"/>
            <w:vAlign w:val="center"/>
          </w:tcPr>
          <w:p w14:paraId="250848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50" w:type="dxa"/>
            <w:noWrap w:val="0"/>
            <w:vAlign w:val="center"/>
          </w:tcPr>
          <w:p w14:paraId="53A012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 w14:paraId="44AEB7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17C41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4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:陈烨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13973014185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2023年6月14日</w:t>
      </w:r>
    </w:p>
    <w:p w14:paraId="66A608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46562C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694EBF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岳阳市市容环境卫生收费管理所</w:t>
      </w:r>
    </w:p>
    <w:p w14:paraId="79A49D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713B7B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38C7C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B36C5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9D104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DF04F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B030E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2BA5B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60FEF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E65A7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0E9E5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B170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2DC2D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45BB6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6A117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EEA43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169F9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A987A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51AAB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6B83D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9073E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08F6A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A171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08E78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0FB44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8E5B0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01D33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35225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7D1E9E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2023年06月14日</w:t>
      </w:r>
    </w:p>
    <w:p w14:paraId="3A80B4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42181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0B390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F96EA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8D209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2022年度岳阳市市容环境卫生收费管理所</w:t>
      </w:r>
    </w:p>
    <w:p w14:paraId="17EEA0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7CD453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BA5D2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1D765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60E9F20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3EFE8225">
      <w:pPr>
        <w:widowControl/>
        <w:spacing w:line="600" w:lineRule="exact"/>
        <w:ind w:firstLine="643" w:firstLineChars="200"/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（一）职能职责</w:t>
      </w:r>
    </w:p>
    <w:p w14:paraId="799D35BD"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1、负责市中心城区生活垃圾处理费的征收与管理；</w:t>
      </w:r>
    </w:p>
    <w:p w14:paraId="505A9C0E"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2、负责主干道两侧、公共区域垃圾屋、垃圾围及放置的钩臂桶、塑料密封桶的垃圾转运入站工作；</w:t>
      </w:r>
    </w:p>
    <w:p w14:paraId="41D32366"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3、负责市中心城区委托垃圾转运的机关、企事业单位、学校、医院、宾馆、酒店、小区、门店等的垃圾转运入站工作；</w:t>
      </w:r>
    </w:p>
    <w:p w14:paraId="36E89850">
      <w:pPr>
        <w:widowControl/>
        <w:spacing w:line="600" w:lineRule="exact"/>
        <w:ind w:firstLine="640" w:firstLineChars="200"/>
        <w:rPr>
          <w:rFonts w:hint="default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4、负责上级主管部门交办的其他工作。</w:t>
      </w:r>
      <w:r>
        <w:rPr>
          <w:rFonts w:hint="default" w:ascii="仿宋" w:hAnsi="仿宋" w:eastAsia="仿宋" w:cs="仿宋_GB2312"/>
          <w:kern w:val="0"/>
          <w:sz w:val="32"/>
          <w:szCs w:val="32"/>
        </w:rPr>
        <w:t xml:space="preserve"> </w:t>
      </w:r>
    </w:p>
    <w:p w14:paraId="03A91FCC">
      <w:pPr>
        <w:widowControl/>
        <w:spacing w:line="600" w:lineRule="exact"/>
        <w:ind w:firstLine="643" w:firstLineChars="200"/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（二）机构设置</w:t>
      </w:r>
    </w:p>
    <w:p w14:paraId="00EE218B"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岳阳市市容环境卫生收费管理所属正科级全额事业单位，本部门内设人秘股、计财股、考评股、综合股4个股室，下设大费队、小费队、综合收费队3个收费队及转运一队、转运二队、车队3个市容卫生管理队</w:t>
      </w:r>
      <w:bookmarkStart w:id="0" w:name="_GoBack"/>
      <w:bookmarkEnd w:id="0"/>
      <w:r>
        <w:rPr>
          <w:rFonts w:hint="eastAsia" w:ascii="仿宋" w:hAnsi="仿宋" w:eastAsia="仿宋" w:cs="仿宋_GB2312"/>
          <w:kern w:val="0"/>
          <w:sz w:val="32"/>
          <w:szCs w:val="32"/>
        </w:rPr>
        <w:t>。本部门现有职工20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人，其中在编事业编5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人，退休事业编3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人，退休企业编1人，企编5人、参企4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人、合同工1人，临聘人员63人。</w:t>
      </w:r>
    </w:p>
    <w:p w14:paraId="59AB93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6010F2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05F33FBF">
      <w:pPr>
        <w:widowControl/>
        <w:spacing w:line="600" w:lineRule="exact"/>
        <w:ind w:firstLine="640" w:firstLineChars="200"/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2022年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我单位的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基本支出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数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为950.30万元，其中：人员经费847.70万元，主要包括：基本工资、津贴补贴、奖金、绩效工资、机关事业单位基本养老保险缴费、职业年金缴费、职工基本医疗保险缴费、其他社会保障缴费、住房公积金、退休费、其他对个人和家庭的补助；商品和服务支出102.60万元，主要包括：办公费、印刷费、咨询费、手续费、水费、电费、邮电费、差旅费、维修（护）费、培训费、工会经费、其他商品和服务支出。</w:t>
      </w:r>
    </w:p>
    <w:p w14:paraId="70CBF612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 w14:paraId="301A61E7">
      <w:pPr>
        <w:pStyle w:val="2"/>
        <w:numPr>
          <w:ilvl w:val="0"/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2022年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我单位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项目支出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总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数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为999.19万元，其中：1、一般公共服务支出375.76万元，主要用于编外人员经费302.2万元、编外人员办公费2.2万、生产设备维修维护费1.52万、生产材料5.45万元、生产用车运行费44.27万等；2、城市综合管理专项2.89万，为编外人员福利费；3、卫生健康支出1.38万，为编外人员医疗保险；4、城乡社区支出584.13万，为编外人员经费493.36万元、编外人员办公费3.4万、生产设备维修维护费6.7万等、生产材料12.93万元、劳务费2.04万、编外人员工会经费17.52万、福利费14.52万、生产用车运行费23.51万；5、城市综合管理专项11.8万；6、住房保障支出4.42万，为编外人员住房公积金；7、其他支出18.81万，为编外人员经费11.48万、医疗保险1.33万等。</w:t>
      </w:r>
    </w:p>
    <w:p w14:paraId="60666C0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政府性基金预算支出情况</w:t>
      </w:r>
    </w:p>
    <w:p w14:paraId="4E65C9B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我单位2022年度无政府性基金预算。</w:t>
      </w:r>
    </w:p>
    <w:p w14:paraId="1CB3B16B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 w14:paraId="4958C33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我单位2022年度无国有资本经营预算支出。</w:t>
      </w:r>
    </w:p>
    <w:p w14:paraId="00E3B44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41A8E4D2">
      <w:pPr>
        <w:pStyle w:val="2"/>
        <w:numPr>
          <w:ilvl w:val="0"/>
          <w:numId w:val="0"/>
        </w:numPr>
        <w:ind w:leftChars="200" w:firstLine="320" w:firstLineChars="100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color w:val="auto"/>
          <w:kern w:val="2"/>
          <w:sz w:val="32"/>
          <w:szCs w:val="32"/>
          <w:highlight w:val="none"/>
          <w:u w:val="none"/>
          <w:lang w:val="en-US" w:eastAsia="zh-CN"/>
        </w:rPr>
        <w:t>我单位2022年度无社会保险基金预算。</w:t>
      </w:r>
    </w:p>
    <w:p w14:paraId="200A62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4EAF6003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年，我所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认真贯彻落实</w:t>
      </w:r>
      <w:r>
        <w:rPr>
          <w:rFonts w:hint="eastAsia" w:ascii="仿宋" w:hAnsi="仿宋" w:eastAsia="仿宋" w:cs="仿宋"/>
          <w:sz w:val="32"/>
          <w:szCs w:val="32"/>
        </w:rPr>
        <w:t>区委、区政府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各项工作要求与部署，</w:t>
      </w:r>
      <w:r>
        <w:rPr>
          <w:rFonts w:hint="eastAsia" w:ascii="仿宋" w:hAnsi="仿宋" w:eastAsia="仿宋" w:cs="仿宋"/>
          <w:sz w:val="32"/>
          <w:szCs w:val="32"/>
        </w:rPr>
        <w:t>以“规范文明收费，优质高效服务”为目标，以提高生活垃圾处理费为基础，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牢固树立安全生产、常态防疫意识，勇担环卫收费、垃圾转运两大主职主责，</w:t>
      </w:r>
      <w:r>
        <w:rPr>
          <w:rFonts w:hint="eastAsia" w:ascii="仿宋" w:hAnsi="仿宋" w:eastAsia="仿宋" w:cs="仿宋"/>
          <w:sz w:val="32"/>
          <w:szCs w:val="32"/>
        </w:rPr>
        <w:t>全面推进各项工作。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 w14:paraId="24FA80DA">
      <w:pPr>
        <w:bidi w:val="0"/>
        <w:spacing w:line="240" w:lineRule="auto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（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一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）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突出主业，切实加强环卫收费工作</w:t>
      </w:r>
    </w:p>
    <w:p w14:paraId="258DAC2F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全年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监管、对接市自来水公司，并水代征居民住户生活垃圾处理费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2039万元；在市政务中心设立基建污染费窗口，安排专人收取基建污染费116万元；充分利用收费政策，保费源、增费额，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上门收取未并水部分生活垃圾处理费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878万元（超额完成98万元）。</w:t>
      </w:r>
    </w:p>
    <w:p w14:paraId="615696F6">
      <w:pPr>
        <w:bidi w:val="0"/>
        <w:spacing w:line="240" w:lineRule="auto"/>
        <w:ind w:firstLine="320" w:firstLineChars="100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（二）严格标准，持续提升市容卫生质量</w:t>
      </w:r>
    </w:p>
    <w:p w14:paraId="652F8F75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严格落实区委、区政府城市管理、城市“六治”工作要求，查问题、补短板、强弱项、促提升；对标对表全国文明城市、国家卫生城市标准，建立市容卫生长效管理机制，市容卫生管理坚持常态化、制度化、标准化、精细化，全面提升市容卫生质量。</w:t>
      </w:r>
    </w:p>
    <w:p w14:paraId="7B5FBDF1">
      <w:pPr>
        <w:bidi w:val="0"/>
        <w:spacing w:line="240" w:lineRule="auto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（三）精准迎检，落实落细每项工作标准</w:t>
      </w:r>
    </w:p>
    <w:p w14:paraId="5D63E542">
      <w:pPr>
        <w:bidi w:val="0"/>
        <w:spacing w:line="240" w:lineRule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严格对照全国文明城市标准，成立迎检领导小组，制订迎检工作实施方案，明确各迎检项目内容、标准、责任人、完成时间、督办领导，一把手负总责，分管副所长逐项抓落实，中层骨干、行管人员、党员干部发挥表率作用，考评股加大考评督查力度，真正做到人人有事必做、人人必须干成事，服务服从迎检中心工作，迎检效果明显。</w:t>
      </w:r>
    </w:p>
    <w:p w14:paraId="1D618560">
      <w:pPr>
        <w:bidi w:val="0"/>
        <w:spacing w:line="240" w:lineRule="auto"/>
        <w:ind w:firstLine="320" w:firstLineChars="100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（四）主动作为，严格控制新冠肺炎疫情</w:t>
      </w:r>
    </w:p>
    <w:p w14:paraId="7A03C5C0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新冠肺炎疫情期间，办公楼、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庭院、</w:t>
      </w:r>
      <w:r>
        <w:rPr>
          <w:rFonts w:hint="eastAsia" w:ascii="仿宋" w:hAnsi="仿宋" w:eastAsia="仿宋" w:cs="仿宋"/>
          <w:sz w:val="32"/>
          <w:szCs w:val="32"/>
        </w:rPr>
        <w:t>车队、传达室强化每天24小时值守，坚持每天对办公楼、车队停车场、庭院消毒，坚持每天对庭院91户301人上门监测体温，严控外来人员出入；投入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8.6</w:t>
      </w:r>
      <w:r>
        <w:rPr>
          <w:rFonts w:hint="eastAsia" w:ascii="仿宋" w:hAnsi="仿宋" w:eastAsia="仿宋" w:cs="仿宋"/>
          <w:sz w:val="32"/>
          <w:szCs w:val="32"/>
        </w:rPr>
        <w:t>万元，采购消毒液、酒精、手套、口罩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等防疫物资</w:t>
      </w:r>
      <w:r>
        <w:rPr>
          <w:rFonts w:hint="eastAsia" w:ascii="仿宋" w:hAnsi="仿宋" w:eastAsia="仿宋" w:cs="仿宋"/>
          <w:sz w:val="32"/>
          <w:szCs w:val="32"/>
        </w:rPr>
        <w:t>，全体干部职工按照各自分工到岗到位，及时转运生活垃圾，加强环卫设施消毒；班子成员、中层骨干、行管人员、党员深入一线防控新冠肺炎疫情，带头联防联控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积极开展健康宣教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坚持做好市容卫生工作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正确引导一线工作人员科学防护。实施科学防治，把人民群众、干部职工生命安全和身体健康摆在第一位，把疫情防控工作作为最重要的工作来抓，团结带领广大干部职工坚决贯彻党中央决策，落实区委、区政府、区城管委工作要求。</w:t>
      </w:r>
    </w:p>
    <w:p w14:paraId="119342D2">
      <w:pPr>
        <w:numPr>
          <w:ilvl w:val="0"/>
          <w:numId w:val="0"/>
        </w:numPr>
        <w:bidi w:val="0"/>
        <w:spacing w:line="240" w:lineRule="auto"/>
        <w:ind w:leftChars="200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（五）强化党建，引领各项工作全面推进</w:t>
      </w:r>
    </w:p>
    <w:p w14:paraId="1D87D960">
      <w:pPr>
        <w:bidi w:val="0"/>
        <w:spacing w:line="240" w:lineRule="auto"/>
        <w:ind w:firstLine="643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加强党的思想建设，全面提升干群队伍素质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深入学习贯彻党的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十九届六中全会、党的</w:t>
      </w:r>
      <w:r>
        <w:rPr>
          <w:rFonts w:hint="eastAsia" w:ascii="仿宋" w:hAnsi="仿宋" w:eastAsia="仿宋" w:cs="仿宋"/>
          <w:sz w:val="32"/>
          <w:szCs w:val="32"/>
        </w:rPr>
        <w:t>二十大精神，邀请区委宣讲团成员宣讲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次；全所34名党员积极参与“学习强国”平台的学习，党支部书记引领学，班子成员、中层骨干认真学，一般党员积极学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fldChar w:fldCharType="begin"/>
      </w:r>
      <w:r>
        <w:rPr>
          <w:rFonts w:hint="eastAsia" w:ascii="仿宋" w:hAnsi="仿宋" w:eastAsia="仿宋" w:cs="仿宋"/>
          <w:sz w:val="32"/>
          <w:szCs w:val="32"/>
        </w:rPr>
        <w:instrText xml:space="preserve"> HYPERLINK "http://www.baidu.com/link?url=fJKL_Eo5hdGojfBzE-Nd_pGOlNDageqVSZOMxc6dlZY5sxE7iVu1fbIJrhYigxyp8EGQHbdZ0yEdjcBwq-0i7-xhaqVimfhWD7HHZOJlQ9i" \t "_blank" </w:instrText>
      </w:r>
      <w:r>
        <w:rPr>
          <w:rFonts w:hint="eastAsia" w:ascii="仿宋" w:hAnsi="仿宋" w:eastAsia="仿宋" w:cs="仿宋"/>
          <w:sz w:val="32"/>
          <w:szCs w:val="32"/>
        </w:rPr>
        <w:fldChar w:fldCharType="separate"/>
      </w:r>
      <w:r>
        <w:rPr>
          <w:rFonts w:hint="eastAsia" w:ascii="仿宋" w:hAnsi="仿宋" w:eastAsia="仿宋" w:cs="仿宋"/>
          <w:sz w:val="32"/>
          <w:szCs w:val="32"/>
        </w:rPr>
        <w:t>扎实推进“四亮”创建活动。</w:t>
      </w:r>
      <w:r>
        <w:rPr>
          <w:rFonts w:hint="eastAsia" w:ascii="仿宋" w:hAnsi="仿宋" w:eastAsia="仿宋" w:cs="仿宋"/>
          <w:sz w:val="32"/>
          <w:szCs w:val="32"/>
        </w:rPr>
        <w:fldChar w:fldCharType="end"/>
      </w:r>
      <w:r>
        <w:rPr>
          <w:rFonts w:hint="eastAsia" w:ascii="楷体" w:hAnsi="楷体" w:eastAsia="楷体" w:cs="楷体"/>
          <w:b/>
          <w:bCs/>
          <w:sz w:val="32"/>
          <w:szCs w:val="32"/>
        </w:rPr>
        <w:t>加强党的组织建设，主动锤炼自我党性修养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严格组织生活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强化党员管理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“一课一片一实践”助推组织生活提质增效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加强党的作风建设，自觉提高拒腐防变能力。</w:t>
      </w:r>
      <w:r>
        <w:rPr>
          <w:rFonts w:hint="eastAsia" w:ascii="仿宋" w:hAnsi="仿宋" w:eastAsia="仿宋" w:cs="仿宋"/>
          <w:sz w:val="32"/>
          <w:szCs w:val="32"/>
        </w:rPr>
        <w:t>加强工作作风建设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深入学习习近平总书记关于作风建设重要论述，坚持不懈开展作风教育，加强纪律检查监督，对发现违纪的问题严肃处理。深化廉政勤政教育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按照党风廉政建设责任要求，结合实际，制订内容详实的党风廉政教育工作计划，做到一级抓一级，一级对一级负责，形成齐抓共管、各负其责的工作格局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加强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法治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建设，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切实履行法治建设责任。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强化学习、严格履责、加强宣传教育。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加强意识形态工作，引导干部职工健康向上。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提高认识，加强领导，坚定意识形态“主心骨”；强化学习，坚定信念，打好意识形态“主动战”；加强监管，管控舆论，筑牢意识形态“主阵地”。</w:t>
      </w:r>
      <w:r>
        <w:rPr>
          <w:rFonts w:hint="eastAsia" w:ascii="楷体" w:hAnsi="楷体" w:eastAsia="楷体" w:cs="楷体"/>
          <w:b/>
          <w:bCs/>
          <w:sz w:val="32"/>
          <w:szCs w:val="32"/>
        </w:rPr>
        <w:t>扎实推进“五化”建设，规范党支部管理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管理服务精细化、工作制度体系化、阵地建设规范化、强化政治引领，创建“三表率一模范”机关。</w:t>
      </w:r>
    </w:p>
    <w:p w14:paraId="4F25748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3FDFC4B3">
      <w:pPr>
        <w:bidi w:val="0"/>
        <w:spacing w:line="240" w:lineRule="auto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1.在生活垃圾处理费收取上：</w:t>
      </w:r>
      <w:r>
        <w:rPr>
          <w:rFonts w:hint="eastAsia" w:ascii="仿宋" w:hAnsi="仿宋" w:eastAsia="仿宋" w:cs="仿宋"/>
          <w:sz w:val="32"/>
          <w:szCs w:val="32"/>
        </w:rPr>
        <w:t>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在市政务中心设立了基建污染费收费窗口，安排专人收费，由于没有强制措施约束土建施工单位办理报建手续，收费额度偏低；②部分小街巷单位、门店存在物业、环卫工人私自接洽业务收费现象，</w:t>
      </w:r>
      <w:r>
        <w:rPr>
          <w:rFonts w:hint="eastAsia" w:ascii="仿宋" w:hAnsi="仿宋" w:eastAsia="仿宋" w:cs="仿宋"/>
          <w:sz w:val="32"/>
          <w:szCs w:val="32"/>
        </w:rPr>
        <w:t>望岳路、湘北大道、湖滨大道等原城乡结合部道路两侧单位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门店多次上门协调，仍拒缴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、少缴生活</w:t>
      </w:r>
      <w:r>
        <w:rPr>
          <w:rFonts w:hint="eastAsia" w:ascii="仿宋" w:hAnsi="仿宋" w:eastAsia="仿宋" w:cs="仿宋"/>
          <w:sz w:val="32"/>
          <w:szCs w:val="32"/>
        </w:rPr>
        <w:t>垃圾处理费，制约措施不力；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③</w:t>
      </w:r>
      <w:r>
        <w:rPr>
          <w:rFonts w:hint="eastAsia" w:ascii="仿宋" w:hAnsi="仿宋" w:eastAsia="仿宋" w:cs="仿宋"/>
          <w:sz w:val="32"/>
          <w:szCs w:val="32"/>
        </w:rPr>
        <w:t>三轮车收费对象为移动目标、弱势群体，强制拦车、追车极不安全，绝大部分车主是农民进城务工，收费文件很难解释，对缴纳生活垃圾处理费不理解、不支持。</w:t>
      </w:r>
    </w:p>
    <w:p w14:paraId="5F426526">
      <w:pPr>
        <w:bidi w:val="0"/>
        <w:spacing w:line="240" w:lineRule="auto"/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2.在生活垃圾转运上：</w:t>
      </w:r>
      <w:r>
        <w:rPr>
          <w:rFonts w:hint="eastAsia" w:ascii="仿宋" w:hAnsi="仿宋" w:eastAsia="仿宋" w:cs="仿宋"/>
          <w:sz w:val="32"/>
          <w:szCs w:val="32"/>
        </w:rPr>
        <w:t>①建筑、装修、装饰等非生活垃圾不能入站，无倾倒场所；②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市中心城区逐步推行生活垃圾分类，增加垃圾转运频次，转运成本增加；</w:t>
      </w:r>
      <w:r>
        <w:rPr>
          <w:rFonts w:hint="eastAsia" w:ascii="仿宋" w:hAnsi="仿宋" w:eastAsia="仿宋" w:cs="仿宋"/>
          <w:sz w:val="32"/>
          <w:szCs w:val="32"/>
        </w:rPr>
        <w:t>③单位管理的垃圾转运车辆仅2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台，转运员自带垃圾运输车34台，密闭化措施不力，文明程度不高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，急需采购垃圾转运车辆，逐步淘汰自带车辆</w:t>
      </w:r>
      <w:r>
        <w:rPr>
          <w:rFonts w:hint="eastAsia" w:ascii="仿宋" w:hAnsi="仿宋" w:eastAsia="仿宋" w:cs="仿宋"/>
          <w:sz w:val="32"/>
          <w:szCs w:val="32"/>
        </w:rPr>
        <w:t>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④</w:t>
      </w:r>
      <w:r>
        <w:rPr>
          <w:rFonts w:hint="eastAsia" w:ascii="仿宋" w:hAnsi="仿宋" w:eastAsia="仿宋" w:cs="仿宋"/>
          <w:sz w:val="32"/>
          <w:szCs w:val="32"/>
        </w:rPr>
        <w:t>机三轮、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小四轮</w:t>
      </w:r>
      <w:r>
        <w:rPr>
          <w:rFonts w:hint="eastAsia" w:ascii="仿宋" w:hAnsi="仿宋" w:eastAsia="仿宋" w:cs="仿宋"/>
          <w:sz w:val="32"/>
          <w:szCs w:val="32"/>
        </w:rPr>
        <w:t>等转运员自带垃圾运输车，按现行保险额度，尽管督促驾驶员自行购买保险费300元/台，最大赔偿额度不足12万元，一旦发生重大安全事故，单位很难承担，存在重大安全隐患。</w:t>
      </w:r>
    </w:p>
    <w:p w14:paraId="0A69EC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 w14:paraId="483850AA">
      <w:pPr>
        <w:bidi w:val="0"/>
        <w:spacing w:line="240" w:lineRule="auto"/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以规范管理为目标，全面增强工作效能</w:t>
      </w:r>
    </w:p>
    <w:p w14:paraId="2D498959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按照区委、区政府及区直部门相关规定，</w:t>
      </w:r>
      <w:r>
        <w:rPr>
          <w:rFonts w:hint="eastAsia" w:ascii="仿宋" w:hAnsi="仿宋" w:eastAsia="仿宋" w:cs="仿宋"/>
          <w:sz w:val="32"/>
          <w:szCs w:val="32"/>
        </w:rPr>
        <w:t>进一步规范内部管理，健全各项内部管理规章制度，继续推行增收节支，基本形成制度管人、规范管事，实行常态化规范化管理，充分调动干部职工积极性，逐步增强工作效能。</w:t>
      </w:r>
    </w:p>
    <w:p w14:paraId="41984BE8">
      <w:pPr>
        <w:bidi w:val="0"/>
        <w:spacing w:line="240" w:lineRule="auto"/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、以创新收费为主线，全面增加费源费额</w:t>
      </w:r>
    </w:p>
    <w:p w14:paraId="1B26650C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全覆盖收取城市生活垃圾处理费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监管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对接市自来水公司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代征</w:t>
      </w:r>
      <w:r>
        <w:rPr>
          <w:rFonts w:hint="eastAsia" w:ascii="仿宋" w:hAnsi="仿宋" w:eastAsia="仿宋" w:cs="仿宋"/>
          <w:sz w:val="32"/>
          <w:szCs w:val="32"/>
        </w:rPr>
        <w:t>居民住户生活垃圾处理费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限定范围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标准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主动协调市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区政务中心代征基建污染费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提高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缴费</w:t>
      </w:r>
      <w:r>
        <w:rPr>
          <w:rFonts w:hint="eastAsia" w:ascii="仿宋" w:hAnsi="仿宋" w:eastAsia="仿宋" w:cs="仿宋"/>
          <w:sz w:val="32"/>
          <w:szCs w:val="32"/>
        </w:rPr>
        <w:t>额度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；主动协调市、区发改、财政部门，</w:t>
      </w:r>
      <w:r>
        <w:rPr>
          <w:rFonts w:hint="eastAsia" w:ascii="仿宋" w:hAnsi="仿宋" w:eastAsia="仿宋" w:cs="仿宋"/>
          <w:sz w:val="32"/>
          <w:szCs w:val="32"/>
        </w:rPr>
        <w:t>修订生活垃圾处理费收费文件，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优化收费项目、标准，</w:t>
      </w:r>
      <w:r>
        <w:rPr>
          <w:rFonts w:hint="eastAsia" w:ascii="仿宋" w:hAnsi="仿宋" w:eastAsia="仿宋" w:cs="仿宋"/>
          <w:sz w:val="32"/>
          <w:szCs w:val="32"/>
        </w:rPr>
        <w:t>确保应收尽收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 w14:paraId="15CABF68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在岳阳楼区、南湖新区范围内按路段全面排查收费盲点盲区，紧盯新建道路、新建小区、新建门店及新增培训场所、售楼部、网咖，克服懈怠思想，积极主动出击，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联动办事处、社区，</w:t>
      </w:r>
      <w:r>
        <w:rPr>
          <w:rFonts w:hint="eastAsia" w:ascii="仿宋" w:hAnsi="仿宋" w:eastAsia="仿宋" w:cs="仿宋"/>
          <w:sz w:val="32"/>
          <w:szCs w:val="32"/>
        </w:rPr>
        <w:t>创新方式方法，全面增加费源费额。</w:t>
      </w:r>
    </w:p>
    <w:p w14:paraId="7684F300">
      <w:pPr>
        <w:bidi w:val="0"/>
        <w:spacing w:line="240" w:lineRule="auto"/>
        <w:ind w:firstLine="640" w:firstLineChars="200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、以安全生产为基石，全面确保和谐稳定</w:t>
      </w:r>
    </w:p>
    <w:p w14:paraId="52B260CE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牢固树立“安全就是效益，隐患就是事故”理念，安全生产常抓不懈，采用宣传栏、宣传横幅、工作微信、作业现场、专家讲座等多种形式开展安全教育活动，定期不定期开展安全隐患排查，即时处置安全隐患。争取上级支持，分年度采购钩臂车、臂挂式自卸车，逐步淘汰自带机动三轮垃圾运输车，尽最大可能消除安全隐患。</w:t>
      </w:r>
    </w:p>
    <w:p w14:paraId="760C7778">
      <w:pPr>
        <w:bidi w:val="0"/>
        <w:spacing w:line="240" w:lineRule="auto"/>
        <w:ind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、以培训教育为手段，全面提升队伍素质</w:t>
      </w:r>
    </w:p>
    <w:p w14:paraId="364E7046">
      <w:pPr>
        <w:bidi w:val="0"/>
        <w:spacing w:line="240" w:lineRule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班子成员、中层骨干、行管人员定期组织学习、培训，从党的理论、法律法规、环卫行业质量标准与技术规范、工伤保险、安全生产、经济合同等分类别分批次学习培训；根据上级要求，按不同时间节点，组织党员分小组讨论、学习；聘请发改、财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、税务</w:t>
      </w:r>
      <w:r>
        <w:rPr>
          <w:rFonts w:hint="eastAsia" w:ascii="仿宋" w:hAnsi="仿宋" w:eastAsia="仿宋" w:cs="仿宋"/>
          <w:sz w:val="32"/>
          <w:szCs w:val="32"/>
        </w:rPr>
        <w:t>部门相关专业人员集中授课，组织全体环卫收费员集中培训；所支委会、所长办公会、所务会不定期组织学习政策性法律法规以及区委、区政府相关管理规定，强制性学习与自学相结合，理论与实践相结合，全面提升干部职工综合素质。</w:t>
      </w:r>
    </w:p>
    <w:p w14:paraId="38E726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4EC3E7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 w14:paraId="5A56AB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 w14:paraId="33FCCD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 w14:paraId="3EA9EB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 w14:paraId="064E49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 w14:paraId="3A3E18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 w14:paraId="399F49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 w14:paraId="250F64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 w14:paraId="6F8B8C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 w14:paraId="34205AF0">
      <w:pPr>
        <w:spacing w:before="169" w:line="776" w:lineRule="exact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30D6D5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269824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943"/>
        <w:gridCol w:w="1032"/>
        <w:gridCol w:w="1725"/>
        <w:gridCol w:w="820"/>
        <w:gridCol w:w="1140"/>
        <w:gridCol w:w="685"/>
        <w:gridCol w:w="795"/>
        <w:gridCol w:w="1365"/>
      </w:tblGrid>
      <w:tr w14:paraId="091D70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6D762D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6B16F4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0048B7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运转类其他项目、特定类项目</w:t>
            </w:r>
          </w:p>
        </w:tc>
      </w:tr>
      <w:tr w14:paraId="74174E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52A362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74C93E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岳阳楼区城市管理考评督查中心</w:t>
            </w:r>
          </w:p>
        </w:tc>
        <w:tc>
          <w:tcPr>
            <w:tcW w:w="1140" w:type="dxa"/>
            <w:noWrap w:val="0"/>
            <w:vAlign w:val="center"/>
          </w:tcPr>
          <w:p w14:paraId="6FC098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3E9483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岳阳市市容环境卫生收费</w:t>
            </w:r>
          </w:p>
        </w:tc>
      </w:tr>
      <w:tr w14:paraId="6F12A3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25810F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01434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76B61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04F710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1975" w:type="dxa"/>
            <w:gridSpan w:val="2"/>
            <w:noWrap w:val="0"/>
            <w:vAlign w:val="center"/>
          </w:tcPr>
          <w:p w14:paraId="219906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noWrap w:val="0"/>
            <w:vAlign w:val="center"/>
          </w:tcPr>
          <w:p w14:paraId="6C2BBA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350C01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820" w:type="dxa"/>
            <w:noWrap w:val="0"/>
            <w:vAlign w:val="center"/>
          </w:tcPr>
          <w:p w14:paraId="5C2E94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9CB30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7166EA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460A07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41A3EE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33CEAB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5DE78F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381AEB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1B3C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5" w:type="dxa"/>
            <w:gridSpan w:val="2"/>
            <w:noWrap w:val="0"/>
            <w:vAlign w:val="center"/>
          </w:tcPr>
          <w:p w14:paraId="3C8C48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725" w:type="dxa"/>
            <w:noWrap w:val="0"/>
            <w:vAlign w:val="center"/>
          </w:tcPr>
          <w:p w14:paraId="4BC185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599.19</w:t>
            </w:r>
          </w:p>
        </w:tc>
        <w:tc>
          <w:tcPr>
            <w:tcW w:w="820" w:type="dxa"/>
            <w:noWrap w:val="0"/>
            <w:vAlign w:val="center"/>
          </w:tcPr>
          <w:p w14:paraId="3D7967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999.19</w:t>
            </w:r>
          </w:p>
        </w:tc>
        <w:tc>
          <w:tcPr>
            <w:tcW w:w="1140" w:type="dxa"/>
            <w:noWrap w:val="0"/>
            <w:vAlign w:val="center"/>
          </w:tcPr>
          <w:p w14:paraId="30B039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999.19</w:t>
            </w:r>
          </w:p>
        </w:tc>
        <w:tc>
          <w:tcPr>
            <w:tcW w:w="685" w:type="dxa"/>
            <w:noWrap w:val="0"/>
            <w:vAlign w:val="center"/>
          </w:tcPr>
          <w:p w14:paraId="17158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08B1EA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80%</w:t>
            </w:r>
          </w:p>
        </w:tc>
        <w:tc>
          <w:tcPr>
            <w:tcW w:w="1365" w:type="dxa"/>
            <w:noWrap w:val="0"/>
            <w:vAlign w:val="center"/>
          </w:tcPr>
          <w:p w14:paraId="6D53A7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</w:tr>
      <w:tr w14:paraId="5BB75D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1600E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5" w:type="dxa"/>
            <w:gridSpan w:val="2"/>
            <w:noWrap w:val="0"/>
            <w:vAlign w:val="center"/>
          </w:tcPr>
          <w:p w14:paraId="56D2E0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725" w:type="dxa"/>
            <w:noWrap w:val="0"/>
            <w:vAlign w:val="center"/>
          </w:tcPr>
          <w:p w14:paraId="1D4C93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938.19</w:t>
            </w:r>
          </w:p>
        </w:tc>
        <w:tc>
          <w:tcPr>
            <w:tcW w:w="820" w:type="dxa"/>
            <w:noWrap w:val="0"/>
            <w:vAlign w:val="center"/>
          </w:tcPr>
          <w:p w14:paraId="6F68E7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938.19</w:t>
            </w:r>
          </w:p>
        </w:tc>
        <w:tc>
          <w:tcPr>
            <w:tcW w:w="1140" w:type="dxa"/>
            <w:noWrap w:val="0"/>
            <w:vAlign w:val="center"/>
          </w:tcPr>
          <w:p w14:paraId="7715A4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938.19</w:t>
            </w:r>
          </w:p>
        </w:tc>
        <w:tc>
          <w:tcPr>
            <w:tcW w:w="685" w:type="dxa"/>
            <w:noWrap w:val="0"/>
            <w:vAlign w:val="center"/>
          </w:tcPr>
          <w:p w14:paraId="5B7A5E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1FEF70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6CC7A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945C5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5AE3F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5" w:type="dxa"/>
            <w:gridSpan w:val="2"/>
            <w:noWrap w:val="0"/>
            <w:vAlign w:val="center"/>
          </w:tcPr>
          <w:p w14:paraId="5FF318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725" w:type="dxa"/>
            <w:noWrap w:val="0"/>
            <w:vAlign w:val="center"/>
          </w:tcPr>
          <w:p w14:paraId="7E69A3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61</w:t>
            </w:r>
          </w:p>
        </w:tc>
        <w:tc>
          <w:tcPr>
            <w:tcW w:w="820" w:type="dxa"/>
            <w:noWrap w:val="0"/>
            <w:vAlign w:val="center"/>
          </w:tcPr>
          <w:p w14:paraId="1328A8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1E23CF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61</w:t>
            </w:r>
          </w:p>
        </w:tc>
        <w:tc>
          <w:tcPr>
            <w:tcW w:w="685" w:type="dxa"/>
            <w:noWrap w:val="0"/>
            <w:vAlign w:val="center"/>
          </w:tcPr>
          <w:p w14:paraId="2755CD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740694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56FCA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6121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5B39E3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5" w:type="dxa"/>
            <w:gridSpan w:val="2"/>
            <w:noWrap w:val="0"/>
            <w:vAlign w:val="center"/>
          </w:tcPr>
          <w:p w14:paraId="32F2BA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725" w:type="dxa"/>
            <w:noWrap w:val="0"/>
            <w:vAlign w:val="center"/>
          </w:tcPr>
          <w:p w14:paraId="64A4DF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0" w:type="dxa"/>
            <w:noWrap w:val="0"/>
            <w:vAlign w:val="center"/>
          </w:tcPr>
          <w:p w14:paraId="7AFBAC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ADD8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32882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D5D50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D7885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763A6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3004D5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5CF191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76D2F1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0D6FC1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1CE21A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473337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476C1C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1.环卫收费收入完成780万元。</w:t>
            </w:r>
          </w:p>
          <w:p w14:paraId="2ABBCF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2.管辖范围、南湖新区范围放置的钩臂桶、塑料密封桶垃圾日产日清，内外洁净，垃圾容器完好。</w:t>
            </w:r>
          </w:p>
          <w:p w14:paraId="2B455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3.管辖范围垃圾屋、垃圾围垃圾日产日清，内外洁净，设施功能完好。</w:t>
            </w:r>
          </w:p>
          <w:p w14:paraId="65C0C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4.环卫设施、设备、车辆维修维护。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3F0D95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、突出主业，切实加强环卫收费工作。全年监管、对接市自来水公司，并水代征居民住户生活垃圾处理费2039万元；在市政务中心设立基建污染费窗口，安排专人收取基建污染费116万元；充分利用收费政策，保费源、增费额，上门收取未并水部分生活垃圾处理费878万元（超额完成98万元）。</w:t>
            </w:r>
          </w:p>
          <w:p w14:paraId="207BE1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、严格标准，持续提升市容卫生质量。坚持对岳阳楼区、南湖新区范围生活垃圾转运日产日清、规范入站，全年转运入站生活垃圾12.8万吨；在设备清洗上，安排2台清洗车，每天对205只钩臂桶、860余只塑料密封桶进行精细清洗，及时维修、更换损毁破旧垃圾容器，长期保持垃圾容器完好整洁。在考评考核上，采取每日巡查方式，发现的问题要求立即整改，压实工作责任。在设施设备维护上，年初制订设备车辆维修维护计划，定期维护保养，对车况差、维修频次高、维修费用高的车辆重点维修。</w:t>
            </w:r>
          </w:p>
        </w:tc>
      </w:tr>
      <w:tr w14:paraId="63F0A9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16CBAF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943" w:type="dxa"/>
            <w:noWrap w:val="0"/>
            <w:vAlign w:val="center"/>
          </w:tcPr>
          <w:p w14:paraId="73C36C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32" w:type="dxa"/>
            <w:noWrap w:val="0"/>
            <w:vAlign w:val="center"/>
          </w:tcPr>
          <w:p w14:paraId="4FED44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725" w:type="dxa"/>
            <w:noWrap w:val="0"/>
            <w:vAlign w:val="center"/>
          </w:tcPr>
          <w:p w14:paraId="4185CC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820" w:type="dxa"/>
            <w:noWrap w:val="0"/>
            <w:vAlign w:val="center"/>
          </w:tcPr>
          <w:p w14:paraId="5D8D4A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358FBF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5DCD50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27469D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1DFD43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12159A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42E32A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4C0C70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96808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restart"/>
            <w:tcBorders>
              <w:bottom w:val="nil"/>
            </w:tcBorders>
            <w:noWrap w:val="0"/>
            <w:vAlign w:val="center"/>
          </w:tcPr>
          <w:p w14:paraId="3EBAAD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5CEA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06EE9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5C3FB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2528F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25A01B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32" w:type="dxa"/>
            <w:vMerge w:val="restart"/>
            <w:tcBorders>
              <w:bottom w:val="nil"/>
            </w:tcBorders>
            <w:noWrap w:val="0"/>
            <w:vAlign w:val="center"/>
          </w:tcPr>
          <w:p w14:paraId="158D76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725" w:type="dxa"/>
            <w:noWrap w:val="0"/>
            <w:vAlign w:val="center"/>
          </w:tcPr>
          <w:p w14:paraId="08FD2C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上门征收部分生活垃圾处理费</w:t>
            </w:r>
          </w:p>
        </w:tc>
        <w:tc>
          <w:tcPr>
            <w:tcW w:w="820" w:type="dxa"/>
            <w:noWrap w:val="0"/>
            <w:vAlign w:val="center"/>
          </w:tcPr>
          <w:p w14:paraId="090BB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780万</w:t>
            </w:r>
          </w:p>
        </w:tc>
        <w:tc>
          <w:tcPr>
            <w:tcW w:w="1140" w:type="dxa"/>
            <w:noWrap w:val="0"/>
            <w:vAlign w:val="center"/>
          </w:tcPr>
          <w:p w14:paraId="4C209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878万</w:t>
            </w:r>
          </w:p>
        </w:tc>
        <w:tc>
          <w:tcPr>
            <w:tcW w:w="685" w:type="dxa"/>
            <w:noWrap w:val="0"/>
            <w:vAlign w:val="center"/>
          </w:tcPr>
          <w:p w14:paraId="01DDD7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 w14:paraId="15968C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 w14:paraId="090DAC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C1D2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59070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6DACA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ADF62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noWrap w:val="0"/>
            <w:vAlign w:val="center"/>
          </w:tcPr>
          <w:p w14:paraId="5279177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全年转运入站生活垃圾</w:t>
            </w:r>
          </w:p>
        </w:tc>
        <w:tc>
          <w:tcPr>
            <w:tcW w:w="820" w:type="dxa"/>
            <w:noWrap w:val="0"/>
            <w:vAlign w:val="center"/>
          </w:tcPr>
          <w:p w14:paraId="43910F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12.8万吨</w:t>
            </w:r>
          </w:p>
        </w:tc>
        <w:tc>
          <w:tcPr>
            <w:tcW w:w="1140" w:type="dxa"/>
            <w:noWrap w:val="0"/>
            <w:vAlign w:val="center"/>
          </w:tcPr>
          <w:p w14:paraId="19A9F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12.8万吨</w:t>
            </w:r>
          </w:p>
        </w:tc>
        <w:tc>
          <w:tcPr>
            <w:tcW w:w="685" w:type="dxa"/>
            <w:noWrap w:val="0"/>
            <w:vAlign w:val="center"/>
          </w:tcPr>
          <w:p w14:paraId="06D3E3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 w14:paraId="550BA7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 w14:paraId="6A0E78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D61F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A0C44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B50FD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continue"/>
            <w:tcBorders>
              <w:top w:val="nil"/>
            </w:tcBorders>
            <w:noWrap w:val="0"/>
            <w:vAlign w:val="center"/>
          </w:tcPr>
          <w:p w14:paraId="72D32B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noWrap w:val="0"/>
            <w:vAlign w:val="center"/>
          </w:tcPr>
          <w:p w14:paraId="6657FA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清洗垃圾容器车辆</w:t>
            </w:r>
          </w:p>
        </w:tc>
        <w:tc>
          <w:tcPr>
            <w:tcW w:w="820" w:type="dxa"/>
            <w:noWrap w:val="0"/>
            <w:vAlign w:val="center"/>
          </w:tcPr>
          <w:p w14:paraId="4546D0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2台</w:t>
            </w:r>
          </w:p>
        </w:tc>
        <w:tc>
          <w:tcPr>
            <w:tcW w:w="1140" w:type="dxa"/>
            <w:noWrap w:val="0"/>
            <w:vAlign w:val="center"/>
          </w:tcPr>
          <w:p w14:paraId="16F77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2台</w:t>
            </w:r>
          </w:p>
        </w:tc>
        <w:tc>
          <w:tcPr>
            <w:tcW w:w="685" w:type="dxa"/>
            <w:noWrap w:val="0"/>
            <w:vAlign w:val="center"/>
          </w:tcPr>
          <w:p w14:paraId="6990E6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95" w:type="dxa"/>
            <w:noWrap w:val="0"/>
            <w:vAlign w:val="center"/>
          </w:tcPr>
          <w:p w14:paraId="7106D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65" w:type="dxa"/>
            <w:noWrap w:val="0"/>
            <w:vAlign w:val="center"/>
          </w:tcPr>
          <w:p w14:paraId="47E67B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AC3D9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F4175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CDFFC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032" w:type="dxa"/>
            <w:vMerge w:val="continue"/>
            <w:tcBorders>
              <w:top w:val="nil"/>
            </w:tcBorders>
            <w:noWrap w:val="0"/>
            <w:vAlign w:val="center"/>
          </w:tcPr>
          <w:p w14:paraId="1AB0C0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725" w:type="dxa"/>
            <w:noWrap w:val="0"/>
            <w:vAlign w:val="center"/>
          </w:tcPr>
          <w:p w14:paraId="284076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清洗垃圾运输车辆设备</w:t>
            </w:r>
          </w:p>
        </w:tc>
        <w:tc>
          <w:tcPr>
            <w:tcW w:w="820" w:type="dxa"/>
            <w:noWrap w:val="0"/>
            <w:vAlign w:val="center"/>
          </w:tcPr>
          <w:p w14:paraId="67CB3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1台</w:t>
            </w:r>
          </w:p>
        </w:tc>
        <w:tc>
          <w:tcPr>
            <w:tcW w:w="1140" w:type="dxa"/>
            <w:noWrap w:val="0"/>
            <w:vAlign w:val="center"/>
          </w:tcPr>
          <w:p w14:paraId="6484EC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1台</w:t>
            </w:r>
          </w:p>
        </w:tc>
        <w:tc>
          <w:tcPr>
            <w:tcW w:w="685" w:type="dxa"/>
            <w:noWrap w:val="0"/>
            <w:vAlign w:val="center"/>
          </w:tcPr>
          <w:p w14:paraId="0E37CD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95" w:type="dxa"/>
            <w:noWrap w:val="0"/>
            <w:vAlign w:val="center"/>
          </w:tcPr>
          <w:p w14:paraId="7F1D6B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65" w:type="dxa"/>
            <w:noWrap w:val="0"/>
            <w:vAlign w:val="center"/>
          </w:tcPr>
          <w:p w14:paraId="18AB9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</w:tr>
      <w:tr w14:paraId="7BEF6C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3053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19B9B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032" w:type="dxa"/>
            <w:vMerge w:val="continue"/>
            <w:tcBorders>
              <w:top w:val="nil"/>
            </w:tcBorders>
            <w:noWrap w:val="0"/>
            <w:vAlign w:val="center"/>
          </w:tcPr>
          <w:p w14:paraId="7038B4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725" w:type="dxa"/>
            <w:noWrap w:val="0"/>
            <w:vAlign w:val="center"/>
          </w:tcPr>
          <w:p w14:paraId="49F114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车辆维修维护</w:t>
            </w:r>
          </w:p>
        </w:tc>
        <w:tc>
          <w:tcPr>
            <w:tcW w:w="820" w:type="dxa"/>
            <w:noWrap w:val="0"/>
            <w:vAlign w:val="center"/>
          </w:tcPr>
          <w:p w14:paraId="2CC83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27台</w:t>
            </w:r>
          </w:p>
        </w:tc>
        <w:tc>
          <w:tcPr>
            <w:tcW w:w="1140" w:type="dxa"/>
            <w:noWrap w:val="0"/>
            <w:vAlign w:val="center"/>
          </w:tcPr>
          <w:p w14:paraId="5B5CC9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27台</w:t>
            </w:r>
          </w:p>
        </w:tc>
        <w:tc>
          <w:tcPr>
            <w:tcW w:w="685" w:type="dxa"/>
            <w:noWrap w:val="0"/>
            <w:vAlign w:val="center"/>
          </w:tcPr>
          <w:p w14:paraId="431F30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95" w:type="dxa"/>
            <w:noWrap w:val="0"/>
            <w:vAlign w:val="center"/>
          </w:tcPr>
          <w:p w14:paraId="4D93AE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65" w:type="dxa"/>
            <w:noWrap w:val="0"/>
            <w:vAlign w:val="center"/>
          </w:tcPr>
          <w:p w14:paraId="262D44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</w:tr>
      <w:tr w14:paraId="748520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607BF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61704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032" w:type="dxa"/>
            <w:vMerge w:val="continue"/>
            <w:tcBorders>
              <w:top w:val="nil"/>
            </w:tcBorders>
            <w:noWrap w:val="0"/>
            <w:vAlign w:val="center"/>
          </w:tcPr>
          <w:p w14:paraId="0BE97C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725" w:type="dxa"/>
            <w:noWrap w:val="0"/>
            <w:vAlign w:val="center"/>
          </w:tcPr>
          <w:p w14:paraId="796054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更换损毁破损旧塑料密封桶</w:t>
            </w:r>
          </w:p>
        </w:tc>
        <w:tc>
          <w:tcPr>
            <w:tcW w:w="820" w:type="dxa"/>
            <w:noWrap w:val="0"/>
            <w:vAlign w:val="center"/>
          </w:tcPr>
          <w:p w14:paraId="34C212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210只</w:t>
            </w:r>
          </w:p>
        </w:tc>
        <w:tc>
          <w:tcPr>
            <w:tcW w:w="1140" w:type="dxa"/>
            <w:noWrap w:val="0"/>
            <w:vAlign w:val="center"/>
          </w:tcPr>
          <w:p w14:paraId="3E393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210只</w:t>
            </w:r>
          </w:p>
        </w:tc>
        <w:tc>
          <w:tcPr>
            <w:tcW w:w="685" w:type="dxa"/>
            <w:noWrap w:val="0"/>
            <w:vAlign w:val="center"/>
          </w:tcPr>
          <w:p w14:paraId="2DE3D0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95" w:type="dxa"/>
            <w:noWrap w:val="0"/>
            <w:vAlign w:val="center"/>
          </w:tcPr>
          <w:p w14:paraId="6177E9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65" w:type="dxa"/>
            <w:noWrap w:val="0"/>
            <w:vAlign w:val="center"/>
          </w:tcPr>
          <w:p w14:paraId="7C451C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</w:tr>
      <w:tr w14:paraId="7AF3A9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D4CF7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A56A6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032" w:type="dxa"/>
            <w:vMerge w:val="continue"/>
            <w:tcBorders>
              <w:top w:val="nil"/>
            </w:tcBorders>
            <w:noWrap w:val="0"/>
            <w:vAlign w:val="center"/>
          </w:tcPr>
          <w:p w14:paraId="228D22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725" w:type="dxa"/>
            <w:noWrap w:val="0"/>
            <w:vAlign w:val="center"/>
          </w:tcPr>
          <w:p w14:paraId="561F74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维修维护铁质、不锈钢钩臂桶</w:t>
            </w:r>
          </w:p>
        </w:tc>
        <w:tc>
          <w:tcPr>
            <w:tcW w:w="820" w:type="dxa"/>
            <w:noWrap w:val="0"/>
            <w:vAlign w:val="center"/>
          </w:tcPr>
          <w:p w14:paraId="6FB4B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205只</w:t>
            </w:r>
          </w:p>
        </w:tc>
        <w:tc>
          <w:tcPr>
            <w:tcW w:w="1140" w:type="dxa"/>
            <w:noWrap w:val="0"/>
            <w:vAlign w:val="center"/>
          </w:tcPr>
          <w:p w14:paraId="12C75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205只</w:t>
            </w:r>
          </w:p>
        </w:tc>
        <w:tc>
          <w:tcPr>
            <w:tcW w:w="685" w:type="dxa"/>
            <w:noWrap w:val="0"/>
            <w:vAlign w:val="center"/>
          </w:tcPr>
          <w:p w14:paraId="21233A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95" w:type="dxa"/>
            <w:noWrap w:val="0"/>
            <w:vAlign w:val="center"/>
          </w:tcPr>
          <w:p w14:paraId="096158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65" w:type="dxa"/>
            <w:noWrap w:val="0"/>
            <w:vAlign w:val="center"/>
          </w:tcPr>
          <w:p w14:paraId="300084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</w:tr>
      <w:tr w14:paraId="4FF30C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</w:trPr>
        <w:tc>
          <w:tcPr>
            <w:tcW w:w="1075" w:type="dxa"/>
            <w:vMerge w:val="continue"/>
            <w:tcBorders>
              <w:bottom w:val="nil"/>
            </w:tcBorders>
            <w:noWrap w:val="0"/>
            <w:textDirection w:val="tbRlV"/>
            <w:vAlign w:val="center"/>
          </w:tcPr>
          <w:p w14:paraId="2B976F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943" w:type="dxa"/>
            <w:vMerge w:val="continue"/>
            <w:tcBorders>
              <w:bottom w:val="nil"/>
            </w:tcBorders>
            <w:noWrap w:val="0"/>
            <w:vAlign w:val="center"/>
          </w:tcPr>
          <w:p w14:paraId="4D178B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032" w:type="dxa"/>
            <w:vMerge w:val="continue"/>
            <w:noWrap w:val="0"/>
            <w:vAlign w:val="center"/>
          </w:tcPr>
          <w:p w14:paraId="3160E6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  <w:tc>
          <w:tcPr>
            <w:tcW w:w="1725" w:type="dxa"/>
            <w:noWrap w:val="0"/>
            <w:vAlign w:val="center"/>
          </w:tcPr>
          <w:p w14:paraId="0D003B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维修维护塑料密封桶</w:t>
            </w:r>
          </w:p>
        </w:tc>
        <w:tc>
          <w:tcPr>
            <w:tcW w:w="820" w:type="dxa"/>
            <w:noWrap w:val="0"/>
            <w:vAlign w:val="center"/>
          </w:tcPr>
          <w:p w14:paraId="18A58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860余只</w:t>
            </w:r>
          </w:p>
        </w:tc>
        <w:tc>
          <w:tcPr>
            <w:tcW w:w="1140" w:type="dxa"/>
            <w:noWrap w:val="0"/>
            <w:vAlign w:val="center"/>
          </w:tcPr>
          <w:p w14:paraId="6F7154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860余只</w:t>
            </w:r>
          </w:p>
        </w:tc>
        <w:tc>
          <w:tcPr>
            <w:tcW w:w="685" w:type="dxa"/>
            <w:noWrap w:val="0"/>
            <w:vAlign w:val="center"/>
          </w:tcPr>
          <w:p w14:paraId="5BC606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795" w:type="dxa"/>
            <w:noWrap w:val="0"/>
            <w:vAlign w:val="center"/>
          </w:tcPr>
          <w:p w14:paraId="624E6C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365" w:type="dxa"/>
            <w:noWrap w:val="0"/>
            <w:vAlign w:val="center"/>
          </w:tcPr>
          <w:p w14:paraId="7939EE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</w:pPr>
          </w:p>
        </w:tc>
      </w:tr>
      <w:tr w14:paraId="34BF42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8CE8B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7426D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restart"/>
            <w:tcBorders>
              <w:bottom w:val="nil"/>
            </w:tcBorders>
            <w:noWrap w:val="0"/>
            <w:vAlign w:val="center"/>
          </w:tcPr>
          <w:p w14:paraId="305F74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725" w:type="dxa"/>
            <w:noWrap w:val="0"/>
            <w:vAlign w:val="center"/>
          </w:tcPr>
          <w:p w14:paraId="4D4AD2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环卫收费任务完成率</w:t>
            </w:r>
          </w:p>
        </w:tc>
        <w:tc>
          <w:tcPr>
            <w:tcW w:w="820" w:type="dxa"/>
            <w:noWrap w:val="0"/>
            <w:vAlign w:val="center"/>
          </w:tcPr>
          <w:p w14:paraId="5BA29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1140" w:type="dxa"/>
            <w:noWrap w:val="0"/>
            <w:vAlign w:val="center"/>
          </w:tcPr>
          <w:p w14:paraId="3A7A03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112.56%</w:t>
            </w:r>
          </w:p>
        </w:tc>
        <w:tc>
          <w:tcPr>
            <w:tcW w:w="685" w:type="dxa"/>
            <w:noWrap w:val="0"/>
            <w:vAlign w:val="center"/>
          </w:tcPr>
          <w:p w14:paraId="1BA75C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288206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603A07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65032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DE4D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AF7A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B98EB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noWrap w:val="0"/>
            <w:vAlign w:val="center"/>
          </w:tcPr>
          <w:p w14:paraId="1E4D8B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垃圾转运率</w:t>
            </w:r>
          </w:p>
        </w:tc>
        <w:tc>
          <w:tcPr>
            <w:tcW w:w="820" w:type="dxa"/>
            <w:noWrap w:val="0"/>
            <w:vAlign w:val="center"/>
          </w:tcPr>
          <w:p w14:paraId="4A34F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1140" w:type="dxa"/>
            <w:noWrap w:val="0"/>
            <w:vAlign w:val="center"/>
          </w:tcPr>
          <w:p w14:paraId="25768A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685" w:type="dxa"/>
            <w:noWrap w:val="0"/>
            <w:vAlign w:val="center"/>
          </w:tcPr>
          <w:p w14:paraId="7CD2F1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1735B7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452089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7BEF6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20AA4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47230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continue"/>
            <w:tcBorders>
              <w:top w:val="nil"/>
            </w:tcBorders>
            <w:noWrap w:val="0"/>
            <w:vAlign w:val="center"/>
          </w:tcPr>
          <w:p w14:paraId="67C802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noWrap w:val="0"/>
            <w:vAlign w:val="center"/>
          </w:tcPr>
          <w:p w14:paraId="24B0B7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环卫设施设备完好率</w:t>
            </w:r>
          </w:p>
        </w:tc>
        <w:tc>
          <w:tcPr>
            <w:tcW w:w="820" w:type="dxa"/>
            <w:noWrap w:val="0"/>
            <w:vAlign w:val="center"/>
          </w:tcPr>
          <w:p w14:paraId="07E5E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40" w:type="dxa"/>
            <w:noWrap w:val="0"/>
            <w:vAlign w:val="center"/>
          </w:tcPr>
          <w:p w14:paraId="502D8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685" w:type="dxa"/>
            <w:noWrap w:val="0"/>
            <w:vAlign w:val="center"/>
          </w:tcPr>
          <w:p w14:paraId="0CA73B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5D1704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627421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64401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30C74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29213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restart"/>
            <w:tcBorders>
              <w:bottom w:val="nil"/>
            </w:tcBorders>
            <w:noWrap w:val="0"/>
            <w:vAlign w:val="center"/>
          </w:tcPr>
          <w:p w14:paraId="6CAE32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725" w:type="dxa"/>
            <w:noWrap w:val="0"/>
            <w:vAlign w:val="center"/>
          </w:tcPr>
          <w:p w14:paraId="27F3C3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收费工作完成时间</w:t>
            </w:r>
          </w:p>
        </w:tc>
        <w:tc>
          <w:tcPr>
            <w:tcW w:w="820" w:type="dxa"/>
            <w:noWrap w:val="0"/>
            <w:vAlign w:val="center"/>
          </w:tcPr>
          <w:p w14:paraId="6584A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12月31日</w:t>
            </w:r>
          </w:p>
        </w:tc>
        <w:tc>
          <w:tcPr>
            <w:tcW w:w="1140" w:type="dxa"/>
            <w:noWrap w:val="0"/>
            <w:vAlign w:val="center"/>
          </w:tcPr>
          <w:p w14:paraId="4D155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12月31日</w:t>
            </w:r>
          </w:p>
        </w:tc>
        <w:tc>
          <w:tcPr>
            <w:tcW w:w="685" w:type="dxa"/>
            <w:noWrap w:val="0"/>
            <w:vAlign w:val="center"/>
          </w:tcPr>
          <w:p w14:paraId="4EF944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38578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5B51B4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FD5FB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D62A2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80B59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B94A3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noWrap w:val="0"/>
            <w:vAlign w:val="center"/>
          </w:tcPr>
          <w:p w14:paraId="2E9185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垃圾转运及清洗作业：每天坚持对主干道两侧、公共区域垃圾屋、垃圾分类点及委托转运企事业单位、学校、医院、宾馆、门店生活垃圾彻底转运</w:t>
            </w:r>
          </w:p>
        </w:tc>
        <w:tc>
          <w:tcPr>
            <w:tcW w:w="820" w:type="dxa"/>
            <w:noWrap w:val="0"/>
            <w:vAlign w:val="center"/>
          </w:tcPr>
          <w:p w14:paraId="75EE8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每天</w:t>
            </w:r>
          </w:p>
        </w:tc>
        <w:tc>
          <w:tcPr>
            <w:tcW w:w="1140" w:type="dxa"/>
            <w:noWrap w:val="0"/>
            <w:vAlign w:val="center"/>
          </w:tcPr>
          <w:p w14:paraId="5AB48A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每天</w:t>
            </w:r>
          </w:p>
        </w:tc>
        <w:tc>
          <w:tcPr>
            <w:tcW w:w="685" w:type="dxa"/>
            <w:noWrap w:val="0"/>
            <w:vAlign w:val="center"/>
          </w:tcPr>
          <w:p w14:paraId="6218E3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260589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6C3EFA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9B642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8CF7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91D7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tcBorders>
              <w:bottom w:val="nil"/>
            </w:tcBorders>
            <w:noWrap w:val="0"/>
            <w:vAlign w:val="center"/>
          </w:tcPr>
          <w:p w14:paraId="22F5BC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725" w:type="dxa"/>
            <w:noWrap w:val="0"/>
            <w:vAlign w:val="center"/>
          </w:tcPr>
          <w:p w14:paraId="1F4F1D3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不超过预算投入</w:t>
            </w:r>
          </w:p>
        </w:tc>
        <w:tc>
          <w:tcPr>
            <w:tcW w:w="820" w:type="dxa"/>
            <w:noWrap w:val="0"/>
            <w:vAlign w:val="center"/>
          </w:tcPr>
          <w:p w14:paraId="227D4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1867.3万</w:t>
            </w:r>
          </w:p>
        </w:tc>
        <w:tc>
          <w:tcPr>
            <w:tcW w:w="1140" w:type="dxa"/>
            <w:noWrap w:val="0"/>
            <w:vAlign w:val="center"/>
          </w:tcPr>
          <w:p w14:paraId="322C2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1753.06万</w:t>
            </w:r>
          </w:p>
        </w:tc>
        <w:tc>
          <w:tcPr>
            <w:tcW w:w="685" w:type="dxa"/>
            <w:noWrap w:val="0"/>
            <w:vAlign w:val="center"/>
          </w:tcPr>
          <w:p w14:paraId="7D5CC6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16963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6349A1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left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成本控制良好，因编内人员退休及调出的情况，导致人员经费实际支出低于预算指标。</w:t>
            </w:r>
          </w:p>
        </w:tc>
      </w:tr>
      <w:tr w14:paraId="6C9DC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EA97F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restart"/>
            <w:tcBorders>
              <w:bottom w:val="nil"/>
            </w:tcBorders>
            <w:noWrap w:val="0"/>
            <w:vAlign w:val="center"/>
          </w:tcPr>
          <w:p w14:paraId="1B4933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78FE6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A950D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A851E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50707E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32" w:type="dxa"/>
            <w:tcBorders>
              <w:bottom w:val="nil"/>
            </w:tcBorders>
            <w:noWrap w:val="0"/>
            <w:vAlign w:val="center"/>
          </w:tcPr>
          <w:p w14:paraId="714B87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267F7A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725" w:type="dxa"/>
            <w:noWrap w:val="0"/>
            <w:vAlign w:val="center"/>
          </w:tcPr>
          <w:p w14:paraId="72461C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非税收入指标</w:t>
            </w:r>
          </w:p>
        </w:tc>
        <w:tc>
          <w:tcPr>
            <w:tcW w:w="820" w:type="dxa"/>
            <w:noWrap w:val="0"/>
            <w:vAlign w:val="center"/>
          </w:tcPr>
          <w:p w14:paraId="63239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780万</w:t>
            </w:r>
          </w:p>
        </w:tc>
        <w:tc>
          <w:tcPr>
            <w:tcW w:w="1140" w:type="dxa"/>
            <w:noWrap w:val="0"/>
            <w:vAlign w:val="center"/>
          </w:tcPr>
          <w:p w14:paraId="2EDF3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878万</w:t>
            </w:r>
          </w:p>
        </w:tc>
        <w:tc>
          <w:tcPr>
            <w:tcW w:w="685" w:type="dxa"/>
            <w:noWrap w:val="0"/>
            <w:vAlign w:val="center"/>
          </w:tcPr>
          <w:p w14:paraId="02C8A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6B9C0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675364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9160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4F20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A080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tcBorders>
              <w:bottom w:val="nil"/>
            </w:tcBorders>
            <w:noWrap w:val="0"/>
            <w:vAlign w:val="center"/>
          </w:tcPr>
          <w:p w14:paraId="6A9565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6692B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725" w:type="dxa"/>
            <w:noWrap w:val="0"/>
            <w:vAlign w:val="center"/>
          </w:tcPr>
          <w:p w14:paraId="7F1D19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国家卫生城市、全国文明城市检查及市级六区考评中，每天坚持垃圾转运彻底，垃圾容器清洗干净，收到上级领导的肯定及市民好评。</w:t>
            </w:r>
          </w:p>
        </w:tc>
        <w:tc>
          <w:tcPr>
            <w:tcW w:w="820" w:type="dxa"/>
            <w:noWrap w:val="0"/>
            <w:vAlign w:val="center"/>
          </w:tcPr>
          <w:p w14:paraId="22931D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40" w:type="dxa"/>
            <w:noWrap w:val="0"/>
            <w:vAlign w:val="center"/>
          </w:tcPr>
          <w:p w14:paraId="72AE2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685" w:type="dxa"/>
            <w:noWrap w:val="0"/>
            <w:vAlign w:val="center"/>
          </w:tcPr>
          <w:p w14:paraId="36D08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6D128E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7F968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E73D2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BEB6A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5E072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tcBorders>
              <w:bottom w:val="nil"/>
            </w:tcBorders>
            <w:noWrap w:val="0"/>
            <w:vAlign w:val="center"/>
          </w:tcPr>
          <w:p w14:paraId="427E66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4AA684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725" w:type="dxa"/>
            <w:noWrap w:val="0"/>
            <w:vAlign w:val="center"/>
          </w:tcPr>
          <w:p w14:paraId="6555B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企事业单位、学校、医院、宾馆、门店垃圾转运及时彻底，主干道、公共区域、办公、居民环境改善，臭气、蚊蝇滋生得到有效控制。</w:t>
            </w:r>
          </w:p>
        </w:tc>
        <w:tc>
          <w:tcPr>
            <w:tcW w:w="820" w:type="dxa"/>
            <w:noWrap w:val="0"/>
            <w:vAlign w:val="center"/>
          </w:tcPr>
          <w:p w14:paraId="56300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40" w:type="dxa"/>
            <w:noWrap w:val="0"/>
            <w:vAlign w:val="center"/>
          </w:tcPr>
          <w:p w14:paraId="4BC14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685" w:type="dxa"/>
            <w:noWrap w:val="0"/>
            <w:vAlign w:val="center"/>
          </w:tcPr>
          <w:p w14:paraId="1EFE6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3FB426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27F57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8E78C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0BDE7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B4792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restart"/>
            <w:tcBorders>
              <w:bottom w:val="nil"/>
            </w:tcBorders>
            <w:noWrap w:val="0"/>
            <w:vAlign w:val="center"/>
          </w:tcPr>
          <w:p w14:paraId="72AF14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4A3F5D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725" w:type="dxa"/>
            <w:noWrap w:val="0"/>
            <w:vAlign w:val="center"/>
          </w:tcPr>
          <w:p w14:paraId="247F4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生活垃圾处理费收取</w:t>
            </w:r>
          </w:p>
        </w:tc>
        <w:tc>
          <w:tcPr>
            <w:tcW w:w="820" w:type="dxa"/>
            <w:noWrap w:val="0"/>
            <w:vAlign w:val="center"/>
          </w:tcPr>
          <w:p w14:paraId="733BA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780万</w:t>
            </w:r>
          </w:p>
        </w:tc>
        <w:tc>
          <w:tcPr>
            <w:tcW w:w="1140" w:type="dxa"/>
            <w:noWrap w:val="0"/>
            <w:vAlign w:val="center"/>
          </w:tcPr>
          <w:p w14:paraId="059C8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878万</w:t>
            </w:r>
          </w:p>
        </w:tc>
        <w:tc>
          <w:tcPr>
            <w:tcW w:w="685" w:type="dxa"/>
            <w:noWrap w:val="0"/>
            <w:vAlign w:val="center"/>
          </w:tcPr>
          <w:p w14:paraId="186CEC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795" w:type="dxa"/>
            <w:noWrap w:val="0"/>
            <w:vAlign w:val="center"/>
          </w:tcPr>
          <w:p w14:paraId="14BD8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365" w:type="dxa"/>
            <w:noWrap w:val="0"/>
            <w:vAlign w:val="center"/>
          </w:tcPr>
          <w:p w14:paraId="6BBCC7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76351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A8048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B6D71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CA07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noWrap w:val="0"/>
            <w:vAlign w:val="center"/>
          </w:tcPr>
          <w:p w14:paraId="17AFA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办公、居住、生活环境改善</w:t>
            </w:r>
          </w:p>
        </w:tc>
        <w:tc>
          <w:tcPr>
            <w:tcW w:w="820" w:type="dxa"/>
            <w:noWrap w:val="0"/>
            <w:vAlign w:val="center"/>
          </w:tcPr>
          <w:p w14:paraId="6991F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1140" w:type="dxa"/>
            <w:noWrap w:val="0"/>
            <w:vAlign w:val="center"/>
          </w:tcPr>
          <w:p w14:paraId="07BFD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=100%</w:t>
            </w:r>
          </w:p>
        </w:tc>
        <w:tc>
          <w:tcPr>
            <w:tcW w:w="685" w:type="dxa"/>
            <w:noWrap w:val="0"/>
            <w:vAlign w:val="center"/>
          </w:tcPr>
          <w:p w14:paraId="1CD918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795" w:type="dxa"/>
            <w:noWrap w:val="0"/>
            <w:vAlign w:val="center"/>
          </w:tcPr>
          <w:p w14:paraId="7F7381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</w:t>
            </w:r>
          </w:p>
        </w:tc>
        <w:tc>
          <w:tcPr>
            <w:tcW w:w="1365" w:type="dxa"/>
            <w:noWrap w:val="0"/>
            <w:vAlign w:val="center"/>
          </w:tcPr>
          <w:p w14:paraId="5B943B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51B0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57402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43" w:type="dxa"/>
            <w:tcBorders>
              <w:bottom w:val="nil"/>
            </w:tcBorders>
            <w:noWrap w:val="0"/>
            <w:vAlign w:val="center"/>
          </w:tcPr>
          <w:p w14:paraId="4D7A77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E7E71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56C703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32" w:type="dxa"/>
            <w:tcBorders>
              <w:bottom w:val="nil"/>
            </w:tcBorders>
            <w:noWrap w:val="0"/>
            <w:vAlign w:val="center"/>
          </w:tcPr>
          <w:p w14:paraId="79A041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188361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09ED6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725" w:type="dxa"/>
            <w:noWrap w:val="0"/>
            <w:vAlign w:val="center"/>
          </w:tcPr>
          <w:p w14:paraId="4ED89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社会公众满意度指标</w:t>
            </w:r>
          </w:p>
        </w:tc>
        <w:tc>
          <w:tcPr>
            <w:tcW w:w="820" w:type="dxa"/>
            <w:noWrap w:val="0"/>
            <w:vAlign w:val="center"/>
          </w:tcPr>
          <w:p w14:paraId="49269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1140" w:type="dxa"/>
            <w:noWrap w:val="0"/>
            <w:vAlign w:val="center"/>
          </w:tcPr>
          <w:p w14:paraId="42D93E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≥95%</w:t>
            </w:r>
          </w:p>
        </w:tc>
        <w:tc>
          <w:tcPr>
            <w:tcW w:w="685" w:type="dxa"/>
            <w:noWrap w:val="0"/>
            <w:vAlign w:val="center"/>
          </w:tcPr>
          <w:p w14:paraId="1737F4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46424E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7FAB8E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53C3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50F253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5C8DE9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570CB4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365" w:type="dxa"/>
            <w:noWrap w:val="0"/>
            <w:vAlign w:val="center"/>
          </w:tcPr>
          <w:p w14:paraId="5DDF36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7709C219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6231A7DE">
      <w:pPr>
        <w:spacing w:before="75" w:line="230" w:lineRule="auto"/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eastAsia="zh-CN"/>
          <w14:textFill>
            <w14:solidFill>
              <w14:schemeClr w14:val="tx1"/>
            </w14:solidFill>
          </w14:textFill>
        </w:rPr>
        <w:t>陈烨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13973014185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38CD1343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2023年6月14日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018744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7F9551FC"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 w14:paraId="6F100EE0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5EB045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22664A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FD120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ABE1ED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BCEC4A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4AB603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BB1D9B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51C63A9B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545D3ED2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AB6C2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7F8D0E1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E4196B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0E3A1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75969F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676339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9DD32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207AB81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717666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B6FB2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6DC5F7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77379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4E3B715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63422C8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F5A93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0F46B7F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5674BFF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71AD8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4705D65D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4026B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8</w:t>
            </w:r>
          </w:p>
        </w:tc>
      </w:tr>
      <w:tr w14:paraId="6D8D5E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03715F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37488C4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79D30B4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A55D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7470CE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5F44EE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6896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7D7966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757738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8707A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27D2362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3C86B44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199B136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528D99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528CE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2B587A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BCD8F4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EC71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37E3427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4C7888F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6CC82A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B239C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34ADC8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9B960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B84C25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66A9F8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969CD5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98</w:t>
            </w:r>
          </w:p>
        </w:tc>
      </w:tr>
    </w:tbl>
    <w:p w14:paraId="2FFBCF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629896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30F47EC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30F47EC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B3609D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8ACFD5C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8ACFD5C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C5D51EB"/>
    <w:multiLevelType w:val="singleLevel"/>
    <w:tmpl w:val="DC5D51EB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10573B8C"/>
    <w:multiLevelType w:val="singleLevel"/>
    <w:tmpl w:val="10573B8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2OWU4YjY3ZDEyNGQyNDBkYjFhMGFlYTUwMTJkMmE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BF7A80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40F5B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B42ACD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CFB1F39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8713A0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2E1B18"/>
    <w:rsid w:val="103C47DA"/>
    <w:rsid w:val="103D5CB0"/>
    <w:rsid w:val="1043497A"/>
    <w:rsid w:val="104B6B58"/>
    <w:rsid w:val="105552F6"/>
    <w:rsid w:val="10815145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4D3443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3A0890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936C3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2D3ED9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093C0A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97744B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24190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77F28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DE2BEE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2E0E15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7406</Words>
  <Characters>8108</Characters>
  <Lines>0</Lines>
  <Paragraphs>0</Paragraphs>
  <TotalTime>8</TotalTime>
  <ScaleCrop>false</ScaleCrop>
  <LinksUpToDate>false</LinksUpToDate>
  <CharactersWithSpaces>8283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叶子</cp:lastModifiedBy>
  <cp:lastPrinted>2023-06-15T07:24:00Z</cp:lastPrinted>
  <dcterms:modified xsi:type="dcterms:W3CDTF">2024-06-28T03:19:44Z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D77D6CC41B8C4E1EB74F384625C6BD02_13</vt:lpwstr>
  </property>
</Properties>
</file>