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2022年度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rFonts w:ascii="Calibri" w:hAnsi="Calibri" w:eastAsia="宋体" w:cs="Times New Roman"/>
          <w:color w:val="000000"/>
        </w:rPr>
      </w:pPr>
    </w:p>
    <w:tbl>
      <w:tblPr>
        <w:tblStyle w:val="4"/>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default"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岳阳楼麻布山省级森林公园管理中心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2022年实际在职人数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232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2021年决算数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2022年预算数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pPr>
              <w:jc w:val="center"/>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13.75</w:t>
            </w:r>
          </w:p>
        </w:tc>
        <w:tc>
          <w:tcPr>
            <w:tcW w:w="2325" w:type="dxa"/>
            <w:gridSpan w:val="2"/>
            <w:noWrap w:val="0"/>
            <w:vAlign w:val="center"/>
          </w:tcPr>
          <w:p>
            <w:pPr>
              <w:jc w:val="center"/>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4.00</w:t>
            </w:r>
          </w:p>
        </w:tc>
        <w:tc>
          <w:tcPr>
            <w:tcW w:w="1679"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13.75</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pPr>
              <w:ind w:firstLine="709" w:firstLineChars="338"/>
              <w:jc w:val="both"/>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12.82</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0.93</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2325" w:type="dxa"/>
            <w:gridSpan w:val="2"/>
            <w:noWrap w:val="0"/>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pPr>
              <w:jc w:val="center"/>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33.00</w:t>
            </w:r>
          </w:p>
        </w:tc>
        <w:tc>
          <w:tcPr>
            <w:tcW w:w="2325" w:type="dxa"/>
            <w:gridSpan w:val="2"/>
            <w:noWrap w:val="0"/>
            <w:vAlign w:val="center"/>
          </w:tcPr>
          <w:p>
            <w:pPr>
              <w:jc w:val="center"/>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78.47</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b/>
                <w:bCs/>
                <w:color w:val="000000"/>
                <w:sz w:val="24"/>
                <w:szCs w:val="24"/>
                <w:lang w:val="en-US" w:eastAsia="zh-CN"/>
              </w:rPr>
              <w:t>78.32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29.00</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39.47</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级专项资金(一个专项一行)</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4"/>
                <w:szCs w:val="24"/>
              </w:rPr>
              <w:t>(一个专项一行</w:t>
            </w:r>
            <w:r>
              <w:rPr>
                <w:rFonts w:hint="eastAsia" w:ascii="宋体" w:hAnsi="宋体" w:eastAsia="宋体" w:cs="宋体"/>
                <w:color w:val="000000"/>
                <w:spacing w:val="2"/>
                <w:sz w:val="24"/>
                <w:szCs w:val="24"/>
                <w:lang w:eastAsia="zh-CN"/>
              </w:rPr>
              <w:t>）</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35.00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资源管护费</w:t>
            </w:r>
          </w:p>
        </w:tc>
        <w:tc>
          <w:tcPr>
            <w:tcW w:w="1815" w:type="dxa"/>
            <w:gridSpan w:val="2"/>
            <w:noWrap w:val="0"/>
            <w:vAlign w:val="center"/>
          </w:tcPr>
          <w:p>
            <w:pPr>
              <w:jc w:val="center"/>
              <w:rPr>
                <w:rFonts w:hint="eastAsia" w:ascii="宋体" w:hAnsi="宋体" w:eastAsia="宋体" w:cs="宋体"/>
                <w:color w:val="000000"/>
                <w:sz w:val="21"/>
              </w:rPr>
            </w:pP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jc w:val="center"/>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有害生物防治</w:t>
            </w:r>
          </w:p>
        </w:tc>
        <w:tc>
          <w:tcPr>
            <w:tcW w:w="1815" w:type="dxa"/>
            <w:gridSpan w:val="2"/>
            <w:noWrap w:val="0"/>
            <w:vAlign w:val="center"/>
          </w:tcPr>
          <w:p>
            <w:pPr>
              <w:jc w:val="center"/>
              <w:rPr>
                <w:rFonts w:hint="eastAsia" w:ascii="宋体" w:hAnsi="宋体" w:eastAsia="宋体" w:cs="宋体"/>
                <w:color w:val="000000"/>
                <w:sz w:val="21"/>
              </w:rPr>
            </w:pP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jc w:val="center"/>
              <w:rPr>
                <w:rFonts w:hint="eastAsia" w:ascii="宋体" w:hAnsi="宋体" w:eastAsia="宋体" w:cs="宋体"/>
                <w:b/>
                <w:bCs/>
                <w:color w:val="000000"/>
                <w:sz w:val="21"/>
              </w:rPr>
            </w:pPr>
          </w:p>
        </w:tc>
        <w:tc>
          <w:tcPr>
            <w:tcW w:w="2325" w:type="dxa"/>
            <w:gridSpan w:val="2"/>
            <w:noWrap w:val="0"/>
            <w:vAlign w:val="center"/>
          </w:tcPr>
          <w:p>
            <w:pPr>
              <w:jc w:val="center"/>
              <w:rPr>
                <w:rFonts w:hint="default" w:ascii="宋体" w:hAnsi="宋体" w:eastAsia="宋体" w:cs="宋体"/>
                <w:b/>
                <w:bCs/>
                <w:color w:val="000000"/>
                <w:sz w:val="21"/>
                <w:lang w:val="en-US" w:eastAsia="zh-CN"/>
              </w:rPr>
            </w:pPr>
            <w:r>
              <w:rPr>
                <w:rFonts w:hint="eastAsia" w:ascii="宋体" w:hAnsi="宋体" w:eastAsia="宋体" w:cs="宋体"/>
                <w:b/>
                <w:bCs/>
                <w:color w:val="000000"/>
                <w:sz w:val="21"/>
                <w:lang w:val="en-US" w:eastAsia="zh-CN"/>
              </w:rPr>
              <w:t>12.6</w:t>
            </w:r>
          </w:p>
        </w:tc>
        <w:tc>
          <w:tcPr>
            <w:tcW w:w="1679" w:type="dxa"/>
            <w:gridSpan w:val="2"/>
            <w:noWrap w:val="0"/>
            <w:vAlign w:val="center"/>
          </w:tcPr>
          <w:p>
            <w:pPr>
              <w:jc w:val="center"/>
              <w:rPr>
                <w:rFonts w:hint="default" w:ascii="宋体" w:hAnsi="宋体" w:eastAsia="宋体" w:cs="宋体"/>
                <w:b/>
                <w:bCs/>
                <w:color w:val="000000"/>
                <w:sz w:val="21"/>
                <w:lang w:val="en-US" w:eastAsia="zh-CN"/>
              </w:rPr>
            </w:pPr>
            <w:r>
              <w:rPr>
                <w:rFonts w:hint="eastAsia" w:ascii="宋体" w:hAnsi="宋体" w:eastAsia="宋体" w:cs="宋体"/>
                <w:b/>
                <w:bCs/>
                <w:color w:val="000000"/>
                <w:sz w:val="21"/>
                <w:lang w:val="en-US" w:eastAsia="zh-CN"/>
              </w:rPr>
              <w:t>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2.55</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1.56</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0.64</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12.82</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56.07</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pPr>
              <w:jc w:val="center"/>
              <w:rPr>
                <w:rFonts w:hint="default"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default"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990" w:type="dxa"/>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140" w:type="dxa"/>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185" w:type="dxa"/>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810" w:type="dxa"/>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869" w:type="dxa"/>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厉行节约</w:t>
            </w:r>
            <w:r>
              <w:rPr>
                <w:rFonts w:hint="eastAsia" w:ascii="宋体" w:hAnsi="宋体" w:eastAsia="宋体" w:cs="宋体"/>
                <w:color w:val="000000"/>
                <w:sz w:val="21"/>
                <w:szCs w:val="21"/>
                <w:shd w:val="clear" w:color="auto" w:fill="FFFFFF"/>
              </w:rPr>
              <w:t>严格管理和控制</w:t>
            </w:r>
            <w:r>
              <w:rPr>
                <w:rFonts w:hint="eastAsia" w:ascii="宋体" w:hAnsi="宋体" w:eastAsia="宋体" w:cs="宋体"/>
                <w:color w:val="000000"/>
                <w:sz w:val="21"/>
                <w:szCs w:val="21"/>
                <w:shd w:val="clear" w:color="auto" w:fill="FFFFFF"/>
                <w:lang w:val="en-US" w:eastAsia="zh-CN"/>
              </w:rPr>
              <w:t>三</w:t>
            </w:r>
            <w:r>
              <w:rPr>
                <w:rFonts w:hint="eastAsia" w:ascii="宋体" w:hAnsi="宋体" w:eastAsia="宋体" w:cs="宋体"/>
                <w:color w:val="000000"/>
                <w:sz w:val="21"/>
                <w:szCs w:val="21"/>
                <w:shd w:val="clear" w:color="auto" w:fill="FFFFFF"/>
              </w:rPr>
              <w:t>公</w:t>
            </w:r>
            <w:r>
              <w:rPr>
                <w:rFonts w:hint="eastAsia" w:ascii="宋体" w:hAnsi="宋体" w:eastAsia="宋体" w:cs="宋体"/>
                <w:color w:val="000000"/>
                <w:sz w:val="21"/>
                <w:szCs w:val="21"/>
                <w:shd w:val="clear" w:color="auto" w:fill="FFFFFF"/>
                <w:lang w:val="en-US" w:eastAsia="zh-CN"/>
              </w:rPr>
              <w:t>经费支出</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填表人：         联系电话：            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rPr>
      </w:pPr>
      <w:r>
        <w:rPr>
          <w:rFonts w:hint="eastAsia" w:ascii="方正小标宋简体" w:hAnsi="方正小标宋简体" w:eastAsia="方正小标宋简体" w:cs="方正小标宋简体"/>
          <w:b w:val="0"/>
          <w:bCs w:val="0"/>
          <w:color w:val="000000"/>
          <w:spacing w:val="2"/>
          <w:sz w:val="42"/>
          <w:szCs w:val="42"/>
          <w:lang w:val="en-US" w:eastAsia="zh-CN"/>
        </w:rPr>
        <w:t xml:space="preserve">  </w:t>
      </w:r>
      <w:r>
        <w:rPr>
          <w:rFonts w:hint="eastAsia" w:ascii="方正小标宋简体" w:hAnsi="方正小标宋简体" w:eastAsia="方正小标宋简体" w:cs="方正小标宋简体"/>
          <w:b w:val="0"/>
          <w:bCs w:val="0"/>
          <w:color w:val="000000"/>
          <w:spacing w:val="2"/>
          <w:sz w:val="42"/>
          <w:szCs w:val="42"/>
        </w:rPr>
        <w:t>2022年度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整体支出绩效自评表</w:t>
      </w:r>
    </w:p>
    <w:p>
      <w:pPr>
        <w:spacing w:line="168" w:lineRule="exact"/>
        <w:rPr>
          <w:rFonts w:ascii="Calibri" w:hAnsi="Calibri" w:eastAsia="宋体" w:cs="Times New Roman"/>
          <w:color w:val="000000"/>
        </w:rPr>
      </w:pPr>
    </w:p>
    <w:tbl>
      <w:tblPr>
        <w:tblStyle w:val="4"/>
        <w:tblW w:w="11046" w:type="dxa"/>
        <w:tblInd w:w="-5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6"/>
        <w:gridCol w:w="1091"/>
        <w:gridCol w:w="1253"/>
        <w:gridCol w:w="2435"/>
        <w:gridCol w:w="1169"/>
        <w:gridCol w:w="1110"/>
        <w:gridCol w:w="286"/>
        <w:gridCol w:w="896"/>
        <w:gridCol w:w="1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lang w:val="en-US" w:eastAsia="zh-CN"/>
              </w:rPr>
              <w:t xml:space="preserve"> </w:t>
            </w:r>
            <w:r>
              <w:rPr>
                <w:rFonts w:hint="eastAsia" w:ascii="宋体" w:hAnsi="宋体" w:eastAsia="宋体" w:cs="宋体"/>
                <w:color w:val="000000"/>
                <w:spacing w:val="2"/>
                <w:sz w:val="24"/>
                <w:szCs w:val="24"/>
              </w:rPr>
              <w:t>名称</w:t>
            </w:r>
          </w:p>
        </w:tc>
        <w:tc>
          <w:tcPr>
            <w:tcW w:w="10130" w:type="dxa"/>
            <w:gridSpan w:val="8"/>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val="en-US" w:eastAsia="zh-CN"/>
              </w:rPr>
              <w:t>岳阳楼麻布山省级森林公园管理中心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916"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position w:val="4"/>
                <w:sz w:val="24"/>
                <w:szCs w:val="24"/>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1"/>
                <w:sz w:val="24"/>
                <w:szCs w:val="24"/>
              </w:rPr>
              <w:t>(万元)</w:t>
            </w:r>
          </w:p>
        </w:tc>
        <w:tc>
          <w:tcPr>
            <w:tcW w:w="23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spacing w:val="0"/>
                <w:sz w:val="24"/>
                <w:szCs w:val="24"/>
              </w:rPr>
            </w:pP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年初预算数</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全年预算数</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全年执行数</w:t>
            </w:r>
          </w:p>
        </w:tc>
        <w:tc>
          <w:tcPr>
            <w:tcW w:w="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分值</w:t>
            </w:r>
          </w:p>
        </w:tc>
        <w:tc>
          <w:tcPr>
            <w:tcW w:w="8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执行率</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16"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sz w:val="24"/>
                <w:szCs w:val="24"/>
              </w:rPr>
            </w:pPr>
          </w:p>
        </w:tc>
        <w:tc>
          <w:tcPr>
            <w:tcW w:w="23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年度资金总额</w:t>
            </w:r>
          </w:p>
        </w:tc>
        <w:tc>
          <w:tcPr>
            <w:tcW w:w="24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153.29</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195.23</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195.23</w:t>
            </w:r>
          </w:p>
        </w:tc>
        <w:tc>
          <w:tcPr>
            <w:tcW w:w="2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position w:val="-3"/>
                <w:sz w:val="24"/>
                <w:szCs w:val="24"/>
              </w:rPr>
              <w:t>10</w:t>
            </w:r>
          </w:p>
        </w:tc>
        <w:tc>
          <w:tcPr>
            <w:tcW w:w="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100%</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16"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sz w:val="24"/>
                <w:szCs w:val="24"/>
              </w:rPr>
            </w:pPr>
          </w:p>
        </w:tc>
        <w:tc>
          <w:tcPr>
            <w:tcW w:w="594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240" w:firstLineChars="100"/>
              <w:jc w:val="left"/>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按收入性质分：</w:t>
            </w:r>
          </w:p>
        </w:tc>
        <w:tc>
          <w:tcPr>
            <w:tcW w:w="41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240" w:firstLineChars="100"/>
              <w:jc w:val="left"/>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16"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sz w:val="24"/>
                <w:szCs w:val="24"/>
              </w:rPr>
            </w:pPr>
          </w:p>
        </w:tc>
        <w:tc>
          <w:tcPr>
            <w:tcW w:w="594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240" w:firstLineChars="1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rPr>
              <w:t xml:space="preserve">其中： </w:t>
            </w:r>
            <w:r>
              <w:rPr>
                <w:rFonts w:hint="eastAsia" w:ascii="宋体" w:hAnsi="宋体" w:eastAsia="宋体" w:cs="宋体"/>
                <w:color w:val="000000"/>
                <w:spacing w:val="0"/>
                <w:sz w:val="24"/>
                <w:szCs w:val="24"/>
                <w:lang w:val="en-US" w:eastAsia="zh-CN"/>
              </w:rPr>
              <w:t xml:space="preserve"> </w:t>
            </w:r>
            <w:r>
              <w:rPr>
                <w:rFonts w:hint="eastAsia" w:ascii="宋体" w:hAnsi="宋体" w:eastAsia="宋体" w:cs="宋体"/>
                <w:color w:val="000000"/>
                <w:spacing w:val="0"/>
                <w:sz w:val="24"/>
                <w:szCs w:val="24"/>
              </w:rPr>
              <w:t>一般公共预算：</w:t>
            </w:r>
            <w:r>
              <w:rPr>
                <w:rFonts w:hint="eastAsia" w:ascii="宋体" w:hAnsi="宋体" w:eastAsia="宋体" w:cs="宋体"/>
                <w:color w:val="000000"/>
                <w:spacing w:val="0"/>
                <w:sz w:val="24"/>
                <w:szCs w:val="24"/>
                <w:lang w:val="en-US" w:eastAsia="zh-CN"/>
              </w:rPr>
              <w:t>153.29</w:t>
            </w:r>
          </w:p>
        </w:tc>
        <w:tc>
          <w:tcPr>
            <w:tcW w:w="41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240" w:firstLineChars="1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rPr>
              <w:t>其中：基本支出：</w:t>
            </w:r>
            <w:r>
              <w:rPr>
                <w:rFonts w:hint="eastAsia" w:ascii="宋体" w:hAnsi="宋体" w:eastAsia="宋体" w:cs="宋体"/>
                <w:color w:val="000000"/>
                <w:spacing w:val="0"/>
                <w:sz w:val="24"/>
                <w:szCs w:val="24"/>
                <w:lang w:val="en-US" w:eastAsia="zh-CN"/>
              </w:rPr>
              <w:t>117.82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16"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sz w:val="24"/>
                <w:szCs w:val="24"/>
              </w:rPr>
            </w:pPr>
          </w:p>
        </w:tc>
        <w:tc>
          <w:tcPr>
            <w:tcW w:w="594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1200" w:firstLineChars="500"/>
              <w:jc w:val="left"/>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rPr>
              <w:t>政府性基金拨款：</w:t>
            </w:r>
            <w:r>
              <w:rPr>
                <w:rFonts w:hint="eastAsia" w:ascii="宋体" w:hAnsi="宋体" w:eastAsia="宋体" w:cs="宋体"/>
                <w:color w:val="000000"/>
                <w:spacing w:val="0"/>
                <w:sz w:val="24"/>
                <w:szCs w:val="24"/>
                <w:lang w:val="en-US" w:eastAsia="zh-CN"/>
              </w:rPr>
              <w:t>0.00</w:t>
            </w:r>
          </w:p>
        </w:tc>
        <w:tc>
          <w:tcPr>
            <w:tcW w:w="41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960" w:firstLineChars="4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rPr>
              <w:t>项目支出：</w:t>
            </w:r>
            <w:r>
              <w:rPr>
                <w:rFonts w:hint="eastAsia" w:ascii="宋体" w:hAnsi="宋体" w:eastAsia="宋体" w:cs="宋体"/>
                <w:color w:val="000000"/>
                <w:spacing w:val="0"/>
                <w:sz w:val="24"/>
                <w:szCs w:val="24"/>
                <w:lang w:val="en-US" w:eastAsia="zh-CN"/>
              </w:rPr>
              <w:t>77.41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16"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sz w:val="24"/>
                <w:szCs w:val="24"/>
              </w:rPr>
            </w:pPr>
          </w:p>
        </w:tc>
        <w:tc>
          <w:tcPr>
            <w:tcW w:w="594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1200" w:firstLineChars="500"/>
              <w:jc w:val="left"/>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rPr>
              <w:t>纳入专户管理的非税收入拨款：</w:t>
            </w:r>
            <w:r>
              <w:rPr>
                <w:rFonts w:hint="eastAsia" w:ascii="宋体" w:hAnsi="宋体" w:eastAsia="宋体" w:cs="宋体"/>
                <w:color w:val="000000"/>
                <w:spacing w:val="0"/>
                <w:sz w:val="24"/>
                <w:szCs w:val="24"/>
                <w:lang w:val="en-US" w:eastAsia="zh-CN"/>
              </w:rPr>
              <w:t>0.00</w:t>
            </w:r>
          </w:p>
        </w:tc>
        <w:tc>
          <w:tcPr>
            <w:tcW w:w="41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16"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sz w:val="24"/>
                <w:szCs w:val="24"/>
              </w:rPr>
            </w:pPr>
          </w:p>
        </w:tc>
        <w:tc>
          <w:tcPr>
            <w:tcW w:w="594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1200" w:firstLineChars="500"/>
              <w:jc w:val="left"/>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rPr>
              <w:t>其他资金：</w:t>
            </w:r>
            <w:r>
              <w:rPr>
                <w:rFonts w:hint="eastAsia" w:ascii="宋体" w:hAnsi="宋体" w:eastAsia="宋体" w:cs="宋体"/>
                <w:color w:val="000000"/>
                <w:spacing w:val="0"/>
                <w:sz w:val="24"/>
                <w:szCs w:val="24"/>
                <w:lang w:val="en-US" w:eastAsia="zh-CN"/>
              </w:rPr>
              <w:t>0.00</w:t>
            </w:r>
          </w:p>
        </w:tc>
        <w:tc>
          <w:tcPr>
            <w:tcW w:w="41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color w:val="000000"/>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16"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年度总体</w:t>
            </w:r>
            <w:r>
              <w:rPr>
                <w:rFonts w:hint="eastAsia" w:ascii="宋体" w:hAnsi="宋体" w:eastAsia="宋体" w:cs="宋体"/>
                <w:color w:val="000000"/>
                <w:spacing w:val="-19"/>
                <w:sz w:val="24"/>
                <w:szCs w:val="24"/>
              </w:rPr>
              <w:t>目</w:t>
            </w:r>
            <w:r>
              <w:rPr>
                <w:rFonts w:hint="eastAsia" w:ascii="宋体" w:hAnsi="宋体" w:eastAsia="宋体" w:cs="宋体"/>
                <w:color w:val="000000"/>
                <w:spacing w:val="-35"/>
                <w:sz w:val="24"/>
                <w:szCs w:val="24"/>
              </w:rPr>
              <w:t xml:space="preserve"> </w:t>
            </w:r>
            <w:r>
              <w:rPr>
                <w:rFonts w:hint="eastAsia" w:ascii="宋体" w:hAnsi="宋体" w:eastAsia="宋体" w:cs="宋体"/>
                <w:color w:val="000000"/>
                <w:spacing w:val="-19"/>
                <w:sz w:val="24"/>
                <w:szCs w:val="24"/>
              </w:rPr>
              <w:t>标</w:t>
            </w:r>
          </w:p>
        </w:tc>
        <w:tc>
          <w:tcPr>
            <w:tcW w:w="594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预期目标</w:t>
            </w:r>
          </w:p>
        </w:tc>
        <w:tc>
          <w:tcPr>
            <w:tcW w:w="41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0" w:hRule="atLeast"/>
        </w:trPr>
        <w:tc>
          <w:tcPr>
            <w:tcW w:w="916"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sz w:val="24"/>
                <w:szCs w:val="24"/>
              </w:rPr>
            </w:pPr>
          </w:p>
        </w:tc>
        <w:tc>
          <w:tcPr>
            <w:tcW w:w="594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000000"/>
                <w:spacing w:val="0"/>
                <w:sz w:val="24"/>
                <w:szCs w:val="24"/>
              </w:rPr>
            </w:pPr>
            <w:r>
              <w:rPr>
                <w:rFonts w:hint="eastAsia" w:ascii="宋体" w:hAnsi="宋体" w:eastAsia="宋体" w:cs="宋体"/>
                <w:b/>
                <w:bCs/>
                <w:color w:val="000000"/>
                <w:spacing w:val="0"/>
                <w:sz w:val="24"/>
                <w:szCs w:val="24"/>
              </w:rPr>
              <w:t>目标1：</w:t>
            </w:r>
            <w:r>
              <w:rPr>
                <w:rFonts w:hint="eastAsia" w:ascii="宋体" w:hAnsi="宋体" w:eastAsia="宋体" w:cs="宋体"/>
                <w:b w:val="0"/>
                <w:bCs w:val="0"/>
                <w:color w:val="000000"/>
                <w:spacing w:val="0"/>
                <w:sz w:val="24"/>
                <w:szCs w:val="24"/>
              </w:rPr>
              <w:t>园内生态环境保护，把森林公园原生态田园风光和原始次生林保护好。加强航空护林基础设施建设，加强第二批太阳能视频监控设备申报，确保监控范围达到</w:t>
            </w:r>
            <w:r>
              <w:rPr>
                <w:rFonts w:hint="eastAsia" w:ascii="宋体" w:hAnsi="宋体" w:eastAsia="宋体" w:cs="宋体"/>
                <w:b w:val="0"/>
                <w:bCs w:val="0"/>
                <w:color w:val="000000"/>
                <w:spacing w:val="0"/>
                <w:sz w:val="24"/>
                <w:szCs w:val="24"/>
                <w:lang w:val="en-US" w:eastAsia="zh-CN"/>
              </w:rPr>
              <w:t>50</w:t>
            </w:r>
            <w:r>
              <w:rPr>
                <w:rFonts w:hint="eastAsia" w:ascii="宋体" w:hAnsi="宋体" w:eastAsia="宋体" w:cs="宋体"/>
                <w:b w:val="0"/>
                <w:bCs w:val="0"/>
                <w:color w:val="000000"/>
                <w:spacing w:val="0"/>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color w:val="000000"/>
                <w:spacing w:val="0"/>
                <w:sz w:val="24"/>
                <w:szCs w:val="24"/>
              </w:rPr>
            </w:pPr>
            <w:r>
              <w:rPr>
                <w:rFonts w:hint="eastAsia" w:ascii="宋体" w:hAnsi="宋体" w:eastAsia="宋体" w:cs="宋体"/>
                <w:b/>
                <w:bCs/>
                <w:color w:val="000000"/>
                <w:spacing w:val="0"/>
                <w:sz w:val="24"/>
                <w:szCs w:val="24"/>
              </w:rPr>
              <w:t>目标2：</w:t>
            </w:r>
            <w:r>
              <w:rPr>
                <w:rFonts w:hint="eastAsia" w:ascii="宋体" w:hAnsi="宋体" w:eastAsia="宋体" w:cs="宋体"/>
                <w:b w:val="0"/>
                <w:bCs w:val="0"/>
                <w:color w:val="000000"/>
                <w:spacing w:val="0"/>
                <w:sz w:val="24"/>
                <w:szCs w:val="24"/>
                <w:lang w:val="en-US" w:eastAsia="zh-CN"/>
              </w:rPr>
              <w:t>森林火灾防控，</w:t>
            </w:r>
            <w:r>
              <w:rPr>
                <w:rFonts w:hint="eastAsia" w:ascii="宋体" w:hAnsi="宋体" w:eastAsia="宋体" w:cs="宋体"/>
                <w:b w:val="0"/>
                <w:bCs w:val="0"/>
                <w:color w:val="000000"/>
                <w:spacing w:val="0"/>
                <w:sz w:val="24"/>
                <w:szCs w:val="24"/>
              </w:rPr>
              <w:t>保障公园森林防火安全，森林防火实现零火灾。</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目标3：</w:t>
            </w:r>
            <w:r>
              <w:rPr>
                <w:rFonts w:hint="eastAsia" w:ascii="宋体" w:hAnsi="宋体" w:eastAsia="宋体" w:cs="宋体"/>
                <w:b w:val="0"/>
                <w:bCs w:val="0"/>
                <w:color w:val="000000"/>
                <w:spacing w:val="0"/>
                <w:sz w:val="24"/>
                <w:szCs w:val="24"/>
                <w:lang w:val="en-US" w:eastAsia="zh-CN"/>
              </w:rPr>
              <w:t>依法对森林公园自然资源、景观资源、动植物资源进行保护和管理，提高病虫害统防统治覆盖率，减少病虫害损失。</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目标4：</w:t>
            </w:r>
            <w:r>
              <w:rPr>
                <w:rFonts w:hint="eastAsia" w:ascii="宋体" w:hAnsi="宋体" w:eastAsia="宋体" w:cs="宋体"/>
                <w:b w:val="0"/>
                <w:bCs w:val="0"/>
                <w:color w:val="000000"/>
                <w:spacing w:val="0"/>
                <w:sz w:val="24"/>
                <w:szCs w:val="24"/>
                <w:lang w:val="en-US" w:eastAsia="zh-CN"/>
              </w:rPr>
              <w:t>保护生态资源丰富，确保植被覆盖率87%以上不动摇。强化公园林路造林绿化工程及抗旱保苗、树木补水工作，配合落实区农业农村局造林绿化工程，完成园区林相改造，提高森林质量。</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目标5：</w:t>
            </w:r>
            <w:r>
              <w:rPr>
                <w:rFonts w:hint="eastAsia" w:ascii="宋体" w:hAnsi="宋体" w:eastAsia="宋体" w:cs="宋体"/>
                <w:b w:val="0"/>
                <w:bCs w:val="0"/>
                <w:color w:val="000000"/>
                <w:spacing w:val="0"/>
                <w:sz w:val="24"/>
                <w:szCs w:val="24"/>
                <w:lang w:val="en-US" w:eastAsia="zh-CN"/>
              </w:rPr>
              <w:t>对汛期山洪破坏路段进行清理和修复，减少水土流失。</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b w:val="0"/>
                <w:bCs w:val="0"/>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目标6：</w:t>
            </w:r>
            <w:r>
              <w:rPr>
                <w:rFonts w:hint="eastAsia" w:ascii="宋体" w:hAnsi="宋体" w:eastAsia="宋体" w:cs="宋体"/>
                <w:b w:val="0"/>
                <w:bCs w:val="0"/>
                <w:color w:val="000000"/>
                <w:spacing w:val="0"/>
                <w:sz w:val="24"/>
                <w:szCs w:val="24"/>
                <w:lang w:val="en-US" w:eastAsia="zh-CN"/>
              </w:rPr>
              <w:t>游客人身，财产安全保卫和救护工作。</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目标7：</w:t>
            </w:r>
            <w:r>
              <w:rPr>
                <w:rFonts w:hint="eastAsia" w:ascii="宋体" w:hAnsi="宋体" w:eastAsia="宋体" w:cs="宋体"/>
                <w:b w:val="0"/>
                <w:bCs w:val="0"/>
                <w:color w:val="000000"/>
                <w:spacing w:val="0"/>
                <w:sz w:val="24"/>
                <w:szCs w:val="24"/>
                <w:lang w:val="en-US" w:eastAsia="zh-CN"/>
              </w:rPr>
              <w:t>保障人员各项经费正常发放，单位经费正常运转。</w:t>
            </w:r>
          </w:p>
        </w:tc>
        <w:tc>
          <w:tcPr>
            <w:tcW w:w="41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1.全年巡护发现涉嫌生态环保事件7起，均已移交执法部门处理。</w:t>
            </w: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全年张贴各级防火令100余张，防火横幅40余条，制作标牌10块，宣传栏3块，宣传展板2个，放发森林防火入户手册约1200余册，致村民、游客一封信约400余份；森林防火期及封山期设立森林防火检查站，采用双码扫码入林；添置森林防火装备一批：灭火风机2台、灭火器5瓶、油锯2把、长把镰刀5把，2号工具30把，铁锹30把；排查制止火患问题17次；开展一次林下可燃物清理工作。</w:t>
            </w: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3.受“夏秋冬”连旱影响，7-9月期间公园对林路两侧林木进行抗旱补水养护34次，共施水364车：6-11月期间开展白蚁防治工作，服务人数61人/9次；配合林业执法大队完成麻布山林地周边加拿大一枝黄花清理工作。</w:t>
            </w:r>
          </w:p>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b w:val="0"/>
                <w:bCs w:val="0"/>
                <w:color w:val="000000"/>
                <w:sz w:val="24"/>
                <w:szCs w:val="24"/>
                <w:lang w:val="en-US" w:eastAsia="zh-CN"/>
              </w:rPr>
              <w:t>4.公园在抓好林区管护的同时服务好、保障好各地游客，向游客讲解景区人文、讲解农耕文化，截止12月底游客量达到3.69万人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916" w:type="dxa"/>
            <w:vMerge w:val="restart"/>
            <w:tcBorders>
              <w:top w:val="single" w:color="auto" w:sz="4" w:space="0"/>
              <w:left w:val="single" w:color="auto" w:sz="4" w:space="0"/>
              <w:bottom w:val="single" w:color="auto" w:sz="4" w:space="0"/>
              <w:right w:val="single" w:color="auto" w:sz="4" w:space="0"/>
            </w:tcBorders>
            <w:noWrap w:val="0"/>
            <w:textDirection w:val="tbRlV"/>
            <w:vAlign w:val="bottom"/>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绩效指标</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一级指标</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二级指标</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三级指标</w:t>
            </w:r>
          </w:p>
        </w:tc>
        <w:tc>
          <w:tcPr>
            <w:tcW w:w="116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年度指标值</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实际完成值</w:t>
            </w:r>
          </w:p>
        </w:tc>
        <w:tc>
          <w:tcPr>
            <w:tcW w:w="286"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分值</w:t>
            </w:r>
          </w:p>
        </w:tc>
        <w:tc>
          <w:tcPr>
            <w:tcW w:w="896"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得分</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16"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rPr>
                <w:rFonts w:hint="eastAsia" w:ascii="宋体" w:hAnsi="宋体" w:eastAsia="宋体" w:cs="宋体"/>
                <w:color w:val="000000"/>
                <w:sz w:val="24"/>
                <w:szCs w:val="24"/>
              </w:rPr>
            </w:pPr>
          </w:p>
        </w:tc>
        <w:tc>
          <w:tcPr>
            <w:tcW w:w="109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hint="eastAsia" w:ascii="宋体" w:hAnsi="宋体" w:eastAsia="宋体" w:cs="宋体"/>
                <w:b w:val="0"/>
                <w:bCs w:val="0"/>
                <w:color w:val="000000"/>
                <w:sz w:val="22"/>
                <w:szCs w:val="22"/>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hint="eastAsia" w:ascii="宋体" w:hAnsi="宋体" w:eastAsia="宋体" w:cs="宋体"/>
                <w:b w:val="0"/>
                <w:bCs w:val="0"/>
                <w:color w:val="000000"/>
                <w:sz w:val="22"/>
                <w:szCs w:val="22"/>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hint="eastAsia" w:ascii="宋体" w:hAnsi="宋体" w:eastAsia="宋体" w:cs="宋体"/>
                <w:b w:val="0"/>
                <w:bCs w:val="0"/>
                <w:color w:val="000000"/>
                <w:sz w:val="22"/>
                <w:szCs w:val="22"/>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hint="eastAsia" w:ascii="宋体" w:hAnsi="宋体" w:eastAsia="宋体" w:cs="宋体"/>
                <w:b w:val="0"/>
                <w:bCs w:val="0"/>
                <w:color w:val="000000"/>
                <w:sz w:val="22"/>
                <w:szCs w:val="22"/>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2"/>
                <w:position w:val="20"/>
                <w:sz w:val="22"/>
                <w:szCs w:val="22"/>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9"/>
                <w:sz w:val="22"/>
                <w:szCs w:val="22"/>
              </w:rPr>
              <w:t>(50分)</w:t>
            </w:r>
          </w:p>
        </w:tc>
        <w:tc>
          <w:tcPr>
            <w:tcW w:w="12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2"/>
                <w:sz w:val="22"/>
                <w:szCs w:val="22"/>
              </w:rPr>
              <w:t>数量指标</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森林防火控制面积</w:t>
            </w:r>
          </w:p>
        </w:tc>
        <w:tc>
          <w:tcPr>
            <w:tcW w:w="1169" w:type="dxa"/>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360公顷</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360公顷</w:t>
            </w:r>
          </w:p>
        </w:tc>
        <w:tc>
          <w:tcPr>
            <w:tcW w:w="28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default" w:ascii="Arial" w:hAnsi="Arial" w:eastAsia="宋体" w:cs="Arial"/>
                <w:i w:val="0"/>
                <w:iCs w:val="0"/>
                <w:color w:val="000000"/>
                <w:kern w:val="0"/>
                <w:sz w:val="18"/>
                <w:szCs w:val="18"/>
                <w:u w:val="none"/>
                <w:lang w:val="en-US" w:eastAsia="zh-CN" w:bidi="ar"/>
              </w:rPr>
              <w:t>5</w:t>
            </w:r>
          </w:p>
        </w:tc>
        <w:tc>
          <w:tcPr>
            <w:tcW w:w="89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default" w:ascii="Arial" w:hAnsi="Arial" w:eastAsia="宋体" w:cs="Arial"/>
                <w:i w:val="0"/>
                <w:iCs w:val="0"/>
                <w:color w:val="000000"/>
                <w:kern w:val="0"/>
                <w:sz w:val="18"/>
                <w:szCs w:val="18"/>
                <w:u w:val="none"/>
                <w:lang w:val="en-US" w:eastAsia="zh-CN" w:bidi="ar"/>
              </w:rPr>
              <w:t>5</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16"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bCs w:val="0"/>
                <w:color w:val="000000"/>
                <w:sz w:val="18"/>
                <w:szCs w:val="18"/>
                <w:lang w:val="en-US"/>
              </w:rPr>
            </w:pPr>
            <w:r>
              <w:rPr>
                <w:rFonts w:hint="eastAsia" w:ascii="宋体" w:hAnsi="宋体" w:eastAsia="宋体" w:cs="宋体"/>
                <w:b w:val="0"/>
                <w:bCs w:val="0"/>
                <w:color w:val="000000"/>
                <w:sz w:val="18"/>
                <w:szCs w:val="18"/>
                <w:lang w:val="en-US" w:eastAsia="zh-CN"/>
              </w:rPr>
              <w:t>免费接待游客人数</w:t>
            </w:r>
          </w:p>
        </w:tc>
        <w:tc>
          <w:tcPr>
            <w:tcW w:w="116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val="en-US" w:eastAsia="zh-CN"/>
              </w:rPr>
              <w:t>4万人次</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val="en-US" w:eastAsia="zh-CN"/>
              </w:rPr>
              <w:t>3.69万人次</w:t>
            </w:r>
          </w:p>
        </w:tc>
        <w:tc>
          <w:tcPr>
            <w:tcW w:w="2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5</w:t>
            </w:r>
          </w:p>
        </w:tc>
        <w:tc>
          <w:tcPr>
            <w:tcW w:w="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4</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受疫情及森林防火期封山影响，游客量略有减少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16"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开展森林防火宣传工作次数</w:t>
            </w:r>
          </w:p>
        </w:tc>
        <w:tc>
          <w:tcPr>
            <w:tcW w:w="1169" w:type="dxa"/>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≥4次</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4次</w:t>
            </w:r>
          </w:p>
        </w:tc>
        <w:tc>
          <w:tcPr>
            <w:tcW w:w="2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5</w:t>
            </w:r>
          </w:p>
        </w:tc>
        <w:tc>
          <w:tcPr>
            <w:tcW w:w="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5</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916"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i w:val="0"/>
                <w:iCs w:val="0"/>
                <w:color w:val="000000"/>
                <w:kern w:val="0"/>
                <w:sz w:val="18"/>
                <w:szCs w:val="18"/>
                <w:u w:val="none"/>
                <w:lang w:val="en-US" w:eastAsia="zh-CN" w:bidi="ar"/>
              </w:rPr>
              <w:t>发放宣传手册数量</w:t>
            </w:r>
          </w:p>
        </w:tc>
        <w:tc>
          <w:tcPr>
            <w:tcW w:w="1169" w:type="dxa"/>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≥1000册</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1200册</w:t>
            </w:r>
          </w:p>
        </w:tc>
        <w:tc>
          <w:tcPr>
            <w:tcW w:w="28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3</w:t>
            </w:r>
          </w:p>
        </w:tc>
        <w:tc>
          <w:tcPr>
            <w:tcW w:w="89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3</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916"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i w:val="0"/>
                <w:iCs w:val="0"/>
                <w:color w:val="000000"/>
                <w:kern w:val="0"/>
                <w:sz w:val="18"/>
                <w:szCs w:val="18"/>
                <w:u w:val="none"/>
                <w:lang w:val="en-US" w:eastAsia="zh-CN" w:bidi="ar"/>
              </w:rPr>
              <w:t>开展可燃物清理工作次数</w:t>
            </w:r>
          </w:p>
        </w:tc>
        <w:tc>
          <w:tcPr>
            <w:tcW w:w="1169" w:type="dxa"/>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≥1次</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1次</w:t>
            </w:r>
          </w:p>
        </w:tc>
        <w:tc>
          <w:tcPr>
            <w:tcW w:w="28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5</w:t>
            </w:r>
          </w:p>
        </w:tc>
        <w:tc>
          <w:tcPr>
            <w:tcW w:w="89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5</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916"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开展白蚁防治工作次数</w:t>
            </w:r>
          </w:p>
        </w:tc>
        <w:tc>
          <w:tcPr>
            <w:tcW w:w="1169" w:type="dxa"/>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≥1次</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1次</w:t>
            </w:r>
          </w:p>
        </w:tc>
        <w:tc>
          <w:tcPr>
            <w:tcW w:w="28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5</w:t>
            </w:r>
          </w:p>
        </w:tc>
        <w:tc>
          <w:tcPr>
            <w:tcW w:w="89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5</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16"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570"/>
              </w:tabs>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val="0"/>
                <w:bCs w:val="0"/>
                <w:color w:val="000000"/>
                <w:spacing w:val="2"/>
                <w:sz w:val="22"/>
                <w:szCs w:val="22"/>
                <w:lang w:val="en-US" w:eastAsia="zh-CN"/>
              </w:rPr>
            </w:pPr>
            <w:r>
              <w:rPr>
                <w:rFonts w:hint="eastAsia" w:ascii="宋体" w:hAnsi="宋体" w:eastAsia="宋体" w:cs="宋体"/>
                <w:b w:val="0"/>
                <w:bCs w:val="0"/>
                <w:color w:val="000000"/>
                <w:spacing w:val="2"/>
                <w:sz w:val="22"/>
                <w:szCs w:val="22"/>
                <w:lang w:val="en-US" w:eastAsia="zh-CN"/>
              </w:rPr>
              <w:t>质量指标</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树木成活率</w:t>
            </w:r>
          </w:p>
        </w:tc>
        <w:tc>
          <w:tcPr>
            <w:tcW w:w="1169" w:type="dxa"/>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≥90%</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≥90%</w:t>
            </w:r>
          </w:p>
        </w:tc>
        <w:tc>
          <w:tcPr>
            <w:tcW w:w="28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5</w:t>
            </w:r>
          </w:p>
        </w:tc>
        <w:tc>
          <w:tcPr>
            <w:tcW w:w="89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5</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16"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val="0"/>
                <w:bCs w:val="0"/>
                <w:color w:val="000000"/>
                <w:spacing w:val="2"/>
                <w:sz w:val="22"/>
                <w:szCs w:val="22"/>
                <w:lang w:val="en-US"/>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森林防火知识普及率</w:t>
            </w:r>
          </w:p>
        </w:tc>
        <w:tc>
          <w:tcPr>
            <w:tcW w:w="1169" w:type="dxa"/>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≥95%</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≥95%</w:t>
            </w:r>
          </w:p>
        </w:tc>
        <w:tc>
          <w:tcPr>
            <w:tcW w:w="28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5</w:t>
            </w:r>
          </w:p>
        </w:tc>
        <w:tc>
          <w:tcPr>
            <w:tcW w:w="89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5</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16"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val="0"/>
                <w:bCs w:val="0"/>
                <w:color w:val="000000"/>
                <w:spacing w:val="2"/>
                <w:sz w:val="22"/>
                <w:szCs w:val="22"/>
                <w:lang w:val="en-US"/>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火患问题处理率</w:t>
            </w:r>
          </w:p>
        </w:tc>
        <w:tc>
          <w:tcPr>
            <w:tcW w:w="1169" w:type="dxa"/>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100%</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8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9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16"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2"/>
                <w:sz w:val="22"/>
                <w:szCs w:val="22"/>
              </w:rPr>
              <w:t>时效指标</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森林防火宣传工作完成时点</w:t>
            </w:r>
          </w:p>
        </w:tc>
        <w:tc>
          <w:tcPr>
            <w:tcW w:w="1169" w:type="dxa"/>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rPr>
            </w:pPr>
            <w:r>
              <w:rPr>
                <w:rFonts w:hint="eastAsia" w:ascii="宋体" w:hAnsi="宋体" w:eastAsia="宋体" w:cs="宋体"/>
                <w:b w:val="0"/>
                <w:bCs w:val="0"/>
                <w:color w:val="000000"/>
                <w:sz w:val="18"/>
                <w:szCs w:val="18"/>
                <w:u w:val="none"/>
                <w:lang w:val="en-US" w:eastAsia="zh-CN" w:bidi="ar"/>
              </w:rPr>
              <w:t>2022年1-12月</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i w:val="0"/>
                <w:iCs w:val="0"/>
                <w:color w:val="000000"/>
                <w:kern w:val="0"/>
                <w:sz w:val="18"/>
                <w:szCs w:val="18"/>
                <w:u w:val="none"/>
                <w:lang w:val="en-US" w:eastAsia="zh-CN" w:bidi="ar"/>
              </w:rPr>
              <w:t>2022年1-12月</w:t>
            </w:r>
          </w:p>
        </w:tc>
        <w:tc>
          <w:tcPr>
            <w:tcW w:w="28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4</w:t>
            </w:r>
          </w:p>
        </w:tc>
        <w:tc>
          <w:tcPr>
            <w:tcW w:w="89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4</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16"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2"/>
                <w:sz w:val="22"/>
                <w:szCs w:val="22"/>
              </w:rPr>
              <w:t>成本指标</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总成本控制</w:t>
            </w:r>
          </w:p>
        </w:tc>
        <w:tc>
          <w:tcPr>
            <w:tcW w:w="1169" w:type="dxa"/>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不超过预算投入</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未超过预算投入</w:t>
            </w:r>
          </w:p>
        </w:tc>
        <w:tc>
          <w:tcPr>
            <w:tcW w:w="28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5</w:t>
            </w:r>
          </w:p>
        </w:tc>
        <w:tc>
          <w:tcPr>
            <w:tcW w:w="89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5</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16" w:type="dxa"/>
            <w:vMerge w:val="continue"/>
            <w:tcBorders>
              <w:top w:val="single" w:color="auto" w:sz="4" w:space="0"/>
              <w:left w:val="single" w:color="auto" w:sz="4" w:space="0"/>
              <w:bottom w:val="nil"/>
            </w:tcBorders>
            <w:noWrap w:val="0"/>
            <w:textDirection w:val="tbRlV"/>
            <w:vAlign w:val="top"/>
          </w:tcPr>
          <w:p>
            <w:pPr>
              <w:rPr>
                <w:rFonts w:hint="eastAsia" w:ascii="宋体" w:hAnsi="宋体" w:eastAsia="宋体" w:cs="宋体"/>
                <w:color w:val="000000"/>
                <w:sz w:val="24"/>
                <w:szCs w:val="24"/>
              </w:rPr>
            </w:pPr>
          </w:p>
        </w:tc>
        <w:tc>
          <w:tcPr>
            <w:tcW w:w="1091" w:type="dxa"/>
            <w:vMerge w:val="restart"/>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宋体" w:hAnsi="宋体" w:eastAsia="宋体" w:cs="宋体"/>
                <w:b w:val="0"/>
                <w:bCs w:val="0"/>
                <w:color w:val="000000"/>
                <w:sz w:val="22"/>
                <w:szCs w:val="22"/>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宋体" w:hAnsi="宋体" w:eastAsia="宋体" w:cs="宋体"/>
                <w:b w:val="0"/>
                <w:bCs w:val="0"/>
                <w:color w:val="000000"/>
                <w:sz w:val="22"/>
                <w:szCs w:val="22"/>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宋体" w:hAnsi="宋体" w:eastAsia="宋体" w:cs="宋体"/>
                <w:b w:val="0"/>
                <w:bCs w:val="0"/>
                <w:color w:val="000000"/>
                <w:sz w:val="22"/>
                <w:szCs w:val="22"/>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宋体" w:hAnsi="宋体" w:eastAsia="宋体" w:cs="宋体"/>
                <w:b w:val="0"/>
                <w:bCs w:val="0"/>
                <w:color w:val="000000"/>
                <w:sz w:val="22"/>
                <w:szCs w:val="22"/>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2"/>
                <w:position w:val="21"/>
                <w:sz w:val="22"/>
                <w:szCs w:val="22"/>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9"/>
                <w:sz w:val="22"/>
                <w:szCs w:val="22"/>
              </w:rPr>
              <w:t>(30分)</w:t>
            </w:r>
          </w:p>
        </w:tc>
        <w:tc>
          <w:tcPr>
            <w:tcW w:w="1253" w:type="dxa"/>
            <w:vMerge w:val="restart"/>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3"/>
                <w:sz w:val="22"/>
                <w:szCs w:val="22"/>
                <w:lang w:val="en-US" w:eastAsia="zh-CN"/>
              </w:rPr>
              <w:t>社会</w:t>
            </w:r>
            <w:r>
              <w:rPr>
                <w:rFonts w:hint="eastAsia" w:ascii="宋体" w:hAnsi="宋体" w:eastAsia="宋体" w:cs="宋体"/>
                <w:b w:val="0"/>
                <w:bCs w:val="0"/>
                <w:color w:val="000000"/>
                <w:spacing w:val="-3"/>
                <w:sz w:val="22"/>
                <w:szCs w:val="22"/>
              </w:rPr>
              <w:t>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3"/>
                <w:sz w:val="22"/>
                <w:szCs w:val="22"/>
              </w:rPr>
              <w:t>益指标</w:t>
            </w:r>
          </w:p>
        </w:tc>
        <w:tc>
          <w:tcPr>
            <w:tcW w:w="2435"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病虫害防治损失率</w:t>
            </w:r>
          </w:p>
        </w:tc>
        <w:tc>
          <w:tcPr>
            <w:tcW w:w="1169"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20"/>
                <w:szCs w:val="20"/>
                <w:u w:val="none"/>
                <w:lang w:val="en-US" w:eastAsia="zh-CN" w:bidi="ar"/>
              </w:rPr>
              <w:t>≦5%</w:t>
            </w:r>
          </w:p>
        </w:tc>
        <w:tc>
          <w:tcPr>
            <w:tcW w:w="28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89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89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16" w:type="dxa"/>
            <w:vMerge w:val="continue"/>
            <w:tcBorders>
              <w:top w:val="nil"/>
              <w:left w:val="single" w:color="auto" w:sz="4" w:space="0"/>
              <w:bottom w:val="nil"/>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243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森林防火零火灾率</w:t>
            </w:r>
          </w:p>
        </w:tc>
        <w:tc>
          <w:tcPr>
            <w:tcW w:w="1169"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≥95%</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100%</w:t>
            </w:r>
          </w:p>
        </w:tc>
        <w:tc>
          <w:tcPr>
            <w:tcW w:w="28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5</w:t>
            </w:r>
          </w:p>
        </w:tc>
        <w:tc>
          <w:tcPr>
            <w:tcW w:w="89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5</w:t>
            </w:r>
          </w:p>
        </w:tc>
        <w:tc>
          <w:tcPr>
            <w:tcW w:w="189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16" w:type="dxa"/>
            <w:vMerge w:val="continue"/>
            <w:tcBorders>
              <w:top w:val="nil"/>
              <w:left w:val="single" w:color="auto" w:sz="4" w:space="0"/>
              <w:bottom w:val="nil"/>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3"/>
                <w:sz w:val="22"/>
                <w:szCs w:val="22"/>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3"/>
                <w:sz w:val="22"/>
                <w:szCs w:val="22"/>
              </w:rPr>
              <w:t>益指标</w:t>
            </w:r>
          </w:p>
        </w:tc>
        <w:tc>
          <w:tcPr>
            <w:tcW w:w="2435"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林地保有量</w:t>
            </w:r>
          </w:p>
        </w:tc>
        <w:tc>
          <w:tcPr>
            <w:tcW w:w="1169"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360公顷</w:t>
            </w:r>
          </w:p>
        </w:tc>
        <w:tc>
          <w:tcPr>
            <w:tcW w:w="1110"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360公顷</w:t>
            </w:r>
          </w:p>
        </w:tc>
        <w:tc>
          <w:tcPr>
            <w:tcW w:w="28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5</w:t>
            </w:r>
          </w:p>
        </w:tc>
        <w:tc>
          <w:tcPr>
            <w:tcW w:w="89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5</w:t>
            </w:r>
          </w:p>
        </w:tc>
        <w:tc>
          <w:tcPr>
            <w:tcW w:w="189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16" w:type="dxa"/>
            <w:vMerge w:val="continue"/>
            <w:tcBorders>
              <w:top w:val="nil"/>
              <w:left w:val="single" w:color="auto" w:sz="4" w:space="0"/>
              <w:bottom w:val="nil"/>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val="0"/>
                <w:bCs w:val="0"/>
                <w:color w:val="000000"/>
                <w:sz w:val="22"/>
                <w:szCs w:val="22"/>
              </w:rPr>
            </w:pPr>
          </w:p>
        </w:tc>
        <w:tc>
          <w:tcPr>
            <w:tcW w:w="243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i w:val="0"/>
                <w:iCs w:val="0"/>
                <w:color w:val="000000"/>
                <w:kern w:val="0"/>
                <w:sz w:val="18"/>
                <w:szCs w:val="18"/>
                <w:u w:val="none"/>
                <w:lang w:val="en-US" w:eastAsia="zh-CN" w:bidi="ar"/>
              </w:rPr>
              <w:t>水土流失减少数</w:t>
            </w:r>
          </w:p>
        </w:tc>
        <w:tc>
          <w:tcPr>
            <w:tcW w:w="1169"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≦5公顷</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0公顷</w:t>
            </w:r>
          </w:p>
        </w:tc>
        <w:tc>
          <w:tcPr>
            <w:tcW w:w="28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5</w:t>
            </w:r>
          </w:p>
        </w:tc>
        <w:tc>
          <w:tcPr>
            <w:tcW w:w="89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5</w:t>
            </w:r>
          </w:p>
        </w:tc>
        <w:tc>
          <w:tcPr>
            <w:tcW w:w="189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16" w:type="dxa"/>
            <w:vMerge w:val="continue"/>
            <w:tcBorders>
              <w:top w:val="nil"/>
              <w:left w:val="single" w:color="auto" w:sz="4" w:space="0"/>
              <w:bottom w:val="nil"/>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243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森林覆盖率</w:t>
            </w:r>
          </w:p>
        </w:tc>
        <w:tc>
          <w:tcPr>
            <w:tcW w:w="1169"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≥87%</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≥87%</w:t>
            </w:r>
          </w:p>
        </w:tc>
        <w:tc>
          <w:tcPr>
            <w:tcW w:w="28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5</w:t>
            </w:r>
          </w:p>
        </w:tc>
        <w:tc>
          <w:tcPr>
            <w:tcW w:w="89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5</w:t>
            </w:r>
          </w:p>
        </w:tc>
        <w:tc>
          <w:tcPr>
            <w:tcW w:w="189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16" w:type="dxa"/>
            <w:vMerge w:val="continue"/>
            <w:tcBorders>
              <w:top w:val="nil"/>
              <w:left w:val="single" w:color="auto" w:sz="4" w:space="0"/>
              <w:bottom w:val="nil"/>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2"/>
                <w:sz w:val="22"/>
                <w:szCs w:val="22"/>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2"/>
                <w:sz w:val="22"/>
                <w:szCs w:val="22"/>
              </w:rPr>
              <w:t>响指标</w:t>
            </w:r>
          </w:p>
        </w:tc>
        <w:tc>
          <w:tcPr>
            <w:tcW w:w="243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视频监控设备申报及建设摄像头覆盖率</w:t>
            </w:r>
          </w:p>
        </w:tc>
        <w:tc>
          <w:tcPr>
            <w:tcW w:w="1169"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摄像头覆盖率≥50%</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≥50%</w:t>
            </w:r>
          </w:p>
        </w:tc>
        <w:tc>
          <w:tcPr>
            <w:tcW w:w="28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3</w:t>
            </w:r>
          </w:p>
        </w:tc>
        <w:tc>
          <w:tcPr>
            <w:tcW w:w="89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3</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16" w:type="dxa"/>
            <w:vMerge w:val="continue"/>
            <w:tcBorders>
              <w:top w:val="nil"/>
              <w:left w:val="single" w:color="auto" w:sz="4" w:space="0"/>
              <w:bottom w:val="nil"/>
            </w:tcBorders>
            <w:noWrap w:val="0"/>
            <w:textDirection w:val="tbRlV"/>
            <w:vAlign w:val="top"/>
          </w:tcPr>
          <w:p>
            <w:pPr>
              <w:rPr>
                <w:rFonts w:hint="eastAsia" w:ascii="宋体" w:hAnsi="宋体" w:eastAsia="宋体" w:cs="宋体"/>
                <w:color w:val="000000"/>
                <w:sz w:val="24"/>
                <w:szCs w:val="24"/>
              </w:rPr>
            </w:pPr>
          </w:p>
        </w:tc>
        <w:tc>
          <w:tcPr>
            <w:tcW w:w="10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1253"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000000"/>
                <w:sz w:val="22"/>
                <w:szCs w:val="22"/>
              </w:rPr>
            </w:pPr>
          </w:p>
        </w:tc>
        <w:tc>
          <w:tcPr>
            <w:tcW w:w="243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巡逻能力建设</w:t>
            </w:r>
          </w:p>
        </w:tc>
        <w:tc>
          <w:tcPr>
            <w:tcW w:w="1169"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定性</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有效推动</w:t>
            </w:r>
          </w:p>
        </w:tc>
        <w:tc>
          <w:tcPr>
            <w:tcW w:w="28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w:t>
            </w:r>
          </w:p>
        </w:tc>
        <w:tc>
          <w:tcPr>
            <w:tcW w:w="896"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16" w:type="dxa"/>
            <w:vMerge w:val="continue"/>
            <w:tcBorders>
              <w:top w:val="nil"/>
              <w:left w:val="single" w:color="auto" w:sz="4" w:space="0"/>
              <w:bottom w:val="nil"/>
            </w:tcBorders>
            <w:noWrap w:val="0"/>
            <w:textDirection w:val="tbRlV"/>
            <w:vAlign w:val="top"/>
          </w:tcPr>
          <w:p>
            <w:pPr>
              <w:rPr>
                <w:rFonts w:hint="eastAsia" w:ascii="宋体" w:hAnsi="宋体" w:eastAsia="宋体" w:cs="宋体"/>
                <w:color w:val="000000"/>
                <w:sz w:val="24"/>
                <w:szCs w:val="24"/>
              </w:rPr>
            </w:pPr>
          </w:p>
        </w:tc>
        <w:tc>
          <w:tcPr>
            <w:tcW w:w="1091"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4"/>
                <w:sz w:val="22"/>
                <w:szCs w:val="22"/>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3"/>
                <w:sz w:val="22"/>
                <w:szCs w:val="22"/>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9"/>
                <w:sz w:val="22"/>
                <w:szCs w:val="22"/>
              </w:rPr>
              <w:t>(10分)</w:t>
            </w:r>
          </w:p>
        </w:tc>
        <w:tc>
          <w:tcPr>
            <w:tcW w:w="1253"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2"/>
                <w:sz w:val="22"/>
                <w:szCs w:val="22"/>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3"/>
                <w:sz w:val="22"/>
                <w:szCs w:val="22"/>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标</w:t>
            </w:r>
          </w:p>
        </w:tc>
        <w:tc>
          <w:tcPr>
            <w:tcW w:w="243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游客服务满意度</w:t>
            </w:r>
          </w:p>
        </w:tc>
        <w:tc>
          <w:tcPr>
            <w:tcW w:w="1169"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100%</w:t>
            </w:r>
          </w:p>
        </w:tc>
        <w:tc>
          <w:tcPr>
            <w:tcW w:w="111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95%</w:t>
            </w:r>
          </w:p>
        </w:tc>
        <w:tc>
          <w:tcPr>
            <w:tcW w:w="28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10</w:t>
            </w:r>
          </w:p>
        </w:tc>
        <w:tc>
          <w:tcPr>
            <w:tcW w:w="896"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9</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工作人员加强学习，提升接待服务水平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97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3274"/>
              <w:jc w:val="center"/>
              <w:textAlignment w:val="auto"/>
              <w:rPr>
                <w:rFonts w:hint="eastAsia" w:ascii="宋体" w:hAnsi="宋体" w:eastAsia="宋体" w:cs="宋体"/>
                <w:color w:val="000000"/>
                <w:sz w:val="24"/>
                <w:szCs w:val="24"/>
                <w:lang w:eastAsia="zh-CN"/>
              </w:rPr>
            </w:pPr>
            <w:r>
              <w:rPr>
                <w:rFonts w:hint="eastAsia" w:ascii="宋体" w:hAnsi="宋体" w:eastAsia="宋体" w:cs="宋体"/>
                <w:b w:val="0"/>
                <w:bCs w:val="0"/>
                <w:color w:val="000000"/>
                <w:sz w:val="28"/>
                <w:szCs w:val="28"/>
                <w:lang w:val="en-US" w:eastAsia="zh-CN"/>
              </w:rPr>
              <w:t>总分</w:t>
            </w:r>
          </w:p>
        </w:tc>
        <w:tc>
          <w:tcPr>
            <w:tcW w:w="2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100</w:t>
            </w:r>
          </w:p>
        </w:tc>
        <w:tc>
          <w:tcPr>
            <w:tcW w:w="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w:t>
            </w:r>
          </w:p>
        </w:tc>
        <w:tc>
          <w:tcPr>
            <w:tcW w:w="1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000000"/>
                <w:sz w:val="24"/>
                <w:szCs w:val="24"/>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000000"/>
          <w:spacing w:val="-22"/>
          <w:position w:val="-1"/>
          <w:sz w:val="24"/>
          <w:szCs w:val="24"/>
          <w:lang w:val="en-US" w:eastAsia="zh-CN"/>
        </w:rPr>
      </w:pPr>
      <w:r>
        <w:rPr>
          <w:rFonts w:hint="eastAsia" w:ascii="宋体" w:hAnsi="宋体" w:eastAsia="宋体" w:cs="宋体"/>
          <w:color w:val="000000"/>
          <w:spacing w:val="-22"/>
          <w:sz w:val="24"/>
          <w:szCs w:val="24"/>
        </w:rPr>
        <w:t>填表人：</w:t>
      </w:r>
      <w:r>
        <w:rPr>
          <w:rFonts w:hint="eastAsia" w:ascii="宋体" w:hAnsi="宋体" w:eastAsia="宋体" w:cs="宋体"/>
          <w:color w:val="000000"/>
          <w:spacing w:val="-22"/>
          <w:sz w:val="24"/>
          <w:szCs w:val="24"/>
          <w:lang w:val="en-US" w:eastAsia="zh-CN"/>
        </w:rPr>
        <w:t>许雪芹</w:t>
      </w:r>
      <w:r>
        <w:rPr>
          <w:rFonts w:hint="eastAsia" w:ascii="宋体" w:hAnsi="宋体" w:eastAsia="宋体" w:cs="宋体"/>
          <w:color w:val="000000"/>
          <w:spacing w:val="9"/>
          <w:sz w:val="24"/>
          <w:szCs w:val="24"/>
        </w:rPr>
        <w:t xml:space="preserve">    </w:t>
      </w:r>
      <w:r>
        <w:rPr>
          <w:rFonts w:hint="eastAsia" w:ascii="宋体" w:hAnsi="宋体" w:eastAsia="宋体" w:cs="宋体"/>
          <w:color w:val="000000"/>
          <w:spacing w:val="-22"/>
          <w:sz w:val="24"/>
          <w:szCs w:val="24"/>
        </w:rPr>
        <w:t>联系电话：</w:t>
      </w:r>
      <w:r>
        <w:rPr>
          <w:rFonts w:hint="eastAsia" w:ascii="宋体" w:hAnsi="宋体" w:eastAsia="宋体" w:cs="宋体"/>
          <w:color w:val="000000"/>
          <w:spacing w:val="-22"/>
          <w:sz w:val="24"/>
          <w:szCs w:val="24"/>
          <w:lang w:val="en-US" w:eastAsia="zh-CN"/>
        </w:rPr>
        <w:t>18975022566</w:t>
      </w:r>
      <w:r>
        <w:rPr>
          <w:rFonts w:hint="eastAsia" w:ascii="宋体" w:hAnsi="宋体" w:eastAsia="宋体" w:cs="宋体"/>
          <w:color w:val="000000"/>
          <w:spacing w:val="2"/>
          <w:sz w:val="24"/>
          <w:szCs w:val="24"/>
        </w:rPr>
        <w:t xml:space="preserve">  </w:t>
      </w:r>
      <w:r>
        <w:rPr>
          <w:rFonts w:hint="eastAsia" w:ascii="宋体" w:hAnsi="宋体" w:eastAsia="宋体" w:cs="宋体"/>
          <w:color w:val="000000"/>
          <w:spacing w:val="-22"/>
          <w:position w:val="-1"/>
          <w:sz w:val="24"/>
          <w:szCs w:val="24"/>
        </w:rPr>
        <w:t>单位负责人签字：</w:t>
      </w:r>
      <w:r>
        <w:rPr>
          <w:rFonts w:hint="eastAsia" w:ascii="宋体" w:hAnsi="宋体" w:eastAsia="宋体" w:cs="宋体"/>
          <w:color w:val="000000"/>
          <w:spacing w:val="-22"/>
          <w:position w:val="-1"/>
          <w:sz w:val="24"/>
          <w:szCs w:val="24"/>
          <w:lang w:val="en-US" w:eastAsia="zh-CN"/>
        </w:rPr>
        <w:t xml:space="preserve">                  </w:t>
      </w:r>
      <w:r>
        <w:rPr>
          <w:rFonts w:hint="eastAsia" w:ascii="宋体" w:hAnsi="宋体" w:eastAsia="宋体" w:cs="宋体"/>
          <w:color w:val="000000"/>
          <w:spacing w:val="-22"/>
          <w:sz w:val="24"/>
          <w:szCs w:val="24"/>
        </w:rPr>
        <w:t>填报日期：</w:t>
      </w:r>
      <w:r>
        <w:rPr>
          <w:rFonts w:hint="eastAsia" w:ascii="宋体" w:hAnsi="宋体" w:eastAsia="宋体" w:cs="宋体"/>
          <w:color w:val="000000"/>
          <w:spacing w:val="3"/>
          <w:sz w:val="24"/>
          <w:szCs w:val="24"/>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spacing w:val="0"/>
          <w:position w:val="0"/>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default" w:ascii="黑体" w:hAnsi="黑体" w:eastAsia="黑体" w:cs="黑体"/>
          <w:b w:val="0"/>
          <w:bCs w:val="0"/>
          <w:color w:val="000000"/>
          <w:spacing w:val="10"/>
          <w:sz w:val="32"/>
          <w:szCs w:val="32"/>
          <w:lang w:val="en-US" w:eastAsia="zh-CN"/>
        </w:rPr>
        <w:t>附件</w:t>
      </w:r>
      <w:r>
        <w:rPr>
          <w:rFonts w:hint="eastAsia" w:ascii="黑体" w:hAnsi="黑体" w:eastAsia="黑体" w:cs="黑体"/>
          <w:b w:val="0"/>
          <w:bCs w:val="0"/>
          <w:color w:val="000000"/>
          <w:spacing w:val="1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spacing w:val="2"/>
          <w:sz w:val="42"/>
          <w:szCs w:val="4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spacing w:val="2"/>
          <w:sz w:val="44"/>
          <w:szCs w:val="44"/>
          <w:lang w:val="en-US" w:eastAsia="zh-CN"/>
        </w:rPr>
      </w:pPr>
      <w:r>
        <w:rPr>
          <w:rFonts w:hint="default" w:ascii="方正小标宋简体" w:hAnsi="方正小标宋简体" w:eastAsia="方正小标宋简体" w:cs="方正小标宋简体"/>
          <w:b w:val="0"/>
          <w:bCs w:val="0"/>
          <w:color w:val="000000"/>
          <w:spacing w:val="2"/>
          <w:sz w:val="44"/>
          <w:szCs w:val="44"/>
          <w:lang w:val="en-US" w:eastAsia="zh-CN"/>
        </w:rPr>
        <w:t>2022年度</w:t>
      </w:r>
      <w:r>
        <w:rPr>
          <w:rFonts w:hint="eastAsia" w:ascii="方正小标宋简体" w:hAnsi="方正小标宋简体" w:eastAsia="方正小标宋简体" w:cs="方正小标宋简体"/>
          <w:b w:val="0"/>
          <w:bCs w:val="0"/>
          <w:color w:val="000000"/>
          <w:spacing w:val="2"/>
          <w:sz w:val="44"/>
          <w:szCs w:val="44"/>
          <w:lang w:val="en-US" w:eastAsia="zh-CN"/>
        </w:rPr>
        <w:t>岳阳楼麻布山省级森林公园管理中心</w:t>
      </w:r>
      <w:r>
        <w:rPr>
          <w:rFonts w:hint="default" w:ascii="方正小标宋简体" w:hAnsi="方正小标宋简体" w:eastAsia="方正小标宋简体" w:cs="方正小标宋简体"/>
          <w:b w:val="0"/>
          <w:bCs w:val="0"/>
          <w:color w:val="000000"/>
          <w:spacing w:val="2"/>
          <w:sz w:val="44"/>
          <w:szCs w:val="44"/>
          <w:lang w:val="en-US" w:eastAsia="zh-CN"/>
        </w:rPr>
        <w:t>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both"/>
        <w:textAlignment w:val="auto"/>
        <w:rPr>
          <w:rFonts w:hint="eastAsia" w:ascii="楷体_GB2312" w:hAnsi="楷体_GB2312" w:eastAsia="楷体_GB2312" w:cs="楷体_GB2312"/>
          <w:color w:val="000000"/>
          <w:spacing w:val="0"/>
          <w:position w:val="0"/>
          <w:sz w:val="36"/>
          <w:szCs w:val="36"/>
          <w:lang w:val="en-US" w:eastAsia="zh-CN"/>
        </w:rPr>
      </w:pPr>
      <w:r>
        <w:rPr>
          <w:rFonts w:hint="eastAsia" w:ascii="楷体_GB2312" w:hAnsi="楷体_GB2312" w:eastAsia="楷体_GB2312" w:cs="楷体_GB2312"/>
          <w:color w:val="000000"/>
          <w:spacing w:val="0"/>
          <w:position w:val="0"/>
          <w:sz w:val="36"/>
          <w:szCs w:val="36"/>
          <w:lang w:val="en-US" w:eastAsia="zh-CN"/>
        </w:rPr>
        <w:t>部门(单位)名称：岳阳楼麻布山省级森林公园管理中心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spacing w:val="0"/>
          <w:position w:val="0"/>
          <w:sz w:val="36"/>
          <w:szCs w:val="36"/>
          <w:lang w:val="en-US" w:eastAsia="zh-CN"/>
        </w:rPr>
      </w:pPr>
      <w:r>
        <w:rPr>
          <w:rFonts w:hint="eastAsia" w:ascii="楷体_GB2312" w:hAnsi="楷体_GB2312" w:eastAsia="楷体_GB2312" w:cs="楷体_GB2312"/>
          <w:color w:val="000000"/>
          <w:spacing w:val="0"/>
          <w:position w:val="0"/>
          <w:sz w:val="36"/>
          <w:szCs w:val="36"/>
          <w:lang w:val="en-US" w:eastAsia="zh-CN"/>
        </w:rPr>
        <w:t>2023年6月15日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2022年度岳阳楼麻布山省级森林公园管理中心整体支出绩效自评报告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单位基本情况</w:t>
      </w:r>
    </w:p>
    <w:p>
      <w:pPr>
        <w:widowControl/>
        <w:spacing w:before="0" w:beforeAutospacing="0" w:after="0" w:afterAutospacing="0" w:line="484" w:lineRule="atLeast"/>
        <w:ind w:left="0" w:right="0" w:firstLine="44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职能职责：森林公园主要职能是执行国家省级森林公园管理；保护和合理森林项目的规划和报批；负责园内生态环境保护，防止各种性质的破坏和污染；组织开展与森林公园和森林旅游相关的公益宣传，森林公园信息统计，业务培训；依法对森林公园自然、景观、动植物资源，森林防火安全；协助园内事务管理和文件保护，做好园内游客人身，财产安全保卫和救护等工作。</w:t>
      </w:r>
    </w:p>
    <w:p>
      <w:pPr>
        <w:widowControl/>
        <w:shd w:val="clear" w:color="auto" w:fill="FFFFFF"/>
        <w:spacing w:before="0" w:beforeAutospacing="0" w:after="0" w:afterAutospacing="0" w:line="480" w:lineRule="auto"/>
        <w:ind w:left="0" w:right="0" w:firstLine="420"/>
        <w:jc w:val="both"/>
        <w:rPr>
          <w:rFonts w:hint="eastAsia" w:ascii="仿宋_GB2312" w:hAnsi="仿宋_GB2312" w:eastAsia="仿宋_GB2312" w:cs="仿宋_GB2312"/>
          <w:bCs/>
          <w:kern w:val="0"/>
          <w:sz w:val="24"/>
          <w:szCs w:val="24"/>
          <w:lang w:val="en-US" w:eastAsia="zh-CN" w:bidi="ar"/>
        </w:rPr>
      </w:pPr>
      <w:r>
        <w:rPr>
          <w:rFonts w:hint="eastAsia" w:ascii="仿宋" w:hAnsi="仿宋" w:eastAsia="仿宋" w:cs="仿宋"/>
          <w:kern w:val="0"/>
          <w:sz w:val="32"/>
          <w:szCs w:val="32"/>
          <w:lang w:val="en-US" w:eastAsia="zh-CN" w:bidi="ar"/>
        </w:rPr>
        <w:t>2、机构设置：</w:t>
      </w:r>
      <w:r>
        <w:rPr>
          <w:rFonts w:hint="eastAsia" w:ascii="仿宋" w:hAnsi="仿宋" w:eastAsia="仿宋" w:cs="仿宋"/>
          <w:kern w:val="0"/>
          <w:sz w:val="32"/>
          <w:szCs w:val="32"/>
          <w:shd w:val="clear" w:color="auto" w:fill="FFFFFF"/>
          <w:lang w:val="en-US" w:eastAsia="zh-CN" w:bidi="ar"/>
        </w:rPr>
        <w:t>岳阳楼麻布山省级森林公园管理中心为区农业农村局下属副科级公益一类事业单位，核定全额拨款事业编制9名，其中：在职全额编制</w:t>
      </w:r>
      <w:r>
        <w:rPr>
          <w:rFonts w:hint="eastAsia" w:ascii="方正仿宋_GB2312" w:hAnsi="方正仿宋_GB2312" w:eastAsia="方正仿宋_GB2312" w:cs="方正仿宋_GB2312"/>
          <w:kern w:val="0"/>
          <w:sz w:val="32"/>
          <w:szCs w:val="32"/>
          <w:shd w:val="clear" w:color="auto" w:fill="FFFFFF"/>
          <w:lang w:val="en-US" w:eastAsia="zh-CN" w:bidi="ar"/>
        </w:rPr>
        <w:t>7人。</w:t>
      </w:r>
      <w:r>
        <w:rPr>
          <w:rFonts w:hint="eastAsia" w:ascii="方正仿宋_GB2312" w:hAnsi="方正仿宋_GB2312" w:eastAsia="方正仿宋_GB2312" w:cs="方正仿宋_GB2312"/>
          <w:kern w:val="0"/>
          <w:sz w:val="32"/>
          <w:szCs w:val="32"/>
          <w:lang w:val="en-US" w:eastAsia="zh-CN" w:bidi="ar"/>
        </w:rPr>
        <w:t>内</w:t>
      </w:r>
      <w:r>
        <w:rPr>
          <w:rFonts w:hint="eastAsia" w:ascii="仿宋" w:hAnsi="仿宋" w:eastAsia="仿宋" w:cs="仿宋"/>
          <w:kern w:val="0"/>
          <w:sz w:val="32"/>
          <w:szCs w:val="32"/>
          <w:lang w:val="en-US" w:eastAsia="zh-CN" w:bidi="ar"/>
        </w:rPr>
        <w:t>设综合办公室，营林股，规划发展股3个股室。</w:t>
      </w:r>
    </w:p>
    <w:p>
      <w:pPr>
        <w:keepNext w:val="0"/>
        <w:keepLines w:val="0"/>
        <w:pageBreakBefore w:val="0"/>
        <w:widowControl w:val="0"/>
        <w:kinsoku/>
        <w:wordWrap/>
        <w:overflowPunct/>
        <w:topLinePunct w:val="0"/>
        <w:autoSpaceDE/>
        <w:autoSpaceDN/>
        <w:bidi w:val="0"/>
        <w:adjustRightInd/>
        <w:snapToGrid/>
        <w:ind w:firstLine="320" w:firstLineChars="1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spacing w:val="0"/>
          <w:position w:val="0"/>
          <w:sz w:val="32"/>
          <w:szCs w:val="32"/>
          <w:lang w:val="en-US" w:eastAsia="zh-CN"/>
        </w:rPr>
      </w:pPr>
      <w:r>
        <w:rPr>
          <w:rFonts w:hint="eastAsia" w:ascii="楷体_GB2312" w:hAnsi="楷体_GB2312" w:eastAsia="楷体_GB2312" w:cs="楷体_GB2312"/>
          <w:b/>
          <w:bCs/>
          <w:color w:val="000000"/>
          <w:spacing w:val="0"/>
          <w:position w:val="0"/>
          <w:sz w:val="32"/>
          <w:szCs w:val="32"/>
          <w:lang w:val="en-US" w:eastAsia="zh-CN"/>
        </w:rPr>
        <w:t>(一)基本支出情况</w:t>
      </w:r>
    </w:p>
    <w:p>
      <w:pPr>
        <w:widowControl/>
        <w:shd w:val="clear" w:color="auto" w:fill="FFFFFF"/>
        <w:spacing w:before="0" w:beforeAutospacing="0" w:after="0" w:afterAutospacing="0" w:line="480" w:lineRule="auto"/>
        <w:ind w:left="0" w:right="0" w:firstLine="420"/>
        <w:jc w:val="both"/>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bCs/>
          <w:kern w:val="0"/>
          <w:sz w:val="32"/>
          <w:szCs w:val="32"/>
          <w:lang w:val="en-US" w:eastAsia="zh-CN" w:bidi="ar"/>
        </w:rPr>
        <w:t>1、整体支出情况：</w:t>
      </w:r>
      <w:r>
        <w:rPr>
          <w:rFonts w:hint="eastAsia" w:ascii="仿宋" w:hAnsi="仿宋" w:eastAsia="仿宋" w:cs="仿宋"/>
          <w:color w:val="000000"/>
          <w:kern w:val="0"/>
          <w:sz w:val="32"/>
          <w:szCs w:val="32"/>
          <w:shd w:val="clear" w:color="auto" w:fill="FFFFFF"/>
          <w:lang w:val="en-US" w:eastAsia="zh-CN" w:bidi="ar"/>
        </w:rPr>
        <w:t>2022年度收入195.23万元，其中：公共预算财政拨款收入195.23万元；上年结转0.00万元。</w:t>
      </w:r>
    </w:p>
    <w:p>
      <w:pPr>
        <w:widowControl/>
        <w:shd w:val="clear" w:color="auto" w:fill="FFFFFF"/>
        <w:spacing w:before="0" w:beforeAutospacing="0" w:after="0" w:afterAutospacing="0" w:line="480" w:lineRule="auto"/>
        <w:ind w:left="0" w:right="0" w:firstLine="420"/>
        <w:jc w:val="both"/>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2、2022年度支出195.23万元，（其中人员支出：106.91万元；公用支出10.91万元）结余0.00万元。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bCs/>
          <w:color w:val="000000"/>
          <w:spacing w:val="0"/>
          <w:position w:val="0"/>
          <w:sz w:val="32"/>
          <w:szCs w:val="32"/>
          <w:lang w:val="en-US" w:eastAsia="zh-CN"/>
        </w:rPr>
      </w:pPr>
      <w:r>
        <w:rPr>
          <w:rFonts w:hint="eastAsia" w:ascii="仿宋" w:hAnsi="仿宋" w:eastAsia="仿宋" w:cs="仿宋"/>
          <w:sz w:val="32"/>
          <w:szCs w:val="32"/>
          <w:shd w:val="clear" w:color="auto" w:fill="FFFFFF"/>
        </w:rPr>
        <w:t>3、“三公”经费支出合计</w:t>
      </w:r>
      <w:r>
        <w:rPr>
          <w:rFonts w:hint="eastAsia" w:ascii="仿宋" w:hAnsi="仿宋" w:eastAsia="仿宋" w:cs="仿宋"/>
          <w:sz w:val="32"/>
          <w:szCs w:val="32"/>
          <w:shd w:val="clear" w:color="auto" w:fill="FFFFFF"/>
          <w:lang w:val="en-US" w:eastAsia="zh-CN"/>
        </w:rPr>
        <w:t>3.97</w:t>
      </w:r>
      <w:r>
        <w:rPr>
          <w:rFonts w:hint="eastAsia" w:ascii="仿宋" w:hAnsi="仿宋" w:eastAsia="仿宋" w:cs="仿宋"/>
          <w:sz w:val="32"/>
          <w:szCs w:val="32"/>
          <w:shd w:val="clear" w:color="auto" w:fill="FFFFFF"/>
        </w:rPr>
        <w:t>万元，其中：</w:t>
      </w:r>
      <w:r>
        <w:rPr>
          <w:rFonts w:hint="eastAsia" w:ascii="仿宋" w:hAnsi="仿宋" w:eastAsia="仿宋" w:cs="仿宋"/>
          <w:color w:val="000000"/>
          <w:sz w:val="32"/>
          <w:szCs w:val="32"/>
          <w:shd w:val="clear" w:color="auto" w:fill="FFFFFF"/>
        </w:rPr>
        <w:t>公务用车购置及运行维护费</w:t>
      </w:r>
      <w:r>
        <w:rPr>
          <w:rFonts w:hint="eastAsia" w:ascii="仿宋" w:hAnsi="仿宋" w:eastAsia="仿宋" w:cs="仿宋"/>
          <w:color w:val="000000"/>
          <w:sz w:val="32"/>
          <w:szCs w:val="32"/>
          <w:shd w:val="clear" w:color="auto" w:fill="FFFFFF"/>
          <w:lang w:val="en-US" w:eastAsia="zh-CN"/>
        </w:rPr>
        <w:t>3.97</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val="en-US" w:eastAsia="zh-CN"/>
        </w:rPr>
        <w:t>因公出国（境）费用支出0.00万元，</w:t>
      </w:r>
      <w:r>
        <w:rPr>
          <w:rFonts w:hint="eastAsia" w:ascii="仿宋" w:hAnsi="仿宋" w:eastAsia="仿宋" w:cs="仿宋"/>
          <w:color w:val="000000"/>
          <w:sz w:val="32"/>
          <w:szCs w:val="32"/>
          <w:shd w:val="clear" w:color="auto" w:fill="FFFFFF"/>
        </w:rPr>
        <w:t>公务接待费支出</w:t>
      </w:r>
      <w:r>
        <w:rPr>
          <w:rFonts w:hint="eastAsia" w:ascii="仿宋" w:hAnsi="仿宋" w:eastAsia="仿宋" w:cs="仿宋"/>
          <w:color w:val="000000"/>
          <w:sz w:val="32"/>
          <w:szCs w:val="32"/>
          <w:shd w:val="clear" w:color="auto" w:fill="FFFFFF"/>
          <w:lang w:val="en-US" w:eastAsia="zh-CN"/>
        </w:rPr>
        <w:t>.00</w:t>
      </w:r>
      <w:r>
        <w:rPr>
          <w:rFonts w:hint="eastAsia" w:ascii="仿宋" w:hAnsi="仿宋" w:eastAsia="仿宋" w:cs="仿宋"/>
          <w:color w:val="000000"/>
          <w:sz w:val="32"/>
          <w:szCs w:val="32"/>
          <w:shd w:val="clear" w:color="auto" w:fill="FFFFFF"/>
        </w:rPr>
        <w:t>0万元，因为我单位严格管理和控制公务接待</w:t>
      </w:r>
      <w:r>
        <w:rPr>
          <w:rFonts w:hint="eastAsia" w:ascii="仿宋" w:hAnsi="仿宋" w:eastAsia="仿宋" w:cs="仿宋"/>
          <w:color w:val="000000"/>
          <w:sz w:val="32"/>
          <w:szCs w:val="32"/>
          <w:shd w:val="clear" w:color="auto" w:fill="FFFFFF"/>
          <w:lang w:val="en-US" w:eastAsia="zh-CN"/>
        </w:rPr>
        <w:t>支出</w:t>
      </w:r>
      <w:r>
        <w:rPr>
          <w:rFonts w:hint="eastAsia" w:ascii="仿宋" w:hAnsi="仿宋" w:eastAsia="仿宋" w:cs="仿宋"/>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spacing w:val="0"/>
          <w:position w:val="0"/>
          <w:sz w:val="32"/>
          <w:szCs w:val="32"/>
          <w:lang w:val="en-US" w:eastAsia="zh-CN"/>
        </w:rPr>
      </w:pPr>
      <w:r>
        <w:rPr>
          <w:rFonts w:hint="eastAsia" w:ascii="楷体_GB2312" w:hAnsi="楷体_GB2312" w:eastAsia="楷体_GB2312" w:cs="楷体_GB2312"/>
          <w:b/>
          <w:bCs/>
          <w:color w:val="000000"/>
          <w:spacing w:val="0"/>
          <w:position w:val="0"/>
          <w:sz w:val="32"/>
          <w:szCs w:val="32"/>
          <w:lang w:val="en-US" w:eastAsia="zh-CN"/>
        </w:rPr>
        <w:t>(二)项目支出情况</w:t>
      </w:r>
    </w:p>
    <w:p>
      <w:pPr>
        <w:keepNext w:val="0"/>
        <w:keepLines w:val="0"/>
        <w:widowControl/>
        <w:suppressLineNumbers w:val="0"/>
        <w:spacing w:before="0" w:beforeAutospacing="0" w:after="0" w:afterAutospacing="0" w:line="480" w:lineRule="auto"/>
        <w:ind w:left="0" w:right="0" w:firstLine="640" w:firstLineChars="200"/>
        <w:jc w:val="left"/>
        <w:rPr>
          <w:rFonts w:hint="default" w:ascii="楷体_GB2312" w:hAnsi="楷体_GB2312" w:eastAsia="楷体_GB2312" w:cs="楷体_GB2312"/>
          <w:b/>
          <w:bCs/>
          <w:color w:val="000000"/>
          <w:spacing w:val="0"/>
          <w:kern w:val="0"/>
          <w:position w:val="0"/>
          <w:sz w:val="32"/>
          <w:szCs w:val="32"/>
          <w:lang w:val="en-US" w:eastAsia="zh-CN" w:bidi="ar"/>
        </w:rPr>
      </w:pPr>
      <w:r>
        <w:rPr>
          <w:rFonts w:hint="eastAsia" w:ascii="仿宋" w:hAnsi="仿宋" w:eastAsia="仿宋" w:cs="仿宋"/>
          <w:kern w:val="0"/>
          <w:sz w:val="32"/>
          <w:szCs w:val="32"/>
          <w:lang w:val="en-US" w:eastAsia="zh-CN" w:bidi="ar"/>
        </w:rPr>
        <w:t>本年度专项收入168.47万元，其中上级补助专项资金125.00万元（有害生物防治资金10.00万元，局机关拨林业资源管护费25.00万元,森林苗木补植款90.00万元），业务工作经费39.47万元，运行维护经费4.00万元，上年结余0.00万元。本年度专项支出78.32万元，其中：业务工作经费支出39.45万元，运行维护经费支出3.97万元，林业资源管护支出25.00万元，白蚁防治支出9.90万元。森林苗木补植款2022年12月26日上指标，项目暂未执行,资金年末财政收回。</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spacing w:val="0"/>
          <w:position w:val="0"/>
          <w:sz w:val="32"/>
          <w:szCs w:val="32"/>
          <w:lang w:val="en-US" w:eastAsia="zh-CN"/>
        </w:rPr>
      </w:pPr>
      <w:r>
        <w:rPr>
          <w:rFonts w:hint="eastAsia" w:ascii="仿宋" w:hAnsi="仿宋" w:eastAsia="仿宋" w:cs="仿宋"/>
          <w:color w:val="000000"/>
          <w:spacing w:val="0"/>
          <w:position w:val="0"/>
          <w:sz w:val="32"/>
          <w:szCs w:val="32"/>
          <w:lang w:val="en-US" w:eastAsia="zh-CN"/>
        </w:rPr>
        <w:t>本年度本单位无政府性基金安排的支出。</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spacing w:val="0"/>
          <w:position w:val="0"/>
          <w:sz w:val="32"/>
          <w:szCs w:val="32"/>
          <w:lang w:val="en-US" w:eastAsia="zh-CN"/>
        </w:rPr>
      </w:pPr>
      <w:r>
        <w:rPr>
          <w:rFonts w:hint="eastAsia" w:ascii="仿宋" w:hAnsi="仿宋" w:eastAsia="仿宋" w:cs="仿宋"/>
          <w:color w:val="000000"/>
          <w:spacing w:val="0"/>
          <w:position w:val="0"/>
          <w:sz w:val="32"/>
          <w:szCs w:val="32"/>
          <w:lang w:val="en-US" w:eastAsia="zh-CN"/>
        </w:rPr>
        <w:t>本年度本单位无国有资本经营预算支出。</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spacing w:val="0"/>
          <w:position w:val="0"/>
          <w:sz w:val="32"/>
          <w:szCs w:val="32"/>
          <w:lang w:val="en-US" w:eastAsia="zh-CN"/>
        </w:rPr>
      </w:pPr>
      <w:r>
        <w:rPr>
          <w:rFonts w:hint="eastAsia" w:ascii="仿宋" w:hAnsi="仿宋" w:eastAsia="仿宋" w:cs="仿宋"/>
          <w:color w:val="000000"/>
          <w:spacing w:val="0"/>
          <w:position w:val="0"/>
          <w:sz w:val="32"/>
          <w:szCs w:val="32"/>
          <w:lang w:val="en-US" w:eastAsia="zh-CN"/>
        </w:rPr>
        <w:t>本年度本单位无社会保险基金预算支出。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六、部门整体支出绩效情况</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我单位工作经费安排严格按照年初预算来执行，有效防止了超预算</w:t>
      </w:r>
      <w:r>
        <w:rPr>
          <w:rFonts w:hint="eastAsia" w:ascii="仿宋" w:hAnsi="仿宋" w:eastAsia="仿宋" w:cs="仿宋"/>
          <w:bCs/>
          <w:sz w:val="32"/>
          <w:szCs w:val="32"/>
          <w:lang w:eastAsia="zh-CN"/>
        </w:rPr>
        <w:t>，</w:t>
      </w:r>
      <w:r>
        <w:rPr>
          <w:rFonts w:hint="eastAsia" w:ascii="仿宋" w:hAnsi="仿宋" w:eastAsia="仿宋" w:cs="仿宋"/>
          <w:bCs/>
          <w:sz w:val="32"/>
          <w:szCs w:val="32"/>
        </w:rPr>
        <w:t>严格按照厉行节约的要求</w:t>
      </w:r>
      <w:r>
        <w:rPr>
          <w:rFonts w:hint="eastAsia" w:ascii="仿宋" w:hAnsi="仿宋" w:eastAsia="仿宋" w:cs="仿宋"/>
          <w:bCs/>
          <w:sz w:val="32"/>
          <w:szCs w:val="32"/>
          <w:lang w:eastAsia="zh-CN"/>
        </w:rPr>
        <w:t>，</w:t>
      </w:r>
      <w:r>
        <w:rPr>
          <w:rFonts w:hint="eastAsia" w:ascii="仿宋" w:hAnsi="仿宋" w:eastAsia="仿宋" w:cs="仿宋"/>
          <w:bCs/>
          <w:sz w:val="32"/>
          <w:szCs w:val="32"/>
        </w:rPr>
        <w:t>降低运行成本，合理配置。</w:t>
      </w:r>
      <w:r>
        <w:rPr>
          <w:rFonts w:hint="eastAsia" w:ascii="仿宋" w:hAnsi="仿宋" w:eastAsia="仿宋" w:cs="仿宋"/>
          <w:sz w:val="32"/>
          <w:szCs w:val="32"/>
        </w:rPr>
        <w:t>管理中心管理模式、机制机构、生态保护、旅游服务等工作得到了长足的发展</w:t>
      </w:r>
      <w:r>
        <w:rPr>
          <w:rFonts w:hint="eastAsia" w:ascii="仿宋" w:hAnsi="仿宋" w:eastAsia="仿宋" w:cs="仿宋"/>
          <w:bCs/>
          <w:sz w:val="32"/>
          <w:szCs w:val="32"/>
        </w:rPr>
        <w:t>。</w:t>
      </w:r>
    </w:p>
    <w:p>
      <w:pPr>
        <w:keepNext w:val="0"/>
        <w:keepLines w:val="0"/>
        <w:widowControl/>
        <w:suppressLineNumbers w:val="0"/>
        <w:spacing w:before="0" w:beforeAutospacing="0" w:after="0" w:afterAutospacing="0" w:line="33" w:lineRule="atLeast"/>
        <w:ind w:left="0" w:right="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1、经济性方面评价：</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预算执行方面，支出总额基本控制在预算总额以内，除专项预算追加和政策性工资绩效预算的追加外，本年部门预算未进行预算相关事项的调整。预算内专项资金在取得财政局的年度预算批复时，随批复一同进行了下达；追加的项目专项资金在取得上级或同级财政批复后随批复及时进行了下达</w:t>
      </w:r>
      <w:r>
        <w:rPr>
          <w:rFonts w:hint="eastAsia" w:ascii="仿宋" w:hAnsi="仿宋" w:eastAsia="仿宋" w:cs="仿宋"/>
          <w:sz w:val="32"/>
          <w:szCs w:val="32"/>
          <w:lang w:eastAsia="zh-CN"/>
        </w:rPr>
        <w:t>。</w:t>
      </w:r>
    </w:p>
    <w:p>
      <w:pPr>
        <w:keepNext w:val="0"/>
        <w:keepLines w:val="0"/>
        <w:widowControl/>
        <w:suppressLineNumbers w:val="0"/>
        <w:spacing w:before="0" w:beforeAutospacing="0" w:after="0" w:afterAutospacing="0" w:line="480" w:lineRule="auto"/>
        <w:ind w:left="0" w:right="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2、效率性评价和有效性评价：</w:t>
      </w:r>
    </w:p>
    <w:p>
      <w:pPr>
        <w:keepNext w:val="0"/>
        <w:keepLines w:val="0"/>
        <w:widowControl/>
        <w:suppressLineNumbers w:val="0"/>
        <w:spacing w:before="0" w:beforeAutospacing="0" w:after="0" w:afterAutospacing="0" w:line="480" w:lineRule="auto"/>
        <w:ind w:left="0" w:right="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本单位基本上执行了年初预算，不断优化资金支出结构，提高资金的使用效益，以达到了保运转，保民生，保安全，促均衡的效果。本单位对于2022年度全区目标管理绩效考核指标均落实到位，圆满完成了既定任务，各项工作成效显著。</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FF"/>
          <w:sz w:val="32"/>
          <w:szCs w:val="40"/>
          <w:lang w:val="en-US" w:eastAsia="zh-CN"/>
        </w:rPr>
      </w:pPr>
      <w:r>
        <w:rPr>
          <w:rFonts w:hint="eastAsia" w:ascii="仿宋" w:hAnsi="仿宋" w:eastAsia="仿宋" w:cs="仿宋"/>
          <w:sz w:val="32"/>
          <w:szCs w:val="40"/>
          <w:lang w:val="en-US" w:eastAsia="zh-CN"/>
        </w:rPr>
        <w:t>2022年上半年，森林公园纳入林长制，进入网络化管理，促使公园资源管护和安全管理上有了提高和强化。</w:t>
      </w:r>
      <w:r>
        <w:rPr>
          <w:rFonts w:hint="eastAsia" w:ascii="仿宋" w:hAnsi="仿宋" w:eastAsia="仿宋" w:cs="仿宋"/>
          <w:color w:val="000000"/>
          <w:sz w:val="32"/>
          <w:szCs w:val="40"/>
          <w:lang w:val="en-US" w:eastAsia="zh-CN"/>
        </w:rPr>
        <w:t>全年巡护发现涉嫌生态环保事件7起，均已移交执法部门处理。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40"/>
          <w:lang w:val="en-US" w:eastAsia="zh-CN"/>
        </w:rPr>
      </w:pPr>
      <w:r>
        <w:rPr>
          <w:rFonts w:hint="eastAsia" w:ascii="楷体" w:hAnsi="楷体" w:eastAsia="楷体" w:cs="楷体"/>
          <w:sz w:val="32"/>
          <w:szCs w:val="40"/>
          <w:lang w:val="en-US" w:eastAsia="zh-CN"/>
        </w:rPr>
        <w:t>森林防火方面加强了综合管理：一是</w:t>
      </w:r>
      <w:r>
        <w:rPr>
          <w:rFonts w:hint="eastAsia" w:ascii="仿宋" w:hAnsi="仿宋" w:eastAsia="仿宋" w:cs="仿宋"/>
          <w:sz w:val="32"/>
          <w:szCs w:val="40"/>
          <w:lang w:val="en-US" w:eastAsia="zh-CN"/>
        </w:rPr>
        <w:t>森林防火特护期加强</w:t>
      </w:r>
      <w:r>
        <w:rPr>
          <w:rFonts w:hint="eastAsia" w:ascii="仿宋" w:hAnsi="仿宋" w:eastAsia="仿宋" w:cs="仿宋"/>
          <w:b w:val="0"/>
          <w:bCs w:val="0"/>
          <w:sz w:val="32"/>
          <w:szCs w:val="40"/>
          <w:lang w:val="en-US" w:eastAsia="zh-CN"/>
        </w:rPr>
        <w:t>落实森林防火宣传，</w:t>
      </w:r>
      <w:r>
        <w:rPr>
          <w:rFonts w:hint="eastAsia" w:ascii="仿宋" w:hAnsi="仿宋" w:eastAsia="仿宋" w:cs="仿宋"/>
          <w:sz w:val="32"/>
          <w:szCs w:val="40"/>
          <w:lang w:val="en-US" w:eastAsia="zh-CN"/>
        </w:rPr>
        <w:t>共张贴各级封山禁火令100余张，张拉防火横幅40余条，制作标牌10块，更新宣传栏3块，宣传展板2个，向村民和游客多元化宣传森林防火知识，放发森林防火入户手册约1200余册，并在国庆期间发放致村民、游客一封信约400余份，进一步提高了村民和游客的森林防火意识，强化了宣传力度。二是</w:t>
      </w:r>
      <w:r>
        <w:rPr>
          <w:rFonts w:hint="eastAsia" w:ascii="仿宋" w:hAnsi="仿宋" w:eastAsia="仿宋" w:cs="仿宋"/>
          <w:b w:val="0"/>
          <w:bCs w:val="0"/>
          <w:sz w:val="32"/>
          <w:szCs w:val="40"/>
          <w:lang w:val="en-US" w:eastAsia="zh-CN"/>
        </w:rPr>
        <w:t>加强卡口火源管理</w:t>
      </w:r>
      <w:r>
        <w:rPr>
          <w:rFonts w:hint="eastAsia" w:ascii="仿宋" w:hAnsi="仿宋" w:eastAsia="仿宋" w:cs="仿宋"/>
          <w:b/>
          <w:bCs/>
          <w:sz w:val="32"/>
          <w:szCs w:val="40"/>
          <w:lang w:val="en-US" w:eastAsia="zh-CN"/>
        </w:rPr>
        <w:t>：</w:t>
      </w:r>
      <w:r>
        <w:rPr>
          <w:rFonts w:hint="eastAsia" w:ascii="仿宋" w:hAnsi="仿宋" w:eastAsia="仿宋" w:cs="仿宋"/>
          <w:sz w:val="32"/>
          <w:szCs w:val="40"/>
          <w:lang w:val="en-US" w:eastAsia="zh-CN"/>
        </w:rPr>
        <w:t>在公园的主要出入山口设立森林防火检查站，推行森林防火码，采用双码扫码入林，封山期间实行实名制管理，严禁外来人员进山入林。</w:t>
      </w:r>
      <w:r>
        <w:rPr>
          <w:rFonts w:hint="eastAsia" w:ascii="仿宋" w:hAnsi="仿宋" w:eastAsia="仿宋" w:cs="仿宋"/>
          <w:b w:val="0"/>
          <w:bCs w:val="0"/>
          <w:sz w:val="32"/>
          <w:szCs w:val="40"/>
          <w:lang w:val="en-US" w:eastAsia="zh-CN"/>
        </w:rPr>
        <w:t>添置森林防火装备</w:t>
      </w:r>
      <w:r>
        <w:rPr>
          <w:rFonts w:hint="eastAsia" w:ascii="仿宋" w:hAnsi="仿宋" w:eastAsia="仿宋" w:cs="仿宋"/>
          <w:b/>
          <w:bCs/>
          <w:sz w:val="32"/>
          <w:szCs w:val="40"/>
          <w:lang w:val="en-US" w:eastAsia="zh-CN"/>
        </w:rPr>
        <w:t>：</w:t>
      </w:r>
      <w:r>
        <w:rPr>
          <w:rFonts w:hint="eastAsia" w:ascii="仿宋" w:hAnsi="仿宋" w:eastAsia="仿宋" w:cs="仿宋"/>
          <w:sz w:val="32"/>
          <w:szCs w:val="40"/>
          <w:lang w:val="en-US" w:eastAsia="zh-CN"/>
        </w:rPr>
        <w:t>全年下来，新增灭火风机2台、灭火器5瓶、油锯2把、长把镰刀5把，2号工具30把，铁锹30把。根据区森防指令要求，计划再配备高压细水雾灭火机10台套等设备，进一步充实公园消防物资储备，提高应急处突硬件基础。三是</w:t>
      </w:r>
      <w:r>
        <w:rPr>
          <w:rFonts w:hint="eastAsia" w:ascii="仿宋" w:hAnsi="仿宋" w:eastAsia="仿宋" w:cs="仿宋"/>
          <w:b w:val="0"/>
          <w:bCs w:val="0"/>
          <w:sz w:val="32"/>
          <w:szCs w:val="40"/>
          <w:lang w:val="en-US" w:eastAsia="zh-CN"/>
        </w:rPr>
        <w:t>加强火险隐患排查力度</w:t>
      </w:r>
      <w:r>
        <w:rPr>
          <w:rFonts w:hint="eastAsia" w:ascii="仿宋" w:hAnsi="仿宋" w:eastAsia="仿宋" w:cs="仿宋"/>
          <w:b/>
          <w:bCs/>
          <w:sz w:val="32"/>
          <w:szCs w:val="40"/>
          <w:lang w:val="en-US" w:eastAsia="zh-CN"/>
        </w:rPr>
        <w:t>：</w:t>
      </w:r>
      <w:r>
        <w:rPr>
          <w:rFonts w:hint="eastAsia" w:ascii="仿宋" w:hAnsi="仿宋" w:eastAsia="仿宋" w:cs="仿宋"/>
          <w:sz w:val="32"/>
          <w:szCs w:val="40"/>
          <w:lang w:val="en-US" w:eastAsia="zh-CN"/>
        </w:rPr>
        <w:t>全年共排查制止火患问题17次，并配合输电公司线路所开展高压电塔周边安全隐患排查，降低高压线下的安全隐患。</w:t>
      </w:r>
      <w:r>
        <w:rPr>
          <w:rFonts w:hint="eastAsia" w:ascii="仿宋" w:hAnsi="仿宋" w:eastAsia="仿宋" w:cs="仿宋"/>
          <w:b w:val="0"/>
          <w:bCs w:val="0"/>
          <w:sz w:val="32"/>
          <w:szCs w:val="40"/>
          <w:lang w:val="en-US" w:eastAsia="zh-CN"/>
        </w:rPr>
        <w:t>五是落实林下可燃物的清理</w:t>
      </w:r>
      <w:r>
        <w:rPr>
          <w:rFonts w:hint="eastAsia" w:ascii="仿宋" w:hAnsi="仿宋" w:eastAsia="仿宋" w:cs="仿宋"/>
          <w:sz w:val="32"/>
          <w:szCs w:val="40"/>
          <w:lang w:val="en-US" w:eastAsia="zh-CN"/>
        </w:rPr>
        <w:t>：今年旱情持续，特护期提前，公园在国庆期间展开了一次林下可燃物的清理，对核心景观区上山路段的枯枝枯叶进行了清运，该项工作公园将根据季节性特点持续抓好落实。</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b w:val="0"/>
          <w:bCs w:val="0"/>
          <w:sz w:val="32"/>
          <w:szCs w:val="40"/>
          <w:lang w:val="en-US" w:eastAsia="zh-CN"/>
        </w:rPr>
        <w:t>在资源管护上强化了人为介入。</w:t>
      </w:r>
      <w:r>
        <w:rPr>
          <w:rFonts w:hint="eastAsia" w:ascii="仿宋" w:hAnsi="仿宋" w:eastAsia="仿宋" w:cs="仿宋"/>
          <w:sz w:val="32"/>
          <w:szCs w:val="40"/>
          <w:lang w:val="en-US" w:eastAsia="zh-CN"/>
        </w:rPr>
        <w:t>受“夏秋冬”连旱影响，森林公园面临着前所未有的压力，山体林路两侧人工种植林木因客土栽培，根系不深，长期失水，山体林木受损，枯死率问题突现。针对旱情，公园山体林路两侧林木进行人工施水养护，减少自然灾害、降低恶劣天气带来的林木损失。同时进一步加强林木病虫害防止、外来入侵物种的清理和冬季防防寒防虫等工作。自7月份开始公园就持续落实白蚁防治工作，请市林业局专家给予技术支持，首次白蚁防治将持续到明天开春；结合区农业农村局加拿大一支黄花的清理行动，配合林业执法大队同事开展麻布山林缘周边黄花的清理，并进行施药；并计划在今年底开始进行林路两侧树木的抗寒防虫工作，全面进行刷白，确保开春防虫效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 w:hAnsi="仿宋" w:eastAsia="仿宋" w:cs="仿宋"/>
          <w:sz w:val="32"/>
          <w:szCs w:val="40"/>
          <w:lang w:val="en-US" w:eastAsia="zh-CN"/>
        </w:rPr>
        <w:t>优化保护地环境，推动乡村观光旅游，随着乡村振兴工作在麻布山下持续推进，田园牧歌经营性活动的开展，公园景区整体观光环境也得到了有效的提质，配合麻布村委对公园道路两侧进行了美化，对许家组停车场进行白改黑，森林公园管理中心做为麻布山景区的服务窗口，抓好林区管护的同时，也要服务好、保障好到麻布山健步乐行、登高望远的游客，向游客讲解麻布山的景区人文、讲解麻布山村的农耕文化，全年统计截止12月底游客量达到近4万人次。</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七、存在的问题及原因分析</w:t>
      </w:r>
    </w:p>
    <w:p>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1.预算执行进度和效率有待加强</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绩效目标管理和调整有待完善。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2.财务制度执行力有待加强，资金使用计划有待细化。部门预算管理有待进一步加强，厉行节约有待进一步落实。</w:t>
      </w:r>
    </w:p>
    <w:p>
      <w:pPr>
        <w:spacing w:line="560" w:lineRule="exac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3.加强组织管理人员的业务培训，提升管理能力和服务水平。</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八、下一步改进措施</w:t>
      </w:r>
    </w:p>
    <w:p>
      <w:pPr>
        <w:spacing w:line="56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针对上述存在的问题及整体支出管理工作的需要，改进措施如下：</w:t>
      </w:r>
    </w:p>
    <w:p>
      <w:pPr>
        <w:numPr>
          <w:ilvl w:val="0"/>
          <w:numId w:val="3"/>
        </w:numPr>
        <w:spacing w:line="560" w:lineRule="exact"/>
        <w:ind w:left="910" w:hanging="36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切实加快预算执行进度,提升资金使用效率</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密切关注目标任务开展情况,确保实际工作切合绩效目标。</w:t>
      </w:r>
    </w:p>
    <w:p>
      <w:pPr>
        <w:numPr>
          <w:ilvl w:val="0"/>
          <w:numId w:val="3"/>
        </w:numPr>
        <w:spacing w:line="560" w:lineRule="exact"/>
        <w:ind w:left="910" w:hanging="360"/>
        <w:rPr>
          <w:rFonts w:hint="eastAsia" w:ascii="仿宋" w:hAnsi="仿宋" w:eastAsia="仿宋" w:cs="仿宋"/>
          <w:color w:val="000000"/>
          <w:spacing w:val="0"/>
          <w:position w:val="0"/>
          <w:sz w:val="32"/>
          <w:szCs w:val="32"/>
          <w:lang w:val="en-US" w:eastAsia="zh-CN"/>
        </w:rPr>
      </w:pPr>
      <w:r>
        <w:rPr>
          <w:rFonts w:hint="eastAsia" w:ascii="仿宋" w:hAnsi="仿宋" w:eastAsia="仿宋" w:cs="仿宋"/>
          <w:bCs/>
          <w:sz w:val="32"/>
          <w:szCs w:val="32"/>
        </w:rPr>
        <w:t>继续从严控制</w:t>
      </w:r>
      <w:r>
        <w:rPr>
          <w:rFonts w:hint="eastAsia" w:ascii="仿宋" w:hAnsi="仿宋" w:eastAsia="仿宋" w:cs="仿宋"/>
          <w:color w:val="000000"/>
          <w:sz w:val="32"/>
          <w:szCs w:val="32"/>
          <w:shd w:val="clear" w:color="auto" w:fill="FFFFFF"/>
        </w:rPr>
        <w:t>出国（境）经费、车两购置及运行维护费、公务接待费等一般性支出。</w:t>
      </w:r>
    </w:p>
    <w:p>
      <w:pPr>
        <w:numPr>
          <w:ilvl w:val="0"/>
          <w:numId w:val="3"/>
        </w:numPr>
        <w:spacing w:line="560" w:lineRule="exact"/>
        <w:ind w:left="910" w:hanging="360"/>
        <w:rPr>
          <w:rFonts w:hint="eastAsia" w:ascii="仿宋" w:hAnsi="仿宋" w:eastAsia="仿宋" w:cs="仿宋"/>
          <w:color w:val="000000"/>
          <w:spacing w:val="0"/>
          <w:position w:val="0"/>
          <w:sz w:val="32"/>
          <w:szCs w:val="32"/>
          <w:lang w:val="en-US" w:eastAsia="zh-CN"/>
        </w:rPr>
      </w:pPr>
      <w:r>
        <w:rPr>
          <w:rFonts w:hint="eastAsia" w:ascii="仿宋" w:hAnsi="仿宋" w:eastAsia="仿宋" w:cs="仿宋"/>
          <w:color w:val="000000"/>
          <w:sz w:val="32"/>
          <w:szCs w:val="32"/>
          <w:shd w:val="clear" w:color="auto" w:fill="FFFFFF"/>
        </w:rPr>
        <w:t>加强财务管理，严格财务审核。在费用报账支付时，按照预算规定的费用项目和用途进行资金使用审核、列报支付、财务核算，杜绝超支现象的发生。</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其他需要说明的情况：无</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p>
    <w:p>
      <w:pPr>
        <w:spacing w:before="169" w:line="776" w:lineRule="exact"/>
        <w:ind w:left="372"/>
        <w:rPr>
          <w:rFonts w:hint="eastAsia" w:ascii="宋体" w:hAnsi="宋体" w:eastAsia="宋体" w:cs="宋体"/>
          <w:b/>
          <w:bCs/>
          <w:color w:val="000000"/>
          <w:spacing w:val="19"/>
          <w:position w:val="17"/>
          <w:sz w:val="36"/>
          <w:szCs w:val="36"/>
          <w:lang w:eastAsia="zh-CN"/>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附件5</w:t>
      </w:r>
    </w:p>
    <w:p>
      <w:pPr>
        <w:ind w:firstLine="1440" w:firstLineChars="400"/>
        <w:jc w:val="both"/>
        <w:rPr>
          <w:rFonts w:hint="eastAsia" w:ascii="Calibri" w:hAnsi="Calibri" w:eastAsia="方正小标宋简体" w:cs="Times New Roman"/>
          <w:sz w:val="36"/>
          <w:szCs w:val="36"/>
          <w:lang w:eastAsia="zh-CN"/>
        </w:rPr>
      </w:pPr>
    </w:p>
    <w:p>
      <w:pPr>
        <w:ind w:firstLine="1440" w:firstLineChars="400"/>
        <w:jc w:val="both"/>
        <w:rPr>
          <w:rFonts w:ascii="Calibri" w:hAnsi="Calibri" w:eastAsia="方正小标宋简体" w:cs="Times New Roman"/>
          <w:spacing w:val="-6"/>
          <w:sz w:val="36"/>
          <w:szCs w:val="36"/>
        </w:rPr>
      </w:pPr>
      <w:r>
        <w:rPr>
          <w:rFonts w:hint="eastAsia" w:ascii="Calibri" w:hAnsi="Calibri" w:eastAsia="方正小标宋简体" w:cs="Times New Roman"/>
          <w:sz w:val="36"/>
          <w:szCs w:val="36"/>
          <w:lang w:eastAsia="zh-CN"/>
        </w:rPr>
        <w:t>区级</w:t>
      </w:r>
      <w:r>
        <w:rPr>
          <w:rFonts w:ascii="Calibri" w:hAnsi="Calibri" w:eastAsia="方正小标宋简体" w:cs="Times New Roman"/>
          <w:sz w:val="36"/>
          <w:szCs w:val="36"/>
        </w:rPr>
        <w:t>预算</w:t>
      </w:r>
      <w:r>
        <w:rPr>
          <w:rFonts w:hint="eastAsia" w:ascii="Calibri" w:hAnsi="Calibri" w:eastAsia="方正小标宋简体" w:cs="Times New Roman"/>
          <w:sz w:val="36"/>
          <w:szCs w:val="36"/>
          <w:lang w:eastAsia="zh-CN"/>
        </w:rPr>
        <w:t>单位</w:t>
      </w:r>
      <w:r>
        <w:rPr>
          <w:rFonts w:ascii="Calibri" w:hAnsi="Calibri" w:eastAsia="方正小标宋简体" w:cs="Times New Roman"/>
          <w:spacing w:val="-6"/>
          <w:sz w:val="36"/>
          <w:szCs w:val="36"/>
        </w:rPr>
        <w:t>绩效自评工作考核评分表</w:t>
      </w:r>
    </w:p>
    <w:tbl>
      <w:tblPr>
        <w:tblStyle w:val="2"/>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黑体" w:cs="Times New Roman"/>
                <w:szCs w:val="21"/>
              </w:rPr>
            </w:pPr>
            <w:r>
              <w:rPr>
                <w:rFonts w:ascii="Calibri" w:hAnsi="Calibri" w:eastAsia="黑体" w:cs="Times New Roman"/>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黑体" w:cs="Times New Roman"/>
                <w:szCs w:val="21"/>
              </w:rPr>
            </w:pPr>
            <w:r>
              <w:rPr>
                <w:rFonts w:ascii="Calibri" w:hAnsi="Calibri" w:eastAsia="黑体" w:cs="Times New Roman"/>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黑体" w:cs="Times New Roman"/>
                <w:szCs w:val="21"/>
              </w:rPr>
            </w:pPr>
            <w:r>
              <w:rPr>
                <w:rFonts w:ascii="Calibri" w:hAnsi="Calibri" w:eastAsia="黑体" w:cs="Times New Roman"/>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黑体" w:cs="Times New Roman"/>
                <w:szCs w:val="21"/>
              </w:rPr>
            </w:pPr>
            <w:r>
              <w:rPr>
                <w:rFonts w:ascii="Calibri" w:hAnsi="Calibri" w:eastAsia="黑体" w:cs="Times New Roman"/>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Cs w:val="21"/>
              </w:rPr>
            </w:pPr>
            <w:r>
              <w:rPr>
                <w:rFonts w:hint="eastAsia" w:ascii="宋体" w:hAnsi="宋体" w:eastAsia="宋体" w:cs="宋体"/>
                <w:szCs w:val="21"/>
              </w:rPr>
              <w:t>实施评价</w:t>
            </w:r>
          </w:p>
          <w:p>
            <w:pPr>
              <w:spacing w:line="320" w:lineRule="exact"/>
              <w:jc w:val="center"/>
              <w:rPr>
                <w:rFonts w:hint="eastAsia" w:ascii="宋体" w:hAnsi="宋体" w:eastAsia="宋体" w:cs="宋体"/>
                <w:szCs w:val="21"/>
              </w:rPr>
            </w:pPr>
          </w:p>
          <w:p>
            <w:pPr>
              <w:spacing w:line="320" w:lineRule="exact"/>
              <w:jc w:val="center"/>
              <w:rPr>
                <w:rFonts w:hint="eastAsia" w:ascii="宋体" w:hAnsi="宋体" w:eastAsia="宋体" w:cs="宋体"/>
                <w:szCs w:val="21"/>
              </w:rPr>
            </w:pPr>
            <w:r>
              <w:rPr>
                <w:rFonts w:hint="eastAsia" w:ascii="宋体" w:hAnsi="宋体" w:eastAsia="宋体" w:cs="宋体"/>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单位自查</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宋体" w:hAnsi="宋体" w:eastAsia="宋体" w:cs="宋体"/>
                <w:sz w:val="21"/>
                <w:szCs w:val="21"/>
              </w:rPr>
            </w:pPr>
            <w:r>
              <w:rPr>
                <w:rFonts w:hint="eastAsia" w:ascii="宋体" w:hAnsi="宋体" w:eastAsia="宋体" w:cs="宋体"/>
                <w:sz w:val="21"/>
                <w:szCs w:val="21"/>
                <w:lang w:eastAsia="zh-CN"/>
              </w:rPr>
              <w:t>区</w:t>
            </w:r>
            <w:r>
              <w:rPr>
                <w:rFonts w:hint="eastAsia" w:ascii="宋体" w:hAnsi="宋体" w:eastAsia="宋体" w:cs="宋体"/>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宋体" w:hAnsi="宋体" w:eastAsia="宋体" w:cs="宋体"/>
                <w:szCs w:val="21"/>
                <w:lang w:val="en-US" w:eastAsia="zh-CN"/>
              </w:rPr>
            </w:pPr>
            <w:r>
              <w:rPr>
                <w:rFonts w:hint="eastAsia" w:ascii="宋体" w:hAnsi="宋体" w:eastAsia="宋体" w:cs="宋体"/>
                <w:szCs w:val="21"/>
              </w:rPr>
              <w:t>　</w:t>
            </w:r>
            <w:r>
              <w:rPr>
                <w:rFonts w:hint="eastAsia" w:ascii="宋体" w:hAnsi="宋体" w:eastAsia="宋体" w:cs="宋体"/>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提交报告</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按时向</w:t>
            </w:r>
            <w:r>
              <w:rPr>
                <w:rFonts w:hint="eastAsia" w:ascii="宋体" w:hAnsi="宋体" w:eastAsia="宋体" w:cs="宋体"/>
                <w:sz w:val="21"/>
                <w:szCs w:val="21"/>
                <w:lang w:eastAsia="zh-CN"/>
              </w:rPr>
              <w:t>区</w:t>
            </w:r>
            <w:r>
              <w:rPr>
                <w:rFonts w:hint="eastAsia" w:ascii="宋体" w:hAnsi="宋体" w:eastAsia="宋体" w:cs="宋体"/>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宋体" w:hAnsi="宋体" w:eastAsia="宋体" w:cs="宋体"/>
                <w:szCs w:val="21"/>
                <w:lang w:val="en-US" w:eastAsia="zh-CN"/>
              </w:rPr>
            </w:pPr>
            <w:r>
              <w:rPr>
                <w:rFonts w:hint="eastAsia" w:ascii="宋体" w:hAnsi="宋体" w:eastAsia="宋体" w:cs="宋体"/>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自评报告</w:t>
            </w:r>
          </w:p>
          <w:p>
            <w:pPr>
              <w:spacing w:line="240" w:lineRule="exact"/>
              <w:jc w:val="center"/>
              <w:rPr>
                <w:rFonts w:hint="eastAsia" w:ascii="宋体" w:hAnsi="宋体" w:eastAsia="宋体" w:cs="宋体"/>
                <w:szCs w:val="21"/>
              </w:rPr>
            </w:pPr>
          </w:p>
          <w:p>
            <w:pPr>
              <w:spacing w:line="240" w:lineRule="exact"/>
              <w:jc w:val="center"/>
              <w:rPr>
                <w:rFonts w:hint="eastAsia" w:ascii="宋体" w:hAnsi="宋体" w:eastAsia="宋体" w:cs="宋体"/>
                <w:szCs w:val="21"/>
              </w:rPr>
            </w:pPr>
            <w:r>
              <w:rPr>
                <w:rFonts w:hint="eastAsia" w:ascii="宋体" w:hAnsi="宋体" w:eastAsia="宋体" w:cs="宋体"/>
                <w:szCs w:val="21"/>
                <w:lang w:val="en-US" w:eastAsia="zh-CN"/>
              </w:rPr>
              <w:t>70</w:t>
            </w:r>
            <w:r>
              <w:rPr>
                <w:rFonts w:hint="eastAsia" w:ascii="宋体" w:hAnsi="宋体" w:eastAsia="宋体" w:cs="宋体"/>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自评报告</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的完整性</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1.绩效自评报告正文部分内容齐全的，得8分；否则每少一个部分扣2分，最多扣8分。</w:t>
            </w:r>
          </w:p>
          <w:p>
            <w:pPr>
              <w:spacing w:line="24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lang w:val="en-US" w:eastAsia="zh-CN"/>
              </w:rPr>
              <w:t>15</w:t>
            </w:r>
            <w:r>
              <w:rPr>
                <w:rFonts w:hint="eastAsia" w:ascii="宋体" w:hAnsi="宋体" w:eastAsia="宋体" w:cs="宋体"/>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绩效自评表</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1.部门整体支出和项目支出绩效指标反映产出、效益、服务对象满意度方面的指标和预算执行率的权重符合</w:t>
            </w:r>
            <w:r>
              <w:rPr>
                <w:rFonts w:hint="eastAsia" w:ascii="宋体" w:hAnsi="宋体" w:eastAsia="宋体" w:cs="宋体"/>
                <w:sz w:val="21"/>
                <w:szCs w:val="21"/>
                <w:lang w:eastAsia="zh-CN"/>
              </w:rPr>
              <w:t>《</w:t>
            </w:r>
            <w:r>
              <w:rPr>
                <w:rFonts w:hint="eastAsia" w:ascii="宋体" w:hAnsi="宋体" w:eastAsia="宋体" w:cs="宋体"/>
                <w:sz w:val="21"/>
                <w:szCs w:val="21"/>
              </w:rPr>
              <w:t>岳阳市市级预算部门绩效自评操作规程</w:t>
            </w:r>
            <w:r>
              <w:rPr>
                <w:rFonts w:hint="eastAsia" w:ascii="宋体" w:hAnsi="宋体" w:eastAsia="宋体" w:cs="宋体"/>
                <w:sz w:val="21"/>
                <w:szCs w:val="21"/>
                <w:lang w:eastAsia="zh-CN"/>
              </w:rPr>
              <w:t>》</w:t>
            </w:r>
            <w:r>
              <w:rPr>
                <w:rFonts w:hint="eastAsia" w:ascii="宋体" w:hAnsi="宋体" w:eastAsia="宋体" w:cs="宋体"/>
                <w:sz w:val="21"/>
                <w:szCs w:val="21"/>
              </w:rPr>
              <w:t>的，得</w:t>
            </w:r>
            <w:r>
              <w:rPr>
                <w:rFonts w:hint="eastAsia" w:ascii="宋体" w:hAnsi="宋体" w:eastAsia="宋体" w:cs="宋体"/>
                <w:sz w:val="21"/>
                <w:szCs w:val="21"/>
                <w:lang w:val="en-US" w:eastAsia="zh-CN"/>
              </w:rPr>
              <w:t>5</w:t>
            </w:r>
            <w:r>
              <w:rPr>
                <w:rFonts w:hint="eastAsia" w:ascii="宋体" w:hAnsi="宋体" w:eastAsia="宋体" w:cs="宋体"/>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2.部门整体支出和项目支出绩效指标全部细化到三级指标的，得</w:t>
            </w:r>
            <w:r>
              <w:rPr>
                <w:rFonts w:hint="eastAsia" w:ascii="宋体" w:hAnsi="宋体" w:eastAsia="宋体" w:cs="宋体"/>
                <w:sz w:val="21"/>
                <w:szCs w:val="21"/>
                <w:lang w:val="en-US" w:eastAsia="zh-CN"/>
              </w:rPr>
              <w:t>5</w:t>
            </w:r>
            <w:r>
              <w:rPr>
                <w:rFonts w:hint="eastAsia" w:ascii="宋体" w:hAnsi="宋体" w:eastAsia="宋体" w:cs="宋体"/>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lang w:val="en-US" w:eastAsia="zh-CN"/>
              </w:rPr>
              <w:t>18</w:t>
            </w:r>
            <w:r>
              <w:rPr>
                <w:rFonts w:hint="eastAsia" w:ascii="宋体" w:hAnsi="宋体" w:eastAsia="宋体" w:cs="宋体"/>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绩效评价</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报告反映</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问题情况</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宋体" w:hAnsi="宋体" w:eastAsia="宋体" w:cs="宋体"/>
                <w:sz w:val="21"/>
                <w:szCs w:val="21"/>
              </w:rPr>
            </w:pPr>
            <w:r>
              <w:rPr>
                <w:rFonts w:hint="eastAsia" w:ascii="宋体" w:hAnsi="宋体" w:eastAsia="宋体" w:cs="宋体"/>
                <w:spacing w:val="10"/>
                <w:sz w:val="21"/>
                <w:szCs w:val="21"/>
              </w:rPr>
              <w:t>从预算和预算绩效管理，部门履职效能，资金分</w:t>
            </w:r>
            <w:r>
              <w:rPr>
                <w:rFonts w:hint="eastAsia" w:ascii="宋体" w:hAnsi="宋体" w:eastAsia="宋体" w:cs="宋体"/>
                <w:spacing w:val="9"/>
                <w:sz w:val="21"/>
                <w:szCs w:val="21"/>
              </w:rPr>
              <w:t>配、使用和管理，资产和财务管理，政府</w:t>
            </w:r>
            <w:r>
              <w:rPr>
                <w:rFonts w:hint="eastAsia" w:ascii="宋体" w:hAnsi="宋体" w:eastAsia="宋体" w:cs="宋体"/>
                <w:sz w:val="21"/>
                <w:szCs w:val="21"/>
              </w:rPr>
              <w:t xml:space="preserve">  </w:t>
            </w:r>
            <w:r>
              <w:rPr>
                <w:rFonts w:hint="eastAsia" w:ascii="宋体" w:hAnsi="宋体" w:eastAsia="宋体" w:cs="宋体"/>
                <w:spacing w:val="7"/>
                <w:sz w:val="21"/>
                <w:szCs w:val="21"/>
              </w:rPr>
              <w:t>采购等方面归纳问题、分析原因全面的，得20分；反映问题、分析原因较</w:t>
            </w:r>
            <w:r>
              <w:rPr>
                <w:rFonts w:hint="eastAsia" w:ascii="宋体" w:hAnsi="宋体" w:eastAsia="宋体" w:cs="宋体"/>
                <w:spacing w:val="6"/>
                <w:sz w:val="21"/>
                <w:szCs w:val="21"/>
              </w:rPr>
              <w:t>全面的，得16—</w:t>
            </w:r>
            <w:r>
              <w:rPr>
                <w:rFonts w:hint="eastAsia" w:ascii="宋体" w:hAnsi="宋体" w:eastAsia="宋体" w:cs="宋体"/>
                <w:spacing w:val="-73"/>
                <w:sz w:val="21"/>
                <w:szCs w:val="21"/>
              </w:rPr>
              <w:t xml:space="preserve"> </w:t>
            </w:r>
            <w:r>
              <w:rPr>
                <w:rFonts w:hint="eastAsia" w:ascii="宋体" w:hAnsi="宋体" w:eastAsia="宋体" w:cs="宋体"/>
                <w:spacing w:val="6"/>
                <w:sz w:val="21"/>
                <w:szCs w:val="21"/>
              </w:rPr>
              <w:t>18</w:t>
            </w:r>
            <w:r>
              <w:rPr>
                <w:rFonts w:hint="eastAsia" w:ascii="宋体" w:hAnsi="宋体" w:eastAsia="宋体" w:cs="宋体"/>
                <w:sz w:val="21"/>
                <w:szCs w:val="21"/>
              </w:rPr>
              <w:t xml:space="preserve"> </w:t>
            </w:r>
            <w:r>
              <w:rPr>
                <w:rFonts w:hint="eastAsia" w:ascii="宋体" w:hAnsi="宋体" w:eastAsia="宋体" w:cs="宋体"/>
                <w:spacing w:val="12"/>
                <w:sz w:val="21"/>
                <w:szCs w:val="21"/>
              </w:rPr>
              <w:t>分；反映问题、分析原因不全面的，得13—</w:t>
            </w:r>
            <w:r>
              <w:rPr>
                <w:rFonts w:hint="eastAsia" w:ascii="宋体" w:hAnsi="宋体" w:eastAsia="宋体" w:cs="宋体"/>
                <w:spacing w:val="-68"/>
                <w:sz w:val="21"/>
                <w:szCs w:val="21"/>
              </w:rPr>
              <w:t xml:space="preserve"> </w:t>
            </w:r>
            <w:r>
              <w:rPr>
                <w:rFonts w:hint="eastAsia" w:ascii="宋体" w:hAnsi="宋体" w:eastAsia="宋体" w:cs="宋体"/>
                <w:spacing w:val="12"/>
                <w:sz w:val="21"/>
                <w:szCs w:val="21"/>
              </w:rPr>
              <w:t>15分；问题未归纳</w:t>
            </w:r>
            <w:r>
              <w:rPr>
                <w:rFonts w:hint="eastAsia" w:ascii="宋体" w:hAnsi="宋体" w:eastAsia="宋体" w:cs="宋体"/>
                <w:spacing w:val="11"/>
                <w:sz w:val="21"/>
                <w:szCs w:val="21"/>
              </w:rPr>
              <w:t>且过于简单的，得10—</w:t>
            </w:r>
            <w:r>
              <w:rPr>
                <w:rFonts w:hint="eastAsia" w:ascii="宋体" w:hAnsi="宋体" w:eastAsia="宋体" w:cs="宋体"/>
                <w:spacing w:val="-68"/>
                <w:sz w:val="21"/>
                <w:szCs w:val="21"/>
              </w:rPr>
              <w:t xml:space="preserve"> </w:t>
            </w:r>
            <w:r>
              <w:rPr>
                <w:rFonts w:hint="eastAsia" w:ascii="宋体" w:hAnsi="宋体" w:eastAsia="宋体" w:cs="宋体"/>
                <w:spacing w:val="11"/>
                <w:sz w:val="21"/>
                <w:szCs w:val="21"/>
              </w:rPr>
              <w:t>12</w:t>
            </w:r>
            <w:r>
              <w:rPr>
                <w:rFonts w:hint="eastAsia" w:ascii="宋体" w:hAnsi="宋体" w:eastAsia="宋体" w:cs="宋体"/>
                <w:sz w:val="21"/>
                <w:szCs w:val="21"/>
              </w:rPr>
              <w:t xml:space="preserve">  </w:t>
            </w:r>
            <w:r>
              <w:rPr>
                <w:rFonts w:hint="eastAsia" w:ascii="宋体" w:hAnsi="宋体" w:eastAsia="宋体" w:cs="宋体"/>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lang w:val="en-US" w:eastAsia="zh-CN"/>
              </w:rPr>
              <w:t>18</w:t>
            </w:r>
            <w:r>
              <w:rPr>
                <w:rFonts w:hint="eastAsia" w:ascii="宋体" w:hAnsi="宋体" w:eastAsia="宋体" w:cs="宋体"/>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针对问题</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提出可行性建议的情况</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宋体" w:hAnsi="宋体" w:eastAsia="宋体" w:cs="宋体"/>
                <w:sz w:val="21"/>
                <w:szCs w:val="21"/>
              </w:rPr>
            </w:pPr>
            <w:r>
              <w:rPr>
                <w:rFonts w:hint="eastAsia" w:ascii="宋体" w:hAnsi="宋体" w:eastAsia="宋体" w:cs="宋体"/>
                <w:spacing w:val="3"/>
                <w:sz w:val="21"/>
                <w:szCs w:val="21"/>
              </w:rPr>
              <w:t>建议与问题对应且全面的得15分，建议比较全面的得12—</w:t>
            </w:r>
            <w:r>
              <w:rPr>
                <w:rFonts w:hint="eastAsia" w:ascii="宋体" w:hAnsi="宋体" w:eastAsia="宋体" w:cs="宋体"/>
                <w:spacing w:val="-55"/>
                <w:sz w:val="21"/>
                <w:szCs w:val="21"/>
              </w:rPr>
              <w:t xml:space="preserve"> </w:t>
            </w:r>
            <w:r>
              <w:rPr>
                <w:rFonts w:hint="eastAsia" w:ascii="宋体" w:hAnsi="宋体" w:eastAsia="宋体" w:cs="宋体"/>
                <w:spacing w:val="3"/>
                <w:sz w:val="21"/>
                <w:szCs w:val="21"/>
              </w:rPr>
              <w:t>14分，建议不全面的得9—</w:t>
            </w:r>
            <w:r>
              <w:rPr>
                <w:rFonts w:hint="eastAsia" w:ascii="宋体" w:hAnsi="宋体" w:eastAsia="宋体" w:cs="宋体"/>
                <w:spacing w:val="-72"/>
                <w:sz w:val="21"/>
                <w:szCs w:val="21"/>
              </w:rPr>
              <w:t xml:space="preserve"> </w:t>
            </w:r>
            <w:r>
              <w:rPr>
                <w:rFonts w:hint="eastAsia" w:ascii="宋体" w:hAnsi="宋体" w:eastAsia="宋体" w:cs="宋体"/>
                <w:spacing w:val="3"/>
                <w:sz w:val="21"/>
                <w:szCs w:val="21"/>
              </w:rPr>
              <w:t>11</w:t>
            </w:r>
            <w:r>
              <w:rPr>
                <w:rFonts w:hint="eastAsia" w:ascii="宋体" w:hAnsi="宋体" w:eastAsia="宋体" w:cs="宋体"/>
                <w:sz w:val="21"/>
                <w:szCs w:val="21"/>
              </w:rPr>
              <w:t xml:space="preserve">   </w:t>
            </w:r>
            <w:r>
              <w:rPr>
                <w:rFonts w:hint="eastAsia" w:ascii="宋体" w:hAnsi="宋体" w:eastAsia="宋体" w:cs="宋体"/>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lang w:val="en-US" w:eastAsia="zh-CN"/>
              </w:rPr>
              <w:t>13</w:t>
            </w:r>
            <w:r>
              <w:rPr>
                <w:rFonts w:hint="eastAsia" w:ascii="宋体" w:hAnsi="宋体" w:eastAsia="宋体" w:cs="宋体"/>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宋体" w:hAnsi="宋体" w:eastAsia="宋体" w:cs="宋体"/>
                <w:szCs w:val="21"/>
                <w:lang w:val="en-US" w:eastAsia="zh-CN"/>
              </w:rPr>
            </w:pPr>
            <w:r>
              <w:rPr>
                <w:rFonts w:hint="eastAsia" w:ascii="宋体" w:hAnsi="宋体" w:eastAsia="宋体" w:cs="宋体"/>
                <w:szCs w:val="21"/>
              </w:rPr>
              <w:t>　</w:t>
            </w:r>
            <w:r>
              <w:rPr>
                <w:rFonts w:hint="eastAsia" w:ascii="宋体" w:hAnsi="宋体" w:eastAsia="宋体" w:cs="宋体"/>
                <w:szCs w:val="21"/>
                <w:lang w:val="en-US" w:eastAsia="zh-CN"/>
              </w:rPr>
              <w:t>94</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bookmarkStart w:id="0" w:name="_GoBack"/>
      <w:bookmarkEnd w:id="0"/>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45A4C039-E27F-4F07-ACD8-A8B51672DD5D}"/>
  </w:font>
  <w:font w:name="黑体">
    <w:panose1 w:val="02010609060101010101"/>
    <w:charset w:val="86"/>
    <w:family w:val="auto"/>
    <w:pitch w:val="default"/>
    <w:sig w:usb0="800002BF" w:usb1="38CF7CFA" w:usb2="00000016" w:usb3="00000000" w:csb0="00040001" w:csb1="00000000"/>
    <w:embedRegular r:id="rId2" w:fontKey="{124A4B13-8F31-4E97-807F-8AFCEE2F6F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7B559309-D4CF-46FA-AF1B-773146A318D1}"/>
  </w:font>
  <w:font w:name="方正小标宋简体">
    <w:panose1 w:val="02000000000000000000"/>
    <w:charset w:val="86"/>
    <w:family w:val="auto"/>
    <w:pitch w:val="default"/>
    <w:sig w:usb0="00000001" w:usb1="08000000" w:usb2="00000000" w:usb3="00000000" w:csb0="00040000" w:csb1="00000000"/>
    <w:embedRegular r:id="rId4" w:fontKey="{36545C89-27F5-4838-AAAA-3D22415D4199}"/>
  </w:font>
  <w:font w:name="仿宋">
    <w:panose1 w:val="02010609060101010101"/>
    <w:charset w:val="86"/>
    <w:family w:val="auto"/>
    <w:pitch w:val="default"/>
    <w:sig w:usb0="800002BF" w:usb1="38CF7CFA" w:usb2="00000016" w:usb3="00000000" w:csb0="00040001" w:csb1="00000000"/>
    <w:embedRegular r:id="rId5" w:fontKey="{181D178C-3F3A-4B7F-9CD7-CA6321176FDE}"/>
  </w:font>
  <w:font w:name="楷体_GB2312">
    <w:altName w:val="楷体"/>
    <w:panose1 w:val="02010609030101010101"/>
    <w:charset w:val="86"/>
    <w:family w:val="auto"/>
    <w:pitch w:val="default"/>
    <w:sig w:usb0="00000000" w:usb1="00000000" w:usb2="00000000" w:usb3="00000000" w:csb0="00040000" w:csb1="00000000"/>
    <w:embedRegular r:id="rId6" w:fontKey="{D8B66F7C-50EA-4AB8-9D19-2A1E23164D88}"/>
  </w:font>
  <w:font w:name="仿宋_GB2312">
    <w:altName w:val="仿宋"/>
    <w:panose1 w:val="02010609030101010101"/>
    <w:charset w:val="86"/>
    <w:family w:val="auto"/>
    <w:pitch w:val="default"/>
    <w:sig w:usb0="00000000" w:usb1="00000000" w:usb2="00000000" w:usb3="00000000" w:csb0="00040000" w:csb1="00000000"/>
    <w:embedRegular r:id="rId7" w:fontKey="{699663A3-E945-4190-B2B3-F1F88586061F}"/>
  </w:font>
  <w:font w:name="方正仿宋_GB2312">
    <w:panose1 w:val="02000000000000000000"/>
    <w:charset w:val="86"/>
    <w:family w:val="auto"/>
    <w:pitch w:val="default"/>
    <w:sig w:usb0="A00002BF" w:usb1="184F6CFA" w:usb2="00000012" w:usb3="00000000" w:csb0="00040001" w:csb1="00000000"/>
    <w:embedRegular r:id="rId8" w:fontKey="{29A07805-B87F-467A-9471-0E105A7FCE89}"/>
  </w:font>
  <w:font w:name="楷体">
    <w:panose1 w:val="02010609060101010101"/>
    <w:charset w:val="86"/>
    <w:family w:val="auto"/>
    <w:pitch w:val="default"/>
    <w:sig w:usb0="800002BF" w:usb1="38CF7CFA" w:usb2="00000016" w:usb3="00000000" w:csb0="00040001" w:csb1="00000000"/>
    <w:embedRegular r:id="rId9" w:fontKey="{DAE9442F-DD20-4B0E-A1A2-7A4696ECCD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hAnsi="Calibri" w:eastAsia="宋体" w:cs="Times New Roman"/>
        <w:sz w:val="2"/>
      </w:rPr>
    </w:pPr>
    <w:r>
      <w:rPr>
        <w:rFonts w:ascii="Calibri" w:hAnsi="Calibri" w:eastAsia="宋体" w:cs="Times New Roman"/>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7</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7</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6FFB0"/>
    <w:multiLevelType w:val="singleLevel"/>
    <w:tmpl w:val="A066FFB0"/>
    <w:lvl w:ilvl="0" w:tentative="0">
      <w:start w:val="1"/>
      <w:numFmt w:val="chineseCounting"/>
      <w:suff w:val="nothing"/>
      <w:lvlText w:val="%1、"/>
      <w:lvlJc w:val="left"/>
      <w:rPr>
        <w:rFonts w:hint="eastAsia"/>
      </w:rPr>
    </w:lvl>
  </w:abstractNum>
  <w:abstractNum w:abstractNumId="1">
    <w:nsid w:val="414E19A9"/>
    <w:multiLevelType w:val="multilevel"/>
    <w:tmpl w:val="414E19A9"/>
    <w:lvl w:ilvl="0" w:tentative="0">
      <w:start w:val="1"/>
      <w:numFmt w:val="decimal"/>
      <w:lvlText w:val="%1."/>
      <w:lvlJc w:val="left"/>
      <w:pPr>
        <w:tabs>
          <w:tab w:val="left" w:pos="910"/>
        </w:tabs>
        <w:ind w:left="910" w:hanging="360"/>
      </w:pPr>
      <w:rPr>
        <w:rFonts w:hint="default" w:cs="黑体"/>
        <w:color w:val="auto"/>
      </w:rPr>
    </w:lvl>
    <w:lvl w:ilvl="1" w:tentative="0">
      <w:start w:val="1"/>
      <w:numFmt w:val="lowerLetter"/>
      <w:lvlText w:val="%2)"/>
      <w:lvlJc w:val="left"/>
      <w:pPr>
        <w:tabs>
          <w:tab w:val="left" w:pos="1390"/>
        </w:tabs>
        <w:ind w:left="1390" w:hanging="420"/>
      </w:pPr>
    </w:lvl>
    <w:lvl w:ilvl="2" w:tentative="0">
      <w:start w:val="1"/>
      <w:numFmt w:val="lowerRoman"/>
      <w:lvlText w:val="%3."/>
      <w:lvlJc w:val="right"/>
      <w:pPr>
        <w:tabs>
          <w:tab w:val="left" w:pos="1810"/>
        </w:tabs>
        <w:ind w:left="1810" w:hanging="420"/>
      </w:pPr>
    </w:lvl>
    <w:lvl w:ilvl="3" w:tentative="0">
      <w:start w:val="1"/>
      <w:numFmt w:val="decimal"/>
      <w:lvlText w:val="%4."/>
      <w:lvlJc w:val="left"/>
      <w:pPr>
        <w:tabs>
          <w:tab w:val="left" w:pos="2230"/>
        </w:tabs>
        <w:ind w:left="2230" w:hanging="420"/>
      </w:pPr>
    </w:lvl>
    <w:lvl w:ilvl="4" w:tentative="0">
      <w:start w:val="1"/>
      <w:numFmt w:val="lowerLetter"/>
      <w:lvlText w:val="%5)"/>
      <w:lvlJc w:val="left"/>
      <w:pPr>
        <w:tabs>
          <w:tab w:val="left" w:pos="2650"/>
        </w:tabs>
        <w:ind w:left="2650" w:hanging="420"/>
      </w:pPr>
    </w:lvl>
    <w:lvl w:ilvl="5" w:tentative="0">
      <w:start w:val="1"/>
      <w:numFmt w:val="lowerRoman"/>
      <w:lvlText w:val="%6."/>
      <w:lvlJc w:val="right"/>
      <w:pPr>
        <w:tabs>
          <w:tab w:val="left" w:pos="3070"/>
        </w:tabs>
        <w:ind w:left="3070" w:hanging="420"/>
      </w:pPr>
    </w:lvl>
    <w:lvl w:ilvl="6" w:tentative="0">
      <w:start w:val="1"/>
      <w:numFmt w:val="decimal"/>
      <w:lvlText w:val="%7."/>
      <w:lvlJc w:val="left"/>
      <w:pPr>
        <w:tabs>
          <w:tab w:val="left" w:pos="3490"/>
        </w:tabs>
        <w:ind w:left="3490" w:hanging="420"/>
      </w:pPr>
    </w:lvl>
    <w:lvl w:ilvl="7" w:tentative="0">
      <w:start w:val="1"/>
      <w:numFmt w:val="lowerLetter"/>
      <w:lvlText w:val="%8)"/>
      <w:lvlJc w:val="left"/>
      <w:pPr>
        <w:tabs>
          <w:tab w:val="left" w:pos="3910"/>
        </w:tabs>
        <w:ind w:left="3910" w:hanging="420"/>
      </w:pPr>
    </w:lvl>
    <w:lvl w:ilvl="8" w:tentative="0">
      <w:start w:val="1"/>
      <w:numFmt w:val="lowerRoman"/>
      <w:lvlText w:val="%9."/>
      <w:lvlJc w:val="right"/>
      <w:pPr>
        <w:tabs>
          <w:tab w:val="left" w:pos="4330"/>
        </w:tabs>
        <w:ind w:left="4330" w:hanging="420"/>
      </w:pPr>
    </w:lvl>
  </w:abstractNum>
  <w:abstractNum w:abstractNumId="2">
    <w:nsid w:val="428BF4B6"/>
    <w:multiLevelType w:val="singleLevel"/>
    <w:tmpl w:val="428BF4B6"/>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jAwOWMwZmE3MTEyNzY3MjAzNzk3MWNkOGQ1OTMifQ=="/>
  </w:docVars>
  <w:rsids>
    <w:rsidRoot w:val="00000000"/>
    <w:rsid w:val="73113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2024-05-21T06:59:51Z</dcterms:created>
  <dc:creator>Administrator</dc:creator>
  <cp:lastModifiedBy>硝香</cp:lastModifiedBy>
  <dcterms:modified xsi:type="dcterms:W3CDTF">2024-05-21T07:02:06Z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BBFD50FFF1914853877EE3413AE59BDB_13</vt:lpwstr>
  </property>
</Properties>
</file>