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right"/>
        <w:textAlignment w:val="auto"/>
        <w:rPr>
          <w:rFonts w:hint="eastAsia" w:ascii="方正小标宋简体" w:hAnsi="方正小标宋简体" w:eastAsia="方正小标宋简体" w:cs="方正小标宋简体"/>
          <w:b w:val="0"/>
          <w:bCs w:val="0"/>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整体支出绩效评价基础数据表</w:t>
      </w:r>
    </w:p>
    <w:p>
      <w:pPr>
        <w:spacing w:line="115" w:lineRule="exact"/>
        <w:rPr>
          <w:color w:val="000000" w:themeColor="text1"/>
          <w14:textFill>
            <w14:solidFill>
              <w14:schemeClr w14:val="tx1"/>
            </w14:solidFill>
          </w14:textFill>
        </w:rPr>
      </w:pPr>
    </w:p>
    <w:tbl>
      <w:tblPr>
        <w:tblStyle w:val="11"/>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pPr>
              <w:spacing w:before="33" w:line="198" w:lineRule="auto"/>
              <w:ind w:right="118" w:rightChars="0"/>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预算</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单位</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名称</w:t>
            </w:r>
          </w:p>
        </w:tc>
        <w:tc>
          <w:tcPr>
            <w:tcW w:w="5819" w:type="dxa"/>
            <w:gridSpan w:val="6"/>
            <w:noWrap w:val="0"/>
            <w:vAlign w:val="top"/>
          </w:tcPr>
          <w:p>
            <w:pPr>
              <w:tabs>
                <w:tab w:val="left" w:pos="1492"/>
              </w:tabs>
              <w:spacing w:before="103" w:line="219" w:lineRule="auto"/>
              <w:ind w:left="708"/>
              <w:rPr>
                <w:rFonts w:hint="eastAsia" w:asciiTheme="majorEastAsia" w:hAnsiTheme="majorEastAsia" w:eastAsiaTheme="majorEastAsia" w:cstheme="majorEastAsia"/>
                <w:color w:val="000000" w:themeColor="text1"/>
                <w:spacing w:val="-2"/>
                <w:sz w:val="20"/>
                <w:szCs w:val="20"/>
                <w:lang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0"/>
                <w:szCs w:val="20"/>
                <w:lang w:eastAsia="zh-CN"/>
                <w14:textFill>
                  <w14:solidFill>
                    <w14:schemeClr w14:val="tx1"/>
                  </w14:solidFill>
                </w14:textFill>
              </w:rPr>
              <w:tab/>
            </w:r>
            <w:r>
              <w:rPr>
                <w:rFonts w:hint="eastAsia" w:asciiTheme="majorEastAsia" w:hAnsiTheme="majorEastAsia" w:eastAsiaTheme="majorEastAsia" w:cstheme="majorEastAsia"/>
                <w:color w:val="000000" w:themeColor="text1"/>
                <w:spacing w:val="-2"/>
                <w:sz w:val="20"/>
                <w:szCs w:val="20"/>
                <w:lang w:eastAsia="zh-CN"/>
                <w14:textFill>
                  <w14:solidFill>
                    <w14:schemeClr w14:val="tx1"/>
                  </w14:solidFill>
                </w14:textFill>
              </w:rPr>
              <w:t>岳阳市岳阳楼区文化旅游体育产业服务中心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pPr>
              <w:spacing w:before="262" w:line="219" w:lineRule="auto"/>
              <w:ind w:left="575"/>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财政供养人员情况(人)</w:t>
            </w:r>
          </w:p>
        </w:tc>
        <w:tc>
          <w:tcPr>
            <w:tcW w:w="1815" w:type="dxa"/>
            <w:gridSpan w:val="2"/>
            <w:noWrap w:val="0"/>
            <w:vAlign w:val="top"/>
          </w:tcPr>
          <w:p>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编制数</w:t>
            </w:r>
          </w:p>
        </w:tc>
        <w:tc>
          <w:tcPr>
            <w:tcW w:w="2325" w:type="dxa"/>
            <w:gridSpan w:val="2"/>
            <w:noWrap w:val="0"/>
            <w:vAlign w:val="top"/>
          </w:tcPr>
          <w:p>
            <w:pPr>
              <w:spacing w:before="8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2022年实际在职人数</w:t>
            </w:r>
          </w:p>
        </w:tc>
        <w:tc>
          <w:tcPr>
            <w:tcW w:w="1679" w:type="dxa"/>
            <w:gridSpan w:val="2"/>
            <w:noWrap w:val="0"/>
            <w:vAlign w:val="top"/>
          </w:tcPr>
          <w:p>
            <w:pPr>
              <w:spacing w:before="103" w:line="219" w:lineRule="auto"/>
              <w:ind w:left="708"/>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14</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13</w:t>
            </w:r>
          </w:p>
        </w:tc>
        <w:tc>
          <w:tcPr>
            <w:tcW w:w="1679" w:type="dxa"/>
            <w:gridSpan w:val="2"/>
            <w:noWrap w:val="0"/>
            <w:vAlign w:val="top"/>
          </w:tcPr>
          <w:p>
            <w:pP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pPr>
              <w:spacing w:before="140" w:line="202" w:lineRule="auto"/>
              <w:ind w:left="6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szCs w:val="24"/>
                <w14:textFill>
                  <w14:solidFill>
                    <w14:schemeClr w14:val="tx1"/>
                  </w14:solidFill>
                </w14:textFill>
              </w:rPr>
              <w:t>经费控制情况(万元)</w:t>
            </w:r>
          </w:p>
        </w:tc>
        <w:tc>
          <w:tcPr>
            <w:tcW w:w="1815" w:type="dxa"/>
            <w:gridSpan w:val="2"/>
            <w:noWrap w:val="0"/>
            <w:vAlign w:val="top"/>
          </w:tcPr>
          <w:p>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2021年决算数</w:t>
            </w:r>
          </w:p>
        </w:tc>
        <w:tc>
          <w:tcPr>
            <w:tcW w:w="2325" w:type="dxa"/>
            <w:gridSpan w:val="2"/>
            <w:noWrap w:val="0"/>
            <w:vAlign w:val="top"/>
          </w:tcPr>
          <w:p>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2022年预算数</w:t>
            </w:r>
          </w:p>
        </w:tc>
        <w:tc>
          <w:tcPr>
            <w:tcW w:w="1679" w:type="dxa"/>
            <w:gridSpan w:val="2"/>
            <w:noWrap w:val="0"/>
            <w:vAlign w:val="top"/>
          </w:tcPr>
          <w:p>
            <w:pPr>
              <w:spacing w:before="76" w:line="219" w:lineRule="auto"/>
              <w:jc w:val="cente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4"/>
                <w:sz w:val="24"/>
                <w:szCs w:val="24"/>
                <w14:textFill>
                  <w14:solidFill>
                    <w14:schemeClr w14:val="tx1"/>
                  </w14:solidFill>
                </w14:textFill>
              </w:rPr>
              <w:t>2022年决算数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1" w:line="202"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三公经费</w:t>
            </w:r>
          </w:p>
        </w:tc>
        <w:tc>
          <w:tcPr>
            <w:tcW w:w="1815" w:type="dxa"/>
            <w:gridSpan w:val="2"/>
            <w:noWrap w:val="0"/>
            <w:vAlign w:val="top"/>
          </w:tcPr>
          <w:p>
            <w:pPr>
              <w:jc w:val="right"/>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0.89</w:t>
            </w:r>
          </w:p>
        </w:tc>
        <w:tc>
          <w:tcPr>
            <w:tcW w:w="2325" w:type="dxa"/>
            <w:gridSpan w:val="2"/>
            <w:noWrap w:val="0"/>
            <w:vAlign w:val="top"/>
          </w:tcPr>
          <w:p>
            <w:pPr>
              <w:jc w:val="right"/>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0.28</w:t>
            </w:r>
          </w:p>
        </w:tc>
        <w:tc>
          <w:tcPr>
            <w:tcW w:w="1679" w:type="dxa"/>
            <w:gridSpan w:val="2"/>
            <w:noWrap w:val="0"/>
            <w:vAlign w:val="top"/>
          </w:tcPr>
          <w:p>
            <w:pPr>
              <w:jc w:val="right"/>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9" w:line="193" w:lineRule="auto"/>
              <w:ind w:left="4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1、公务用车购置和维护经费</w:t>
            </w:r>
          </w:p>
        </w:tc>
        <w:tc>
          <w:tcPr>
            <w:tcW w:w="1815" w:type="dxa"/>
            <w:gridSpan w:val="2"/>
            <w:noWrap w:val="0"/>
            <w:vAlign w:val="top"/>
          </w:tcPr>
          <w:p>
            <w:pPr>
              <w:jc w:val="right"/>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pPr>
              <w:jc w:val="right"/>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pPr>
              <w:jc w:val="right"/>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1" w:line="219" w:lineRule="auto"/>
              <w:ind w:left="8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其中：公车购置</w:t>
            </w:r>
          </w:p>
        </w:tc>
        <w:tc>
          <w:tcPr>
            <w:tcW w:w="1815" w:type="dxa"/>
            <w:gridSpan w:val="2"/>
            <w:noWrap w:val="0"/>
            <w:vAlign w:val="top"/>
          </w:tcPr>
          <w:p>
            <w:pPr>
              <w:jc w:val="right"/>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pPr>
              <w:jc w:val="right"/>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pPr>
              <w:jc w:val="right"/>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91" w:line="219" w:lineRule="auto"/>
              <w:ind w:left="14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公车运行维护</w:t>
            </w:r>
          </w:p>
        </w:tc>
        <w:tc>
          <w:tcPr>
            <w:tcW w:w="1815" w:type="dxa"/>
            <w:gridSpan w:val="2"/>
            <w:noWrap w:val="0"/>
            <w:vAlign w:val="top"/>
          </w:tcPr>
          <w:p>
            <w:pPr>
              <w:jc w:val="right"/>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pPr>
              <w:jc w:val="right"/>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pPr>
              <w:jc w:val="right"/>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pPr>
              <w:spacing w:before="81" w:line="22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2、出国经费</w:t>
            </w:r>
          </w:p>
        </w:tc>
        <w:tc>
          <w:tcPr>
            <w:tcW w:w="1815" w:type="dxa"/>
            <w:gridSpan w:val="2"/>
            <w:noWrap w:val="0"/>
            <w:vAlign w:val="top"/>
          </w:tcPr>
          <w:p>
            <w:pPr>
              <w:jc w:val="right"/>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pPr>
              <w:jc w:val="right"/>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pPr>
              <w:jc w:val="right"/>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2"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3、公务接待</w:t>
            </w:r>
          </w:p>
        </w:tc>
        <w:tc>
          <w:tcPr>
            <w:tcW w:w="1815" w:type="dxa"/>
            <w:gridSpan w:val="2"/>
            <w:noWrap w:val="0"/>
            <w:vAlign w:val="top"/>
          </w:tcPr>
          <w:p>
            <w:pPr>
              <w:jc w:val="right"/>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0.89</w:t>
            </w:r>
          </w:p>
        </w:tc>
        <w:tc>
          <w:tcPr>
            <w:tcW w:w="2325" w:type="dxa"/>
            <w:gridSpan w:val="2"/>
            <w:noWrap w:val="0"/>
            <w:vAlign w:val="top"/>
          </w:tcPr>
          <w:p>
            <w:pPr>
              <w:jc w:val="right"/>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0.28</w:t>
            </w:r>
          </w:p>
        </w:tc>
        <w:tc>
          <w:tcPr>
            <w:tcW w:w="1679" w:type="dxa"/>
            <w:gridSpan w:val="2"/>
            <w:noWrap w:val="0"/>
            <w:vAlign w:val="top"/>
          </w:tcPr>
          <w:p>
            <w:pPr>
              <w:jc w:val="right"/>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3" w:line="200" w:lineRule="auto"/>
              <w:ind w:left="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9"/>
                <w:sz w:val="24"/>
                <w:szCs w:val="24"/>
                <w14:textFill>
                  <w14:solidFill>
                    <w14:schemeClr w14:val="tx1"/>
                  </w14:solidFill>
                </w14:textFill>
              </w:rPr>
              <w:t>项目支出：</w:t>
            </w:r>
          </w:p>
        </w:tc>
        <w:tc>
          <w:tcPr>
            <w:tcW w:w="1815" w:type="dxa"/>
            <w:gridSpan w:val="2"/>
            <w:noWrap w:val="0"/>
            <w:vAlign w:val="top"/>
          </w:tcPr>
          <w:p>
            <w:pPr>
              <w:jc w:val="right"/>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59.17</w:t>
            </w:r>
          </w:p>
        </w:tc>
        <w:tc>
          <w:tcPr>
            <w:tcW w:w="2325" w:type="dxa"/>
            <w:gridSpan w:val="2"/>
            <w:noWrap w:val="0"/>
            <w:vAlign w:val="top"/>
          </w:tcPr>
          <w:p>
            <w:pPr>
              <w:jc w:val="right"/>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230.31</w:t>
            </w:r>
          </w:p>
        </w:tc>
        <w:tc>
          <w:tcPr>
            <w:tcW w:w="1679" w:type="dxa"/>
            <w:gridSpan w:val="2"/>
            <w:noWrap w:val="0"/>
            <w:vAlign w:val="top"/>
          </w:tcPr>
          <w:p>
            <w:pPr>
              <w:jc w:val="right"/>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230.31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3" w:line="20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1、业务工作经费</w:t>
            </w:r>
          </w:p>
        </w:tc>
        <w:tc>
          <w:tcPr>
            <w:tcW w:w="1815" w:type="dxa"/>
            <w:gridSpan w:val="2"/>
            <w:noWrap w:val="0"/>
            <w:vAlign w:val="top"/>
          </w:tcPr>
          <w:p>
            <w:pPr>
              <w:jc w:val="right"/>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59.17</w:t>
            </w:r>
          </w:p>
        </w:tc>
        <w:tc>
          <w:tcPr>
            <w:tcW w:w="2325" w:type="dxa"/>
            <w:gridSpan w:val="2"/>
            <w:noWrap w:val="0"/>
            <w:vAlign w:val="top"/>
          </w:tcPr>
          <w:p>
            <w:pPr>
              <w:jc w:val="right"/>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40.31</w:t>
            </w:r>
          </w:p>
        </w:tc>
        <w:tc>
          <w:tcPr>
            <w:tcW w:w="1679" w:type="dxa"/>
            <w:gridSpan w:val="2"/>
            <w:noWrap w:val="0"/>
            <w:vAlign w:val="top"/>
          </w:tcPr>
          <w:p>
            <w:pPr>
              <w:jc w:val="right"/>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40.31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143" w:line="20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2、运行维护经费</w:t>
            </w:r>
          </w:p>
        </w:tc>
        <w:tc>
          <w:tcPr>
            <w:tcW w:w="1815" w:type="dxa"/>
            <w:gridSpan w:val="2"/>
            <w:noWrap w:val="0"/>
            <w:vAlign w:val="top"/>
          </w:tcPr>
          <w:p>
            <w:pPr>
              <w:jc w:val="right"/>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pPr>
              <w:jc w:val="right"/>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pPr>
              <w:jc w:val="right"/>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jc w:val="left"/>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w:t>
            </w:r>
          </w:p>
        </w:tc>
        <w:tc>
          <w:tcPr>
            <w:tcW w:w="1815" w:type="dxa"/>
            <w:gridSpan w:val="2"/>
            <w:noWrap w:val="0"/>
            <w:vAlign w:val="top"/>
          </w:tcPr>
          <w:p>
            <w:pPr>
              <w:jc w:val="right"/>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pPr>
              <w:jc w:val="right"/>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pPr>
              <w:jc w:val="right"/>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spacing w:before="93" w:line="219" w:lineRule="auto"/>
              <w:ind w:firstLine="488" w:firstLineChars="20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3、</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区</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级专项资金</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p>
        </w:tc>
        <w:tc>
          <w:tcPr>
            <w:tcW w:w="1815" w:type="dxa"/>
            <w:gridSpan w:val="2"/>
            <w:noWrap w:val="0"/>
            <w:vAlign w:val="top"/>
          </w:tcPr>
          <w:p>
            <w:pPr>
              <w:jc w:val="right"/>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pPr>
              <w:jc w:val="right"/>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pPr>
              <w:jc w:val="right"/>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jc w:val="left"/>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省十四运会比赛项目</w:t>
            </w:r>
          </w:p>
        </w:tc>
        <w:tc>
          <w:tcPr>
            <w:tcW w:w="1815" w:type="dxa"/>
            <w:gridSpan w:val="2"/>
            <w:noWrap w:val="0"/>
            <w:vAlign w:val="top"/>
          </w:tcPr>
          <w:p>
            <w:pPr>
              <w:jc w:val="right"/>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2325" w:type="dxa"/>
            <w:gridSpan w:val="2"/>
            <w:noWrap w:val="0"/>
            <w:vAlign w:val="top"/>
          </w:tcPr>
          <w:p>
            <w:pPr>
              <w:jc w:val="right"/>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190</w:t>
            </w:r>
          </w:p>
        </w:tc>
        <w:tc>
          <w:tcPr>
            <w:tcW w:w="1679" w:type="dxa"/>
            <w:gridSpan w:val="2"/>
            <w:noWrap w:val="0"/>
            <w:vAlign w:val="top"/>
          </w:tcPr>
          <w:p>
            <w:pPr>
              <w:jc w:val="right"/>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5" w:line="220" w:lineRule="auto"/>
              <w:ind w:firstLine="492" w:firstLineChars="200"/>
              <w:jc w:val="left"/>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t>4、上级转移支付</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r>
              <w:rPr>
                <w:rFonts w:hint="eastAsia" w:asciiTheme="majorEastAsia" w:hAnsiTheme="majorEastAsia" w:eastAsiaTheme="majorEastAsia" w:cstheme="majorEastAsia"/>
                <w:color w:val="000000" w:themeColor="text1"/>
                <w:spacing w:val="2"/>
                <w:sz w:val="21"/>
                <w:szCs w:val="21"/>
                <w:lang w:eastAsia="zh-CN"/>
                <w14:textFill>
                  <w14:solidFill>
                    <w14:schemeClr w14:val="tx1"/>
                  </w14:solidFill>
                </w14:textFill>
              </w:rPr>
              <w:t>）</w:t>
            </w:r>
          </w:p>
        </w:tc>
        <w:tc>
          <w:tcPr>
            <w:tcW w:w="1815" w:type="dxa"/>
            <w:gridSpan w:val="2"/>
            <w:noWrap w:val="0"/>
            <w:vAlign w:val="top"/>
          </w:tcPr>
          <w:p>
            <w:pPr>
              <w:jc w:val="right"/>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pPr>
              <w:jc w:val="right"/>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pPr>
              <w:jc w:val="right"/>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5" w:line="220" w:lineRule="auto"/>
              <w:ind w:left="9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公用经费</w:t>
            </w:r>
          </w:p>
        </w:tc>
        <w:tc>
          <w:tcPr>
            <w:tcW w:w="1815" w:type="dxa"/>
            <w:gridSpan w:val="2"/>
            <w:noWrap w:val="0"/>
            <w:vAlign w:val="top"/>
          </w:tcPr>
          <w:p>
            <w:pPr>
              <w:jc w:val="right"/>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25.6</w:t>
            </w:r>
          </w:p>
        </w:tc>
        <w:tc>
          <w:tcPr>
            <w:tcW w:w="2325" w:type="dxa"/>
            <w:gridSpan w:val="2"/>
            <w:noWrap w:val="0"/>
            <w:vAlign w:val="top"/>
          </w:tcPr>
          <w:p>
            <w:pPr>
              <w:jc w:val="right"/>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25.72</w:t>
            </w:r>
          </w:p>
        </w:tc>
        <w:tc>
          <w:tcPr>
            <w:tcW w:w="1679" w:type="dxa"/>
            <w:gridSpan w:val="2"/>
            <w:noWrap w:val="0"/>
            <w:vAlign w:val="top"/>
          </w:tcPr>
          <w:p>
            <w:pPr>
              <w:jc w:val="right"/>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25.72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5"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其中：办公经费</w:t>
            </w:r>
          </w:p>
        </w:tc>
        <w:tc>
          <w:tcPr>
            <w:tcW w:w="1815" w:type="dxa"/>
            <w:gridSpan w:val="2"/>
            <w:noWrap w:val="0"/>
            <w:vAlign w:val="top"/>
          </w:tcPr>
          <w:p>
            <w:pPr>
              <w:jc w:val="right"/>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25.21</w:t>
            </w:r>
          </w:p>
        </w:tc>
        <w:tc>
          <w:tcPr>
            <w:tcW w:w="2325" w:type="dxa"/>
            <w:gridSpan w:val="2"/>
            <w:noWrap w:val="0"/>
            <w:vAlign w:val="top"/>
          </w:tcPr>
          <w:p>
            <w:pPr>
              <w:jc w:val="right"/>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24.36</w:t>
            </w:r>
          </w:p>
        </w:tc>
        <w:tc>
          <w:tcPr>
            <w:tcW w:w="1679" w:type="dxa"/>
            <w:gridSpan w:val="2"/>
            <w:noWrap w:val="0"/>
            <w:vAlign w:val="top"/>
          </w:tcPr>
          <w:p>
            <w:pPr>
              <w:jc w:val="right"/>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24.36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5" w:line="198" w:lineRule="auto"/>
              <w:ind w:left="1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水费、电费、差旅费</w:t>
            </w:r>
          </w:p>
        </w:tc>
        <w:tc>
          <w:tcPr>
            <w:tcW w:w="1815" w:type="dxa"/>
            <w:gridSpan w:val="2"/>
            <w:noWrap w:val="0"/>
            <w:vAlign w:val="top"/>
          </w:tcPr>
          <w:p>
            <w:pPr>
              <w:jc w:val="right"/>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0.39</w:t>
            </w:r>
          </w:p>
        </w:tc>
        <w:tc>
          <w:tcPr>
            <w:tcW w:w="2325" w:type="dxa"/>
            <w:gridSpan w:val="2"/>
            <w:noWrap w:val="0"/>
            <w:vAlign w:val="top"/>
          </w:tcPr>
          <w:p>
            <w:pPr>
              <w:jc w:val="right"/>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1.03</w:t>
            </w:r>
          </w:p>
        </w:tc>
        <w:tc>
          <w:tcPr>
            <w:tcW w:w="1679" w:type="dxa"/>
            <w:gridSpan w:val="2"/>
            <w:noWrap w:val="0"/>
            <w:vAlign w:val="top"/>
          </w:tcPr>
          <w:p>
            <w:pPr>
              <w:jc w:val="right"/>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4" w:line="198" w:lineRule="auto"/>
              <w:ind w:left="11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会议费、培训费</w:t>
            </w:r>
          </w:p>
        </w:tc>
        <w:tc>
          <w:tcPr>
            <w:tcW w:w="1815" w:type="dxa"/>
            <w:gridSpan w:val="2"/>
            <w:noWrap w:val="0"/>
            <w:vAlign w:val="top"/>
          </w:tcPr>
          <w:p>
            <w:pPr>
              <w:jc w:val="right"/>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pPr>
              <w:jc w:val="right"/>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0.33</w:t>
            </w:r>
          </w:p>
        </w:tc>
        <w:tc>
          <w:tcPr>
            <w:tcW w:w="1679" w:type="dxa"/>
            <w:gridSpan w:val="2"/>
            <w:noWrap w:val="0"/>
            <w:vAlign w:val="top"/>
          </w:tcPr>
          <w:p>
            <w:pPr>
              <w:jc w:val="right"/>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45" w:line="189" w:lineRule="auto"/>
              <w:ind w:left="10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政府采购金额</w:t>
            </w:r>
          </w:p>
        </w:tc>
        <w:tc>
          <w:tcPr>
            <w:tcW w:w="1815" w:type="dxa"/>
            <w:gridSpan w:val="2"/>
            <w:noWrap w:val="0"/>
            <w:vAlign w:val="top"/>
          </w:tcPr>
          <w:p>
            <w:pPr>
              <w:jc w:val="right"/>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59.17</w:t>
            </w:r>
          </w:p>
        </w:tc>
        <w:tc>
          <w:tcPr>
            <w:tcW w:w="2325" w:type="dxa"/>
            <w:gridSpan w:val="2"/>
            <w:noWrap w:val="0"/>
            <w:vAlign w:val="top"/>
          </w:tcPr>
          <w:p>
            <w:pPr>
              <w:jc w:val="right"/>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231.92</w:t>
            </w:r>
          </w:p>
        </w:tc>
        <w:tc>
          <w:tcPr>
            <w:tcW w:w="1679" w:type="dxa"/>
            <w:gridSpan w:val="2"/>
            <w:noWrap w:val="0"/>
            <w:vAlign w:val="top"/>
          </w:tcPr>
          <w:p>
            <w:pPr>
              <w:jc w:val="right"/>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231.92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5" w:line="198"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部门基本支出预算调整</w:t>
            </w:r>
          </w:p>
        </w:tc>
        <w:tc>
          <w:tcPr>
            <w:tcW w:w="1815" w:type="dxa"/>
            <w:gridSpan w:val="2"/>
            <w:noWrap w:val="0"/>
            <w:vAlign w:val="top"/>
          </w:tcPr>
          <w:p>
            <w:pPr>
              <w:jc w:val="right"/>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160.29</w:t>
            </w:r>
          </w:p>
        </w:tc>
        <w:tc>
          <w:tcPr>
            <w:tcW w:w="2325" w:type="dxa"/>
            <w:gridSpan w:val="2"/>
            <w:noWrap w:val="0"/>
            <w:vAlign w:val="top"/>
          </w:tcPr>
          <w:p>
            <w:pPr>
              <w:jc w:val="right"/>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187.40</w:t>
            </w:r>
          </w:p>
        </w:tc>
        <w:tc>
          <w:tcPr>
            <w:tcW w:w="1679" w:type="dxa"/>
            <w:gridSpan w:val="2"/>
            <w:noWrap w:val="0"/>
            <w:vAlign w:val="top"/>
          </w:tcPr>
          <w:p>
            <w:pPr>
              <w:jc w:val="right"/>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192.53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pPr>
              <w:spacing w:before="65" w:line="390" w:lineRule="exact"/>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position w:val="14"/>
                <w:sz w:val="24"/>
                <w:szCs w:val="24"/>
                <w14:textFill>
                  <w14:solidFill>
                    <w14:schemeClr w14:val="tx1"/>
                  </w14:solidFill>
                </w14:textFill>
              </w:rPr>
              <w:t>楼堂馆所控制情况</w:t>
            </w:r>
          </w:p>
          <w:p>
            <w:pPr>
              <w:spacing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(2022年完工项目)</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批复规模</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(m²)</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模(m²)</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规模控制率</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预算投资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投资概</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算控制</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825"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990"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40"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85"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10"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69"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厉行节约保障措施</w:t>
            </w:r>
          </w:p>
        </w:tc>
        <w:tc>
          <w:tcPr>
            <w:tcW w:w="5819"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eastAsia="zh-CN"/>
                <w14:textFill>
                  <w14:solidFill>
                    <w14:schemeClr w14:val="tx1"/>
                  </w14:solidFill>
                </w14:textFill>
              </w:rPr>
              <w:t>《专项资金管理办法》《岳阳楼区文化旅游广电体育局内控管理办法》</w:t>
            </w:r>
          </w:p>
        </w:tc>
      </w:tr>
    </w:tbl>
    <w:p>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说明：“项目支出”需要填报基本支出以外的所有项目支出情况，“公用经费”填报基本支出中的一般商品和服务支出。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填表人：</w:t>
      </w:r>
      <w:r>
        <w:rPr>
          <w:rFonts w:hint="eastAsia" w:asciiTheme="majorEastAsia" w:hAnsiTheme="majorEastAsia" w:eastAsiaTheme="majorEastAsia" w:cstheme="majorEastAsia"/>
          <w:color w:val="000000" w:themeColor="text1"/>
          <w:spacing w:val="0"/>
          <w:position w:val="0"/>
          <w:sz w:val="23"/>
          <w:szCs w:val="23"/>
          <w:lang w:eastAsia="zh-CN"/>
          <w14:textFill>
            <w14:solidFill>
              <w14:schemeClr w14:val="tx1"/>
            </w14:solidFill>
          </w14:textFill>
        </w:rPr>
        <w:t>任雨鸿</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 xml:space="preserve"> 联系电话：</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13873081203</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 xml:space="preserve"> 单位负责人签字：</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刘满新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填报日期：</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2023-6-2</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整体支出绩效自评表</w:t>
      </w:r>
    </w:p>
    <w:p>
      <w:pPr>
        <w:spacing w:line="168" w:lineRule="exact"/>
        <w:rPr>
          <w:color w:val="000000" w:themeColor="text1"/>
          <w14:textFill>
            <w14:solidFill>
              <w14:schemeClr w14:val="tx1"/>
            </w14:solidFill>
          </w14:textFill>
        </w:rPr>
      </w:pPr>
    </w:p>
    <w:tbl>
      <w:tblPr>
        <w:tblStyle w:val="11"/>
        <w:tblW w:w="98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2"/>
        <w:gridCol w:w="1050"/>
        <w:gridCol w:w="1170"/>
        <w:gridCol w:w="1545"/>
        <w:gridCol w:w="1136"/>
        <w:gridCol w:w="1186"/>
        <w:gridCol w:w="719"/>
        <w:gridCol w:w="664"/>
        <w:gridCol w:w="14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952" w:type="dxa"/>
            <w:noWrap w:val="0"/>
            <w:vAlign w:val="top"/>
          </w:tcPr>
          <w:p>
            <w:pPr>
              <w:keepNext w:val="0"/>
              <w:keepLines w:val="0"/>
              <w:pageBreakBefore w:val="0"/>
              <w:widowControl w:val="0"/>
              <w:kinsoku/>
              <w:wordWrap/>
              <w:overflowPunct/>
              <w:topLinePunct w:val="0"/>
              <w:autoSpaceDE/>
              <w:autoSpaceDN/>
              <w:bidi w:val="0"/>
              <w:adjustRightInd/>
              <w:snapToGrid/>
              <w:spacing w:line="198"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预算</w:t>
            </w:r>
            <w:r>
              <w:rPr>
                <w:rFonts w:hint="eastAsia" w:ascii="宋体" w:hAnsi="宋体" w:eastAsia="宋体" w:cs="宋体"/>
                <w:color w:val="000000" w:themeColor="text1"/>
                <w:spacing w:val="2"/>
                <w:sz w:val="21"/>
                <w:szCs w:val="21"/>
                <w:lang w:eastAsia="zh-CN"/>
                <w14:textFill>
                  <w14:solidFill>
                    <w14:schemeClr w14:val="tx1"/>
                  </w14:solidFill>
                </w14:textFill>
              </w:rPr>
              <w:t>单位</w:t>
            </w:r>
            <w:r>
              <w:rPr>
                <w:rFonts w:hint="eastAsia" w:ascii="宋体" w:hAnsi="宋体" w:eastAsia="宋体" w:cs="宋体"/>
                <w:color w:val="000000" w:themeColor="text1"/>
                <w:spacing w:val="2"/>
                <w:sz w:val="21"/>
                <w:szCs w:val="21"/>
                <w:lang w:val="en-US" w:eastAsia="zh-CN"/>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名称</w:t>
            </w:r>
          </w:p>
        </w:tc>
        <w:tc>
          <w:tcPr>
            <w:tcW w:w="8883" w:type="dxa"/>
            <w:gridSpan w:val="8"/>
            <w:noWrap w:val="0"/>
            <w:vAlign w:val="top"/>
          </w:tcPr>
          <w:p/>
          <w:p>
            <w:pPr>
              <w:tabs>
                <w:tab w:val="left" w:pos="2668"/>
              </w:tabs>
              <w:bidi w:val="0"/>
              <w:jc w:val="left"/>
              <w:rPr>
                <w:rFonts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ab/>
            </w:r>
            <w:r>
              <w:rPr>
                <w:rFonts w:hint="eastAsia" w:asciiTheme="majorEastAsia" w:hAnsiTheme="majorEastAsia" w:eastAsiaTheme="majorEastAsia" w:cstheme="majorEastAsia"/>
                <w:color w:val="000000" w:themeColor="text1"/>
                <w:spacing w:val="-2"/>
                <w:sz w:val="20"/>
                <w:szCs w:val="20"/>
                <w:lang w:eastAsia="zh-CN"/>
                <w14:textFill>
                  <w14:solidFill>
                    <w14:schemeClr w14:val="tx1"/>
                  </w14:solidFill>
                </w14:textFill>
              </w:rPr>
              <w:t>岳阳市岳阳楼区文化旅游体育产业服务中心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952"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418" w:lineRule="auto"/>
              <w:ind w:left="0" w:right="0" w:firstLine="0"/>
              <w:jc w:val="center"/>
              <w:textAlignment w:val="auto"/>
              <w:rPr>
                <w:rFonts w:ascii="Arial"/>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position w:val="4"/>
                <w:sz w:val="21"/>
                <w:szCs w:val="21"/>
                <w14:textFill>
                  <w14:solidFill>
                    <w14:schemeClr w14:val="tx1"/>
                  </w14:solidFill>
                </w14:textFill>
              </w:rPr>
              <w:t>年度预</w:t>
            </w:r>
          </w:p>
          <w:p>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算申请</w:t>
            </w:r>
          </w:p>
          <w:p>
            <w:pPr>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1"/>
                <w:sz w:val="21"/>
                <w:szCs w:val="21"/>
                <w14:textFill>
                  <w14:solidFill>
                    <w14:schemeClr w14:val="tx1"/>
                  </w14:solidFill>
                </w14:textFill>
              </w:rPr>
              <w:t>(万元)</w:t>
            </w:r>
          </w:p>
        </w:tc>
        <w:tc>
          <w:tcPr>
            <w:tcW w:w="22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pacing w:val="0"/>
                <w:sz w:val="20"/>
                <w14:textFill>
                  <w14:solidFill>
                    <w14:schemeClr w14:val="tx1"/>
                  </w14:solidFill>
                </w14:textFill>
              </w:rPr>
            </w:pPr>
          </w:p>
        </w:tc>
        <w:tc>
          <w:tcPr>
            <w:tcW w:w="1545"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年初预算数</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全年预算数</w:t>
            </w: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全年执行数</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664"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413"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952"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22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54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187.40</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422.84</w:t>
            </w: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422.84</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47" w:lineRule="exact"/>
              <w:ind w:left="0"/>
              <w:jc w:val="center"/>
              <w:textAlignment w:val="auto"/>
              <w:rPr>
                <w:rFonts w:ascii="宋体" w:hAnsi="宋体" w:eastAsia="宋体" w:cs="宋体"/>
                <w:color w:val="000000" w:themeColor="text1"/>
                <w:spacing w:val="0"/>
                <w:sz w:val="20"/>
                <w:szCs w:val="20"/>
                <w14:textFill>
                  <w14:solidFill>
                    <w14:schemeClr w14:val="tx1"/>
                  </w14:solidFill>
                </w14:textFill>
              </w:rPr>
            </w:pPr>
            <w:r>
              <w:rPr>
                <w:rFonts w:ascii="宋体" w:hAnsi="宋体" w:eastAsia="宋体" w:cs="宋体"/>
                <w:color w:val="000000" w:themeColor="text1"/>
                <w:spacing w:val="0"/>
                <w:position w:val="-3"/>
                <w:sz w:val="20"/>
                <w:szCs w:val="20"/>
                <w14:textFill>
                  <w14:solidFill>
                    <w14:schemeClr w14:val="tx1"/>
                  </w14:solidFill>
                </w14:textFill>
              </w:rPr>
              <w:t>10</w:t>
            </w:r>
          </w:p>
        </w:tc>
        <w:tc>
          <w:tcPr>
            <w:tcW w:w="664"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100</w:t>
            </w:r>
          </w:p>
        </w:tc>
        <w:tc>
          <w:tcPr>
            <w:tcW w:w="1413"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52"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90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按收入性质分：</w:t>
            </w:r>
            <w:r>
              <w:rPr>
                <w:rFonts w:hint="eastAsia" w:ascii="宋体" w:hAnsi="宋体" w:eastAsia="宋体" w:cs="宋体"/>
                <w:color w:val="000000" w:themeColor="text1"/>
                <w:spacing w:val="0"/>
                <w:sz w:val="21"/>
                <w:szCs w:val="21"/>
                <w:lang w:val="en-US" w:eastAsia="zh-CN"/>
                <w14:textFill>
                  <w14:solidFill>
                    <w14:schemeClr w14:val="tx1"/>
                  </w14:solidFill>
                </w14:textFill>
              </w:rPr>
              <w:t>422.84</w:t>
            </w:r>
          </w:p>
        </w:tc>
        <w:tc>
          <w:tcPr>
            <w:tcW w:w="3982"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按支出性质分：</w:t>
            </w:r>
            <w:r>
              <w:rPr>
                <w:rFonts w:hint="eastAsia" w:ascii="宋体" w:hAnsi="宋体" w:eastAsia="宋体" w:cs="宋体"/>
                <w:color w:val="000000" w:themeColor="text1"/>
                <w:spacing w:val="0"/>
                <w:sz w:val="21"/>
                <w:szCs w:val="21"/>
                <w:lang w:val="en-US" w:eastAsia="zh-CN"/>
                <w14:textFill>
                  <w14:solidFill>
                    <w14:schemeClr w14:val="tx1"/>
                  </w14:solidFill>
                </w14:textFill>
              </w:rPr>
              <w:t>422.84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52"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90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 xml:space="preserve">其中： </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一般公共预算：</w:t>
            </w:r>
            <w:r>
              <w:rPr>
                <w:rFonts w:hint="eastAsia" w:ascii="宋体" w:hAnsi="宋体" w:eastAsia="宋体" w:cs="宋体"/>
                <w:color w:val="000000" w:themeColor="text1"/>
                <w:spacing w:val="0"/>
                <w:sz w:val="21"/>
                <w:szCs w:val="21"/>
                <w:lang w:val="en-US" w:eastAsia="zh-CN"/>
                <w14:textFill>
                  <w14:solidFill>
                    <w14:schemeClr w14:val="tx1"/>
                  </w14:solidFill>
                </w14:textFill>
              </w:rPr>
              <w:t>381.36</w:t>
            </w:r>
          </w:p>
        </w:tc>
        <w:tc>
          <w:tcPr>
            <w:tcW w:w="3982"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其中：基本支出：</w:t>
            </w:r>
            <w:r>
              <w:rPr>
                <w:rFonts w:hint="eastAsia" w:ascii="宋体" w:hAnsi="宋体" w:eastAsia="宋体" w:cs="宋体"/>
                <w:color w:val="000000" w:themeColor="text1"/>
                <w:spacing w:val="0"/>
                <w:sz w:val="21"/>
                <w:szCs w:val="21"/>
                <w:lang w:val="en-US" w:eastAsia="zh-CN"/>
                <w14:textFill>
                  <w14:solidFill>
                    <w14:schemeClr w14:val="tx1"/>
                  </w14:solidFill>
                </w14:textFill>
              </w:rPr>
              <w:t>192.53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952"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90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firstLine="1050" w:firstLineChars="500"/>
              <w:jc w:val="left"/>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政府性基金拨款：</w:t>
            </w:r>
            <w:r>
              <w:rPr>
                <w:rFonts w:hint="eastAsia" w:ascii="宋体" w:hAnsi="宋体" w:eastAsia="宋体" w:cs="宋体"/>
                <w:color w:val="000000" w:themeColor="text1"/>
                <w:spacing w:val="0"/>
                <w:sz w:val="21"/>
                <w:szCs w:val="21"/>
                <w:lang w:val="en-US" w:eastAsia="zh-CN"/>
                <w14:textFill>
                  <w14:solidFill>
                    <w14:schemeClr w14:val="tx1"/>
                  </w14:solidFill>
                </w14:textFill>
              </w:rPr>
              <w:t>0</w:t>
            </w:r>
          </w:p>
        </w:tc>
        <w:tc>
          <w:tcPr>
            <w:tcW w:w="3982"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firstLine="840" w:firstLineChars="4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r>
              <w:rPr>
                <w:rFonts w:hint="eastAsia" w:ascii="宋体" w:hAnsi="宋体" w:eastAsia="宋体" w:cs="宋体"/>
                <w:color w:val="000000" w:themeColor="text1"/>
                <w:spacing w:val="0"/>
                <w:sz w:val="21"/>
                <w:szCs w:val="21"/>
                <w:lang w:val="en-US" w:eastAsia="zh-CN"/>
                <w14:textFill>
                  <w14:solidFill>
                    <w14:schemeClr w14:val="tx1"/>
                  </w14:solidFill>
                </w14:textFill>
              </w:rPr>
              <w:t>230.31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952"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90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纳入专户管理的非税收入拨款：</w:t>
            </w:r>
            <w:r>
              <w:rPr>
                <w:rFonts w:hint="eastAsia" w:ascii="宋体" w:hAnsi="宋体" w:eastAsia="宋体" w:cs="宋体"/>
                <w:color w:val="000000" w:themeColor="text1"/>
                <w:spacing w:val="0"/>
                <w:sz w:val="21"/>
                <w:szCs w:val="21"/>
                <w:lang w:val="en-US" w:eastAsia="zh-CN"/>
                <w14:textFill>
                  <w14:solidFill>
                    <w14:schemeClr w14:val="tx1"/>
                  </w14:solidFill>
                </w14:textFill>
              </w:rPr>
              <w:t>0</w:t>
            </w:r>
          </w:p>
        </w:tc>
        <w:tc>
          <w:tcPr>
            <w:tcW w:w="3982"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952"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90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其他资金：</w:t>
            </w:r>
            <w:r>
              <w:rPr>
                <w:rFonts w:hint="eastAsia" w:ascii="宋体" w:hAnsi="宋体" w:eastAsia="宋体" w:cs="宋体"/>
                <w:color w:val="000000" w:themeColor="text1"/>
                <w:spacing w:val="0"/>
                <w:sz w:val="21"/>
                <w:szCs w:val="21"/>
                <w:lang w:val="en-US" w:eastAsia="zh-CN"/>
                <w14:textFill>
                  <w14:solidFill>
                    <w14:schemeClr w14:val="tx1"/>
                  </w14:solidFill>
                </w14:textFill>
              </w:rPr>
              <w:t>41.48</w:t>
            </w:r>
          </w:p>
        </w:tc>
        <w:tc>
          <w:tcPr>
            <w:tcW w:w="3982"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952"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7"/>
                <w:sz w:val="21"/>
                <w:szCs w:val="21"/>
                <w14:textFill>
                  <w14:solidFill>
                    <w14:schemeClr w14:val="tx1"/>
                  </w14:solidFill>
                </w14:textFill>
              </w:rPr>
              <w:t>年度总体</w:t>
            </w:r>
            <w:r>
              <w:rPr>
                <w:rFonts w:ascii="宋体" w:hAnsi="宋体" w:eastAsia="宋体" w:cs="宋体"/>
                <w:color w:val="000000" w:themeColor="text1"/>
                <w:spacing w:val="1"/>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目</w:t>
            </w:r>
            <w:r>
              <w:rPr>
                <w:rFonts w:ascii="宋体" w:hAnsi="宋体" w:eastAsia="宋体" w:cs="宋体"/>
                <w:color w:val="000000" w:themeColor="text1"/>
                <w:spacing w:val="-35"/>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标</w:t>
            </w:r>
          </w:p>
        </w:tc>
        <w:tc>
          <w:tcPr>
            <w:tcW w:w="490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1" w:lineRule="auto"/>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3982"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952"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90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pacing w:val="0"/>
                <w:sz w:val="20"/>
                <w:lang w:eastAsia="zh-CN"/>
                <w14:textFill>
                  <w14:solidFill>
                    <w14:schemeClr w14:val="tx1"/>
                  </w14:solidFill>
                </w14:textFill>
              </w:rPr>
            </w:pPr>
            <w:r>
              <w:rPr>
                <w:rFonts w:hint="eastAsia" w:ascii="Arial"/>
                <w:color w:val="000000" w:themeColor="text1"/>
                <w:spacing w:val="0"/>
                <w:sz w:val="20"/>
                <w14:textFill>
                  <w14:solidFill>
                    <w14:schemeClr w14:val="tx1"/>
                  </w14:solidFill>
                </w14:textFill>
              </w:rPr>
              <w:t>岳阳楼区文化体育产业企业服务、岳阳楼区竞技体育发展、体育人才培养输送与组队参赛工作</w:t>
            </w:r>
            <w:r>
              <w:rPr>
                <w:rFonts w:hint="eastAsia" w:ascii="Arial"/>
                <w:color w:val="000000" w:themeColor="text1"/>
                <w:spacing w:val="0"/>
                <w:sz w:val="20"/>
                <w:lang w:eastAsia="zh-CN"/>
                <w14:textFill>
                  <w14:solidFill>
                    <w14:schemeClr w14:val="tx1"/>
                  </w14:solidFill>
                </w14:textFill>
              </w:rPr>
              <w:t>。</w:t>
            </w:r>
          </w:p>
        </w:tc>
        <w:tc>
          <w:tcPr>
            <w:tcW w:w="3982"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pacing w:val="0"/>
                <w:sz w:val="20"/>
                <w:lang w:eastAsia="zh-CN"/>
                <w14:textFill>
                  <w14:solidFill>
                    <w14:schemeClr w14:val="tx1"/>
                  </w14:solidFill>
                </w14:textFill>
              </w:rPr>
            </w:pPr>
            <w:r>
              <w:rPr>
                <w:rFonts w:hint="eastAsia" w:ascii="Arial"/>
                <w:color w:val="000000" w:themeColor="text1"/>
                <w:spacing w:val="0"/>
                <w:sz w:val="20"/>
                <w:lang w:eastAsia="zh-CN"/>
                <w14:textFill>
                  <w14:solidFill>
                    <w14:schemeClr w14:val="tx1"/>
                  </w14:solidFill>
                </w14:textFill>
              </w:rPr>
              <w:t>圆满完成各项任务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952" w:type="dxa"/>
            <w:vMerge w:val="restart"/>
            <w:tcBorders>
              <w:bottom w:val="nil"/>
            </w:tcBorders>
            <w:noWrap w:val="0"/>
            <w:textDirection w:val="tbRlV"/>
            <w:vAlign w:val="top"/>
          </w:tcPr>
          <w:p>
            <w:pPr>
              <w:keepNext w:val="0"/>
              <w:keepLines w:val="0"/>
              <w:pageBreakBefore w:val="0"/>
              <w:widowControl w:val="0"/>
              <w:kinsoku/>
              <w:wordWrap/>
              <w:overflowPunct/>
              <w:topLinePunct w:val="0"/>
              <w:autoSpaceDE/>
              <w:autoSpaceDN/>
              <w:bidi w:val="0"/>
              <w:adjustRightInd/>
              <w:snapToGrid/>
              <w:spacing w:line="367" w:lineRule="auto"/>
              <w:ind w:left="0" w:right="0" w:firstLine="0"/>
              <w:jc w:val="center"/>
              <w:textAlignment w:val="auto"/>
              <w:rPr>
                <w:rFonts w:ascii="Arial"/>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绩效指标</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54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年度指标值</w:t>
            </w: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实际完成值</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664"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413" w:type="dxa"/>
            <w:noWrap w:val="0"/>
            <w:vAlign w:val="center"/>
          </w:tcPr>
          <w:p>
            <w:pPr>
              <w:keepNext w:val="0"/>
              <w:keepLines w:val="0"/>
              <w:pageBreakBefore w:val="0"/>
              <w:widowControl w:val="0"/>
              <w:kinsoku/>
              <w:wordWrap/>
              <w:overflowPunct/>
              <w:topLinePunct w:val="0"/>
              <w:autoSpaceDE/>
              <w:autoSpaceDN/>
              <w:bidi w:val="0"/>
              <w:adjustRightInd/>
              <w:snapToGrid/>
              <w:spacing w:line="21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偏差原因分析</w:t>
            </w:r>
          </w:p>
          <w:p>
            <w:pPr>
              <w:keepNext w:val="0"/>
              <w:keepLines w:val="0"/>
              <w:pageBreakBefore w:val="0"/>
              <w:widowControl w:val="0"/>
              <w:kinsoku/>
              <w:wordWrap/>
              <w:overflowPunct/>
              <w:topLinePunct w:val="0"/>
              <w:autoSpaceDE/>
              <w:autoSpaceDN/>
              <w:bidi w:val="0"/>
              <w:adjustRightInd/>
              <w:snapToGrid/>
              <w:spacing w:line="19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52"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5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69"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69"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70"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70"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1" w:lineRule="exact"/>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position w:val="20"/>
                <w:sz w:val="21"/>
                <w:szCs w:val="21"/>
                <w14:textFill>
                  <w14:solidFill>
                    <w14:schemeClr w14:val="tx1"/>
                  </w14:solidFill>
                </w14:textFill>
              </w:rPr>
              <w:t>产出指标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(50分)</w:t>
            </w:r>
          </w:p>
        </w:tc>
        <w:tc>
          <w:tcPr>
            <w:tcW w:w="117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数量指标</w:t>
            </w:r>
          </w:p>
        </w:tc>
        <w:tc>
          <w:tcPr>
            <w:tcW w:w="15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color w:val="000000" w:themeColor="text1"/>
                <w:sz w:val="20"/>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下文化体育产业企业调研座谈次数</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w:t>
            </w:r>
            <w:r>
              <w:rPr>
                <w:rFonts w:hint="eastAsia" w:ascii="Arial"/>
                <w:color w:val="000000" w:themeColor="text1"/>
                <w:sz w:val="20"/>
                <w:lang w:val="en-US" w:eastAsia="zh-CN"/>
                <w14:textFill>
                  <w14:solidFill>
                    <w14:schemeClr w14:val="tx1"/>
                  </w14:solidFill>
                </w14:textFill>
              </w:rPr>
              <w:t>4次</w:t>
            </w: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color w:val="000000" w:themeColor="text1"/>
                <w:sz w:val="20"/>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4次</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6</w:t>
            </w:r>
          </w:p>
        </w:tc>
        <w:tc>
          <w:tcPr>
            <w:tcW w:w="664"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6</w:t>
            </w:r>
          </w:p>
        </w:tc>
        <w:tc>
          <w:tcPr>
            <w:tcW w:w="1413"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952"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5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17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5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color w:val="000000" w:themeColor="text1"/>
                <w:sz w:val="20"/>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输送体育优秀人才数量</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w:t>
            </w:r>
            <w:r>
              <w:rPr>
                <w:rFonts w:hint="eastAsia" w:ascii="Arial"/>
                <w:color w:val="000000" w:themeColor="text1"/>
                <w:sz w:val="20"/>
                <w:lang w:val="en-US" w:eastAsia="zh-CN"/>
                <w14:textFill>
                  <w14:solidFill>
                    <w14:schemeClr w14:val="tx1"/>
                  </w14:solidFill>
                </w14:textFill>
              </w:rPr>
              <w:t>20人</w:t>
            </w: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color w:val="000000" w:themeColor="text1"/>
                <w:sz w:val="20"/>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55人</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6</w:t>
            </w:r>
          </w:p>
        </w:tc>
        <w:tc>
          <w:tcPr>
            <w:tcW w:w="664"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6</w:t>
            </w:r>
          </w:p>
        </w:tc>
        <w:tc>
          <w:tcPr>
            <w:tcW w:w="1413"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952"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5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17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5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color w:val="000000" w:themeColor="text1"/>
                <w:sz w:val="20"/>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组织参加省十四运会体育比赛</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w:t>
            </w:r>
            <w:r>
              <w:rPr>
                <w:rFonts w:hint="eastAsia" w:ascii="Arial"/>
                <w:color w:val="000000" w:themeColor="text1"/>
                <w:sz w:val="20"/>
                <w:lang w:val="en-US" w:eastAsia="zh-CN"/>
                <w14:textFill>
                  <w14:solidFill>
                    <w14:schemeClr w14:val="tx1"/>
                  </w14:solidFill>
                </w14:textFill>
              </w:rPr>
              <w:t>5块</w:t>
            </w: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color w:val="000000" w:themeColor="text1"/>
                <w:sz w:val="20"/>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11块</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8</w:t>
            </w:r>
          </w:p>
        </w:tc>
        <w:tc>
          <w:tcPr>
            <w:tcW w:w="664"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8</w:t>
            </w:r>
          </w:p>
        </w:tc>
        <w:tc>
          <w:tcPr>
            <w:tcW w:w="1413"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952"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5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17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质量指标</w:t>
            </w:r>
          </w:p>
        </w:tc>
        <w:tc>
          <w:tcPr>
            <w:tcW w:w="15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各项任务完成率</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≥95%</w:t>
            </w: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100</w:t>
            </w:r>
            <w:r>
              <w:rPr>
                <w:rFonts w:hint="eastAsia" w:ascii="Arial"/>
                <w:color w:val="000000" w:themeColor="text1"/>
                <w:sz w:val="20"/>
                <w14:textFill>
                  <w14:solidFill>
                    <w14:schemeClr w14:val="tx1"/>
                  </w14:solidFill>
                </w14:textFill>
              </w:rPr>
              <w:t>%</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w:t>
            </w:r>
          </w:p>
        </w:tc>
        <w:tc>
          <w:tcPr>
            <w:tcW w:w="6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w:t>
            </w:r>
          </w:p>
        </w:tc>
        <w:tc>
          <w:tcPr>
            <w:tcW w:w="14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952"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5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17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时效指标</w:t>
            </w:r>
          </w:p>
        </w:tc>
        <w:tc>
          <w:tcPr>
            <w:tcW w:w="154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履职工作任务完成时间</w:t>
            </w:r>
          </w:p>
        </w:tc>
        <w:tc>
          <w:tcPr>
            <w:tcW w:w="1136" w:type="dxa"/>
            <w:noWrap w:val="0"/>
            <w:vAlign w:val="center"/>
          </w:tcPr>
          <w:p>
            <w:pPr>
              <w:keepNext w:val="0"/>
              <w:keepLines w:val="0"/>
              <w:pageBreakBefore w:val="0"/>
              <w:widowControl w:val="0"/>
              <w:tabs>
                <w:tab w:val="left" w:pos="521"/>
              </w:tabs>
              <w:kinsoku/>
              <w:wordWrap/>
              <w:overflowPunct/>
              <w:topLinePunct w:val="0"/>
              <w:autoSpaceDE/>
              <w:autoSpaceDN/>
              <w:bidi w:val="0"/>
              <w:adjustRightInd/>
              <w:snapToGrid/>
              <w:spacing w:line="239" w:lineRule="exact"/>
              <w:ind w:left="0" w:firstLine="200" w:firstLineChars="100"/>
              <w:jc w:val="left"/>
              <w:textAlignment w:val="auto"/>
              <w:rPr>
                <w:rFonts w:hint="eastAsia" w:ascii="Arial" w:eastAsiaTheme="minorEastAsia"/>
                <w:color w:val="000000" w:themeColor="text1"/>
                <w:sz w:val="20"/>
                <w:lang w:eastAsia="zh-CN"/>
                <w14:textFill>
                  <w14:solidFill>
                    <w14:schemeClr w14:val="tx1"/>
                  </w14:solidFill>
                </w14:textFill>
              </w:rPr>
            </w:pPr>
            <w:r>
              <w:rPr>
                <w:rFonts w:hint="eastAsia" w:ascii="Arial"/>
                <w:color w:val="000000" w:themeColor="text1"/>
                <w:sz w:val="20"/>
                <w:lang w:eastAsia="zh-CN"/>
                <w14:textFill>
                  <w14:solidFill>
                    <w14:schemeClr w14:val="tx1"/>
                  </w14:solidFill>
                </w14:textFill>
              </w:rPr>
              <w:t>2022/12/1</w:t>
            </w:r>
          </w:p>
        </w:tc>
        <w:tc>
          <w:tcPr>
            <w:tcW w:w="1186" w:type="dxa"/>
            <w:noWrap w:val="0"/>
            <w:vAlign w:val="center"/>
          </w:tcPr>
          <w:p>
            <w:pPr>
              <w:keepNext w:val="0"/>
              <w:keepLines w:val="0"/>
              <w:pageBreakBefore w:val="0"/>
              <w:widowControl w:val="0"/>
              <w:tabs>
                <w:tab w:val="left" w:pos="521"/>
              </w:tabs>
              <w:kinsoku/>
              <w:wordWrap/>
              <w:overflowPunct/>
              <w:topLinePunct w:val="0"/>
              <w:autoSpaceDE/>
              <w:autoSpaceDN/>
              <w:bidi w:val="0"/>
              <w:adjustRightInd/>
              <w:snapToGrid/>
              <w:spacing w:line="239" w:lineRule="exact"/>
              <w:ind w:left="0" w:leftChars="0" w:firstLine="200" w:firstLineChars="100"/>
              <w:jc w:val="left"/>
              <w:textAlignment w:val="auto"/>
              <w:rPr>
                <w:rFonts w:ascii="Arial"/>
                <w:color w:val="000000" w:themeColor="text1"/>
                <w:sz w:val="20"/>
                <w14:textFill>
                  <w14:solidFill>
                    <w14:schemeClr w14:val="tx1"/>
                  </w14:solidFill>
                </w14:textFill>
              </w:rPr>
            </w:pPr>
            <w:r>
              <w:rPr>
                <w:rFonts w:hint="eastAsia" w:ascii="Arial"/>
                <w:color w:val="000000" w:themeColor="text1"/>
                <w:sz w:val="20"/>
                <w:lang w:eastAsia="zh-CN"/>
                <w14:textFill>
                  <w14:solidFill>
                    <w14:schemeClr w14:val="tx1"/>
                  </w14:solidFill>
                </w14:textFill>
              </w:rPr>
              <w:t>2022/12/1</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w:t>
            </w:r>
          </w:p>
        </w:tc>
        <w:tc>
          <w:tcPr>
            <w:tcW w:w="664"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w:t>
            </w:r>
          </w:p>
        </w:tc>
        <w:tc>
          <w:tcPr>
            <w:tcW w:w="1413"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952"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5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17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成本指标</w:t>
            </w:r>
          </w:p>
        </w:tc>
        <w:tc>
          <w:tcPr>
            <w:tcW w:w="154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eastAsiaTheme="minorEastAsia"/>
                <w:color w:val="000000" w:themeColor="text1"/>
                <w:sz w:val="20"/>
                <w:lang w:eastAsia="zh-CN"/>
                <w14:textFill>
                  <w14:solidFill>
                    <w14:schemeClr w14:val="tx1"/>
                  </w14:solidFill>
                </w14:textFill>
              </w:rPr>
            </w:pPr>
            <w:r>
              <w:rPr>
                <w:rFonts w:hint="eastAsia" w:ascii="Arial"/>
                <w:color w:val="000000" w:themeColor="text1"/>
                <w:sz w:val="20"/>
                <w:lang w:eastAsia="zh-CN"/>
                <w14:textFill>
                  <w14:solidFill>
                    <w14:schemeClr w14:val="tx1"/>
                  </w14:solidFill>
                </w14:textFill>
              </w:rPr>
              <w:t>成本节约</w:t>
            </w:r>
            <w:r>
              <w:rPr>
                <w:rFonts w:hint="eastAsia" w:ascii="Arial"/>
                <w:color w:val="000000" w:themeColor="text1"/>
                <w:sz w:val="20"/>
                <w14:textFill>
                  <w14:solidFill>
                    <w14:schemeClr w14:val="tx1"/>
                  </w14:solidFill>
                </w14:textFill>
              </w:rPr>
              <w:t>率</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14:textFill>
                  <w14:solidFill>
                    <w14:schemeClr w14:val="tx1"/>
                  </w14:solidFill>
                </w14:textFill>
              </w:rPr>
              <w:t>≥</w:t>
            </w:r>
            <w:r>
              <w:rPr>
                <w:rFonts w:hint="eastAsia" w:ascii="Arial"/>
                <w:color w:val="000000" w:themeColor="text1"/>
                <w:sz w:val="20"/>
                <w:lang w:val="en-US" w:eastAsia="zh-CN"/>
                <w14:textFill>
                  <w14:solidFill>
                    <w14:schemeClr w14:val="tx1"/>
                  </w14:solidFill>
                </w14:textFill>
              </w:rPr>
              <w:t>0</w:t>
            </w: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eastAsiaTheme="minorEastAsia"/>
                <w:color w:val="000000" w:themeColor="text1"/>
                <w:sz w:val="20"/>
                <w:lang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0</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w:t>
            </w:r>
          </w:p>
        </w:tc>
        <w:tc>
          <w:tcPr>
            <w:tcW w:w="664"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w:t>
            </w:r>
          </w:p>
        </w:tc>
        <w:tc>
          <w:tcPr>
            <w:tcW w:w="1413"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952"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5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91" w:lineRule="exact"/>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position w:val="21"/>
                <w:sz w:val="21"/>
                <w:szCs w:val="21"/>
                <w14:textFill>
                  <w14:solidFill>
                    <w14:schemeClr w14:val="tx1"/>
                  </w14:solidFill>
                </w14:textFill>
              </w:rPr>
              <w:t>效益指标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(30分)</w:t>
            </w:r>
          </w:p>
        </w:tc>
        <w:tc>
          <w:tcPr>
            <w:tcW w:w="117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经济效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5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c>
          <w:tcPr>
            <w:tcW w:w="6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c>
          <w:tcPr>
            <w:tcW w:w="14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952"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5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17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社会效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5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auto"/>
                <w:sz w:val="20"/>
              </w:rPr>
            </w:pPr>
            <w:r>
              <w:rPr>
                <w:rFonts w:hint="eastAsia" w:ascii="Arial"/>
                <w:color w:val="auto"/>
                <w:sz w:val="20"/>
              </w:rPr>
              <w:t>展示我市城市</w:t>
            </w:r>
            <w:r>
              <w:rPr>
                <w:rFonts w:hint="eastAsia" w:ascii="Arial"/>
                <w:color w:val="auto"/>
                <w:sz w:val="20"/>
                <w:lang w:eastAsia="zh-CN"/>
              </w:rPr>
              <w:t>（体育竞赛、体育企业发展）</w:t>
            </w:r>
            <w:r>
              <w:rPr>
                <w:rFonts w:hint="eastAsia" w:ascii="Arial"/>
                <w:color w:val="auto"/>
                <w:sz w:val="20"/>
              </w:rPr>
              <w:t>形象，提升体育工作水平</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auto"/>
                <w:sz w:val="20"/>
              </w:rPr>
            </w:pPr>
            <w:r>
              <w:rPr>
                <w:rFonts w:hint="eastAsia" w:ascii="Arial"/>
                <w:color w:val="auto"/>
                <w:sz w:val="20"/>
              </w:rPr>
              <w:t>提升</w:t>
            </w: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auto"/>
                <w:sz w:val="20"/>
              </w:rPr>
            </w:pPr>
            <w:r>
              <w:rPr>
                <w:rFonts w:hint="eastAsia" w:ascii="Arial"/>
                <w:color w:val="auto"/>
                <w:sz w:val="20"/>
              </w:rPr>
              <w:t>提升</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auto"/>
                <w:sz w:val="20"/>
                <w:lang w:val="en-US" w:eastAsia="zh-CN"/>
              </w:rPr>
            </w:pPr>
            <w:r>
              <w:rPr>
                <w:rFonts w:hint="eastAsia" w:ascii="Arial"/>
                <w:color w:val="auto"/>
                <w:sz w:val="20"/>
                <w:lang w:val="en-US" w:eastAsia="zh-CN"/>
              </w:rPr>
              <w:t>15</w:t>
            </w:r>
          </w:p>
        </w:tc>
        <w:tc>
          <w:tcPr>
            <w:tcW w:w="6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auto"/>
                <w:sz w:val="20"/>
                <w:lang w:val="en-US" w:eastAsia="zh-CN"/>
              </w:rPr>
            </w:pPr>
            <w:r>
              <w:rPr>
                <w:rFonts w:hint="eastAsia" w:ascii="Arial"/>
                <w:color w:val="auto"/>
                <w:sz w:val="20"/>
                <w:lang w:val="en-US" w:eastAsia="zh-CN"/>
              </w:rPr>
              <w:t>14</w:t>
            </w:r>
          </w:p>
        </w:tc>
        <w:tc>
          <w:tcPr>
            <w:tcW w:w="14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both"/>
              <w:textAlignment w:val="auto"/>
              <w:rPr>
                <w:rFonts w:hint="eastAsia" w:ascii="Arial" w:eastAsiaTheme="minorEastAsia"/>
                <w:color w:val="auto"/>
                <w:sz w:val="20"/>
                <w:lang w:val="en-US" w:eastAsia="zh-CN"/>
              </w:rPr>
            </w:pPr>
            <w:r>
              <w:rPr>
                <w:rFonts w:hint="eastAsia" w:ascii="Arial"/>
                <w:color w:val="auto"/>
                <w:sz w:val="20"/>
                <w:lang w:val="en-US" w:eastAsia="zh-CN"/>
              </w:rPr>
              <w:t>充分利用学校体育场地建立训练基地，加强教体融合发展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952"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5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17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37"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生态效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5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c>
          <w:tcPr>
            <w:tcW w:w="6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c>
          <w:tcPr>
            <w:tcW w:w="14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0" w:hRule="atLeast"/>
        </w:trPr>
        <w:tc>
          <w:tcPr>
            <w:tcW w:w="952"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5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17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3"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可持续影</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响指标</w:t>
            </w:r>
          </w:p>
        </w:tc>
        <w:tc>
          <w:tcPr>
            <w:tcW w:w="154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auto"/>
                <w:sz w:val="21"/>
                <w:lang w:eastAsia="zh-CN"/>
              </w:rPr>
            </w:pPr>
            <w:r>
              <w:rPr>
                <w:rFonts w:hint="eastAsia" w:ascii="Arial"/>
                <w:color w:val="auto"/>
                <w:sz w:val="20"/>
              </w:rPr>
              <w:t>探研我区文体产业服务</w:t>
            </w:r>
            <w:r>
              <w:rPr>
                <w:rFonts w:hint="eastAsia" w:ascii="Arial"/>
                <w:color w:val="auto"/>
                <w:sz w:val="20"/>
                <w:lang w:eastAsia="zh-CN"/>
              </w:rPr>
              <w:t>、</w:t>
            </w:r>
            <w:r>
              <w:rPr>
                <w:rFonts w:hint="eastAsia" w:ascii="Arial"/>
                <w:color w:val="auto"/>
                <w:sz w:val="20"/>
                <w:lang w:val="en-US" w:eastAsia="zh-CN"/>
              </w:rPr>
              <w:t>输送体育优秀人才，</w:t>
            </w:r>
            <w:r>
              <w:rPr>
                <w:rFonts w:hint="eastAsia" w:ascii="Arial"/>
                <w:color w:val="auto"/>
                <w:sz w:val="20"/>
              </w:rPr>
              <w:t>推动经济社会发展</w:t>
            </w:r>
            <w:r>
              <w:rPr>
                <w:rFonts w:hint="eastAsia" w:ascii="Arial"/>
                <w:color w:val="auto"/>
                <w:sz w:val="20"/>
                <w:lang w:eastAsia="zh-CN"/>
              </w:rPr>
              <w:t>。</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auto"/>
                <w:sz w:val="21"/>
              </w:rPr>
            </w:pPr>
            <w:r>
              <w:rPr>
                <w:rFonts w:hint="eastAsia" w:ascii="Arial"/>
                <w:color w:val="auto"/>
                <w:sz w:val="20"/>
              </w:rPr>
              <w:t>提升</w:t>
            </w: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auto"/>
                <w:sz w:val="21"/>
              </w:rPr>
            </w:pPr>
            <w:r>
              <w:rPr>
                <w:rFonts w:hint="eastAsia" w:ascii="Arial"/>
                <w:color w:val="auto"/>
                <w:sz w:val="20"/>
              </w:rPr>
              <w:t>提升</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auto"/>
                <w:sz w:val="21"/>
                <w:lang w:val="en-US" w:eastAsia="zh-CN"/>
              </w:rPr>
            </w:pPr>
            <w:r>
              <w:rPr>
                <w:rFonts w:hint="eastAsia" w:ascii="Arial"/>
                <w:color w:val="auto"/>
                <w:sz w:val="21"/>
                <w:lang w:val="en-US" w:eastAsia="zh-CN"/>
              </w:rPr>
              <w:t>15</w:t>
            </w:r>
          </w:p>
        </w:tc>
        <w:tc>
          <w:tcPr>
            <w:tcW w:w="664"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auto"/>
                <w:sz w:val="21"/>
                <w:lang w:val="en-US" w:eastAsia="zh-CN"/>
              </w:rPr>
            </w:pPr>
            <w:r>
              <w:rPr>
                <w:rFonts w:hint="eastAsia" w:ascii="Arial"/>
                <w:color w:val="auto"/>
                <w:sz w:val="21"/>
                <w:lang w:val="en-US" w:eastAsia="zh-CN"/>
              </w:rPr>
              <w:t>14</w:t>
            </w:r>
          </w:p>
        </w:tc>
        <w:tc>
          <w:tcPr>
            <w:tcW w:w="1413"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auto"/>
                <w:sz w:val="21"/>
                <w:lang w:val="en-US" w:eastAsia="zh-CN"/>
              </w:rPr>
            </w:pPr>
            <w:r>
              <w:rPr>
                <w:rFonts w:hint="eastAsia" w:ascii="Arial"/>
                <w:color w:val="auto"/>
                <w:sz w:val="20"/>
                <w:lang w:val="en-US" w:eastAsia="zh-CN"/>
              </w:rPr>
              <w:t>1.增加对产业企业服务次数。2.加强体育基础训练，输送更多体育优秀人才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52"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5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4"/>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(10分)</w:t>
            </w:r>
          </w:p>
        </w:tc>
        <w:tc>
          <w:tcPr>
            <w:tcW w:w="117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服务对象</w:t>
            </w:r>
          </w:p>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满意度指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标</w:t>
            </w:r>
          </w:p>
        </w:tc>
        <w:tc>
          <w:tcPr>
            <w:tcW w:w="1545" w:type="dxa"/>
            <w:noWrap w:val="0"/>
            <w:vAlign w:val="center"/>
          </w:tcPr>
          <w:p>
            <w:pPr>
              <w:keepNext w:val="0"/>
              <w:keepLines w:val="0"/>
              <w:pageBreakBefore w:val="0"/>
              <w:widowControl w:val="0"/>
              <w:tabs>
                <w:tab w:val="left" w:pos="395"/>
              </w:tabs>
              <w:kinsoku/>
              <w:wordWrap/>
              <w:overflowPunct/>
              <w:topLinePunct w:val="0"/>
              <w:autoSpaceDE/>
              <w:autoSpaceDN/>
              <w:bidi w:val="0"/>
              <w:adjustRightInd/>
              <w:snapToGrid/>
              <w:ind w:left="0"/>
              <w:jc w:val="left"/>
              <w:textAlignment w:val="auto"/>
              <w:rPr>
                <w:rFonts w:hint="eastAsia" w:ascii="Arial" w:eastAsiaTheme="minorEastAsia"/>
                <w:color w:val="000000" w:themeColor="text1"/>
                <w:sz w:val="21"/>
                <w:lang w:eastAsia="zh-CN"/>
                <w14:textFill>
                  <w14:solidFill>
                    <w14:schemeClr w14:val="tx1"/>
                  </w14:solidFill>
                </w14:textFill>
              </w:rPr>
            </w:pPr>
            <w:r>
              <w:rPr>
                <w:rFonts w:hint="eastAsia" w:ascii="Arial"/>
                <w:color w:val="000000" w:themeColor="text1"/>
                <w:sz w:val="21"/>
                <w:lang w:eastAsia="zh-CN"/>
                <w14:textFill>
                  <w14:solidFill>
                    <w14:schemeClr w14:val="tx1"/>
                  </w14:solidFill>
                </w14:textFill>
              </w:rPr>
              <w:tab/>
            </w:r>
            <w:r>
              <w:rPr>
                <w:rFonts w:hint="eastAsia" w:ascii="Arial"/>
                <w:color w:val="000000" w:themeColor="text1"/>
                <w:sz w:val="21"/>
                <w:lang w:eastAsia="zh-CN"/>
                <w14:textFill>
                  <w14:solidFill>
                    <w14:schemeClr w14:val="tx1"/>
                  </w14:solidFill>
                </w14:textFill>
              </w:rPr>
              <w:t>社会公众满意度</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r>
              <w:rPr>
                <w:rFonts w:hint="eastAsia" w:ascii="Arial"/>
                <w:color w:val="000000" w:themeColor="text1"/>
                <w:sz w:val="20"/>
                <w14:textFill>
                  <w14:solidFill>
                    <w14:schemeClr w14:val="tx1"/>
                  </w14:solidFill>
                </w14:textFill>
              </w:rPr>
              <w:t>≥95%</w:t>
            </w: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r>
              <w:rPr>
                <w:rFonts w:hint="eastAsia" w:ascii="Arial"/>
                <w:color w:val="000000" w:themeColor="text1"/>
                <w:sz w:val="20"/>
                <w14:textFill>
                  <w14:solidFill>
                    <w14:schemeClr w14:val="tx1"/>
                  </w14:solidFill>
                </w14:textFill>
              </w:rPr>
              <w:t>95%</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10</w:t>
            </w:r>
          </w:p>
        </w:tc>
        <w:tc>
          <w:tcPr>
            <w:tcW w:w="664"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9</w:t>
            </w:r>
          </w:p>
        </w:tc>
        <w:tc>
          <w:tcPr>
            <w:tcW w:w="1413"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039"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51" w:lineRule="exact"/>
              <w:ind w:left="0" w:firstLine="3274"/>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297815" cy="158750"/>
                  <wp:effectExtent l="0" t="0" r="6985" b="133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5"/>
                          <a:stretch>
                            <a:fillRect/>
                          </a:stretch>
                        </pic:blipFill>
                        <pic:spPr>
                          <a:xfrm>
                            <a:off x="0" y="0"/>
                            <a:ext cx="297815" cy="158750"/>
                          </a:xfrm>
                          <a:prstGeom prst="rect">
                            <a:avLst/>
                          </a:prstGeom>
                          <a:noFill/>
                          <a:ln>
                            <a:noFill/>
                          </a:ln>
                        </pic:spPr>
                      </pic:pic>
                    </a:graphicData>
                  </a:graphic>
                </wp:inline>
              </w:drawing>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6"/>
                <w:sz w:val="21"/>
                <w:szCs w:val="21"/>
                <w14:textFill>
                  <w14:solidFill>
                    <w14:schemeClr w14:val="tx1"/>
                  </w14:solidFill>
                </w14:textFill>
              </w:rPr>
              <w:t>100</w:t>
            </w:r>
          </w:p>
        </w:tc>
        <w:tc>
          <w:tcPr>
            <w:tcW w:w="664"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97</w:t>
            </w:r>
          </w:p>
        </w:tc>
        <w:tc>
          <w:tcPr>
            <w:tcW w:w="1413"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填表人：</w:t>
      </w:r>
      <w:r>
        <w:rPr>
          <w:rFonts w:hint="eastAsia" w:asciiTheme="majorEastAsia" w:hAnsiTheme="majorEastAsia" w:eastAsiaTheme="majorEastAsia" w:cstheme="majorEastAsia"/>
          <w:color w:val="000000" w:themeColor="text1"/>
          <w:spacing w:val="0"/>
          <w:position w:val="0"/>
          <w:sz w:val="23"/>
          <w:szCs w:val="23"/>
          <w:lang w:eastAsia="zh-CN"/>
          <w14:textFill>
            <w14:solidFill>
              <w14:schemeClr w14:val="tx1"/>
            </w14:solidFill>
          </w14:textFill>
        </w:rPr>
        <w:t>任雨鸿</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 xml:space="preserve"> 联系电话：</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13873081203</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 xml:space="preserve"> 单位负责人签字：</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刘满新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填报日期：</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2023-6-2</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sectPr>
          <w:footerReference r:id="rId3" w:type="default"/>
          <w:pgSz w:w="11906" w:h="16838"/>
          <w:pgMar w:top="1134" w:right="1417" w:bottom="1134" w:left="1134" w:header="851" w:footer="992" w:gutter="0"/>
          <w:pgNumType w:fmt="decimal"/>
          <w:cols w:space="0" w:num="1"/>
          <w:rtlGutter w:val="0"/>
          <w:docGrid w:type="lines" w:linePitch="312" w:charSpace="0"/>
        </w:sectPr>
      </w:pPr>
      <w:r>
        <w:rPr>
          <w:rFonts w:hint="eastAsia" w:ascii="仿宋" w:hAnsi="仿宋" w:eastAsia="仿宋" w:cs="仿宋"/>
          <w:color w:val="000000" w:themeColor="text1"/>
          <w:spacing w:val="0"/>
          <w:position w:val="0"/>
          <w:sz w:val="22"/>
          <w:szCs w:val="2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3</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 xml:space="preserve"> </w:t>
      </w: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岳阳楼区文化旅游体育产业服务中心</w:t>
      </w: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整体支出绩效自评报告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部门(单位)名称：岳阳楼区文化旅游体育产业服务中心2023年 6 月 4 日</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 xml:space="preserve"> 2022年度岳阳市岳阳楼区文化旅游体育产业服务中心整体支出绩效自评报告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widowControl/>
        <w:numPr>
          <w:ilvl w:val="0"/>
          <w:numId w:val="0"/>
        </w:numPr>
        <w:spacing w:line="600" w:lineRule="exact"/>
        <w:ind w:firstLine="602" w:firstLineChars="200"/>
        <w:rPr>
          <w:rFonts w:hint="eastAsia" w:ascii="仿宋" w:hAnsi="仿宋" w:eastAsia="仿宋" w:cs="仿宋"/>
          <w:b/>
          <w:bCs w:val="0"/>
          <w:kern w:val="0"/>
          <w:sz w:val="30"/>
          <w:szCs w:val="30"/>
          <w:lang w:val="en-US" w:eastAsia="zh-CN" w:bidi="ar"/>
        </w:rPr>
      </w:pPr>
      <w:r>
        <w:rPr>
          <w:rFonts w:hint="eastAsia" w:ascii="仿宋" w:hAnsi="仿宋" w:eastAsia="仿宋" w:cs="仿宋"/>
          <w:b/>
          <w:bCs w:val="0"/>
          <w:kern w:val="0"/>
          <w:sz w:val="30"/>
          <w:szCs w:val="30"/>
          <w:lang w:val="en-US" w:eastAsia="zh-CN" w:bidi="ar"/>
        </w:rPr>
        <w:t>一、单位基本情况</w:t>
      </w:r>
    </w:p>
    <w:p>
      <w:pPr>
        <w:widowControl/>
        <w:numPr>
          <w:ilvl w:val="0"/>
          <w:numId w:val="0"/>
        </w:numPr>
        <w:spacing w:line="600" w:lineRule="exact"/>
        <w:ind w:firstLine="600" w:firstLineChars="200"/>
        <w:rPr>
          <w:rFonts w:hint="eastAsia" w:ascii="仿宋" w:hAnsi="仿宋" w:eastAsia="仿宋" w:cs="仿宋"/>
          <w:bCs/>
          <w:kern w:val="0"/>
          <w:sz w:val="30"/>
          <w:szCs w:val="30"/>
          <w:lang w:val="en-US" w:eastAsia="zh-CN" w:bidi="ar"/>
        </w:rPr>
      </w:pPr>
      <w:r>
        <w:rPr>
          <w:rFonts w:hint="eastAsia" w:ascii="仿宋" w:hAnsi="仿宋" w:eastAsia="仿宋" w:cs="仿宋"/>
          <w:bCs/>
          <w:kern w:val="0"/>
          <w:sz w:val="30"/>
          <w:szCs w:val="30"/>
          <w:lang w:val="en-US" w:eastAsia="zh-CN" w:bidi="ar"/>
        </w:rPr>
        <w:t>（一）职能职责</w:t>
      </w:r>
    </w:p>
    <w:p>
      <w:pPr>
        <w:pStyle w:val="7"/>
        <w:keepNext w:val="0"/>
        <w:keepLines w:val="0"/>
        <w:widowControl/>
        <w:suppressLineNumbers w:val="0"/>
        <w:spacing w:before="0" w:beforeAutospacing="0" w:after="0" w:afterAutospacing="0" w:line="33" w:lineRule="atLeast"/>
        <w:ind w:firstLine="600" w:firstLineChars="200"/>
        <w:jc w:val="both"/>
        <w:rPr>
          <w:rFonts w:hint="eastAsia" w:ascii="仿宋" w:hAnsi="仿宋" w:eastAsia="仿宋" w:cs="仿宋"/>
          <w:bCs/>
          <w:kern w:val="0"/>
          <w:sz w:val="30"/>
          <w:szCs w:val="30"/>
          <w:lang w:val="en-US" w:eastAsia="zh-CN" w:bidi="ar"/>
        </w:rPr>
      </w:pPr>
      <w:r>
        <w:rPr>
          <w:rFonts w:hint="eastAsia" w:ascii="仿宋" w:hAnsi="仿宋" w:eastAsia="仿宋" w:cs="仿宋"/>
          <w:bCs/>
          <w:kern w:val="0"/>
          <w:sz w:val="30"/>
          <w:szCs w:val="30"/>
          <w:lang w:val="en-US" w:eastAsia="zh-CN" w:bidi="ar"/>
        </w:rPr>
        <w:t>1.制订全区体育人才培养计划和人才选拔，参加体育竞赛；</w:t>
      </w:r>
    </w:p>
    <w:p>
      <w:pPr>
        <w:pStyle w:val="7"/>
        <w:keepNext w:val="0"/>
        <w:keepLines w:val="0"/>
        <w:widowControl/>
        <w:suppressLineNumbers w:val="0"/>
        <w:spacing w:before="0" w:beforeAutospacing="0" w:after="0" w:afterAutospacing="0" w:line="33" w:lineRule="atLeast"/>
        <w:ind w:left="319" w:leftChars="152" w:firstLine="300" w:firstLineChars="100"/>
        <w:jc w:val="both"/>
        <w:rPr>
          <w:rFonts w:hint="eastAsia" w:ascii="仿宋" w:hAnsi="仿宋" w:eastAsia="仿宋" w:cs="仿宋"/>
          <w:bCs/>
          <w:kern w:val="0"/>
          <w:sz w:val="30"/>
          <w:szCs w:val="30"/>
          <w:lang w:val="en-US" w:eastAsia="zh-CN" w:bidi="ar"/>
        </w:rPr>
      </w:pPr>
      <w:r>
        <w:rPr>
          <w:rFonts w:hint="eastAsia" w:ascii="仿宋" w:hAnsi="仿宋" w:eastAsia="仿宋" w:cs="仿宋"/>
          <w:bCs/>
          <w:kern w:val="0"/>
          <w:sz w:val="30"/>
          <w:szCs w:val="30"/>
          <w:lang w:val="en-US" w:eastAsia="zh-CN" w:bidi="ar"/>
        </w:rPr>
        <w:t>2.负责全区文化体育产业的管理统计和体育彩票发行。</w:t>
      </w:r>
    </w:p>
    <w:p>
      <w:pPr>
        <w:pStyle w:val="7"/>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firstLine="600" w:firstLineChars="200"/>
        <w:jc w:val="both"/>
        <w:rPr>
          <w:rFonts w:hint="eastAsia" w:ascii="仿宋" w:hAnsi="仿宋" w:eastAsia="仿宋" w:cs="仿宋"/>
          <w:bCs/>
          <w:kern w:val="0"/>
          <w:sz w:val="30"/>
          <w:szCs w:val="30"/>
          <w:lang w:val="en-US" w:eastAsia="zh-CN" w:bidi="ar"/>
        </w:rPr>
      </w:pPr>
      <w:r>
        <w:rPr>
          <w:rFonts w:hint="eastAsia" w:ascii="仿宋" w:hAnsi="仿宋" w:eastAsia="仿宋" w:cs="仿宋"/>
          <w:bCs/>
          <w:kern w:val="0"/>
          <w:sz w:val="30"/>
          <w:szCs w:val="30"/>
          <w:lang w:val="en-US" w:eastAsia="zh-CN" w:bidi="ar"/>
        </w:rPr>
        <w:t>（二）机构设置</w:t>
      </w:r>
    </w:p>
    <w:p>
      <w:pPr>
        <w:widowControl/>
        <w:numPr>
          <w:ilvl w:val="0"/>
          <w:numId w:val="0"/>
        </w:numPr>
        <w:spacing w:line="600" w:lineRule="exact"/>
        <w:ind w:left="320" w:leftChars="0" w:firstLine="600" w:firstLineChars="200"/>
        <w:rPr>
          <w:rFonts w:hint="eastAsia" w:ascii="仿宋" w:hAnsi="仿宋" w:eastAsia="仿宋" w:cs="仿宋"/>
          <w:bCs/>
          <w:kern w:val="0"/>
          <w:sz w:val="30"/>
          <w:szCs w:val="30"/>
          <w:lang w:val="en-US" w:eastAsia="zh-CN" w:bidi="ar"/>
        </w:rPr>
      </w:pPr>
      <w:r>
        <w:rPr>
          <w:rFonts w:hint="eastAsia" w:ascii="仿宋" w:hAnsi="仿宋" w:eastAsia="仿宋" w:cs="仿宋"/>
          <w:bCs/>
          <w:kern w:val="0"/>
          <w:sz w:val="30"/>
          <w:szCs w:val="30"/>
          <w:lang w:val="en-US" w:eastAsia="zh-CN" w:bidi="ar"/>
        </w:rPr>
        <w:t>内设机构设置。根据编办核定正股级公益一类事业单位，本单位内设机构包括：办公室、综合协调室。核定全额拨款事业编制14名，其中正股级领导职数1名，副股级领导职数1名。现有人数16人，其中：在职编制13人；离退休3人。</w:t>
      </w:r>
    </w:p>
    <w:p>
      <w:pPr>
        <w:keepNext w:val="0"/>
        <w:keepLines w:val="0"/>
        <w:pageBreakBefore w:val="0"/>
        <w:widowControl w:val="0"/>
        <w:kinsoku/>
        <w:wordWrap/>
        <w:overflowPunct/>
        <w:topLinePunct w:val="0"/>
        <w:autoSpaceDE/>
        <w:autoSpaceDN/>
        <w:bidi w:val="0"/>
        <w:adjustRightInd/>
        <w:snapToGrid/>
        <w:ind w:left="0" w:firstLine="904" w:firstLineChars="300"/>
        <w:jc w:val="left"/>
        <w:textAlignment w:val="auto"/>
        <w:rPr>
          <w:rFonts w:hint="eastAsia" w:ascii="仿宋" w:hAnsi="仿宋" w:eastAsia="仿宋" w:cs="仿宋"/>
          <w:b/>
          <w:bCs w:val="0"/>
          <w:kern w:val="0"/>
          <w:sz w:val="30"/>
          <w:szCs w:val="30"/>
          <w:lang w:val="en-US" w:eastAsia="zh-CN" w:bidi="ar"/>
        </w:rPr>
      </w:pPr>
      <w:r>
        <w:rPr>
          <w:rFonts w:hint="eastAsia" w:ascii="仿宋" w:hAnsi="仿宋" w:eastAsia="仿宋" w:cs="仿宋"/>
          <w:b/>
          <w:bCs w:val="0"/>
          <w:kern w:val="0"/>
          <w:sz w:val="30"/>
          <w:szCs w:val="30"/>
          <w:lang w:val="en-US" w:eastAsia="zh-CN" w:bidi="ar"/>
        </w:rPr>
        <w:t>二、一般公共预算支出情况</w:t>
      </w:r>
    </w:p>
    <w:p>
      <w:pPr>
        <w:pStyle w:val="7"/>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left="420" w:leftChars="0" w:right="0" w:rightChars="0" w:firstLine="600" w:firstLineChars="200"/>
        <w:jc w:val="both"/>
        <w:rPr>
          <w:rFonts w:hint="eastAsia" w:ascii="仿宋" w:hAnsi="仿宋" w:eastAsia="仿宋" w:cs="仿宋"/>
          <w:bCs/>
          <w:kern w:val="0"/>
          <w:sz w:val="30"/>
          <w:szCs w:val="30"/>
          <w:lang w:val="en-US" w:eastAsia="zh-CN" w:bidi="ar"/>
        </w:rPr>
      </w:pPr>
      <w:r>
        <w:rPr>
          <w:rFonts w:hint="eastAsia" w:ascii="仿宋" w:hAnsi="仿宋" w:eastAsia="仿宋" w:cs="仿宋"/>
          <w:bCs/>
          <w:kern w:val="0"/>
          <w:sz w:val="30"/>
          <w:szCs w:val="30"/>
          <w:lang w:val="en-US" w:eastAsia="zh-CN" w:bidi="ar"/>
        </w:rPr>
        <w:t>2022年我单位整体收入422.84万元，一般公共预算收入381.36万元和其他资金收入41.48万元。整体支出422.84万元，一般公共预算支出381.36万元，其中：基本支出191.05万元，</w:t>
      </w:r>
      <w:r>
        <w:rPr>
          <w:rFonts w:hint="eastAsia" w:ascii="仿宋" w:hAnsi="仿宋" w:eastAsia="仿宋" w:cs="仿宋"/>
          <w:bCs/>
          <w:color w:val="auto"/>
          <w:kern w:val="0"/>
          <w:sz w:val="30"/>
          <w:szCs w:val="30"/>
          <w:lang w:val="en-US" w:eastAsia="zh-CN" w:bidi="ar"/>
        </w:rPr>
        <w:t>项目支出190.31万元；</w:t>
      </w:r>
      <w:r>
        <w:rPr>
          <w:rFonts w:hint="eastAsia" w:ascii="仿宋" w:hAnsi="仿宋" w:eastAsia="仿宋" w:cs="仿宋"/>
          <w:bCs/>
          <w:kern w:val="0"/>
          <w:sz w:val="30"/>
          <w:szCs w:val="30"/>
          <w:lang w:val="en-US" w:eastAsia="zh-CN" w:bidi="ar"/>
        </w:rPr>
        <w:t>其他资金项目支出41.48万元。</w:t>
      </w:r>
    </w:p>
    <w:p>
      <w:pPr>
        <w:pStyle w:val="7"/>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left="420" w:leftChars="0" w:right="0" w:rightChars="0" w:firstLine="600" w:firstLineChars="200"/>
        <w:jc w:val="both"/>
        <w:rPr>
          <w:rFonts w:hint="eastAsia" w:ascii="仿宋" w:hAnsi="仿宋" w:eastAsia="仿宋" w:cs="仿宋"/>
          <w:bCs/>
          <w:kern w:val="0"/>
          <w:sz w:val="30"/>
          <w:szCs w:val="30"/>
          <w:lang w:val="en-US" w:eastAsia="zh-CN" w:bidi="ar"/>
        </w:rPr>
      </w:pPr>
      <w:r>
        <w:rPr>
          <w:rFonts w:hint="eastAsia" w:ascii="仿宋" w:hAnsi="仿宋" w:eastAsia="仿宋" w:cs="仿宋"/>
          <w:bCs/>
          <w:kern w:val="0"/>
          <w:sz w:val="30"/>
          <w:szCs w:val="30"/>
          <w:lang w:val="en-US" w:eastAsia="zh-CN" w:bidi="ar"/>
        </w:rPr>
        <w:t>（一）基本支出情况</w:t>
      </w:r>
    </w:p>
    <w:p>
      <w:pPr>
        <w:pStyle w:val="7"/>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left="420" w:leftChars="0" w:right="0" w:rightChars="0" w:firstLine="600" w:firstLineChars="200"/>
        <w:jc w:val="both"/>
        <w:rPr>
          <w:rFonts w:hint="eastAsia" w:ascii="仿宋" w:hAnsi="仿宋" w:eastAsia="仿宋" w:cs="仿宋"/>
          <w:bCs/>
          <w:kern w:val="0"/>
          <w:sz w:val="30"/>
          <w:szCs w:val="30"/>
          <w:lang w:val="en-US" w:eastAsia="zh-CN" w:bidi="ar"/>
        </w:rPr>
      </w:pPr>
      <w:r>
        <w:rPr>
          <w:rFonts w:hint="eastAsia" w:ascii="仿宋" w:hAnsi="仿宋" w:eastAsia="仿宋" w:cs="仿宋"/>
          <w:bCs/>
          <w:kern w:val="0"/>
          <w:sz w:val="30"/>
          <w:szCs w:val="30"/>
          <w:lang w:val="en-US" w:eastAsia="zh-CN" w:bidi="ar"/>
        </w:rPr>
        <w:t>2022年基本支出191.05万元，其中人员经费165.32万元，主要包括基本工资、绩效补贴、奖金、伙食补助费、机关事业单位基本养老保险缴费、职工基本医疗保险缴费、公务员医疗补助缴费、其他社会保障缴费、住房公积金、其他工资福利支出、其他对个人和家庭的补助；公用经费25.73万元，主要包括办公费、印刷费、水费、电费、邮电费、差旅费劳务费、维修（护）费、租赁费、公务接待费、工会经费、其他交通费用、其他商品和服务支出。本年度工资福利支出严格按照要求进行工资统发或规定的标准发放,不存在多发福利现象，三公经费总支出控制较好未超预算。</w:t>
      </w:r>
    </w:p>
    <w:p>
      <w:pPr>
        <w:pStyle w:val="7"/>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left="420" w:leftChars="0" w:right="0" w:rightChars="0" w:firstLine="600" w:firstLineChars="200"/>
        <w:jc w:val="both"/>
        <w:rPr>
          <w:rFonts w:hint="eastAsia" w:ascii="仿宋" w:hAnsi="仿宋" w:eastAsia="仿宋" w:cs="仿宋"/>
          <w:bCs/>
          <w:kern w:val="0"/>
          <w:sz w:val="30"/>
          <w:szCs w:val="30"/>
          <w:lang w:val="en-US" w:eastAsia="zh-CN" w:bidi="ar"/>
        </w:rPr>
      </w:pPr>
      <w:r>
        <w:rPr>
          <w:rFonts w:hint="eastAsia" w:ascii="仿宋" w:hAnsi="仿宋" w:eastAsia="仿宋" w:cs="仿宋"/>
          <w:bCs/>
          <w:kern w:val="0"/>
          <w:sz w:val="30"/>
          <w:szCs w:val="30"/>
          <w:lang w:val="en-US" w:eastAsia="zh-CN" w:bidi="ar"/>
        </w:rPr>
        <w:t>（二）项目支出情况</w:t>
      </w:r>
    </w:p>
    <w:p>
      <w:pPr>
        <w:pStyle w:val="7"/>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left="420" w:leftChars="0" w:right="0" w:rightChars="0" w:firstLine="600" w:firstLineChars="200"/>
        <w:jc w:val="both"/>
        <w:rPr>
          <w:rFonts w:hint="default" w:ascii="仿宋" w:hAnsi="仿宋" w:eastAsia="仿宋" w:cs="仿宋"/>
          <w:bCs/>
          <w:kern w:val="0"/>
          <w:sz w:val="30"/>
          <w:szCs w:val="30"/>
          <w:lang w:val="en-US" w:eastAsia="zh-CN" w:bidi="ar"/>
        </w:rPr>
      </w:pPr>
      <w:r>
        <w:rPr>
          <w:rFonts w:hint="eastAsia" w:ascii="仿宋" w:hAnsi="仿宋" w:eastAsia="仿宋" w:cs="仿宋"/>
          <w:bCs/>
          <w:kern w:val="0"/>
          <w:sz w:val="30"/>
          <w:szCs w:val="30"/>
          <w:lang w:val="en-US" w:eastAsia="zh-CN" w:bidi="ar"/>
        </w:rPr>
        <w:t>本单位严格规范专项资金管理，保障资金安全、高效运行，发挥资金使用效益，对专项资金要定期或不定期进行督查，确保项目资金专款专用。2022年参加省十四运会比赛项目资金支出230.31万元。</w:t>
      </w:r>
    </w:p>
    <w:p>
      <w:pPr>
        <w:pStyle w:val="7"/>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left="420" w:leftChars="0" w:right="0" w:rightChars="0" w:firstLine="602" w:firstLineChars="200"/>
        <w:jc w:val="both"/>
        <w:rPr>
          <w:rFonts w:hint="eastAsia" w:ascii="仿宋" w:hAnsi="仿宋" w:eastAsia="仿宋" w:cs="仿宋"/>
          <w:b/>
          <w:bCs w:val="0"/>
          <w:kern w:val="0"/>
          <w:sz w:val="30"/>
          <w:szCs w:val="30"/>
          <w:lang w:val="en-US" w:eastAsia="zh-CN" w:bidi="ar"/>
        </w:rPr>
      </w:pPr>
      <w:r>
        <w:rPr>
          <w:rFonts w:hint="eastAsia" w:ascii="仿宋" w:hAnsi="仿宋" w:eastAsia="仿宋" w:cs="仿宋"/>
          <w:b/>
          <w:bCs w:val="0"/>
          <w:kern w:val="0"/>
          <w:sz w:val="30"/>
          <w:szCs w:val="30"/>
          <w:lang w:val="en-US" w:eastAsia="zh-CN" w:bidi="ar"/>
        </w:rPr>
        <w:t>三、政府性基金预算支出情况</w:t>
      </w:r>
    </w:p>
    <w:p>
      <w:pPr>
        <w:pStyle w:val="7"/>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left="420" w:leftChars="0" w:right="0" w:rightChars="0" w:firstLine="600" w:firstLineChars="200"/>
        <w:jc w:val="both"/>
        <w:rPr>
          <w:rFonts w:hint="eastAsia" w:ascii="仿宋" w:hAnsi="仿宋" w:eastAsia="仿宋" w:cs="仿宋"/>
          <w:bCs/>
          <w:kern w:val="0"/>
          <w:sz w:val="30"/>
          <w:szCs w:val="30"/>
          <w:lang w:val="en-US" w:eastAsia="zh-CN" w:bidi="ar"/>
        </w:rPr>
      </w:pPr>
      <w:r>
        <w:rPr>
          <w:rFonts w:hint="eastAsia" w:ascii="仿宋" w:hAnsi="仿宋" w:eastAsia="仿宋" w:cs="仿宋"/>
          <w:bCs/>
          <w:kern w:val="0"/>
          <w:sz w:val="30"/>
          <w:szCs w:val="30"/>
          <w:lang w:val="en-US" w:eastAsia="zh-CN" w:bidi="ar"/>
        </w:rPr>
        <w:t>无政府性基金预算支出情况。</w:t>
      </w:r>
    </w:p>
    <w:p>
      <w:pPr>
        <w:pStyle w:val="7"/>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left="420" w:leftChars="0" w:right="0" w:rightChars="0" w:firstLine="602" w:firstLineChars="200"/>
        <w:jc w:val="both"/>
        <w:rPr>
          <w:rFonts w:hint="eastAsia" w:ascii="仿宋" w:hAnsi="仿宋" w:eastAsia="仿宋" w:cs="仿宋"/>
          <w:b/>
          <w:bCs w:val="0"/>
          <w:kern w:val="0"/>
          <w:sz w:val="30"/>
          <w:szCs w:val="30"/>
          <w:lang w:val="en-US" w:eastAsia="zh-CN" w:bidi="ar"/>
        </w:rPr>
      </w:pPr>
      <w:r>
        <w:rPr>
          <w:rFonts w:hint="eastAsia" w:ascii="仿宋" w:hAnsi="仿宋" w:eastAsia="仿宋" w:cs="仿宋"/>
          <w:b/>
          <w:bCs w:val="0"/>
          <w:kern w:val="0"/>
          <w:sz w:val="30"/>
          <w:szCs w:val="30"/>
          <w:lang w:val="en-US" w:eastAsia="zh-CN" w:bidi="ar"/>
        </w:rPr>
        <w:t>四、国有资本经营预算支出情况</w:t>
      </w:r>
    </w:p>
    <w:p>
      <w:pPr>
        <w:pStyle w:val="7"/>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left="420" w:leftChars="0" w:right="0" w:rightChars="0" w:firstLine="600" w:firstLineChars="200"/>
        <w:jc w:val="both"/>
        <w:rPr>
          <w:rFonts w:hint="eastAsia" w:ascii="仿宋" w:hAnsi="仿宋" w:eastAsia="仿宋" w:cs="仿宋"/>
          <w:bCs/>
          <w:kern w:val="0"/>
          <w:sz w:val="30"/>
          <w:szCs w:val="30"/>
          <w:lang w:val="en-US" w:eastAsia="zh-CN" w:bidi="ar"/>
        </w:rPr>
      </w:pPr>
      <w:r>
        <w:rPr>
          <w:rFonts w:hint="eastAsia" w:ascii="仿宋" w:hAnsi="仿宋" w:eastAsia="仿宋" w:cs="仿宋"/>
          <w:bCs/>
          <w:kern w:val="0"/>
          <w:sz w:val="30"/>
          <w:szCs w:val="30"/>
          <w:lang w:val="en-US" w:eastAsia="zh-CN" w:bidi="ar"/>
        </w:rPr>
        <w:t>无国有资本经营预算支出情况</w:t>
      </w:r>
    </w:p>
    <w:p>
      <w:pPr>
        <w:pStyle w:val="7"/>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left="420" w:leftChars="0" w:right="0" w:rightChars="0" w:firstLine="602" w:firstLineChars="200"/>
        <w:jc w:val="both"/>
        <w:rPr>
          <w:rFonts w:hint="eastAsia" w:ascii="仿宋" w:hAnsi="仿宋" w:eastAsia="仿宋" w:cs="仿宋"/>
          <w:b/>
          <w:bCs w:val="0"/>
          <w:kern w:val="0"/>
          <w:sz w:val="30"/>
          <w:szCs w:val="30"/>
          <w:lang w:val="en-US" w:eastAsia="zh-CN" w:bidi="ar"/>
        </w:rPr>
      </w:pPr>
      <w:r>
        <w:rPr>
          <w:rFonts w:hint="eastAsia" w:ascii="仿宋" w:hAnsi="仿宋" w:eastAsia="仿宋" w:cs="仿宋"/>
          <w:b/>
          <w:bCs w:val="0"/>
          <w:kern w:val="0"/>
          <w:sz w:val="30"/>
          <w:szCs w:val="30"/>
          <w:lang w:val="en-US" w:eastAsia="zh-CN" w:bidi="ar"/>
        </w:rPr>
        <w:t>五、社会保险基金预算支出情况</w:t>
      </w:r>
    </w:p>
    <w:p>
      <w:pPr>
        <w:pStyle w:val="7"/>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left="420" w:leftChars="0" w:right="0" w:rightChars="0" w:firstLine="600" w:firstLineChars="200"/>
        <w:jc w:val="both"/>
        <w:rPr>
          <w:rFonts w:hint="eastAsia" w:ascii="仿宋" w:hAnsi="仿宋" w:eastAsia="仿宋" w:cs="仿宋"/>
          <w:bCs/>
          <w:kern w:val="0"/>
          <w:sz w:val="30"/>
          <w:szCs w:val="30"/>
          <w:lang w:val="en-US" w:eastAsia="zh-CN" w:bidi="ar"/>
        </w:rPr>
      </w:pPr>
      <w:r>
        <w:rPr>
          <w:rFonts w:hint="eastAsia" w:ascii="仿宋" w:hAnsi="仿宋" w:eastAsia="仿宋" w:cs="仿宋"/>
          <w:bCs/>
          <w:kern w:val="0"/>
          <w:sz w:val="30"/>
          <w:szCs w:val="30"/>
          <w:lang w:val="en-US" w:eastAsia="zh-CN" w:bidi="ar"/>
        </w:rPr>
        <w:t>无社会保险基金预算支出情况</w:t>
      </w:r>
    </w:p>
    <w:p>
      <w:pPr>
        <w:keepNext w:val="0"/>
        <w:keepLines w:val="0"/>
        <w:pageBreakBefore w:val="0"/>
        <w:widowControl w:val="0"/>
        <w:kinsoku/>
        <w:wordWrap/>
        <w:overflowPunct/>
        <w:topLinePunct w:val="0"/>
        <w:autoSpaceDE/>
        <w:autoSpaceDN/>
        <w:bidi w:val="0"/>
        <w:adjustRightInd/>
        <w:snapToGrid/>
        <w:ind w:left="0" w:firstLine="904" w:firstLineChars="300"/>
        <w:jc w:val="left"/>
        <w:textAlignment w:val="auto"/>
        <w:rPr>
          <w:rFonts w:hint="eastAsia" w:ascii="仿宋" w:hAnsi="仿宋" w:eastAsia="仿宋" w:cs="仿宋"/>
          <w:b/>
          <w:bCs/>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
          <w:bCs/>
          <w:color w:val="000000" w:themeColor="text1"/>
          <w:spacing w:val="0"/>
          <w:position w:val="0"/>
          <w:sz w:val="30"/>
          <w:szCs w:val="30"/>
          <w:lang w:val="en-US" w:eastAsia="zh-CN"/>
          <w14:textFill>
            <w14:solidFill>
              <w14:schemeClr w14:val="tx1"/>
            </w14:solidFill>
          </w14:textFill>
        </w:rPr>
        <w:t>六、部门整体支出绩效情况</w:t>
      </w:r>
    </w:p>
    <w:p>
      <w:pPr>
        <w:pStyle w:val="7"/>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right="0" w:rightChars="0" w:firstLine="602" w:firstLineChars="200"/>
        <w:jc w:val="both"/>
        <w:rPr>
          <w:rFonts w:hint="eastAsia" w:ascii="仿宋" w:hAnsi="仿宋" w:eastAsia="仿宋" w:cs="仿宋"/>
          <w:b/>
          <w:bCs w:val="0"/>
          <w:sz w:val="30"/>
          <w:szCs w:val="30"/>
          <w:lang w:val="en-US" w:eastAsia="zh-CN"/>
        </w:rPr>
      </w:pPr>
      <w:r>
        <w:rPr>
          <w:rFonts w:hint="eastAsia" w:ascii="仿宋" w:hAnsi="仿宋" w:eastAsia="仿宋" w:cs="仿宋"/>
          <w:b/>
          <w:bCs w:val="0"/>
          <w:sz w:val="30"/>
          <w:szCs w:val="30"/>
          <w:lang w:val="en-US" w:eastAsia="zh-CN"/>
        </w:rPr>
        <w:t>（一）绩效评价结果</w:t>
      </w:r>
    </w:p>
    <w:p>
      <w:pPr>
        <w:pStyle w:val="7"/>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right="0" w:rightChars="0" w:firstLine="600" w:firstLineChars="200"/>
        <w:jc w:val="both"/>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2022年度部门整体支出取得良好的成效，工作效率和效益得以提高，全程监控财政拨入经费的使用情况，并与工作开展相联系，资金使用与工作执行进度相结合，不断优化资金支出结构，保障资金使用高效益，以达到了保运转，保民生，保安全，促均衡的效果。年初制定的工作任务目标100%按时完成，各项工作成效显著，推动体育事业等各方面工作更好更快地发展，自评得分97分。</w:t>
      </w:r>
    </w:p>
    <w:p>
      <w:pPr>
        <w:pStyle w:val="7"/>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right="0" w:rightChars="0" w:firstLine="600" w:firstLineChars="200"/>
        <w:jc w:val="both"/>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（二）部门整体支出绩效完成情况</w:t>
      </w:r>
    </w:p>
    <w:p>
      <w:pPr>
        <w:pStyle w:val="7"/>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right="0" w:rightChars="0" w:firstLine="600" w:firstLineChars="200"/>
        <w:jc w:val="both"/>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一是按年初计划，积极对接区教育局于2月底至3月初在楼区幼儿园及小学开展入校选材储备运动员；3月12日在市教体局的大力支持下，邀请省体操运动学校专业教练在岳阳楼体操训练基地开展了2022年春季湖南省街舞、体操后备人才选材暨楼区后备人才输送活动。本次活动共有165名选手参加，选拔体操、蹦床、街舞白苗55人。</w:t>
      </w:r>
    </w:p>
    <w:p>
      <w:pPr>
        <w:pStyle w:val="7"/>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right="0" w:rightChars="0" w:firstLine="600" w:firstLineChars="200"/>
        <w:jc w:val="both"/>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二是结合各项目参赛运动员的训练水平，协助配合岳阳狼族户外文化传播有限公司、奥冠体育学校、越洋俱乐部制定攀岩、体操、艺体、街舞、蹦床项目可行性日常训练计划，并由区业余体校全程监督落实。聘请省级优秀教练员对优秀运动员、优势项目进行封闭式训练。按市教体局相关文件规定完成了参赛项目运动员的注册工作。</w:t>
      </w:r>
    </w:p>
    <w:p>
      <w:pPr>
        <w:tabs>
          <w:tab w:val="left" w:pos="780"/>
        </w:tabs>
        <w:bidi w:val="0"/>
        <w:jc w:val="left"/>
        <w:rPr>
          <w:rFonts w:hint="eastAsia"/>
          <w:lang w:val="en-US" w:eastAsia="zh-CN"/>
        </w:rPr>
      </w:pPr>
      <w:r>
        <w:rPr>
          <w:rFonts w:hint="eastAsia"/>
          <w:lang w:val="en-US" w:eastAsia="zh-CN"/>
        </w:rPr>
        <w:tab/>
      </w:r>
    </w:p>
    <w:p>
      <w:pPr>
        <w:pStyle w:val="7"/>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right="0" w:rightChars="0" w:firstLine="600" w:firstLineChars="200"/>
        <w:jc w:val="both"/>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三是超额完成省运会各项目标任务。我中心组队参赛的体操、艺术体操、蹦床、街舞和攀岩项目创省运会参赛获奖历史记录，共计获得11块金牌、6块银牌、7块铜牌，累计总分408分，其中蹦床项目获得2金3银2铜，2个第四，1个第八；艺术体操项目获得3金2银，1个第四；体操项目获得1金3铜，1个第四，2个第五，2个第六， 2个第七，2个第八；街舞项目获得3金2铜，1个第四，1个第五；攀岩项目获得2金1银，2个第六，1个第七。</w:t>
      </w:r>
    </w:p>
    <w:p>
      <w:pPr>
        <w:pStyle w:val="7"/>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right="0" w:rightChars="0" w:firstLine="602" w:firstLineChars="200"/>
        <w:jc w:val="both"/>
        <w:rPr>
          <w:rFonts w:hint="eastAsia" w:ascii="仿宋" w:hAnsi="仿宋" w:eastAsia="仿宋" w:cs="仿宋"/>
          <w:b/>
          <w:bCs w:val="0"/>
          <w:sz w:val="30"/>
          <w:szCs w:val="30"/>
          <w:lang w:val="en-US" w:eastAsia="zh-CN"/>
        </w:rPr>
      </w:pPr>
      <w:r>
        <w:rPr>
          <w:rFonts w:hint="eastAsia" w:ascii="仿宋" w:hAnsi="仿宋" w:eastAsia="仿宋" w:cs="仿宋"/>
          <w:b/>
          <w:bCs w:val="0"/>
          <w:sz w:val="30"/>
          <w:szCs w:val="30"/>
          <w:lang w:val="en-US" w:eastAsia="zh-CN"/>
        </w:rPr>
        <w:t>七、存在的问题及原因分析</w:t>
      </w:r>
    </w:p>
    <w:p>
      <w:pPr>
        <w:pStyle w:val="7"/>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right="0" w:rightChars="0" w:firstLine="600" w:firstLineChars="200"/>
        <w:jc w:val="both"/>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主要是绩效预算编制还有待进一步细化，预算编制不够明确和细化，合理性需要提高。</w:t>
      </w:r>
    </w:p>
    <w:p>
      <w:pPr>
        <w:keepNext w:val="0"/>
        <w:keepLines w:val="0"/>
        <w:pageBreakBefore w:val="0"/>
        <w:widowControl w:val="0"/>
        <w:kinsoku/>
        <w:wordWrap/>
        <w:overflowPunct/>
        <w:topLinePunct w:val="0"/>
        <w:autoSpaceDE/>
        <w:autoSpaceDN/>
        <w:bidi w:val="0"/>
        <w:adjustRightInd/>
        <w:snapToGrid/>
        <w:ind w:left="0" w:firstLine="602"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bCs w:val="0"/>
          <w:kern w:val="0"/>
          <w:sz w:val="30"/>
          <w:szCs w:val="30"/>
          <w:lang w:val="en-US" w:eastAsia="zh-CN" w:bidi="ar"/>
        </w:rPr>
        <w:t>八、下一步改进措施</w:t>
      </w:r>
    </w:p>
    <w:p>
      <w:pPr>
        <w:pStyle w:val="7"/>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right="0" w:rightChars="0" w:firstLine="600" w:firstLineChars="200"/>
        <w:jc w:val="both"/>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一是加强年初预算编制的学习，不断增强业务人员的业务水平。二是加强预算编制的前期调查研究，进一步提升预算的科学性、合理性及实用性。</w:t>
      </w:r>
    </w:p>
    <w:p>
      <w:pPr>
        <w:keepNext w:val="0"/>
        <w:keepLines w:val="0"/>
        <w:pageBreakBefore w:val="0"/>
        <w:widowControl w:val="0"/>
        <w:kinsoku/>
        <w:wordWrap/>
        <w:overflowPunct/>
        <w:topLinePunct w:val="0"/>
        <w:autoSpaceDE/>
        <w:autoSpaceDN/>
        <w:bidi w:val="0"/>
        <w:adjustRightInd/>
        <w:snapToGrid/>
        <w:ind w:left="0" w:firstLine="602" w:firstLineChars="200"/>
        <w:jc w:val="left"/>
        <w:textAlignment w:val="auto"/>
        <w:rPr>
          <w:rFonts w:hint="eastAsia" w:ascii="仿宋" w:hAnsi="仿宋" w:eastAsia="仿宋" w:cs="仿宋"/>
          <w:b/>
          <w:bCs/>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
          <w:bCs/>
          <w:color w:val="000000" w:themeColor="text1"/>
          <w:spacing w:val="0"/>
          <w:position w:val="0"/>
          <w:sz w:val="30"/>
          <w:szCs w:val="30"/>
          <w:lang w:val="en-US" w:eastAsia="zh-CN"/>
          <w14:textFill>
            <w14:solidFill>
              <w14:schemeClr w14:val="tx1"/>
            </w14:solidFill>
          </w14:textFill>
        </w:rPr>
        <w:t>九、部门整体支出绩效自评结果拟应用和公开情况</w:t>
      </w:r>
    </w:p>
    <w:p>
      <w:pPr>
        <w:pStyle w:val="7"/>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right="0" w:rightChars="0" w:firstLine="600" w:firstLineChars="200"/>
        <w:jc w:val="both"/>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本单位将以结果为导向，健全绩效评估与绩效评价结果挂钩机制，对绩效评价发现的问题，采取有力措施绩效整改，并将绩效评价结果作为年度绩效考核的依据，持续提高资金使用效益。本报告将在岳阳楼区政府门户网站进行公示。</w:t>
      </w:r>
    </w:p>
    <w:p>
      <w:pPr>
        <w:pStyle w:val="7"/>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right="0" w:rightChars="0"/>
        <w:jc w:val="both"/>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其他需要说明的情况：无</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附件4</w:t>
      </w: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2022年度项目支出绩效自评表</w:t>
      </w:r>
    </w:p>
    <w:tbl>
      <w:tblPr>
        <w:tblStyle w:val="11"/>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5"/>
        <w:gridCol w:w="1110"/>
        <w:gridCol w:w="1110"/>
        <w:gridCol w:w="1635"/>
        <w:gridCol w:w="875"/>
        <w:gridCol w:w="1140"/>
        <w:gridCol w:w="685"/>
        <w:gridCol w:w="795"/>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p>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名称</w:t>
            </w:r>
          </w:p>
        </w:tc>
        <w:tc>
          <w:tcPr>
            <w:tcW w:w="8715" w:type="dxa"/>
            <w:gridSpan w:val="8"/>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eastAsia="zh-CN"/>
                <w14:textFill>
                  <w14:solidFill>
                    <w14:schemeClr w14:val="tx1"/>
                  </w14:solidFill>
                </w14:textFill>
              </w:rPr>
            </w:pPr>
            <w:r>
              <w:rPr>
                <w:rFonts w:hint="eastAsia" w:ascii="Arial"/>
                <w:color w:val="000000" w:themeColor="text1"/>
                <w:spacing w:val="0"/>
                <w:sz w:val="21"/>
                <w:szCs w:val="21"/>
                <w:lang w:eastAsia="zh-CN"/>
                <w14:textFill>
                  <w14:solidFill>
                    <w14:schemeClr w14:val="tx1"/>
                  </w14:solidFill>
                </w14:textFill>
              </w:rPr>
              <w:t>省十四运会参赛项目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865" w:type="dxa"/>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主管部门</w:t>
            </w:r>
          </w:p>
        </w:tc>
        <w:tc>
          <w:tcPr>
            <w:tcW w:w="4730" w:type="dxa"/>
            <w:gridSpan w:val="4"/>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eastAsia="zh-CN"/>
                <w14:textFill>
                  <w14:solidFill>
                    <w14:schemeClr w14:val="tx1"/>
                  </w14:solidFill>
                </w14:textFill>
              </w:rPr>
            </w:pPr>
            <w:r>
              <w:rPr>
                <w:rFonts w:hint="eastAsia" w:ascii="Arial"/>
                <w:color w:val="000000" w:themeColor="text1"/>
                <w:spacing w:val="0"/>
                <w:sz w:val="21"/>
                <w:szCs w:val="21"/>
                <w:lang w:eastAsia="zh-CN"/>
                <w14:textFill>
                  <w14:solidFill>
                    <w14:schemeClr w14:val="tx1"/>
                  </w14:solidFill>
                </w14:textFill>
              </w:rPr>
              <w:t>岳阳楼区文化旅游广电体育局</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实施单位</w:t>
            </w:r>
          </w:p>
        </w:tc>
        <w:tc>
          <w:tcPr>
            <w:tcW w:w="2845" w:type="dxa"/>
            <w:gridSpan w:val="3"/>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eastAsia="zh-CN"/>
                <w14:textFill>
                  <w14:solidFill>
                    <w14:schemeClr w14:val="tx1"/>
                  </w14:solidFill>
                </w14:textFill>
              </w:rPr>
            </w:pPr>
            <w:r>
              <w:rPr>
                <w:rFonts w:hint="eastAsia" w:ascii="Arial"/>
                <w:color w:val="000000" w:themeColor="text1"/>
                <w:spacing w:val="0"/>
                <w:sz w:val="21"/>
                <w:szCs w:val="21"/>
                <w:lang w:eastAsia="zh-CN"/>
                <w14:textFill>
                  <w14:solidFill>
                    <w14:schemeClr w14:val="tx1"/>
                  </w14:solidFill>
                </w14:textFill>
              </w:rPr>
              <w:t>岳阳楼区文化旅游体育产业服务中心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86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5"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项目资金</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(万元)</w:t>
            </w:r>
          </w:p>
        </w:tc>
        <w:tc>
          <w:tcPr>
            <w:tcW w:w="22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6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执行数</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86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2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63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w:t>
            </w: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230.31</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230.31</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5"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
                <w:sz w:val="21"/>
                <w:szCs w:val="21"/>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86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2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其中：当年财政拨款</w:t>
            </w:r>
          </w:p>
        </w:tc>
        <w:tc>
          <w:tcPr>
            <w:tcW w:w="163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w:t>
            </w: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190</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190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86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2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上年结转资金</w:t>
            </w:r>
          </w:p>
        </w:tc>
        <w:tc>
          <w:tcPr>
            <w:tcW w:w="163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86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2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其他资金</w:t>
            </w:r>
          </w:p>
        </w:tc>
        <w:tc>
          <w:tcPr>
            <w:tcW w:w="163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40.31</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40.31</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86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年度总体</w:t>
            </w:r>
          </w:p>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目标</w:t>
            </w:r>
          </w:p>
        </w:tc>
        <w:tc>
          <w:tcPr>
            <w:tcW w:w="473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86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473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14:textFill>
                  <w14:solidFill>
                    <w14:schemeClr w14:val="tx1"/>
                  </w14:solidFill>
                </w14:textFill>
              </w:rPr>
              <w:t>组织参加省十四运会体育体操、艺术体操、蹦床、街舞和攀岩比赛</w:t>
            </w:r>
            <w:r>
              <w:rPr>
                <w:rFonts w:hint="eastAsia" w:ascii="Arial"/>
                <w:color w:val="000000" w:themeColor="text1"/>
                <w:spacing w:val="0"/>
                <w:sz w:val="21"/>
                <w:szCs w:val="21"/>
                <w:lang w:eastAsia="zh-CN"/>
                <w14:textFill>
                  <w14:solidFill>
                    <w14:schemeClr w14:val="tx1"/>
                  </w14:solidFill>
                </w14:textFill>
              </w:rPr>
              <w:t>获得金牌数</w:t>
            </w:r>
            <w:r>
              <w:rPr>
                <w:rFonts w:hint="eastAsia" w:ascii="Arial"/>
                <w:color w:val="000000" w:themeColor="text1"/>
                <w:spacing w:val="0"/>
                <w:sz w:val="21"/>
                <w:szCs w:val="21"/>
                <w:lang w:val="en-US" w:eastAsia="zh-CN"/>
                <w14:textFill>
                  <w14:solidFill>
                    <w14:schemeClr w14:val="tx1"/>
                  </w14:solidFill>
                </w14:textFill>
              </w:rPr>
              <w:t>5块。</w:t>
            </w: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Arial" w:eastAsia="宋体"/>
                <w:color w:val="000000" w:themeColor="text1"/>
                <w:spacing w:val="0"/>
                <w:sz w:val="21"/>
                <w:szCs w:val="21"/>
                <w:lang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w:t>
            </w:r>
            <w:r>
              <w:rPr>
                <w:rFonts w:hint="eastAsia" w:ascii="Arial"/>
                <w:color w:val="000000" w:themeColor="text1"/>
                <w:spacing w:val="0"/>
                <w:sz w:val="21"/>
                <w:szCs w:val="21"/>
                <w:lang w:eastAsia="zh-CN"/>
                <w14:textFill>
                  <w14:solidFill>
                    <w14:schemeClr w14:val="tx1"/>
                  </w14:solidFill>
                </w14:textFill>
              </w:rPr>
              <w:t>获得金牌数</w:t>
            </w:r>
            <w:r>
              <w:rPr>
                <w:rFonts w:hint="eastAsia" w:ascii="宋体" w:hAnsi="宋体" w:eastAsia="宋体" w:cs="宋体"/>
                <w:color w:val="000000" w:themeColor="text1"/>
                <w:spacing w:val="0"/>
                <w:sz w:val="21"/>
                <w:szCs w:val="21"/>
                <w14:textFill>
                  <w14:solidFill>
                    <w14:schemeClr w14:val="tx1"/>
                  </w14:solidFill>
                </w14:textFill>
              </w:rPr>
              <w:t>11块金牌、6块银牌、7块铜牌</w:t>
            </w:r>
            <w:r>
              <w:rPr>
                <w:rFonts w:hint="eastAsia" w:ascii="宋体" w:hAnsi="宋体" w:eastAsia="宋体" w:cs="宋体"/>
                <w:color w:val="000000" w:themeColor="text1"/>
                <w:spacing w:val="0"/>
                <w:sz w:val="21"/>
                <w:szCs w:val="21"/>
                <w:lang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865" w:type="dxa"/>
            <w:vMerge w:val="restart"/>
            <w:tcBorders>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绩</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效</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指</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标</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6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指标值</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完成值</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偏差原因分析 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86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1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6"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210" w:firstLineChars="100"/>
              <w:jc w:val="both"/>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2"/>
                <w:sz w:val="21"/>
                <w:szCs w:val="21"/>
                <w14:textFill>
                  <w14:solidFill>
                    <w14:schemeClr w14:val="tx1"/>
                  </w14:solidFill>
                </w14:textFill>
              </w:rPr>
              <w:t>产出指标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(50分)</w:t>
            </w:r>
          </w:p>
        </w:tc>
        <w:tc>
          <w:tcPr>
            <w:tcW w:w="111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数量指标</w:t>
            </w:r>
          </w:p>
        </w:tc>
        <w:tc>
          <w:tcPr>
            <w:tcW w:w="163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14:textFill>
                  <w14:solidFill>
                    <w14:schemeClr w14:val="tx1"/>
                  </w14:solidFill>
                </w14:textFill>
              </w:rPr>
              <w:t>省十四运会体育比赛</w:t>
            </w:r>
            <w:r>
              <w:rPr>
                <w:rFonts w:hint="eastAsia" w:ascii="Arial"/>
                <w:color w:val="000000" w:themeColor="text1"/>
                <w:spacing w:val="0"/>
                <w:sz w:val="21"/>
                <w:szCs w:val="21"/>
                <w:lang w:eastAsia="zh-CN"/>
                <w14:textFill>
                  <w14:solidFill>
                    <w14:schemeClr w14:val="tx1"/>
                  </w14:solidFill>
                </w14:textFill>
              </w:rPr>
              <w:t>获得金牌数</w:t>
            </w: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5块</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11块</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leftChars="0" w:right="0" w:rightChars="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1365" w:type="dxa"/>
            <w:noWrap w:val="0"/>
            <w:vAlign w:val="center"/>
          </w:tcPr>
          <w:p>
            <w:pPr>
              <w:numPr>
                <w:ilvl w:val="0"/>
                <w:numId w:val="0"/>
              </w:numPr>
              <w:ind w:leftChars="0"/>
              <w:rPr>
                <w:rFonts w:hint="default"/>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86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p>
        </w:tc>
        <w:tc>
          <w:tcPr>
            <w:tcW w:w="11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p>
        </w:tc>
        <w:tc>
          <w:tcPr>
            <w:tcW w:w="163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Arial" w:eastAsiaTheme="minorEastAsia"/>
                <w:color w:val="auto"/>
                <w:spacing w:val="0"/>
                <w:sz w:val="21"/>
                <w:szCs w:val="21"/>
                <w:lang w:eastAsia="zh-CN"/>
              </w:rPr>
            </w:pPr>
            <w:r>
              <w:rPr>
                <w:rFonts w:hint="eastAsia" w:ascii="Arial"/>
                <w:color w:val="auto"/>
                <w:spacing w:val="0"/>
                <w:sz w:val="21"/>
                <w:szCs w:val="21"/>
                <w:lang w:eastAsia="zh-CN"/>
              </w:rPr>
              <w:t>开展</w:t>
            </w:r>
            <w:r>
              <w:rPr>
                <w:rFonts w:hint="eastAsia" w:ascii="Arial"/>
                <w:color w:val="auto"/>
                <w:spacing w:val="0"/>
                <w:sz w:val="21"/>
                <w:szCs w:val="21"/>
              </w:rPr>
              <w:t>体育体操、艺术体操、蹦床、街舞和攀岩</w:t>
            </w:r>
            <w:r>
              <w:rPr>
                <w:rFonts w:hint="eastAsia" w:ascii="Arial"/>
                <w:color w:val="auto"/>
                <w:spacing w:val="0"/>
                <w:sz w:val="21"/>
                <w:szCs w:val="21"/>
                <w:lang w:eastAsia="zh-CN"/>
              </w:rPr>
              <w:t>项目</w:t>
            </w: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color w:val="auto"/>
                <w:spacing w:val="0"/>
                <w:sz w:val="21"/>
                <w:szCs w:val="21"/>
                <w:lang w:val="en-US" w:eastAsia="zh-CN"/>
              </w:rPr>
            </w:pPr>
            <w:r>
              <w:rPr>
                <w:rFonts w:hint="eastAsia" w:ascii="Arial"/>
                <w:color w:val="auto"/>
                <w:spacing w:val="0"/>
                <w:sz w:val="21"/>
                <w:szCs w:val="21"/>
                <w:lang w:val="en-US" w:eastAsia="zh-CN"/>
              </w:rPr>
              <w:t>4项</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color w:val="auto"/>
                <w:spacing w:val="0"/>
                <w:sz w:val="21"/>
                <w:szCs w:val="21"/>
                <w:lang w:val="en-US" w:eastAsia="zh-CN"/>
              </w:rPr>
            </w:pPr>
            <w:r>
              <w:rPr>
                <w:rFonts w:hint="eastAsia" w:ascii="Arial"/>
                <w:color w:val="auto"/>
                <w:spacing w:val="0"/>
                <w:sz w:val="21"/>
                <w:szCs w:val="21"/>
                <w:lang w:val="en-US" w:eastAsia="zh-CN"/>
              </w:rPr>
              <w:t>4项</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color w:val="auto"/>
                <w:spacing w:val="0"/>
                <w:sz w:val="21"/>
                <w:szCs w:val="21"/>
                <w:lang w:val="en-US" w:eastAsia="zh-CN"/>
              </w:rPr>
            </w:pPr>
            <w:r>
              <w:rPr>
                <w:rFonts w:hint="eastAsia" w:ascii="Arial"/>
                <w:color w:val="auto"/>
                <w:spacing w:val="0"/>
                <w:sz w:val="21"/>
                <w:szCs w:val="21"/>
                <w:lang w:val="en-US" w:eastAsia="zh-CN"/>
              </w:rPr>
              <w:t>5</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leftChars="0" w:right="0" w:rightChars="0"/>
              <w:jc w:val="center"/>
              <w:textAlignment w:val="auto"/>
              <w:rPr>
                <w:rFonts w:hint="default" w:ascii="Arial"/>
                <w:color w:val="auto"/>
                <w:spacing w:val="0"/>
                <w:sz w:val="21"/>
                <w:szCs w:val="21"/>
                <w:lang w:val="en-US" w:eastAsia="zh-CN"/>
              </w:rPr>
            </w:pPr>
            <w:r>
              <w:rPr>
                <w:rFonts w:hint="eastAsia" w:ascii="Arial"/>
                <w:color w:val="auto"/>
                <w:spacing w:val="0"/>
                <w:sz w:val="21"/>
                <w:szCs w:val="21"/>
                <w:lang w:val="en-US" w:eastAsia="zh-CN"/>
              </w:rPr>
              <w:t>5</w:t>
            </w:r>
          </w:p>
        </w:tc>
        <w:tc>
          <w:tcPr>
            <w:tcW w:w="1365" w:type="dxa"/>
            <w:noWrap w:val="0"/>
            <w:vAlign w:val="center"/>
          </w:tcPr>
          <w:p>
            <w:pPr>
              <w:numPr>
                <w:ilvl w:val="0"/>
                <w:numId w:val="0"/>
              </w:numPr>
              <w:ind w:leftChars="0"/>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86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p>
        </w:tc>
        <w:tc>
          <w:tcPr>
            <w:tcW w:w="1110" w:type="dxa"/>
            <w:vMerge w:val="continue"/>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p>
        </w:tc>
        <w:tc>
          <w:tcPr>
            <w:tcW w:w="163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Arial" w:eastAsiaTheme="minorEastAsia"/>
                <w:color w:val="auto"/>
                <w:spacing w:val="0"/>
                <w:sz w:val="21"/>
                <w:szCs w:val="21"/>
                <w:lang w:eastAsia="zh-CN"/>
              </w:rPr>
            </w:pPr>
            <w:r>
              <w:rPr>
                <w:rFonts w:hint="eastAsia" w:ascii="Arial"/>
                <w:color w:val="auto"/>
                <w:spacing w:val="0"/>
                <w:sz w:val="21"/>
                <w:szCs w:val="21"/>
                <w:lang w:eastAsia="zh-CN"/>
              </w:rPr>
              <w:t>参赛（运动员、教练员）人数</w:t>
            </w: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eastAsiaTheme="minorEastAsia"/>
                <w:color w:val="auto"/>
                <w:spacing w:val="0"/>
                <w:sz w:val="21"/>
                <w:szCs w:val="21"/>
                <w:lang w:val="en-US" w:eastAsia="zh-CN"/>
              </w:rPr>
            </w:pPr>
            <w:r>
              <w:rPr>
                <w:rFonts w:hint="eastAsia" w:ascii="Arial"/>
                <w:color w:val="auto"/>
                <w:sz w:val="20"/>
              </w:rPr>
              <w:t>≥</w:t>
            </w:r>
            <w:r>
              <w:rPr>
                <w:rFonts w:hint="eastAsia" w:ascii="Arial"/>
                <w:color w:val="auto"/>
                <w:sz w:val="20"/>
                <w:lang w:val="en-US" w:eastAsia="zh-CN"/>
              </w:rPr>
              <w:t>160人</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eastAsiaTheme="minorEastAsia"/>
                <w:color w:val="auto"/>
                <w:spacing w:val="0"/>
                <w:sz w:val="21"/>
                <w:szCs w:val="21"/>
                <w:lang w:val="en-US" w:eastAsia="zh-CN"/>
              </w:rPr>
            </w:pPr>
            <w:r>
              <w:rPr>
                <w:rFonts w:hint="eastAsia" w:ascii="Arial"/>
                <w:color w:val="auto"/>
                <w:sz w:val="20"/>
              </w:rPr>
              <w:t>≥</w:t>
            </w:r>
            <w:r>
              <w:rPr>
                <w:rFonts w:hint="eastAsia" w:ascii="Arial"/>
                <w:color w:val="auto"/>
                <w:sz w:val="20"/>
                <w:lang w:val="en-US" w:eastAsia="zh-CN"/>
              </w:rPr>
              <w:t>160人</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color w:val="auto"/>
                <w:spacing w:val="0"/>
                <w:sz w:val="21"/>
                <w:szCs w:val="21"/>
                <w:lang w:val="en-US" w:eastAsia="zh-CN"/>
              </w:rPr>
            </w:pPr>
            <w:r>
              <w:rPr>
                <w:rFonts w:hint="eastAsia" w:ascii="Arial"/>
                <w:color w:val="auto"/>
                <w:spacing w:val="0"/>
                <w:sz w:val="21"/>
                <w:szCs w:val="21"/>
                <w:lang w:val="en-US" w:eastAsia="zh-CN"/>
              </w:rPr>
              <w:t>5</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leftChars="0" w:right="0" w:rightChars="0"/>
              <w:jc w:val="center"/>
              <w:textAlignment w:val="auto"/>
              <w:rPr>
                <w:rFonts w:hint="default" w:ascii="Arial"/>
                <w:color w:val="auto"/>
                <w:spacing w:val="0"/>
                <w:sz w:val="21"/>
                <w:szCs w:val="21"/>
                <w:lang w:val="en-US" w:eastAsia="zh-CN"/>
              </w:rPr>
            </w:pPr>
            <w:r>
              <w:rPr>
                <w:rFonts w:hint="eastAsia" w:ascii="Arial"/>
                <w:color w:val="auto"/>
                <w:spacing w:val="0"/>
                <w:sz w:val="21"/>
                <w:szCs w:val="21"/>
                <w:lang w:val="en-US" w:eastAsia="zh-CN"/>
              </w:rPr>
              <w:t>5</w:t>
            </w:r>
          </w:p>
        </w:tc>
        <w:tc>
          <w:tcPr>
            <w:tcW w:w="1365" w:type="dxa"/>
            <w:noWrap w:val="0"/>
            <w:vAlign w:val="center"/>
          </w:tcPr>
          <w:p>
            <w:pPr>
              <w:numPr>
                <w:ilvl w:val="0"/>
                <w:numId w:val="0"/>
              </w:numPr>
              <w:ind w:leftChars="0"/>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86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1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1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质量指标</w:t>
            </w:r>
          </w:p>
        </w:tc>
        <w:tc>
          <w:tcPr>
            <w:tcW w:w="16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z w:val="20"/>
                <w14:textFill>
                  <w14:solidFill>
                    <w14:schemeClr w14:val="tx1"/>
                  </w14:solidFill>
                </w14:textFill>
              </w:rPr>
              <w:t>各项任务完成率</w:t>
            </w: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z w:val="20"/>
                <w14:textFill>
                  <w14:solidFill>
                    <w14:schemeClr w14:val="tx1"/>
                  </w14:solidFill>
                </w14:textFill>
              </w:rPr>
              <w:t>≥95%</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z w:val="20"/>
                <w14:textFill>
                  <w14:solidFill>
                    <w14:schemeClr w14:val="tx1"/>
                  </w14:solidFill>
                </w14:textFill>
              </w:rPr>
              <w:t>95%</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86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1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1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时效指标</w:t>
            </w:r>
          </w:p>
        </w:tc>
        <w:tc>
          <w:tcPr>
            <w:tcW w:w="163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z w:val="20"/>
                <w14:textFill>
                  <w14:solidFill>
                    <w14:schemeClr w14:val="tx1"/>
                  </w14:solidFill>
                </w14:textFill>
              </w:rPr>
              <w:t>履职工作任务完成时间</w:t>
            </w:r>
          </w:p>
        </w:tc>
        <w:tc>
          <w:tcPr>
            <w:tcW w:w="875" w:type="dxa"/>
            <w:noWrap w:val="0"/>
            <w:vAlign w:val="center"/>
          </w:tcPr>
          <w:p>
            <w:pPr>
              <w:keepNext w:val="0"/>
              <w:keepLines w:val="0"/>
              <w:pageBreakBefore w:val="0"/>
              <w:widowControl w:val="0"/>
              <w:tabs>
                <w:tab w:val="left" w:pos="521"/>
              </w:tabs>
              <w:kinsoku/>
              <w:wordWrap/>
              <w:overflowPunct/>
              <w:topLinePunct w:val="0"/>
              <w:autoSpaceDE/>
              <w:autoSpaceDN/>
              <w:bidi w:val="0"/>
              <w:adjustRightInd/>
              <w:snapToGrid/>
              <w:spacing w:line="239" w:lineRule="exact"/>
              <w:ind w:left="0" w:leftChars="0" w:firstLine="200" w:firstLineChars="100"/>
              <w:jc w:val="left"/>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z w:val="20"/>
                <w:lang w:eastAsia="zh-CN"/>
                <w14:textFill>
                  <w14:solidFill>
                    <w14:schemeClr w14:val="tx1"/>
                  </w14:solidFill>
                </w14:textFill>
              </w:rPr>
              <w:t>2022/1</w:t>
            </w:r>
            <w:r>
              <w:rPr>
                <w:rFonts w:hint="eastAsia" w:ascii="Arial"/>
                <w:color w:val="000000" w:themeColor="text1"/>
                <w:sz w:val="20"/>
                <w:lang w:val="en-US" w:eastAsia="zh-CN"/>
                <w14:textFill>
                  <w14:solidFill>
                    <w14:schemeClr w14:val="tx1"/>
                  </w14:solidFill>
                </w14:textFill>
              </w:rPr>
              <w:t>1</w:t>
            </w:r>
            <w:r>
              <w:rPr>
                <w:rFonts w:hint="eastAsia" w:ascii="Arial"/>
                <w:color w:val="000000" w:themeColor="text1"/>
                <w:sz w:val="20"/>
                <w:lang w:eastAsia="zh-CN"/>
                <w14:textFill>
                  <w14:solidFill>
                    <w14:schemeClr w14:val="tx1"/>
                  </w14:solidFill>
                </w14:textFill>
              </w:rPr>
              <w:t>/1</w:t>
            </w:r>
          </w:p>
        </w:tc>
        <w:tc>
          <w:tcPr>
            <w:tcW w:w="1140" w:type="dxa"/>
            <w:noWrap w:val="0"/>
            <w:vAlign w:val="center"/>
          </w:tcPr>
          <w:p>
            <w:pPr>
              <w:keepNext w:val="0"/>
              <w:keepLines w:val="0"/>
              <w:pageBreakBefore w:val="0"/>
              <w:widowControl w:val="0"/>
              <w:tabs>
                <w:tab w:val="left" w:pos="521"/>
              </w:tabs>
              <w:kinsoku/>
              <w:wordWrap/>
              <w:overflowPunct/>
              <w:topLinePunct w:val="0"/>
              <w:autoSpaceDE/>
              <w:autoSpaceDN/>
              <w:bidi w:val="0"/>
              <w:adjustRightInd/>
              <w:snapToGrid/>
              <w:spacing w:line="239" w:lineRule="exact"/>
              <w:ind w:left="0" w:leftChars="0" w:firstLine="200" w:firstLineChars="100"/>
              <w:jc w:val="left"/>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z w:val="20"/>
                <w:lang w:eastAsia="zh-CN"/>
                <w14:textFill>
                  <w14:solidFill>
                    <w14:schemeClr w14:val="tx1"/>
                  </w14:solidFill>
                </w14:textFill>
              </w:rPr>
              <w:t>2022/1</w:t>
            </w:r>
            <w:r>
              <w:rPr>
                <w:rFonts w:hint="eastAsia" w:ascii="Arial"/>
                <w:color w:val="000000" w:themeColor="text1"/>
                <w:sz w:val="20"/>
                <w:lang w:val="en-US" w:eastAsia="zh-CN"/>
                <w14:textFill>
                  <w14:solidFill>
                    <w14:schemeClr w14:val="tx1"/>
                  </w14:solidFill>
                </w14:textFill>
              </w:rPr>
              <w:t>1</w:t>
            </w:r>
            <w:r>
              <w:rPr>
                <w:rFonts w:hint="eastAsia" w:ascii="Arial"/>
                <w:color w:val="000000" w:themeColor="text1"/>
                <w:sz w:val="20"/>
                <w:lang w:eastAsia="zh-CN"/>
                <w14:textFill>
                  <w14:solidFill>
                    <w14:schemeClr w14:val="tx1"/>
                  </w14:solidFill>
                </w14:textFill>
              </w:rPr>
              <w:t>/1</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86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1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1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成本指标</w:t>
            </w:r>
          </w:p>
        </w:tc>
        <w:tc>
          <w:tcPr>
            <w:tcW w:w="163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z w:val="20"/>
                <w:lang w:eastAsia="zh-CN"/>
                <w14:textFill>
                  <w14:solidFill>
                    <w14:schemeClr w14:val="tx1"/>
                  </w14:solidFill>
                </w14:textFill>
              </w:rPr>
              <w:t>成本节约</w:t>
            </w:r>
            <w:r>
              <w:rPr>
                <w:rFonts w:hint="eastAsia" w:ascii="Arial"/>
                <w:color w:val="000000" w:themeColor="text1"/>
                <w:sz w:val="20"/>
                <w14:textFill>
                  <w14:solidFill>
                    <w14:schemeClr w14:val="tx1"/>
                  </w14:solidFill>
                </w14:textFill>
              </w:rPr>
              <w:t>率</w:t>
            </w: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z w:val="20"/>
                <w14:textFill>
                  <w14:solidFill>
                    <w14:schemeClr w14:val="tx1"/>
                  </w14:solidFill>
                </w14:textFill>
              </w:rPr>
              <w:t>≥</w:t>
            </w:r>
            <w:r>
              <w:rPr>
                <w:rFonts w:hint="eastAsia" w:ascii="Arial"/>
                <w:color w:val="000000" w:themeColor="text1"/>
                <w:sz w:val="20"/>
                <w:lang w:val="en-US" w:eastAsia="zh-CN"/>
                <w14:textFill>
                  <w14:solidFill>
                    <w14:schemeClr w14:val="tx1"/>
                  </w14:solidFill>
                </w14:textFill>
              </w:rPr>
              <w:t>0</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86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1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9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1"/>
                <w:sz w:val="21"/>
                <w:szCs w:val="21"/>
                <w14:textFill>
                  <w14:solidFill>
                    <w14:schemeClr w14:val="tx1"/>
                  </w14:solidFill>
                </w14:textFill>
              </w:rPr>
              <w:t>效益指标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(30分)</w:t>
            </w:r>
          </w:p>
        </w:tc>
        <w:tc>
          <w:tcPr>
            <w:tcW w:w="111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4"/>
                <w:sz w:val="21"/>
                <w:szCs w:val="21"/>
                <w14:textFill>
                  <w14:solidFill>
                    <w14:schemeClr w14:val="tx1"/>
                  </w14:solidFill>
                </w14:textFill>
              </w:rPr>
              <w:t>经济效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63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86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1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1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社会效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6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z w:val="20"/>
                <w14:textFill>
                  <w14:solidFill>
                    <w14:schemeClr w14:val="tx1"/>
                  </w14:solidFill>
                </w14:textFill>
              </w:rPr>
              <w:t>展示我市城市形象，提升体育工作水平</w:t>
            </w: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z w:val="20"/>
                <w14:textFill>
                  <w14:solidFill>
                    <w14:schemeClr w14:val="tx1"/>
                  </w14:solidFill>
                </w14:textFill>
              </w:rPr>
              <w:t>提升</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z w:val="20"/>
                <w14:textFill>
                  <w14:solidFill>
                    <w14:schemeClr w14:val="tx1"/>
                  </w14:solidFill>
                </w14:textFill>
              </w:rPr>
              <w:t>提升</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15</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14</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86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1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1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3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生态效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63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86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1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1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可持续</w:t>
            </w:r>
          </w:p>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影响指标</w:t>
            </w:r>
          </w:p>
        </w:tc>
        <w:tc>
          <w:tcPr>
            <w:tcW w:w="16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z w:val="20"/>
                <w14:textFill>
                  <w14:solidFill>
                    <w14:schemeClr w14:val="tx1"/>
                  </w14:solidFill>
                </w14:textFill>
              </w:rPr>
            </w:pPr>
            <w:r>
              <w:rPr>
                <w:rFonts w:hint="eastAsia" w:ascii="Arial"/>
                <w:color w:val="000000" w:themeColor="text1"/>
                <w:sz w:val="20"/>
                <w:lang w:eastAsia="zh-CN"/>
                <w14:textFill>
                  <w14:solidFill>
                    <w14:schemeClr w14:val="tx1"/>
                  </w14:solidFill>
                </w14:textFill>
              </w:rPr>
              <w:t>持续推动</w:t>
            </w:r>
            <w:r>
              <w:rPr>
                <w:rFonts w:hint="eastAsia" w:ascii="Arial"/>
                <w:color w:val="000000" w:themeColor="text1"/>
                <w:sz w:val="20"/>
                <w14:textFill>
                  <w14:solidFill>
                    <w14:schemeClr w14:val="tx1"/>
                  </w14:solidFill>
                </w14:textFill>
              </w:rPr>
              <w:t>我区体育事业长足健康发展。</w:t>
            </w: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z w:val="20"/>
                <w14:textFill>
                  <w14:solidFill>
                    <w14:schemeClr w14:val="tx1"/>
                  </w14:solidFill>
                </w14:textFill>
              </w:rPr>
              <w:t>提升</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z w:val="20"/>
                <w14:textFill>
                  <w14:solidFill>
                    <w14:schemeClr w14:val="tx1"/>
                  </w14:solidFill>
                </w14:textFill>
              </w:rPr>
              <w:t>提升</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15</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14</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86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1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(10分)</w:t>
            </w:r>
          </w:p>
        </w:tc>
        <w:tc>
          <w:tcPr>
            <w:tcW w:w="111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服务对象</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tc>
        <w:tc>
          <w:tcPr>
            <w:tcW w:w="1635" w:type="dxa"/>
            <w:noWrap w:val="0"/>
            <w:vAlign w:val="center"/>
          </w:tcPr>
          <w:p>
            <w:pPr>
              <w:keepNext w:val="0"/>
              <w:keepLines w:val="0"/>
              <w:pageBreakBefore w:val="0"/>
              <w:widowControl w:val="0"/>
              <w:tabs>
                <w:tab w:val="left" w:pos="395"/>
              </w:tabs>
              <w:kinsoku/>
              <w:wordWrap/>
              <w:overflowPunct/>
              <w:topLinePunct w:val="0"/>
              <w:autoSpaceDE/>
              <w:autoSpaceDN/>
              <w:bidi w:val="0"/>
              <w:adjustRightInd/>
              <w:snapToGrid/>
              <w:ind w:left="0" w:leftChars="0"/>
              <w:jc w:val="left"/>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z w:val="21"/>
                <w:lang w:eastAsia="zh-CN"/>
                <w14:textFill>
                  <w14:solidFill>
                    <w14:schemeClr w14:val="tx1"/>
                  </w14:solidFill>
                </w14:textFill>
              </w:rPr>
              <w:tab/>
            </w:r>
            <w:r>
              <w:rPr>
                <w:rFonts w:hint="eastAsia" w:ascii="Arial"/>
                <w:color w:val="000000" w:themeColor="text1"/>
                <w:sz w:val="21"/>
                <w:lang w:eastAsia="zh-CN"/>
                <w14:textFill>
                  <w14:solidFill>
                    <w14:schemeClr w14:val="tx1"/>
                  </w14:solidFill>
                </w14:textFill>
              </w:rPr>
              <w:t>社会公众满意度</w:t>
            </w: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z w:val="20"/>
                <w14:textFill>
                  <w14:solidFill>
                    <w14:schemeClr w14:val="tx1"/>
                  </w14:solidFill>
                </w14:textFill>
              </w:rPr>
              <w:t>≥95%</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z w:val="20"/>
                <w14:textFill>
                  <w14:solidFill>
                    <w14:schemeClr w14:val="tx1"/>
                  </w14:solidFill>
                </w14:textFill>
              </w:rPr>
              <w:t>95%</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3145"/>
              <w:jc w:val="center"/>
              <w:textAlignment w:val="auto"/>
              <w:rPr>
                <w:rFonts w:hint="eastAsia" w:eastAsiaTheme="minorEastAsia"/>
                <w:color w:val="000000" w:themeColor="text1"/>
                <w:spacing w:val="0"/>
                <w:sz w:val="21"/>
                <w:szCs w:val="21"/>
                <w:lang w:eastAsia="zh-CN"/>
                <w14:textFill>
                  <w14:solidFill>
                    <w14:schemeClr w14:val="tx1"/>
                  </w14:solidFill>
                </w14:textFill>
              </w:rPr>
            </w:pPr>
            <w:r>
              <w:rPr>
                <w:rFonts w:hint="eastAsia"/>
                <w:color w:val="000000" w:themeColor="text1"/>
                <w:spacing w:val="0"/>
                <w:sz w:val="21"/>
                <w:szCs w:val="21"/>
                <w:lang w:eastAsia="zh-CN"/>
                <w14:textFill>
                  <w14:solidFill>
                    <w14:schemeClr w14:val="tx1"/>
                  </w14:solidFill>
                </w14:textFill>
              </w:rPr>
              <w:t>总分</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98</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bl>
    <w:p>
      <w:pPr>
        <w:spacing w:line="252" w:lineRule="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填表人：</w:t>
      </w:r>
      <w:r>
        <w:rPr>
          <w:rFonts w:hint="eastAsia" w:asciiTheme="majorEastAsia" w:hAnsiTheme="majorEastAsia" w:eastAsiaTheme="majorEastAsia" w:cstheme="majorEastAsia"/>
          <w:color w:val="000000" w:themeColor="text1"/>
          <w:spacing w:val="0"/>
          <w:position w:val="0"/>
          <w:sz w:val="23"/>
          <w:szCs w:val="23"/>
          <w:lang w:eastAsia="zh-CN"/>
          <w14:textFill>
            <w14:solidFill>
              <w14:schemeClr w14:val="tx1"/>
            </w14:solidFill>
          </w14:textFill>
        </w:rPr>
        <w:t>任雨鸿</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 xml:space="preserve"> 联系电话：</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13873081203</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 xml:space="preserve"> 单位负责人签字：</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刘满新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填报日期</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2023-6-2</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right="0" w:firstLine="800" w:firstLineChars="200"/>
        <w:jc w:val="both"/>
        <w:textAlignment w:val="auto"/>
        <w:rPr>
          <w:rFonts w:hint="eastAsia" w:ascii="仿宋" w:hAnsi="仿宋" w:eastAsia="仿宋" w:cs="Times New Roman"/>
          <w:kern w:val="2"/>
          <w:sz w:val="30"/>
          <w:szCs w:val="30"/>
          <w:lang w:val="en-US" w:eastAsia="zh-CN" w:bidi="ar-SA"/>
        </w:rPr>
      </w:pPr>
      <w:r>
        <w:rPr>
          <w:rFonts w:hint="eastAsia" w:ascii="方正大标宋简体" w:hAnsi="方正大标宋简体" w:eastAsia="方正大标宋简体" w:cs="方正大标宋简体"/>
          <w:i w:val="0"/>
          <w:color w:val="000000"/>
          <w:sz w:val="40"/>
          <w:szCs w:val="40"/>
          <w:u w:val="none"/>
          <w:lang w:eastAsia="zh-CN"/>
        </w:rPr>
        <w:t>参加省十四运会比赛</w:t>
      </w:r>
      <w:r>
        <w:rPr>
          <w:rFonts w:hint="eastAsia" w:ascii="方正大标宋简体" w:hAnsi="方正大标宋简体" w:eastAsia="方正大标宋简体" w:cs="方正大标宋简体"/>
          <w:i w:val="0"/>
          <w:color w:val="000000"/>
          <w:sz w:val="40"/>
          <w:szCs w:val="40"/>
          <w:u w:val="none"/>
        </w:rPr>
        <w:t>专项绩效</w:t>
      </w:r>
      <w:r>
        <w:rPr>
          <w:rFonts w:hint="eastAsia" w:ascii="方正大标宋简体" w:hAnsi="方正大标宋简体" w:eastAsia="方正大标宋简体" w:cs="方正大标宋简体"/>
          <w:i w:val="0"/>
          <w:color w:val="000000"/>
          <w:sz w:val="40"/>
          <w:szCs w:val="40"/>
          <w:u w:val="none"/>
          <w:lang w:val="en-US" w:eastAsia="zh-CN"/>
        </w:rPr>
        <w:t>自评报告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ind w:left="0" w:right="0" w:firstLine="602" w:firstLineChars="200"/>
        <w:jc w:val="both"/>
        <w:textAlignment w:val="auto"/>
        <w:rPr>
          <w:rFonts w:hint="eastAsia" w:ascii="仿宋" w:hAnsi="仿宋" w:eastAsia="仿宋" w:cs="Times New Roman"/>
          <w:b/>
          <w:bCs/>
          <w:kern w:val="2"/>
          <w:sz w:val="30"/>
          <w:szCs w:val="30"/>
          <w:lang w:val="en-US" w:eastAsia="zh-CN" w:bidi="ar-SA"/>
        </w:rPr>
      </w:pPr>
      <w:r>
        <w:rPr>
          <w:rFonts w:hint="eastAsia" w:ascii="仿宋" w:hAnsi="仿宋" w:eastAsia="仿宋" w:cs="Times New Roman"/>
          <w:b/>
          <w:bCs/>
          <w:kern w:val="2"/>
          <w:sz w:val="30"/>
          <w:szCs w:val="30"/>
          <w:lang w:val="en-US" w:eastAsia="zh-CN" w:bidi="ar-SA"/>
        </w:rPr>
        <w:t>一、项目概况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ind w:left="0" w:right="0" w:firstLine="600" w:firstLineChars="200"/>
        <w:jc w:val="both"/>
        <w:textAlignment w:val="auto"/>
        <w:rPr>
          <w:rFonts w:hint="eastAsia" w:ascii="仿宋" w:hAnsi="仿宋" w:eastAsia="仿宋" w:cs="Times New Roman"/>
          <w:b w:val="0"/>
          <w:bCs w:val="0"/>
          <w:kern w:val="2"/>
          <w:sz w:val="30"/>
          <w:szCs w:val="30"/>
          <w:lang w:val="en-US" w:eastAsia="zh-CN" w:bidi="ar-SA"/>
        </w:rPr>
      </w:pPr>
      <w:r>
        <w:rPr>
          <w:rFonts w:hint="eastAsia" w:ascii="仿宋" w:hAnsi="仿宋" w:eastAsia="仿宋" w:cs="Times New Roman"/>
          <w:b w:val="0"/>
          <w:bCs w:val="0"/>
          <w:kern w:val="2"/>
          <w:sz w:val="30"/>
          <w:szCs w:val="30"/>
          <w:lang w:val="en-US" w:eastAsia="zh-CN" w:bidi="ar-SA"/>
        </w:rPr>
        <w:t>（一）项目基本情况简介</w:t>
      </w:r>
    </w:p>
    <w:p>
      <w:pPr>
        <w:pStyle w:val="7"/>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left="420" w:leftChars="0" w:right="0" w:rightChars="0" w:firstLine="600" w:firstLineChars="200"/>
        <w:jc w:val="both"/>
        <w:rPr>
          <w:rFonts w:hint="eastAsia" w:ascii="仿宋_GB2312" w:hAnsi="仿宋_GB2312" w:eastAsia="仿宋_GB2312" w:cs="仿宋_GB2312"/>
          <w:sz w:val="32"/>
          <w:szCs w:val="32"/>
          <w:lang w:val="en-US" w:eastAsia="zh-CN"/>
        </w:rPr>
      </w:pPr>
      <w:r>
        <w:rPr>
          <w:rFonts w:hint="eastAsia" w:ascii="仿宋" w:hAnsi="仿宋" w:eastAsia="仿宋" w:cs="仿宋"/>
          <w:sz w:val="30"/>
          <w:szCs w:val="30"/>
          <w:lang w:val="en-US" w:eastAsia="zh-CN"/>
        </w:rPr>
        <w:t>为迎接湖南省十四届省运会</w:t>
      </w:r>
      <w:r>
        <w:rPr>
          <w:rFonts w:hint="eastAsia" w:ascii="仿宋" w:hAnsi="仿宋" w:eastAsia="仿宋" w:cs="仿宋"/>
          <w:bCs/>
          <w:sz w:val="30"/>
          <w:szCs w:val="30"/>
          <w:lang w:val="en-US" w:eastAsia="zh-CN"/>
        </w:rPr>
        <w:t>积极开展入校选材储备运动员，加强训练提高运动员的训练水平并</w:t>
      </w:r>
      <w:r>
        <w:rPr>
          <w:rFonts w:hint="eastAsia" w:ascii="仿宋" w:hAnsi="仿宋" w:eastAsia="仿宋" w:cs="仿宋"/>
          <w:sz w:val="30"/>
          <w:szCs w:val="30"/>
          <w:lang w:val="en-US" w:eastAsia="zh-CN"/>
        </w:rPr>
        <w:t>完成</w:t>
      </w:r>
      <w:r>
        <w:rPr>
          <w:rFonts w:hint="eastAsia" w:ascii="仿宋" w:hAnsi="仿宋" w:eastAsia="仿宋" w:cs="仿宋"/>
          <w:bCs/>
          <w:sz w:val="30"/>
          <w:szCs w:val="30"/>
          <w:lang w:val="en-US" w:eastAsia="zh-CN"/>
        </w:rPr>
        <w:t>参赛运动员的注册工作，努力完成</w:t>
      </w:r>
      <w:r>
        <w:rPr>
          <w:rFonts w:hint="eastAsia" w:ascii="仿宋" w:hAnsi="仿宋" w:eastAsia="仿宋" w:cs="仿宋"/>
          <w:sz w:val="30"/>
          <w:szCs w:val="30"/>
          <w:lang w:val="en-US" w:eastAsia="zh-CN"/>
        </w:rPr>
        <w:t>市政府下达给我区的</w:t>
      </w:r>
      <w:r>
        <w:rPr>
          <w:rFonts w:hint="eastAsia" w:ascii="仿宋" w:hAnsi="仿宋" w:eastAsia="仿宋" w:cs="仿宋"/>
          <w:bCs/>
          <w:sz w:val="30"/>
          <w:szCs w:val="30"/>
          <w:lang w:val="en-US" w:eastAsia="zh-CN"/>
        </w:rPr>
        <w:t>5块金牌总分150分</w:t>
      </w:r>
      <w:r>
        <w:rPr>
          <w:rFonts w:hint="eastAsia" w:ascii="仿宋" w:hAnsi="仿宋" w:eastAsia="仿宋" w:cs="仿宋"/>
          <w:sz w:val="30"/>
          <w:szCs w:val="30"/>
          <w:lang w:val="en-US" w:eastAsia="zh-CN"/>
        </w:rPr>
        <w:t>参赛夺牌任务。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ind w:left="0" w:right="0" w:firstLine="600" w:firstLineChars="200"/>
        <w:jc w:val="both"/>
        <w:textAlignment w:val="auto"/>
        <w:rPr>
          <w:rFonts w:hint="eastAsia" w:ascii="仿宋" w:hAnsi="仿宋" w:eastAsia="仿宋" w:cs="Times New Roman"/>
          <w:b w:val="0"/>
          <w:bCs w:val="0"/>
          <w:kern w:val="2"/>
          <w:sz w:val="30"/>
          <w:szCs w:val="30"/>
          <w:lang w:val="en-US" w:eastAsia="zh-CN" w:bidi="ar-SA"/>
        </w:rPr>
      </w:pPr>
      <w:r>
        <w:rPr>
          <w:rFonts w:hint="eastAsia" w:ascii="仿宋" w:hAnsi="仿宋" w:eastAsia="仿宋" w:cs="Times New Roman"/>
          <w:b w:val="0"/>
          <w:bCs w:val="0"/>
          <w:kern w:val="2"/>
          <w:sz w:val="30"/>
          <w:szCs w:val="30"/>
          <w:lang w:val="en-US" w:eastAsia="zh-CN" w:bidi="ar-SA"/>
        </w:rPr>
        <w:t>（二）项目绩效目标</w:t>
      </w:r>
    </w:p>
    <w:p>
      <w:pPr>
        <w:pStyle w:val="7"/>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right="0" w:rightChars="0" w:firstLine="600" w:firstLineChars="200"/>
        <w:jc w:val="both"/>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一是积极开展入校选材储备体操、蹦床、街舞、艺术体操、攀岩共150名以上运动员及聘请省级优秀教练员10人参加省运会。</w:t>
      </w:r>
    </w:p>
    <w:p>
      <w:pPr>
        <w:pStyle w:val="7"/>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right="0" w:rightChars="0" w:firstLine="600" w:firstLineChars="200"/>
        <w:jc w:val="both"/>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二是结合各项目参赛运动员的训练水平，聘请省级优秀教练员对优秀运动员、优势项目进行封闭式训练。完成参赛项目运动员的注册工作。</w:t>
      </w:r>
    </w:p>
    <w:p>
      <w:pPr>
        <w:pStyle w:val="7"/>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right="0" w:rightChars="0" w:firstLine="600" w:firstLineChars="200"/>
        <w:jc w:val="both"/>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三是完成省运会5块金牌总分150分的目标任务。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ind w:left="0" w:right="0" w:firstLine="602" w:firstLineChars="200"/>
        <w:jc w:val="both"/>
        <w:textAlignment w:val="auto"/>
        <w:rPr>
          <w:rFonts w:hint="default" w:ascii="仿宋" w:hAnsi="仿宋" w:eastAsia="仿宋" w:cs="Times New Roman"/>
          <w:b w:val="0"/>
          <w:bCs w:val="0"/>
          <w:kern w:val="2"/>
          <w:sz w:val="30"/>
          <w:szCs w:val="30"/>
          <w:lang w:val="en-US" w:eastAsia="zh-CN" w:bidi="ar-SA"/>
        </w:rPr>
      </w:pPr>
      <w:r>
        <w:rPr>
          <w:rFonts w:hint="default" w:ascii="仿宋" w:hAnsi="仿宋" w:eastAsia="仿宋" w:cs="Times New Roman"/>
          <w:b/>
          <w:bCs/>
          <w:kern w:val="2"/>
          <w:sz w:val="30"/>
          <w:szCs w:val="30"/>
          <w:lang w:val="en-US" w:eastAsia="zh-CN" w:bidi="ar-SA"/>
        </w:rPr>
        <w:t>二、绩效目标完成情况分析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ind w:left="0" w:right="0" w:firstLine="600" w:firstLineChars="200"/>
        <w:jc w:val="both"/>
        <w:textAlignment w:val="auto"/>
        <w:rPr>
          <w:rFonts w:hint="default" w:ascii="仿宋" w:hAnsi="仿宋" w:eastAsia="仿宋" w:cs="Times New Roman"/>
          <w:b w:val="0"/>
          <w:bCs w:val="0"/>
          <w:kern w:val="2"/>
          <w:sz w:val="30"/>
          <w:szCs w:val="30"/>
          <w:lang w:val="en-US" w:eastAsia="zh-CN" w:bidi="ar-SA"/>
        </w:rPr>
      </w:pPr>
      <w:r>
        <w:rPr>
          <w:rFonts w:hint="eastAsia" w:ascii="仿宋" w:hAnsi="仿宋" w:eastAsia="仿宋" w:cs="Times New Roman"/>
          <w:b w:val="0"/>
          <w:bCs w:val="0"/>
          <w:kern w:val="2"/>
          <w:sz w:val="30"/>
          <w:szCs w:val="30"/>
          <w:lang w:val="en-US" w:eastAsia="zh-CN" w:bidi="ar-SA"/>
        </w:rPr>
        <w:t>1</w:t>
      </w:r>
      <w:r>
        <w:rPr>
          <w:rFonts w:hint="default" w:ascii="仿宋" w:hAnsi="仿宋" w:eastAsia="仿宋" w:cs="Times New Roman"/>
          <w:b w:val="0"/>
          <w:bCs w:val="0"/>
          <w:kern w:val="2"/>
          <w:sz w:val="30"/>
          <w:szCs w:val="30"/>
          <w:lang w:val="en-US" w:eastAsia="zh-CN" w:bidi="ar-SA"/>
        </w:rPr>
        <w:t>.项目资金执行情况分析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ind w:left="0" w:right="0" w:firstLine="600" w:firstLineChars="200"/>
        <w:jc w:val="both"/>
        <w:textAlignment w:val="auto"/>
        <w:rPr>
          <w:rFonts w:hint="default" w:ascii="仿宋" w:hAnsi="仿宋" w:eastAsia="仿宋" w:cs="Times New Roman"/>
          <w:b w:val="0"/>
          <w:bCs w:val="0"/>
          <w:kern w:val="2"/>
          <w:sz w:val="30"/>
          <w:szCs w:val="30"/>
          <w:lang w:val="en-US" w:eastAsia="zh-CN" w:bidi="ar-SA"/>
        </w:rPr>
      </w:pPr>
      <w:r>
        <w:rPr>
          <w:rFonts w:hint="eastAsia" w:ascii="仿宋" w:hAnsi="仿宋" w:eastAsia="仿宋" w:cs="Times New Roman"/>
          <w:b w:val="0"/>
          <w:bCs w:val="0"/>
          <w:kern w:val="2"/>
          <w:sz w:val="30"/>
          <w:szCs w:val="30"/>
          <w:lang w:val="en-US" w:eastAsia="zh-CN" w:bidi="ar-SA"/>
        </w:rPr>
        <w:t>该项目资金使用严格按审批程序办理，操作规范、会计审核结果真实、准确，主要用于备战省运会6项比赛训练费支出166.48万元；训练装备支出8.72万元；训练基地建设维护费支出55.11万元。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ind w:left="0" w:right="0" w:firstLine="600" w:firstLineChars="200"/>
        <w:jc w:val="both"/>
        <w:textAlignment w:val="auto"/>
        <w:rPr>
          <w:rFonts w:hint="default" w:ascii="仿宋" w:hAnsi="仿宋" w:eastAsia="仿宋" w:cs="Times New Roman"/>
          <w:b w:val="0"/>
          <w:bCs w:val="0"/>
          <w:kern w:val="2"/>
          <w:sz w:val="30"/>
          <w:szCs w:val="30"/>
          <w:lang w:val="en-US" w:eastAsia="zh-CN" w:bidi="ar-SA"/>
        </w:rPr>
      </w:pPr>
      <w:r>
        <w:rPr>
          <w:rFonts w:hint="eastAsia" w:ascii="仿宋" w:hAnsi="仿宋" w:eastAsia="仿宋" w:cs="Times New Roman"/>
          <w:b w:val="0"/>
          <w:bCs w:val="0"/>
          <w:kern w:val="2"/>
          <w:sz w:val="30"/>
          <w:szCs w:val="30"/>
          <w:lang w:val="en-US" w:eastAsia="zh-CN" w:bidi="ar-SA"/>
        </w:rPr>
        <w:t>2</w:t>
      </w:r>
      <w:r>
        <w:rPr>
          <w:rFonts w:hint="default" w:ascii="仿宋" w:hAnsi="仿宋" w:eastAsia="仿宋" w:cs="Times New Roman"/>
          <w:b w:val="0"/>
          <w:bCs w:val="0"/>
          <w:kern w:val="2"/>
          <w:sz w:val="30"/>
          <w:szCs w:val="30"/>
          <w:lang w:val="en-US" w:eastAsia="zh-CN" w:bidi="ar-SA"/>
        </w:rPr>
        <w:t>.项目资金管理情况分析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ind w:left="0" w:right="0" w:firstLine="600" w:firstLineChars="200"/>
        <w:jc w:val="both"/>
        <w:textAlignment w:val="auto"/>
        <w:rPr>
          <w:rFonts w:hint="eastAsia" w:ascii="仿宋" w:hAnsi="仿宋" w:eastAsia="仿宋" w:cs="Times New Roman"/>
          <w:b w:val="0"/>
          <w:bCs w:val="0"/>
          <w:kern w:val="2"/>
          <w:sz w:val="30"/>
          <w:szCs w:val="30"/>
          <w:lang w:val="en-US" w:eastAsia="zh-CN" w:bidi="ar-SA"/>
        </w:rPr>
      </w:pPr>
      <w:r>
        <w:rPr>
          <w:rFonts w:hint="eastAsia" w:ascii="仿宋" w:hAnsi="仿宋" w:eastAsia="仿宋" w:cs="Times New Roman"/>
          <w:b w:val="0"/>
          <w:bCs w:val="0"/>
          <w:kern w:val="2"/>
          <w:sz w:val="30"/>
          <w:szCs w:val="30"/>
          <w:lang w:val="en-US" w:eastAsia="zh-CN" w:bidi="ar-SA"/>
        </w:rPr>
        <w:t>此项目严格按照专项资金的用途和范围，专款专用，真实、有效、合法的实际开支凭证，严格审批予以支付报销，充分保障资金安全运行，发挥资金的使用效益。</w:t>
      </w:r>
      <w:r>
        <w:rPr>
          <w:rFonts w:hint="default" w:ascii="仿宋" w:hAnsi="仿宋" w:eastAsia="仿宋" w:cs="Times New Roman"/>
          <w:b w:val="0"/>
          <w:bCs w:val="0"/>
          <w:kern w:val="2"/>
          <w:sz w:val="30"/>
          <w:szCs w:val="30"/>
          <w:lang w:val="en-US" w:eastAsia="zh-CN" w:bidi="ar-SA"/>
        </w:rPr>
        <w:t>总体资金执行率</w:t>
      </w:r>
      <w:r>
        <w:rPr>
          <w:rFonts w:hint="eastAsia" w:ascii="仿宋" w:hAnsi="仿宋" w:eastAsia="仿宋" w:cs="Times New Roman"/>
          <w:b w:val="0"/>
          <w:bCs w:val="0"/>
          <w:kern w:val="2"/>
          <w:sz w:val="30"/>
          <w:szCs w:val="30"/>
          <w:lang w:val="en-US" w:eastAsia="zh-CN" w:bidi="ar-SA"/>
        </w:rPr>
        <w:t>达到100</w:t>
      </w:r>
      <w:r>
        <w:rPr>
          <w:rFonts w:hint="default" w:ascii="仿宋" w:hAnsi="仿宋" w:eastAsia="仿宋" w:cs="Times New Roman"/>
          <w:b w:val="0"/>
          <w:bCs w:val="0"/>
          <w:kern w:val="2"/>
          <w:sz w:val="30"/>
          <w:szCs w:val="30"/>
          <w:lang w:val="en-US" w:eastAsia="zh-CN" w:bidi="ar-SA"/>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ind w:left="0" w:right="0" w:firstLine="602" w:firstLineChars="200"/>
        <w:jc w:val="both"/>
        <w:textAlignment w:val="auto"/>
        <w:rPr>
          <w:rFonts w:hint="default" w:ascii="仿宋" w:hAnsi="仿宋" w:eastAsia="仿宋" w:cs="Times New Roman"/>
          <w:b/>
          <w:bCs/>
          <w:kern w:val="2"/>
          <w:sz w:val="30"/>
          <w:szCs w:val="30"/>
          <w:lang w:val="en-US" w:eastAsia="zh-CN" w:bidi="ar-SA"/>
        </w:rPr>
      </w:pPr>
      <w:r>
        <w:rPr>
          <w:rFonts w:hint="eastAsia" w:ascii="仿宋" w:hAnsi="仿宋" w:eastAsia="仿宋" w:cs="Times New Roman"/>
          <w:b/>
          <w:bCs/>
          <w:kern w:val="2"/>
          <w:sz w:val="30"/>
          <w:szCs w:val="30"/>
          <w:lang w:val="en-US" w:eastAsia="zh-CN" w:bidi="ar-SA"/>
        </w:rPr>
        <w:t>三、</w:t>
      </w:r>
      <w:r>
        <w:rPr>
          <w:rFonts w:hint="default" w:ascii="仿宋" w:hAnsi="仿宋" w:eastAsia="仿宋" w:cs="Times New Roman"/>
          <w:b/>
          <w:bCs/>
          <w:kern w:val="2"/>
          <w:sz w:val="30"/>
          <w:szCs w:val="30"/>
          <w:lang w:val="en-US" w:eastAsia="zh-CN" w:bidi="ar-SA"/>
        </w:rPr>
        <w:t>总体绩效目标完成情况分析</w:t>
      </w:r>
    </w:p>
    <w:p>
      <w:pPr>
        <w:pStyle w:val="7"/>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right="0" w:rightChars="0" w:firstLine="600" w:firstLineChars="200"/>
        <w:jc w:val="both"/>
        <w:rPr>
          <w:rFonts w:hint="eastAsia" w:ascii="仿宋" w:hAnsi="仿宋" w:eastAsia="仿宋" w:cs="Times New Roman"/>
          <w:b w:val="0"/>
          <w:bCs w:val="0"/>
          <w:kern w:val="2"/>
          <w:sz w:val="30"/>
          <w:szCs w:val="30"/>
          <w:lang w:val="en-US" w:eastAsia="zh-CN" w:bidi="ar-SA"/>
        </w:rPr>
      </w:pPr>
      <w:r>
        <w:rPr>
          <w:rFonts w:hint="eastAsia" w:ascii="仿宋" w:hAnsi="仿宋" w:eastAsia="仿宋" w:cs="Times New Roman"/>
          <w:b w:val="0"/>
          <w:bCs w:val="0"/>
          <w:kern w:val="2"/>
          <w:sz w:val="30"/>
          <w:szCs w:val="30"/>
          <w:lang w:val="en-US" w:eastAsia="zh-CN" w:bidi="ar-SA"/>
        </w:rPr>
        <w:t>本项目我单位组织实施，分管副局长韩宏为项目负责人，主要负责项目的实施和监督，通过对此项目的开展，</w:t>
      </w:r>
      <w:r>
        <w:rPr>
          <w:rFonts w:hint="eastAsia" w:ascii="仿宋" w:hAnsi="仿宋" w:eastAsia="仿宋" w:cs="仿宋"/>
          <w:bCs/>
          <w:sz w:val="30"/>
          <w:szCs w:val="30"/>
          <w:lang w:val="en-US" w:eastAsia="zh-CN"/>
        </w:rPr>
        <w:t>一是按年初计划，积极对接区教育局于2月底至3月初在楼区幼儿园及小学开展入校选材储备运动员；3月12日在市教体局的大力支持下，邀请省体操运动学校专业教练在岳阳楼体操训练基地开展了2022年春季湖南省街舞、体操后备人才选材暨楼区后备人才输送活动。本次活动共有165名选手参加省运会。二是结合各项目参赛运动员的训练水平，协助配合岳阳狼族户外文化传播有限公司、奥冠体育学校、越洋俱乐部制定攀岩、体操、艺体、街舞、蹦床项目可行性日常训练计划，并由区业余体校全程监督落实。聘请省级优秀教练员对优秀运动员、优势项目进行封闭式训练。按市教体局相关文件规定完成了参赛项目运动员的注册工作。三是超额完成省运会各项目标任务。我中心组队参赛的体操、艺术体操、蹦床、街舞和攀岩项目创省运会参赛获奖历史记录，共计获得11块金牌、6块银牌、7块铜牌，累计总分408分，其中蹦床项目获得2金3银2铜，2个第四，1个第八；艺术体操项目获得3金2银，1个第四；体操项目获得1金3铜，1个第四，2个第五，2个第六， 2个第七，2个第八；街舞项目获得3金2铜，1个第四，1个第五；攀岩项目获得2金1银，2个第六，1个第七。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ind w:left="0" w:right="0" w:firstLine="602" w:firstLineChars="200"/>
        <w:jc w:val="both"/>
        <w:textAlignment w:val="auto"/>
        <w:rPr>
          <w:rFonts w:hint="eastAsia" w:ascii="仿宋" w:hAnsi="仿宋" w:eastAsia="仿宋" w:cs="Times New Roman"/>
          <w:b/>
          <w:bCs/>
          <w:kern w:val="2"/>
          <w:sz w:val="30"/>
          <w:szCs w:val="30"/>
          <w:lang w:val="en-US" w:eastAsia="zh-CN" w:bidi="ar-SA"/>
        </w:rPr>
      </w:pPr>
      <w:r>
        <w:rPr>
          <w:rFonts w:hint="eastAsia" w:ascii="仿宋" w:hAnsi="仿宋" w:eastAsia="仿宋" w:cs="Times New Roman"/>
          <w:b/>
          <w:bCs/>
          <w:kern w:val="2"/>
          <w:sz w:val="30"/>
          <w:szCs w:val="30"/>
          <w:lang w:val="en-US" w:eastAsia="zh-CN" w:bidi="ar-SA"/>
        </w:rPr>
        <w:t>四、评价结果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ind w:left="0" w:right="0" w:firstLine="600" w:firstLineChars="200"/>
        <w:jc w:val="both"/>
        <w:textAlignment w:val="auto"/>
        <w:rPr>
          <w:rFonts w:hint="eastAsia" w:ascii="仿宋" w:hAnsi="仿宋" w:eastAsia="仿宋" w:cs="Times New Roman"/>
          <w:b w:val="0"/>
          <w:bCs w:val="0"/>
          <w:kern w:val="2"/>
          <w:sz w:val="30"/>
          <w:szCs w:val="30"/>
          <w:lang w:val="en-US" w:eastAsia="zh-CN" w:bidi="ar-SA"/>
        </w:rPr>
      </w:pPr>
      <w:r>
        <w:rPr>
          <w:rFonts w:hint="eastAsia" w:ascii="仿宋" w:hAnsi="仿宋" w:eastAsia="仿宋" w:cs="Times New Roman"/>
          <w:b w:val="0"/>
          <w:bCs w:val="0"/>
          <w:kern w:val="2"/>
          <w:sz w:val="30"/>
          <w:szCs w:val="30"/>
          <w:lang w:val="en-US" w:eastAsia="zh-CN" w:bidi="ar-SA"/>
        </w:rPr>
        <w:t>本项目严格按照规定的程序申请设立，符合国家相关法律法规、国民经济发展规划和党委政府决策，在项目使用管理过程中严格按照规定使用要求，专款专用，没有截留、挤占、挪用现象，确保资金落实到位，切实提高了资金的使用效益，对项目完成进度、阶段性目标完成情况、项目效益与预期目标偏差情况等进行阶段性跟踪和控制，自评分98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ind w:left="0" w:right="0" w:firstLine="602" w:firstLineChars="200"/>
        <w:jc w:val="both"/>
        <w:textAlignment w:val="auto"/>
        <w:rPr>
          <w:rFonts w:hint="eastAsia" w:ascii="仿宋" w:hAnsi="仿宋" w:eastAsia="仿宋" w:cs="Times New Roman"/>
          <w:b/>
          <w:bCs/>
          <w:kern w:val="2"/>
          <w:sz w:val="30"/>
          <w:szCs w:val="30"/>
          <w:lang w:val="en-US" w:eastAsia="zh-CN" w:bidi="ar-SA"/>
        </w:rPr>
      </w:pPr>
      <w:r>
        <w:rPr>
          <w:rFonts w:hint="eastAsia" w:ascii="仿宋" w:hAnsi="仿宋" w:eastAsia="仿宋" w:cs="Times New Roman"/>
          <w:b/>
          <w:bCs/>
          <w:kern w:val="2"/>
          <w:sz w:val="30"/>
          <w:szCs w:val="30"/>
          <w:lang w:val="en-US" w:eastAsia="zh-CN" w:bidi="ar-SA"/>
        </w:rPr>
        <w:t>五、存在的问题和建议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ind w:left="0" w:right="0" w:firstLine="600" w:firstLineChars="200"/>
        <w:jc w:val="both"/>
        <w:textAlignment w:val="auto"/>
        <w:rPr>
          <w:rFonts w:hint="default" w:ascii="仿宋" w:hAnsi="仿宋" w:eastAsia="仿宋" w:cs="Times New Roman"/>
          <w:b w:val="0"/>
          <w:bCs w:val="0"/>
          <w:kern w:val="2"/>
          <w:sz w:val="30"/>
          <w:szCs w:val="30"/>
          <w:lang w:val="en-US" w:eastAsia="zh-CN" w:bidi="ar-SA"/>
        </w:rPr>
      </w:pPr>
      <w:r>
        <w:rPr>
          <w:rFonts w:hint="eastAsia" w:ascii="仿宋" w:hAnsi="仿宋" w:eastAsia="仿宋" w:cs="Times New Roman"/>
          <w:b w:val="0"/>
          <w:bCs w:val="0"/>
          <w:kern w:val="2"/>
          <w:sz w:val="30"/>
          <w:szCs w:val="30"/>
          <w:lang w:val="en-US" w:eastAsia="zh-CN" w:bidi="ar-SA"/>
        </w:rPr>
        <w:t>一是专项资金使用的监管力度不够。二是监管制度不具体。针对存在的问题，要认真分析原因，加强各项制度建设和工作力度，做好资金的专项检查，做到事前评估、事中监督、事后检查验收，继续加大绩效评价工作力度，健全绩效评价结果反馈和应用机制确保资金不折不扣地用到实处。</w:t>
      </w:r>
      <w:bookmarkStart w:id="0" w:name="_GoBack"/>
      <w:bookmarkEnd w:id="0"/>
    </w:p>
    <w:p>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FF0000"/>
          <w:spacing w:val="10"/>
          <w:sz w:val="32"/>
          <w:szCs w:val="32"/>
          <w:lang w:val="en-US" w:eastAsia="zh-CN"/>
        </w:rPr>
      </w:pPr>
    </w:p>
    <w:p>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val="en-US" w:eastAsia="zh-CN"/>
        </w:rPr>
        <w:t>附件5</w:t>
      </w:r>
    </w:p>
    <w:p>
      <w:pPr>
        <w:shd w:val="clear"/>
        <w:ind w:firstLine="1440" w:firstLineChars="400"/>
        <w:jc w:val="both"/>
        <w:rPr>
          <w:rFonts w:hint="eastAsia" w:ascii="Calibri" w:hAnsi="Calibri" w:eastAsia="方正小标宋简体" w:cs="Times New Roman"/>
          <w:sz w:val="36"/>
          <w:szCs w:val="36"/>
          <w:lang w:eastAsia="zh-CN"/>
        </w:rPr>
      </w:pPr>
    </w:p>
    <w:p>
      <w:pPr>
        <w:ind w:firstLine="1440" w:firstLineChars="400"/>
        <w:jc w:val="both"/>
        <w:rPr>
          <w:rFonts w:ascii="Calibri" w:hAnsi="Calibri" w:eastAsia="方正小标宋简体" w:cs="Times New Roman"/>
          <w:spacing w:val="-6"/>
          <w:sz w:val="36"/>
          <w:szCs w:val="36"/>
        </w:rPr>
      </w:pPr>
      <w:r>
        <w:rPr>
          <w:rFonts w:hint="eastAsia" w:ascii="Calibri" w:hAnsi="Calibri" w:eastAsia="方正小标宋简体" w:cs="Times New Roman"/>
          <w:sz w:val="36"/>
          <w:szCs w:val="36"/>
          <w:lang w:eastAsia="zh-CN"/>
        </w:rPr>
        <w:t>区级</w:t>
      </w:r>
      <w:r>
        <w:rPr>
          <w:rFonts w:ascii="Calibri" w:hAnsi="Calibri" w:eastAsia="方正小标宋简体" w:cs="Times New Roman"/>
          <w:sz w:val="36"/>
          <w:szCs w:val="36"/>
        </w:rPr>
        <w:t>预算</w:t>
      </w:r>
      <w:r>
        <w:rPr>
          <w:rFonts w:hint="eastAsia" w:ascii="Calibri" w:hAnsi="Calibri" w:eastAsia="方正小标宋简体" w:cs="Times New Roman"/>
          <w:sz w:val="36"/>
          <w:szCs w:val="36"/>
          <w:lang w:eastAsia="zh-CN"/>
        </w:rPr>
        <w:t>单位</w:t>
      </w:r>
      <w:r>
        <w:rPr>
          <w:rFonts w:ascii="Calibri" w:hAnsi="Calibri" w:eastAsia="方正小标宋简体" w:cs="Times New Roman"/>
          <w:spacing w:val="-6"/>
          <w:sz w:val="36"/>
          <w:szCs w:val="36"/>
        </w:rPr>
        <w:t>绩效自评工作考核评分表</w:t>
      </w:r>
    </w:p>
    <w:tbl>
      <w:tblPr>
        <w:tblStyle w:val="8"/>
        <w:tblW w:w="9510" w:type="dxa"/>
        <w:jc w:val="center"/>
        <w:tblLayout w:type="fixed"/>
        <w:tblCellMar>
          <w:top w:w="0" w:type="dxa"/>
          <w:left w:w="108" w:type="dxa"/>
          <w:bottom w:w="0" w:type="dxa"/>
          <w:right w:w="108" w:type="dxa"/>
        </w:tblCellMar>
      </w:tblPr>
      <w:tblGrid>
        <w:gridCol w:w="774"/>
        <w:gridCol w:w="1501"/>
        <w:gridCol w:w="6482"/>
        <w:gridCol w:w="753"/>
      </w:tblGrid>
      <w:tr>
        <w:tblPrEx>
          <w:tblCellMar>
            <w:top w:w="0" w:type="dxa"/>
            <w:left w:w="108" w:type="dxa"/>
            <w:bottom w:w="0" w:type="dxa"/>
            <w:right w:w="108" w:type="dxa"/>
          </w:tblCellMar>
        </w:tblPrEx>
        <w:trPr>
          <w:trHeight w:val="630" w:hRule="atLeast"/>
          <w:tblHeader/>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eastAsia="黑体" w:cs="Times New Roman"/>
                <w:szCs w:val="21"/>
              </w:rPr>
            </w:pPr>
            <w:r>
              <w:rPr>
                <w:rFonts w:ascii="Calibri" w:hAnsi="Calibri" w:eastAsia="黑体" w:cs="Times New Roman"/>
                <w:szCs w:val="21"/>
              </w:rPr>
              <w:t>一级指标</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Calibri" w:hAnsi="Calibri" w:eastAsia="黑体" w:cs="Times New Roman"/>
                <w:szCs w:val="21"/>
              </w:rPr>
            </w:pPr>
            <w:r>
              <w:rPr>
                <w:rFonts w:ascii="Calibri" w:hAnsi="Calibri" w:eastAsia="黑体" w:cs="Times New Roman"/>
                <w:szCs w:val="21"/>
              </w:rPr>
              <w:t>二级指标</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Calibri" w:hAnsi="Calibri" w:eastAsia="黑体" w:cs="Times New Roman"/>
                <w:szCs w:val="21"/>
              </w:rPr>
            </w:pPr>
            <w:r>
              <w:rPr>
                <w:rFonts w:ascii="Calibri" w:hAnsi="Calibri" w:eastAsia="黑体" w:cs="Times New Roman"/>
                <w:szCs w:val="21"/>
              </w:rPr>
              <w:t>评分标准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Calibri" w:hAnsi="Calibri" w:eastAsia="黑体" w:cs="Times New Roman"/>
                <w:szCs w:val="21"/>
              </w:rPr>
            </w:pPr>
            <w:r>
              <w:rPr>
                <w:rFonts w:ascii="Calibri" w:hAnsi="Calibri" w:eastAsia="黑体" w:cs="Times New Roman"/>
                <w:szCs w:val="21"/>
              </w:rPr>
              <w:t>评分</w:t>
            </w:r>
          </w:p>
        </w:tc>
      </w:tr>
      <w:tr>
        <w:tblPrEx>
          <w:tblCellMar>
            <w:top w:w="0" w:type="dxa"/>
            <w:left w:w="108" w:type="dxa"/>
            <w:bottom w:w="0" w:type="dxa"/>
            <w:right w:w="108" w:type="dxa"/>
          </w:tblCellMar>
        </w:tblPrEx>
        <w:trPr>
          <w:trHeight w:val="1234"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zCs w:val="21"/>
              </w:rPr>
            </w:pPr>
            <w:r>
              <w:rPr>
                <w:rFonts w:hint="eastAsia" w:ascii="宋体" w:hAnsi="宋体" w:eastAsia="宋体" w:cs="宋体"/>
                <w:szCs w:val="21"/>
              </w:rPr>
              <w:t>实施评价</w:t>
            </w:r>
          </w:p>
          <w:p>
            <w:pPr>
              <w:spacing w:line="320" w:lineRule="exact"/>
              <w:jc w:val="center"/>
              <w:rPr>
                <w:rFonts w:hint="eastAsia" w:ascii="宋体" w:hAnsi="宋体" w:eastAsia="宋体" w:cs="宋体"/>
                <w:szCs w:val="21"/>
              </w:rPr>
            </w:pPr>
          </w:p>
          <w:p>
            <w:pPr>
              <w:spacing w:line="320" w:lineRule="exact"/>
              <w:jc w:val="center"/>
              <w:rPr>
                <w:rFonts w:hint="eastAsia" w:ascii="宋体" w:hAnsi="宋体" w:eastAsia="宋体" w:cs="宋体"/>
                <w:szCs w:val="21"/>
              </w:rPr>
            </w:pPr>
            <w:r>
              <w:rPr>
                <w:rFonts w:hint="eastAsia" w:ascii="宋体" w:hAnsi="宋体" w:eastAsia="宋体" w:cs="宋体"/>
                <w:szCs w:val="21"/>
              </w:rPr>
              <w:t>30分</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单位自查</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（20分）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0" w:firstLineChars="100"/>
              <w:rPr>
                <w:rFonts w:hint="eastAsia" w:ascii="宋体" w:hAnsi="宋体" w:eastAsia="宋体" w:cs="宋体"/>
                <w:sz w:val="21"/>
                <w:szCs w:val="21"/>
              </w:rPr>
            </w:pPr>
            <w:r>
              <w:rPr>
                <w:rFonts w:hint="eastAsia" w:ascii="宋体" w:hAnsi="宋体" w:eastAsia="宋体" w:cs="宋体"/>
                <w:sz w:val="21"/>
                <w:szCs w:val="21"/>
                <w:lang w:eastAsia="zh-CN"/>
              </w:rPr>
              <w:t>区</w:t>
            </w:r>
            <w:r>
              <w:rPr>
                <w:rFonts w:hint="eastAsia" w:ascii="宋体" w:hAnsi="宋体" w:eastAsia="宋体" w:cs="宋体"/>
                <w:sz w:val="21"/>
                <w:szCs w:val="21"/>
              </w:rPr>
              <w:t>级预算单位都要开展绩效自查，转移支付项目单位都要开展绩效自查，区级主管部门都要汇总本区域转移支付情况；以上各项每发现一个单位没有做相应工作的，扣1分，最多扣20分。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20</w:t>
            </w:r>
          </w:p>
        </w:tc>
      </w:tr>
      <w:tr>
        <w:tblPrEx>
          <w:tblCellMar>
            <w:top w:w="0" w:type="dxa"/>
            <w:left w:w="108" w:type="dxa"/>
            <w:bottom w:w="0" w:type="dxa"/>
            <w:right w:w="108" w:type="dxa"/>
          </w:tblCellMar>
        </w:tblPrEx>
        <w:trPr>
          <w:trHeight w:val="682"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Cs w:val="21"/>
              </w:rPr>
            </w:pPr>
          </w:p>
        </w:tc>
        <w:tc>
          <w:tcPr>
            <w:tcW w:w="1501"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提交报告</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（10分）</w:t>
            </w:r>
          </w:p>
        </w:tc>
        <w:tc>
          <w:tcPr>
            <w:tcW w:w="6482" w:type="dxa"/>
            <w:tcBorders>
              <w:top w:val="nil"/>
              <w:left w:val="nil"/>
              <w:bottom w:val="single" w:color="auto" w:sz="4" w:space="0"/>
              <w:right w:val="single" w:color="auto" w:sz="4" w:space="0"/>
            </w:tcBorders>
            <w:noWrap w:val="0"/>
            <w:vAlign w:val="center"/>
          </w:tcPr>
          <w:p>
            <w:pPr>
              <w:spacing w:line="240" w:lineRule="exact"/>
              <w:ind w:firstLine="210" w:firstLineChars="100"/>
              <w:rPr>
                <w:rFonts w:hint="eastAsia" w:ascii="宋体" w:hAnsi="宋体" w:eastAsia="宋体" w:cs="宋体"/>
                <w:sz w:val="21"/>
                <w:szCs w:val="21"/>
              </w:rPr>
            </w:pPr>
            <w:r>
              <w:rPr>
                <w:rFonts w:hint="eastAsia" w:ascii="宋体" w:hAnsi="宋体" w:eastAsia="宋体" w:cs="宋体"/>
                <w:sz w:val="21"/>
                <w:szCs w:val="21"/>
              </w:rPr>
              <w:t>按时向</w:t>
            </w:r>
            <w:r>
              <w:rPr>
                <w:rFonts w:hint="eastAsia" w:ascii="宋体" w:hAnsi="宋体" w:eastAsia="宋体" w:cs="宋体"/>
                <w:sz w:val="21"/>
                <w:szCs w:val="21"/>
                <w:lang w:eastAsia="zh-CN"/>
              </w:rPr>
              <w:t>区</w:t>
            </w:r>
            <w:r>
              <w:rPr>
                <w:rFonts w:hint="eastAsia" w:ascii="宋体" w:hAnsi="宋体" w:eastAsia="宋体" w:cs="宋体"/>
                <w:sz w:val="21"/>
                <w:szCs w:val="21"/>
              </w:rPr>
              <w:t>财政局报送报告的得10分；每推迟一天报送报告的扣1分，最多扣10分。</w:t>
            </w:r>
          </w:p>
        </w:tc>
        <w:tc>
          <w:tcPr>
            <w:tcW w:w="753" w:type="dxa"/>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10</w:t>
            </w:r>
          </w:p>
        </w:tc>
      </w:tr>
      <w:tr>
        <w:tblPrEx>
          <w:tblCellMar>
            <w:top w:w="0" w:type="dxa"/>
            <w:left w:w="108" w:type="dxa"/>
            <w:bottom w:w="0" w:type="dxa"/>
            <w:right w:w="108" w:type="dxa"/>
          </w:tblCellMar>
        </w:tblPrEx>
        <w:trPr>
          <w:trHeight w:val="1408"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Cs w:val="21"/>
              </w:rPr>
            </w:pPr>
            <w:r>
              <w:rPr>
                <w:rFonts w:hint="eastAsia" w:ascii="宋体" w:hAnsi="宋体" w:eastAsia="宋体" w:cs="宋体"/>
                <w:szCs w:val="21"/>
              </w:rPr>
              <w:t>自评报告</w:t>
            </w:r>
          </w:p>
          <w:p>
            <w:pPr>
              <w:spacing w:line="240" w:lineRule="exact"/>
              <w:jc w:val="center"/>
              <w:rPr>
                <w:rFonts w:hint="eastAsia" w:ascii="宋体" w:hAnsi="宋体" w:eastAsia="宋体" w:cs="宋体"/>
                <w:szCs w:val="21"/>
              </w:rPr>
            </w:pPr>
          </w:p>
          <w:p>
            <w:pPr>
              <w:spacing w:line="240" w:lineRule="exact"/>
              <w:jc w:val="center"/>
              <w:rPr>
                <w:rFonts w:hint="eastAsia" w:ascii="宋体" w:hAnsi="宋体" w:eastAsia="宋体" w:cs="宋体"/>
                <w:szCs w:val="21"/>
              </w:rPr>
            </w:pPr>
            <w:r>
              <w:rPr>
                <w:rFonts w:hint="eastAsia" w:ascii="宋体" w:hAnsi="宋体" w:eastAsia="宋体" w:cs="宋体"/>
                <w:szCs w:val="21"/>
                <w:lang w:val="en-US" w:eastAsia="zh-CN"/>
              </w:rPr>
              <w:t>70</w:t>
            </w:r>
            <w:r>
              <w:rPr>
                <w:rFonts w:hint="eastAsia" w:ascii="宋体" w:hAnsi="宋体" w:eastAsia="宋体" w:cs="宋体"/>
                <w:szCs w:val="21"/>
              </w:rPr>
              <w:t>分</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自评报告</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的完整性</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0" w:firstLineChars="100"/>
              <w:rPr>
                <w:rFonts w:hint="eastAsia" w:ascii="宋体" w:hAnsi="宋体" w:eastAsia="宋体" w:cs="宋体"/>
                <w:sz w:val="21"/>
                <w:szCs w:val="21"/>
              </w:rPr>
            </w:pPr>
            <w:r>
              <w:rPr>
                <w:rFonts w:hint="eastAsia" w:ascii="宋体" w:hAnsi="宋体" w:eastAsia="宋体" w:cs="宋体"/>
                <w:sz w:val="21"/>
                <w:szCs w:val="21"/>
              </w:rPr>
              <w:t>1.绩效自评报告正文部分内容齐全的，得8分；否则每少一个部分扣2分，最多扣8分。</w:t>
            </w:r>
          </w:p>
          <w:p>
            <w:pPr>
              <w:spacing w:line="240" w:lineRule="exact"/>
              <w:ind w:firstLine="210" w:firstLineChars="100"/>
              <w:rPr>
                <w:rFonts w:hint="eastAsia" w:ascii="宋体" w:hAnsi="宋体" w:eastAsia="宋体" w:cs="宋体"/>
                <w:sz w:val="21"/>
                <w:szCs w:val="21"/>
              </w:rPr>
            </w:pPr>
            <w:r>
              <w:rPr>
                <w:rFonts w:hint="eastAsia" w:ascii="宋体" w:hAnsi="宋体" w:eastAsia="宋体" w:cs="宋体"/>
                <w:sz w:val="21"/>
                <w:szCs w:val="21"/>
              </w:rPr>
              <w:t>2.绩效自评报告附件部分内容齐全的，得7分；否则每少一个部分扣2分，最多扣7分。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szCs w:val="21"/>
              </w:rPr>
            </w:pPr>
            <w:r>
              <w:rPr>
                <w:rFonts w:hint="eastAsia" w:ascii="宋体" w:hAnsi="宋体" w:eastAsia="宋体" w:cs="宋体"/>
                <w:szCs w:val="21"/>
                <w:lang w:val="en-US" w:eastAsia="zh-CN"/>
              </w:rPr>
              <w:t>15</w:t>
            </w:r>
          </w:p>
        </w:tc>
      </w:tr>
      <w:tr>
        <w:tblPrEx>
          <w:tblCellMar>
            <w:top w:w="0" w:type="dxa"/>
            <w:left w:w="108" w:type="dxa"/>
            <w:bottom w:w="0" w:type="dxa"/>
            <w:right w:w="108" w:type="dxa"/>
          </w:tblCellMar>
        </w:tblPrEx>
        <w:trPr>
          <w:trHeight w:val="3405"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Cs w:val="21"/>
              </w:rPr>
            </w:pPr>
          </w:p>
        </w:tc>
        <w:tc>
          <w:tcPr>
            <w:tcW w:w="1501" w:type="dxa"/>
            <w:tcBorders>
              <w:top w:val="single" w:color="auto" w:sz="4" w:space="0"/>
              <w:left w:val="nil"/>
              <w:bottom w:val="nil"/>
              <w:right w:val="single" w:color="auto" w:sz="4" w:space="0"/>
            </w:tcBorders>
            <w:noWrap w:val="0"/>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绩效自评表</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20</w:t>
            </w:r>
            <w:r>
              <w:rPr>
                <w:rFonts w:hint="eastAsia" w:ascii="宋体" w:hAnsi="宋体" w:eastAsia="宋体" w:cs="宋体"/>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1.部门整体支出和项目支出绩效指标反映产出、效益、服务对象满意度方面的指标和预算执行率的权重符合</w:t>
            </w:r>
            <w:r>
              <w:rPr>
                <w:rFonts w:hint="eastAsia" w:ascii="宋体" w:hAnsi="宋体" w:eastAsia="宋体" w:cs="宋体"/>
                <w:sz w:val="21"/>
                <w:szCs w:val="21"/>
                <w:lang w:eastAsia="zh-CN"/>
              </w:rPr>
              <w:t>《</w:t>
            </w:r>
            <w:r>
              <w:rPr>
                <w:rFonts w:hint="eastAsia" w:ascii="宋体" w:hAnsi="宋体" w:eastAsia="宋体" w:cs="宋体"/>
                <w:sz w:val="21"/>
                <w:szCs w:val="21"/>
              </w:rPr>
              <w:t>岳阳市市级预算部门绩效自评操作规程</w:t>
            </w:r>
            <w:r>
              <w:rPr>
                <w:rFonts w:hint="eastAsia" w:ascii="宋体" w:hAnsi="宋体" w:eastAsia="宋体" w:cs="宋体"/>
                <w:sz w:val="21"/>
                <w:szCs w:val="21"/>
                <w:lang w:eastAsia="zh-CN"/>
              </w:rPr>
              <w:t>》</w:t>
            </w:r>
            <w:r>
              <w:rPr>
                <w:rFonts w:hint="eastAsia" w:ascii="宋体" w:hAnsi="宋体" w:eastAsia="宋体" w:cs="宋体"/>
                <w:sz w:val="21"/>
                <w:szCs w:val="21"/>
              </w:rPr>
              <w:t>的，得</w:t>
            </w:r>
            <w:r>
              <w:rPr>
                <w:rFonts w:hint="eastAsia" w:ascii="宋体" w:hAnsi="宋体" w:eastAsia="宋体" w:cs="宋体"/>
                <w:sz w:val="21"/>
                <w:szCs w:val="21"/>
                <w:lang w:val="en-US" w:eastAsia="zh-CN"/>
              </w:rPr>
              <w:t>5</w:t>
            </w:r>
            <w:r>
              <w:rPr>
                <w:rFonts w:hint="eastAsia" w:ascii="宋体" w:hAnsi="宋体" w:eastAsia="宋体" w:cs="宋体"/>
                <w:sz w:val="21"/>
                <w:szCs w:val="21"/>
              </w:rPr>
              <w:t>分，否则按比例扣除相应的分数。</w:t>
            </w:r>
          </w:p>
          <w:p>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2.部门整体支出和项目支出绩效指标全部细化到三级指标的，得</w:t>
            </w:r>
            <w:r>
              <w:rPr>
                <w:rFonts w:hint="eastAsia" w:ascii="宋体" w:hAnsi="宋体" w:eastAsia="宋体" w:cs="宋体"/>
                <w:sz w:val="21"/>
                <w:szCs w:val="21"/>
                <w:lang w:val="en-US" w:eastAsia="zh-CN"/>
              </w:rPr>
              <w:t>5</w:t>
            </w:r>
            <w:r>
              <w:rPr>
                <w:rFonts w:hint="eastAsia" w:ascii="宋体" w:hAnsi="宋体" w:eastAsia="宋体" w:cs="宋体"/>
                <w:sz w:val="21"/>
                <w:szCs w:val="21"/>
              </w:rPr>
              <w:t>分；部分细化的，酌情扣分；没有细化的，不得分。</w:t>
            </w:r>
          </w:p>
          <w:p>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部门整体支出和项目支出三级绩效指标内涵明确、具体、可衡量的得5分；突出核心指标，精简实用的得3分；指标与部门整体支出和项目支出密切相关，全面反映产出和效益的得2分；否则每项酌情扣分，最多扣10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18</w:t>
            </w:r>
          </w:p>
        </w:tc>
      </w:tr>
      <w:tr>
        <w:tblPrEx>
          <w:tblCellMar>
            <w:top w:w="0" w:type="dxa"/>
            <w:left w:w="108" w:type="dxa"/>
            <w:bottom w:w="0" w:type="dxa"/>
            <w:right w:w="108" w:type="dxa"/>
          </w:tblCellMar>
        </w:tblPrEx>
        <w:trPr>
          <w:trHeight w:val="1640"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Cs w:val="21"/>
              </w:rPr>
            </w:pP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绩效评价</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报告反映</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问题情况</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20</w:t>
            </w:r>
            <w:r>
              <w:rPr>
                <w:rFonts w:hint="eastAsia" w:ascii="宋体" w:hAnsi="宋体" w:eastAsia="宋体" w:cs="宋体"/>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30" w:firstLineChars="100"/>
              <w:rPr>
                <w:rFonts w:hint="eastAsia" w:ascii="宋体" w:hAnsi="宋体" w:eastAsia="宋体" w:cs="宋体"/>
                <w:sz w:val="21"/>
                <w:szCs w:val="21"/>
              </w:rPr>
            </w:pPr>
            <w:r>
              <w:rPr>
                <w:rFonts w:hint="eastAsia" w:ascii="宋体" w:hAnsi="宋体" w:eastAsia="宋体" w:cs="宋体"/>
                <w:spacing w:val="10"/>
                <w:sz w:val="21"/>
                <w:szCs w:val="21"/>
              </w:rPr>
              <w:t>从预算和预算绩效管理，部门履职效能，资金分</w:t>
            </w:r>
            <w:r>
              <w:rPr>
                <w:rFonts w:hint="eastAsia" w:ascii="宋体" w:hAnsi="宋体" w:eastAsia="宋体" w:cs="宋体"/>
                <w:spacing w:val="9"/>
                <w:sz w:val="21"/>
                <w:szCs w:val="21"/>
              </w:rPr>
              <w:t>配、使用和管理，资产和财务管理，政府</w:t>
            </w:r>
            <w:r>
              <w:rPr>
                <w:rFonts w:hint="eastAsia" w:ascii="宋体" w:hAnsi="宋体" w:eastAsia="宋体" w:cs="宋体"/>
                <w:sz w:val="21"/>
                <w:szCs w:val="21"/>
              </w:rPr>
              <w:t xml:space="preserve">  </w:t>
            </w:r>
            <w:r>
              <w:rPr>
                <w:rFonts w:hint="eastAsia" w:ascii="宋体" w:hAnsi="宋体" w:eastAsia="宋体" w:cs="宋体"/>
                <w:spacing w:val="7"/>
                <w:sz w:val="21"/>
                <w:szCs w:val="21"/>
              </w:rPr>
              <w:t>采购等方面归纳问题、分析原因全面的，得20分；反映问题、分析原因较</w:t>
            </w:r>
            <w:r>
              <w:rPr>
                <w:rFonts w:hint="eastAsia" w:ascii="宋体" w:hAnsi="宋体" w:eastAsia="宋体" w:cs="宋体"/>
                <w:spacing w:val="6"/>
                <w:sz w:val="21"/>
                <w:szCs w:val="21"/>
              </w:rPr>
              <w:t>全面的，得16—</w:t>
            </w:r>
            <w:r>
              <w:rPr>
                <w:rFonts w:hint="eastAsia" w:ascii="宋体" w:hAnsi="宋体" w:eastAsia="宋体" w:cs="宋体"/>
                <w:spacing w:val="-73"/>
                <w:sz w:val="21"/>
                <w:szCs w:val="21"/>
              </w:rPr>
              <w:t xml:space="preserve"> </w:t>
            </w:r>
            <w:r>
              <w:rPr>
                <w:rFonts w:hint="eastAsia" w:ascii="宋体" w:hAnsi="宋体" w:eastAsia="宋体" w:cs="宋体"/>
                <w:spacing w:val="6"/>
                <w:sz w:val="21"/>
                <w:szCs w:val="21"/>
              </w:rPr>
              <w:t>18</w:t>
            </w:r>
            <w:r>
              <w:rPr>
                <w:rFonts w:hint="eastAsia" w:ascii="宋体" w:hAnsi="宋体" w:eastAsia="宋体" w:cs="宋体"/>
                <w:sz w:val="21"/>
                <w:szCs w:val="21"/>
              </w:rPr>
              <w:t xml:space="preserve"> </w:t>
            </w:r>
            <w:r>
              <w:rPr>
                <w:rFonts w:hint="eastAsia" w:ascii="宋体" w:hAnsi="宋体" w:eastAsia="宋体" w:cs="宋体"/>
                <w:spacing w:val="12"/>
                <w:sz w:val="21"/>
                <w:szCs w:val="21"/>
              </w:rPr>
              <w:t>分；反映问题、分析原因不全面的，得13—</w:t>
            </w:r>
            <w:r>
              <w:rPr>
                <w:rFonts w:hint="eastAsia" w:ascii="宋体" w:hAnsi="宋体" w:eastAsia="宋体" w:cs="宋体"/>
                <w:spacing w:val="-68"/>
                <w:sz w:val="21"/>
                <w:szCs w:val="21"/>
              </w:rPr>
              <w:t xml:space="preserve"> </w:t>
            </w:r>
            <w:r>
              <w:rPr>
                <w:rFonts w:hint="eastAsia" w:ascii="宋体" w:hAnsi="宋体" w:eastAsia="宋体" w:cs="宋体"/>
                <w:spacing w:val="12"/>
                <w:sz w:val="21"/>
                <w:szCs w:val="21"/>
              </w:rPr>
              <w:t>15分；问题未归纳</w:t>
            </w:r>
            <w:r>
              <w:rPr>
                <w:rFonts w:hint="eastAsia" w:ascii="宋体" w:hAnsi="宋体" w:eastAsia="宋体" w:cs="宋体"/>
                <w:spacing w:val="11"/>
                <w:sz w:val="21"/>
                <w:szCs w:val="21"/>
              </w:rPr>
              <w:t>且过于简单的，得10—</w:t>
            </w:r>
            <w:r>
              <w:rPr>
                <w:rFonts w:hint="eastAsia" w:ascii="宋体" w:hAnsi="宋体" w:eastAsia="宋体" w:cs="宋体"/>
                <w:spacing w:val="-68"/>
                <w:sz w:val="21"/>
                <w:szCs w:val="21"/>
              </w:rPr>
              <w:t xml:space="preserve"> </w:t>
            </w:r>
            <w:r>
              <w:rPr>
                <w:rFonts w:hint="eastAsia" w:ascii="宋体" w:hAnsi="宋体" w:eastAsia="宋体" w:cs="宋体"/>
                <w:spacing w:val="11"/>
                <w:sz w:val="21"/>
                <w:szCs w:val="21"/>
              </w:rPr>
              <w:t>12</w:t>
            </w:r>
            <w:r>
              <w:rPr>
                <w:rFonts w:hint="eastAsia" w:ascii="宋体" w:hAnsi="宋体" w:eastAsia="宋体" w:cs="宋体"/>
                <w:sz w:val="21"/>
                <w:szCs w:val="21"/>
              </w:rPr>
              <w:t xml:space="preserve">  </w:t>
            </w:r>
            <w:r>
              <w:rPr>
                <w:rFonts w:hint="eastAsia" w:ascii="宋体" w:hAnsi="宋体" w:eastAsia="宋体" w:cs="宋体"/>
                <w:spacing w:val="13"/>
                <w:sz w:val="21"/>
                <w:szCs w:val="21"/>
              </w:rPr>
              <w:t>分；只提出资金不足问题的不得分；其他情况酌情扣分，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szCs w:val="21"/>
              </w:rPr>
            </w:pPr>
            <w:r>
              <w:rPr>
                <w:rFonts w:hint="eastAsia" w:ascii="宋体" w:hAnsi="宋体" w:eastAsia="宋体" w:cs="宋体"/>
                <w:szCs w:val="21"/>
                <w:lang w:val="en-US" w:eastAsia="zh-CN"/>
              </w:rPr>
              <w:t>19</w:t>
            </w:r>
          </w:p>
        </w:tc>
      </w:tr>
      <w:tr>
        <w:tblPrEx>
          <w:tblCellMar>
            <w:top w:w="0" w:type="dxa"/>
            <w:left w:w="108" w:type="dxa"/>
            <w:bottom w:w="0" w:type="dxa"/>
            <w:right w:w="108" w:type="dxa"/>
          </w:tblCellMar>
        </w:tblPrEx>
        <w:trPr>
          <w:trHeight w:val="1313"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Cs w:val="21"/>
              </w:rPr>
            </w:pP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针对问题</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提出可行性建议的情况</w:t>
            </w:r>
          </w:p>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6" w:firstLineChars="100"/>
              <w:rPr>
                <w:rFonts w:hint="eastAsia" w:ascii="宋体" w:hAnsi="宋体" w:eastAsia="宋体" w:cs="宋体"/>
                <w:sz w:val="21"/>
                <w:szCs w:val="21"/>
              </w:rPr>
            </w:pPr>
            <w:r>
              <w:rPr>
                <w:rFonts w:hint="eastAsia" w:ascii="宋体" w:hAnsi="宋体" w:eastAsia="宋体" w:cs="宋体"/>
                <w:spacing w:val="3"/>
                <w:sz w:val="21"/>
                <w:szCs w:val="21"/>
              </w:rPr>
              <w:t>建议与问题对应且全面的得15分，建议比较全面的得12—</w:t>
            </w:r>
            <w:r>
              <w:rPr>
                <w:rFonts w:hint="eastAsia" w:ascii="宋体" w:hAnsi="宋体" w:eastAsia="宋体" w:cs="宋体"/>
                <w:spacing w:val="-55"/>
                <w:sz w:val="21"/>
                <w:szCs w:val="21"/>
              </w:rPr>
              <w:t xml:space="preserve"> </w:t>
            </w:r>
            <w:r>
              <w:rPr>
                <w:rFonts w:hint="eastAsia" w:ascii="宋体" w:hAnsi="宋体" w:eastAsia="宋体" w:cs="宋体"/>
                <w:spacing w:val="3"/>
                <w:sz w:val="21"/>
                <w:szCs w:val="21"/>
              </w:rPr>
              <w:t>14分，建议不全面的得9—</w:t>
            </w:r>
            <w:r>
              <w:rPr>
                <w:rFonts w:hint="eastAsia" w:ascii="宋体" w:hAnsi="宋体" w:eastAsia="宋体" w:cs="宋体"/>
                <w:spacing w:val="-72"/>
                <w:sz w:val="21"/>
                <w:szCs w:val="21"/>
              </w:rPr>
              <w:t xml:space="preserve"> </w:t>
            </w:r>
            <w:r>
              <w:rPr>
                <w:rFonts w:hint="eastAsia" w:ascii="宋体" w:hAnsi="宋体" w:eastAsia="宋体" w:cs="宋体"/>
                <w:spacing w:val="3"/>
                <w:sz w:val="21"/>
                <w:szCs w:val="21"/>
              </w:rPr>
              <w:t>11</w:t>
            </w:r>
            <w:r>
              <w:rPr>
                <w:rFonts w:hint="eastAsia" w:ascii="宋体" w:hAnsi="宋体" w:eastAsia="宋体" w:cs="宋体"/>
                <w:sz w:val="21"/>
                <w:szCs w:val="21"/>
              </w:rPr>
              <w:t xml:space="preserve">   </w:t>
            </w:r>
            <w:r>
              <w:rPr>
                <w:rFonts w:hint="eastAsia" w:ascii="宋体" w:hAnsi="宋体" w:eastAsia="宋体" w:cs="宋体"/>
                <w:spacing w:val="2"/>
                <w:sz w:val="21"/>
                <w:szCs w:val="21"/>
              </w:rPr>
              <w:t>分，建议过于简单的得6—8分，只提出加大资金投入建议的不得分；其他情况酌情扣分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szCs w:val="21"/>
              </w:rPr>
            </w:pPr>
            <w:r>
              <w:rPr>
                <w:rFonts w:hint="eastAsia" w:ascii="宋体" w:hAnsi="宋体" w:eastAsia="宋体" w:cs="宋体"/>
                <w:szCs w:val="21"/>
                <w:lang w:val="en-US" w:eastAsia="zh-CN"/>
              </w:rPr>
              <w:t>15</w:t>
            </w:r>
          </w:p>
        </w:tc>
      </w:tr>
      <w:tr>
        <w:tblPrEx>
          <w:tblCellMar>
            <w:top w:w="0" w:type="dxa"/>
            <w:left w:w="108" w:type="dxa"/>
            <w:bottom w:w="0" w:type="dxa"/>
            <w:right w:w="108" w:type="dxa"/>
          </w:tblCellMar>
        </w:tblPrEx>
        <w:trPr>
          <w:trHeight w:val="540" w:hRule="atLeast"/>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Cs w:val="21"/>
              </w:rPr>
            </w:pPr>
            <w:r>
              <w:rPr>
                <w:rFonts w:hint="eastAsia" w:ascii="宋体" w:hAnsi="宋体" w:eastAsia="宋体" w:cs="宋体"/>
                <w:szCs w:val="21"/>
              </w:rPr>
              <w:t>合计</w:t>
            </w:r>
          </w:p>
        </w:tc>
        <w:tc>
          <w:tcPr>
            <w:tcW w:w="150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100分</w:t>
            </w:r>
          </w:p>
        </w:tc>
        <w:tc>
          <w:tcPr>
            <w:tcW w:w="648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宋体" w:hAnsi="宋体" w:eastAsia="宋体" w:cs="宋体"/>
                <w:sz w:val="21"/>
                <w:szCs w:val="21"/>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宋体" w:hAnsi="宋体" w:eastAsia="宋体" w:cs="宋体"/>
                <w:szCs w:val="21"/>
                <w:lang w:val="en-US" w:eastAsia="zh-CN"/>
              </w:rPr>
            </w:pPr>
            <w:r>
              <w:rPr>
                <w:rFonts w:hint="eastAsia" w:ascii="宋体" w:hAnsi="宋体" w:eastAsia="宋体" w:cs="宋体"/>
                <w:szCs w:val="21"/>
              </w:rPr>
              <w:t>　</w:t>
            </w:r>
            <w:r>
              <w:rPr>
                <w:rFonts w:hint="eastAsia" w:ascii="宋体" w:hAnsi="宋体" w:eastAsia="宋体" w:cs="宋体"/>
                <w:szCs w:val="21"/>
                <w:lang w:val="en-US" w:eastAsia="zh-CN"/>
              </w:rPr>
              <w:t>97</w:t>
            </w:r>
          </w:p>
        </w:tc>
      </w:tr>
    </w:tbl>
    <w:p>
      <w:pPr>
        <w:pStyle w:val="2"/>
        <w:rPr>
          <w:rFonts w:hint="default"/>
          <w:lang w:val="en-US" w:eastAsia="zh-CN"/>
        </w:rPr>
      </w:pPr>
    </w:p>
    <w:sectPr>
      <w:pgSz w:w="11906" w:h="16838"/>
      <w:pgMar w:top="1701" w:right="1701" w:bottom="170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600000000000000"/>
    <w:charset w:val="86"/>
    <w:family w:val="auto"/>
    <w:pitch w:val="default"/>
    <w:sig w:usb0="00000000" w:usb1="00000000" w:usb2="00000012" w:usb3="00000000" w:csb0="00160001" w:csb1="1203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大标宋简体">
    <w:altName w:val="微软雅黑"/>
    <w:panose1 w:val="03000509000000000000"/>
    <w:charset w:val="86"/>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53FC3987"/>
    <w:rsid w:val="000A3765"/>
    <w:rsid w:val="001D7282"/>
    <w:rsid w:val="0039081D"/>
    <w:rsid w:val="005E6ECB"/>
    <w:rsid w:val="00744EA1"/>
    <w:rsid w:val="009419CA"/>
    <w:rsid w:val="00955854"/>
    <w:rsid w:val="009C7330"/>
    <w:rsid w:val="00A00FBB"/>
    <w:rsid w:val="00BF0721"/>
    <w:rsid w:val="00C03795"/>
    <w:rsid w:val="00CE3756"/>
    <w:rsid w:val="00D27A74"/>
    <w:rsid w:val="00E831C8"/>
    <w:rsid w:val="00EF287A"/>
    <w:rsid w:val="01057CDE"/>
    <w:rsid w:val="010B4A82"/>
    <w:rsid w:val="01192786"/>
    <w:rsid w:val="01201E6A"/>
    <w:rsid w:val="012D57C0"/>
    <w:rsid w:val="01457029"/>
    <w:rsid w:val="014900E3"/>
    <w:rsid w:val="014F5749"/>
    <w:rsid w:val="01521E95"/>
    <w:rsid w:val="01727F7E"/>
    <w:rsid w:val="01764DBE"/>
    <w:rsid w:val="01806F8C"/>
    <w:rsid w:val="0182483A"/>
    <w:rsid w:val="01863406"/>
    <w:rsid w:val="018D011E"/>
    <w:rsid w:val="019614B0"/>
    <w:rsid w:val="019C71AC"/>
    <w:rsid w:val="01BF03AA"/>
    <w:rsid w:val="01C33E74"/>
    <w:rsid w:val="01DF3C26"/>
    <w:rsid w:val="01EE0A2C"/>
    <w:rsid w:val="0200044D"/>
    <w:rsid w:val="020654E4"/>
    <w:rsid w:val="020C72F8"/>
    <w:rsid w:val="02121B7C"/>
    <w:rsid w:val="021813DE"/>
    <w:rsid w:val="021B6B30"/>
    <w:rsid w:val="02363BD8"/>
    <w:rsid w:val="023809F7"/>
    <w:rsid w:val="02431066"/>
    <w:rsid w:val="02595CF1"/>
    <w:rsid w:val="025C47D6"/>
    <w:rsid w:val="0263675C"/>
    <w:rsid w:val="02656E75"/>
    <w:rsid w:val="027431E5"/>
    <w:rsid w:val="02B544DB"/>
    <w:rsid w:val="02CB5D99"/>
    <w:rsid w:val="02F61D91"/>
    <w:rsid w:val="02FC4679"/>
    <w:rsid w:val="02FE5E0A"/>
    <w:rsid w:val="0347190C"/>
    <w:rsid w:val="034760CE"/>
    <w:rsid w:val="03487959"/>
    <w:rsid w:val="03505BE1"/>
    <w:rsid w:val="036D41A2"/>
    <w:rsid w:val="037F229C"/>
    <w:rsid w:val="03911277"/>
    <w:rsid w:val="039A540B"/>
    <w:rsid w:val="03BD010E"/>
    <w:rsid w:val="03E2685C"/>
    <w:rsid w:val="03E66326"/>
    <w:rsid w:val="03FF6E0F"/>
    <w:rsid w:val="0404259A"/>
    <w:rsid w:val="04051601"/>
    <w:rsid w:val="04150B3B"/>
    <w:rsid w:val="04327F62"/>
    <w:rsid w:val="04344800"/>
    <w:rsid w:val="045F666C"/>
    <w:rsid w:val="0460075C"/>
    <w:rsid w:val="04613BEE"/>
    <w:rsid w:val="0462054D"/>
    <w:rsid w:val="04675C34"/>
    <w:rsid w:val="046C0B29"/>
    <w:rsid w:val="04816E5C"/>
    <w:rsid w:val="048924DD"/>
    <w:rsid w:val="04914D95"/>
    <w:rsid w:val="0495144B"/>
    <w:rsid w:val="04AC07A1"/>
    <w:rsid w:val="04C63115"/>
    <w:rsid w:val="04CF5236"/>
    <w:rsid w:val="04CF5AF0"/>
    <w:rsid w:val="04D24FF1"/>
    <w:rsid w:val="04DE1BAB"/>
    <w:rsid w:val="04E411E4"/>
    <w:rsid w:val="04F37BBA"/>
    <w:rsid w:val="05085366"/>
    <w:rsid w:val="05145F64"/>
    <w:rsid w:val="054037EF"/>
    <w:rsid w:val="054E7FFF"/>
    <w:rsid w:val="05621117"/>
    <w:rsid w:val="058C5045"/>
    <w:rsid w:val="059C7C89"/>
    <w:rsid w:val="05A50C70"/>
    <w:rsid w:val="05B525CA"/>
    <w:rsid w:val="05C4448F"/>
    <w:rsid w:val="05E616EC"/>
    <w:rsid w:val="06146BAF"/>
    <w:rsid w:val="06286BB6"/>
    <w:rsid w:val="06405E9C"/>
    <w:rsid w:val="064D5380"/>
    <w:rsid w:val="064E0F6B"/>
    <w:rsid w:val="06617309"/>
    <w:rsid w:val="06650E6A"/>
    <w:rsid w:val="06854A05"/>
    <w:rsid w:val="068B5259"/>
    <w:rsid w:val="06986D10"/>
    <w:rsid w:val="06A14716"/>
    <w:rsid w:val="06C90184"/>
    <w:rsid w:val="06C9437B"/>
    <w:rsid w:val="06ED564C"/>
    <w:rsid w:val="06F22A7B"/>
    <w:rsid w:val="07023424"/>
    <w:rsid w:val="07043735"/>
    <w:rsid w:val="0725074E"/>
    <w:rsid w:val="07313C60"/>
    <w:rsid w:val="07331F0A"/>
    <w:rsid w:val="07421B27"/>
    <w:rsid w:val="076971BD"/>
    <w:rsid w:val="076D43AE"/>
    <w:rsid w:val="077323CA"/>
    <w:rsid w:val="0775145F"/>
    <w:rsid w:val="07967DE0"/>
    <w:rsid w:val="07970994"/>
    <w:rsid w:val="07B913B4"/>
    <w:rsid w:val="07BA1C6A"/>
    <w:rsid w:val="07BD44A3"/>
    <w:rsid w:val="07CE6155"/>
    <w:rsid w:val="07E11DA2"/>
    <w:rsid w:val="07E40515"/>
    <w:rsid w:val="07EE6091"/>
    <w:rsid w:val="08017E70"/>
    <w:rsid w:val="0805190B"/>
    <w:rsid w:val="082A5F7E"/>
    <w:rsid w:val="08391F38"/>
    <w:rsid w:val="083A18D9"/>
    <w:rsid w:val="0848472A"/>
    <w:rsid w:val="084D20E7"/>
    <w:rsid w:val="08674899"/>
    <w:rsid w:val="08754155"/>
    <w:rsid w:val="087B77E7"/>
    <w:rsid w:val="087D3D34"/>
    <w:rsid w:val="0889236C"/>
    <w:rsid w:val="088E051E"/>
    <w:rsid w:val="08935A7B"/>
    <w:rsid w:val="08A91E6C"/>
    <w:rsid w:val="08BA1B19"/>
    <w:rsid w:val="08D059DD"/>
    <w:rsid w:val="08DC08E7"/>
    <w:rsid w:val="092D1C9E"/>
    <w:rsid w:val="09377E5E"/>
    <w:rsid w:val="09383E9F"/>
    <w:rsid w:val="0939426E"/>
    <w:rsid w:val="09504F8C"/>
    <w:rsid w:val="09616470"/>
    <w:rsid w:val="096C1F5A"/>
    <w:rsid w:val="096C76C1"/>
    <w:rsid w:val="09906B28"/>
    <w:rsid w:val="09912E95"/>
    <w:rsid w:val="099C1A23"/>
    <w:rsid w:val="09A948AF"/>
    <w:rsid w:val="09AC2A76"/>
    <w:rsid w:val="09B04837"/>
    <w:rsid w:val="09C95891"/>
    <w:rsid w:val="09D8005F"/>
    <w:rsid w:val="0A002E0D"/>
    <w:rsid w:val="0A140987"/>
    <w:rsid w:val="0A241A5C"/>
    <w:rsid w:val="0A2E3566"/>
    <w:rsid w:val="0A393280"/>
    <w:rsid w:val="0A5F2F6C"/>
    <w:rsid w:val="0A670B4E"/>
    <w:rsid w:val="0A851E03"/>
    <w:rsid w:val="0A985A6F"/>
    <w:rsid w:val="0AA808AF"/>
    <w:rsid w:val="0ABD142C"/>
    <w:rsid w:val="0AC644AE"/>
    <w:rsid w:val="0ACB61B4"/>
    <w:rsid w:val="0ACD4157"/>
    <w:rsid w:val="0AE964B0"/>
    <w:rsid w:val="0B163034"/>
    <w:rsid w:val="0B1F5B6D"/>
    <w:rsid w:val="0B2F4AF7"/>
    <w:rsid w:val="0B3312B6"/>
    <w:rsid w:val="0B4064B3"/>
    <w:rsid w:val="0B6E529C"/>
    <w:rsid w:val="0B701D27"/>
    <w:rsid w:val="0B7245CE"/>
    <w:rsid w:val="0B943886"/>
    <w:rsid w:val="0B9C3CD1"/>
    <w:rsid w:val="0BB324D8"/>
    <w:rsid w:val="0BB672C7"/>
    <w:rsid w:val="0BC07BBF"/>
    <w:rsid w:val="0BC429EF"/>
    <w:rsid w:val="0BCE65D1"/>
    <w:rsid w:val="0BD60937"/>
    <w:rsid w:val="0BD912A4"/>
    <w:rsid w:val="0BE135FA"/>
    <w:rsid w:val="0BEE4F6B"/>
    <w:rsid w:val="0C03261E"/>
    <w:rsid w:val="0C0439FA"/>
    <w:rsid w:val="0C0B17DF"/>
    <w:rsid w:val="0C0F382B"/>
    <w:rsid w:val="0C160980"/>
    <w:rsid w:val="0C1B4EF7"/>
    <w:rsid w:val="0C1C297E"/>
    <w:rsid w:val="0C1D4988"/>
    <w:rsid w:val="0C297E69"/>
    <w:rsid w:val="0C55038F"/>
    <w:rsid w:val="0C6B7DF9"/>
    <w:rsid w:val="0C6E2A56"/>
    <w:rsid w:val="0C7A708D"/>
    <w:rsid w:val="0CCA7495"/>
    <w:rsid w:val="0CD16BA2"/>
    <w:rsid w:val="0CD745A0"/>
    <w:rsid w:val="0CDE4E30"/>
    <w:rsid w:val="0D012A51"/>
    <w:rsid w:val="0D094F84"/>
    <w:rsid w:val="0D280615"/>
    <w:rsid w:val="0D2C07EB"/>
    <w:rsid w:val="0D2F57DE"/>
    <w:rsid w:val="0D353632"/>
    <w:rsid w:val="0D392C4E"/>
    <w:rsid w:val="0D482FA9"/>
    <w:rsid w:val="0D4A4299"/>
    <w:rsid w:val="0D5F1E28"/>
    <w:rsid w:val="0D671080"/>
    <w:rsid w:val="0D783B34"/>
    <w:rsid w:val="0D81754C"/>
    <w:rsid w:val="0DBE6AB7"/>
    <w:rsid w:val="0DBF116A"/>
    <w:rsid w:val="0DC00E38"/>
    <w:rsid w:val="0DC8400B"/>
    <w:rsid w:val="0DD34552"/>
    <w:rsid w:val="0DE03EAA"/>
    <w:rsid w:val="0DE12394"/>
    <w:rsid w:val="0DF36262"/>
    <w:rsid w:val="0E1E619E"/>
    <w:rsid w:val="0E267F81"/>
    <w:rsid w:val="0E365DE9"/>
    <w:rsid w:val="0E4822EE"/>
    <w:rsid w:val="0E4E185D"/>
    <w:rsid w:val="0E522FBE"/>
    <w:rsid w:val="0E5D141B"/>
    <w:rsid w:val="0E8648D6"/>
    <w:rsid w:val="0E8C08DC"/>
    <w:rsid w:val="0E8E43C0"/>
    <w:rsid w:val="0E964CBE"/>
    <w:rsid w:val="0EB05323"/>
    <w:rsid w:val="0EBE40CB"/>
    <w:rsid w:val="0EC36A56"/>
    <w:rsid w:val="0EC62499"/>
    <w:rsid w:val="0ECE4E6F"/>
    <w:rsid w:val="0EDA5C56"/>
    <w:rsid w:val="0EFE4287"/>
    <w:rsid w:val="0F0D525E"/>
    <w:rsid w:val="0F2A2A37"/>
    <w:rsid w:val="0F2E6C95"/>
    <w:rsid w:val="0F4675CA"/>
    <w:rsid w:val="0F471A79"/>
    <w:rsid w:val="0F500384"/>
    <w:rsid w:val="0F5B4015"/>
    <w:rsid w:val="0F6071C8"/>
    <w:rsid w:val="0F7B0394"/>
    <w:rsid w:val="0FA00CB6"/>
    <w:rsid w:val="0FA434D3"/>
    <w:rsid w:val="0FB471F7"/>
    <w:rsid w:val="0FC95C51"/>
    <w:rsid w:val="0FC965F5"/>
    <w:rsid w:val="0FCD6B4B"/>
    <w:rsid w:val="0FCF7138"/>
    <w:rsid w:val="0FD35AB6"/>
    <w:rsid w:val="0FE017B9"/>
    <w:rsid w:val="0FE04B17"/>
    <w:rsid w:val="0FEC2891"/>
    <w:rsid w:val="0FF71EB7"/>
    <w:rsid w:val="10225AB2"/>
    <w:rsid w:val="102D74F0"/>
    <w:rsid w:val="103C47DA"/>
    <w:rsid w:val="103D5CB0"/>
    <w:rsid w:val="1043497A"/>
    <w:rsid w:val="104B6B58"/>
    <w:rsid w:val="105552F6"/>
    <w:rsid w:val="108449FF"/>
    <w:rsid w:val="108B34B0"/>
    <w:rsid w:val="109E2943"/>
    <w:rsid w:val="10C8346E"/>
    <w:rsid w:val="10FE6AB1"/>
    <w:rsid w:val="1112624E"/>
    <w:rsid w:val="11153798"/>
    <w:rsid w:val="11297158"/>
    <w:rsid w:val="114B2C9B"/>
    <w:rsid w:val="115D78BB"/>
    <w:rsid w:val="116001E2"/>
    <w:rsid w:val="11793618"/>
    <w:rsid w:val="11813452"/>
    <w:rsid w:val="11913DD4"/>
    <w:rsid w:val="11961E43"/>
    <w:rsid w:val="11987ED2"/>
    <w:rsid w:val="119969A0"/>
    <w:rsid w:val="11A91B68"/>
    <w:rsid w:val="11B76464"/>
    <w:rsid w:val="11BC2DF3"/>
    <w:rsid w:val="11C43676"/>
    <w:rsid w:val="11EA3CA0"/>
    <w:rsid w:val="11F403BB"/>
    <w:rsid w:val="11FA6A1C"/>
    <w:rsid w:val="120B6973"/>
    <w:rsid w:val="12155876"/>
    <w:rsid w:val="12183A1B"/>
    <w:rsid w:val="122A11A6"/>
    <w:rsid w:val="123D1BD2"/>
    <w:rsid w:val="123E6D4D"/>
    <w:rsid w:val="125613C2"/>
    <w:rsid w:val="125D4EF7"/>
    <w:rsid w:val="12637C4E"/>
    <w:rsid w:val="127030C8"/>
    <w:rsid w:val="12B310FA"/>
    <w:rsid w:val="12B7582D"/>
    <w:rsid w:val="12C621E8"/>
    <w:rsid w:val="12CF0716"/>
    <w:rsid w:val="12D95227"/>
    <w:rsid w:val="12E33197"/>
    <w:rsid w:val="12EE1C9C"/>
    <w:rsid w:val="12F863E6"/>
    <w:rsid w:val="13094CA6"/>
    <w:rsid w:val="132156D8"/>
    <w:rsid w:val="132911E2"/>
    <w:rsid w:val="133868AE"/>
    <w:rsid w:val="135133AE"/>
    <w:rsid w:val="13914897"/>
    <w:rsid w:val="13A55CD5"/>
    <w:rsid w:val="13B654E3"/>
    <w:rsid w:val="13B819E6"/>
    <w:rsid w:val="13BC4189"/>
    <w:rsid w:val="13C169EC"/>
    <w:rsid w:val="13CA717D"/>
    <w:rsid w:val="13CE022A"/>
    <w:rsid w:val="13DF25B8"/>
    <w:rsid w:val="13E2403C"/>
    <w:rsid w:val="14047D3B"/>
    <w:rsid w:val="141A00EA"/>
    <w:rsid w:val="143A1FCF"/>
    <w:rsid w:val="14430D66"/>
    <w:rsid w:val="14477E65"/>
    <w:rsid w:val="14710CBF"/>
    <w:rsid w:val="14791934"/>
    <w:rsid w:val="147D213D"/>
    <w:rsid w:val="14A04833"/>
    <w:rsid w:val="14B12779"/>
    <w:rsid w:val="14B37576"/>
    <w:rsid w:val="14F4219E"/>
    <w:rsid w:val="150135C1"/>
    <w:rsid w:val="151C632A"/>
    <w:rsid w:val="152E4EB1"/>
    <w:rsid w:val="153E3566"/>
    <w:rsid w:val="154034C3"/>
    <w:rsid w:val="156B6CDB"/>
    <w:rsid w:val="15726626"/>
    <w:rsid w:val="15820278"/>
    <w:rsid w:val="15914EE6"/>
    <w:rsid w:val="15A42FA4"/>
    <w:rsid w:val="15A6418F"/>
    <w:rsid w:val="15AA091B"/>
    <w:rsid w:val="15BC6BD3"/>
    <w:rsid w:val="15CF095E"/>
    <w:rsid w:val="15DA784E"/>
    <w:rsid w:val="15DB017B"/>
    <w:rsid w:val="15E6370B"/>
    <w:rsid w:val="15E835FB"/>
    <w:rsid w:val="15E84717"/>
    <w:rsid w:val="160F0091"/>
    <w:rsid w:val="16144614"/>
    <w:rsid w:val="163E3AB2"/>
    <w:rsid w:val="165E3F72"/>
    <w:rsid w:val="166D0110"/>
    <w:rsid w:val="167050F1"/>
    <w:rsid w:val="16713DA7"/>
    <w:rsid w:val="16797776"/>
    <w:rsid w:val="16952546"/>
    <w:rsid w:val="16AB3FBF"/>
    <w:rsid w:val="16AC1654"/>
    <w:rsid w:val="16B12C6E"/>
    <w:rsid w:val="16BF0789"/>
    <w:rsid w:val="16CD5BA2"/>
    <w:rsid w:val="16D42F73"/>
    <w:rsid w:val="16DA34D2"/>
    <w:rsid w:val="16DA4E41"/>
    <w:rsid w:val="16F042AC"/>
    <w:rsid w:val="16F626B5"/>
    <w:rsid w:val="16FB005D"/>
    <w:rsid w:val="16FC4F3B"/>
    <w:rsid w:val="171630EB"/>
    <w:rsid w:val="17435DB3"/>
    <w:rsid w:val="174849B3"/>
    <w:rsid w:val="175075E0"/>
    <w:rsid w:val="175D3461"/>
    <w:rsid w:val="175F4C67"/>
    <w:rsid w:val="175F580B"/>
    <w:rsid w:val="17665207"/>
    <w:rsid w:val="17794395"/>
    <w:rsid w:val="178D50A9"/>
    <w:rsid w:val="178F0FE3"/>
    <w:rsid w:val="17B85018"/>
    <w:rsid w:val="17E339CC"/>
    <w:rsid w:val="17F33C57"/>
    <w:rsid w:val="181D4FAC"/>
    <w:rsid w:val="182B38C1"/>
    <w:rsid w:val="18351597"/>
    <w:rsid w:val="18353961"/>
    <w:rsid w:val="18474510"/>
    <w:rsid w:val="184F1D16"/>
    <w:rsid w:val="1852374B"/>
    <w:rsid w:val="185629F1"/>
    <w:rsid w:val="18685D91"/>
    <w:rsid w:val="188F0DAB"/>
    <w:rsid w:val="18905464"/>
    <w:rsid w:val="18910B5C"/>
    <w:rsid w:val="18A62960"/>
    <w:rsid w:val="18BD3DC4"/>
    <w:rsid w:val="18C149F3"/>
    <w:rsid w:val="18D233DB"/>
    <w:rsid w:val="18DC433F"/>
    <w:rsid w:val="18DD0C18"/>
    <w:rsid w:val="18DE4BF6"/>
    <w:rsid w:val="18EC1CA5"/>
    <w:rsid w:val="18F23C9D"/>
    <w:rsid w:val="18F554AB"/>
    <w:rsid w:val="18FE49D5"/>
    <w:rsid w:val="190F3527"/>
    <w:rsid w:val="19100497"/>
    <w:rsid w:val="19183CAC"/>
    <w:rsid w:val="193964B7"/>
    <w:rsid w:val="19521C94"/>
    <w:rsid w:val="195657BB"/>
    <w:rsid w:val="196B19EB"/>
    <w:rsid w:val="19717C66"/>
    <w:rsid w:val="198E7C2B"/>
    <w:rsid w:val="199945D5"/>
    <w:rsid w:val="199B5065"/>
    <w:rsid w:val="19D37D58"/>
    <w:rsid w:val="19DD0438"/>
    <w:rsid w:val="1A0A04E6"/>
    <w:rsid w:val="1A187AC0"/>
    <w:rsid w:val="1A213466"/>
    <w:rsid w:val="1A3F3F76"/>
    <w:rsid w:val="1A4B4BAE"/>
    <w:rsid w:val="1A5F35C0"/>
    <w:rsid w:val="1A8006B2"/>
    <w:rsid w:val="1A8D640E"/>
    <w:rsid w:val="1A974192"/>
    <w:rsid w:val="1ACA62AD"/>
    <w:rsid w:val="1ADA675E"/>
    <w:rsid w:val="1AE11CDA"/>
    <w:rsid w:val="1B113A6D"/>
    <w:rsid w:val="1B144B8D"/>
    <w:rsid w:val="1B17013D"/>
    <w:rsid w:val="1B1B14D3"/>
    <w:rsid w:val="1B1F6AF1"/>
    <w:rsid w:val="1B250DAE"/>
    <w:rsid w:val="1B2A34EB"/>
    <w:rsid w:val="1B2B0F4C"/>
    <w:rsid w:val="1B2D2734"/>
    <w:rsid w:val="1B3860E1"/>
    <w:rsid w:val="1B3F36F6"/>
    <w:rsid w:val="1B422830"/>
    <w:rsid w:val="1B4B369E"/>
    <w:rsid w:val="1B5271D4"/>
    <w:rsid w:val="1B6D7C0D"/>
    <w:rsid w:val="1B84594F"/>
    <w:rsid w:val="1B884364"/>
    <w:rsid w:val="1BA912AB"/>
    <w:rsid w:val="1BC74329"/>
    <w:rsid w:val="1BC90A36"/>
    <w:rsid w:val="1BD0347B"/>
    <w:rsid w:val="1BD40AF3"/>
    <w:rsid w:val="1BD802A4"/>
    <w:rsid w:val="1BDF236A"/>
    <w:rsid w:val="1C0435DD"/>
    <w:rsid w:val="1C044A22"/>
    <w:rsid w:val="1C0500B1"/>
    <w:rsid w:val="1C165874"/>
    <w:rsid w:val="1C1D4C3D"/>
    <w:rsid w:val="1C212C7F"/>
    <w:rsid w:val="1C4C28F3"/>
    <w:rsid w:val="1C71314E"/>
    <w:rsid w:val="1C82672C"/>
    <w:rsid w:val="1C89138D"/>
    <w:rsid w:val="1C8E76D2"/>
    <w:rsid w:val="1C937172"/>
    <w:rsid w:val="1C975C4B"/>
    <w:rsid w:val="1CA27BB1"/>
    <w:rsid w:val="1CAF7DCF"/>
    <w:rsid w:val="1CB07D7A"/>
    <w:rsid w:val="1CDA4D56"/>
    <w:rsid w:val="1CF810AC"/>
    <w:rsid w:val="1D0B3755"/>
    <w:rsid w:val="1D124C24"/>
    <w:rsid w:val="1D2C6C65"/>
    <w:rsid w:val="1D402518"/>
    <w:rsid w:val="1D4E7169"/>
    <w:rsid w:val="1D554265"/>
    <w:rsid w:val="1D69344A"/>
    <w:rsid w:val="1D6B31E8"/>
    <w:rsid w:val="1D6B7F83"/>
    <w:rsid w:val="1D776C3D"/>
    <w:rsid w:val="1D95321A"/>
    <w:rsid w:val="1DB85E5C"/>
    <w:rsid w:val="1DC46662"/>
    <w:rsid w:val="1DCA5E3A"/>
    <w:rsid w:val="1DCF5405"/>
    <w:rsid w:val="1DD75183"/>
    <w:rsid w:val="1DDE2626"/>
    <w:rsid w:val="1DFD7C50"/>
    <w:rsid w:val="1E080AB5"/>
    <w:rsid w:val="1E0E0D58"/>
    <w:rsid w:val="1E2A197B"/>
    <w:rsid w:val="1E35255F"/>
    <w:rsid w:val="1E366767"/>
    <w:rsid w:val="1E3C5A5F"/>
    <w:rsid w:val="1E475D36"/>
    <w:rsid w:val="1E4E24A0"/>
    <w:rsid w:val="1E502588"/>
    <w:rsid w:val="1E53413D"/>
    <w:rsid w:val="1E550992"/>
    <w:rsid w:val="1E5A7A32"/>
    <w:rsid w:val="1E671817"/>
    <w:rsid w:val="1E6C3B44"/>
    <w:rsid w:val="1E7A4122"/>
    <w:rsid w:val="1E8879EE"/>
    <w:rsid w:val="1EB95D76"/>
    <w:rsid w:val="1EC54236"/>
    <w:rsid w:val="1ED464CA"/>
    <w:rsid w:val="1EDA5DF7"/>
    <w:rsid w:val="1EED4A44"/>
    <w:rsid w:val="1EFA39EA"/>
    <w:rsid w:val="1F00206F"/>
    <w:rsid w:val="1F0177DA"/>
    <w:rsid w:val="1F18467A"/>
    <w:rsid w:val="1F232A42"/>
    <w:rsid w:val="1F2645A8"/>
    <w:rsid w:val="1F2E49F9"/>
    <w:rsid w:val="1F4B71B8"/>
    <w:rsid w:val="1F4C39A9"/>
    <w:rsid w:val="1F5665AD"/>
    <w:rsid w:val="1F692382"/>
    <w:rsid w:val="1F8815CD"/>
    <w:rsid w:val="1F8D1995"/>
    <w:rsid w:val="1F935BDD"/>
    <w:rsid w:val="1F9730E6"/>
    <w:rsid w:val="1FDE0273"/>
    <w:rsid w:val="1FEF73C9"/>
    <w:rsid w:val="20020491"/>
    <w:rsid w:val="203C7C11"/>
    <w:rsid w:val="20421AEB"/>
    <w:rsid w:val="20471AED"/>
    <w:rsid w:val="20487E48"/>
    <w:rsid w:val="20666EBF"/>
    <w:rsid w:val="206F239E"/>
    <w:rsid w:val="2086258B"/>
    <w:rsid w:val="20A45C99"/>
    <w:rsid w:val="20AD18F5"/>
    <w:rsid w:val="20B77D0F"/>
    <w:rsid w:val="20BB288C"/>
    <w:rsid w:val="20D06EB4"/>
    <w:rsid w:val="20E40557"/>
    <w:rsid w:val="20EF04D3"/>
    <w:rsid w:val="210C69CF"/>
    <w:rsid w:val="21107C1A"/>
    <w:rsid w:val="213018E1"/>
    <w:rsid w:val="21392BC1"/>
    <w:rsid w:val="21431802"/>
    <w:rsid w:val="21463D2C"/>
    <w:rsid w:val="2151198F"/>
    <w:rsid w:val="2172070D"/>
    <w:rsid w:val="217B2C80"/>
    <w:rsid w:val="217D2EA2"/>
    <w:rsid w:val="21851E83"/>
    <w:rsid w:val="21861507"/>
    <w:rsid w:val="219020E3"/>
    <w:rsid w:val="21916EE8"/>
    <w:rsid w:val="219A308D"/>
    <w:rsid w:val="219F5834"/>
    <w:rsid w:val="21A35D48"/>
    <w:rsid w:val="21C12688"/>
    <w:rsid w:val="21CC4855"/>
    <w:rsid w:val="21E233A3"/>
    <w:rsid w:val="21E23F6C"/>
    <w:rsid w:val="21E345FD"/>
    <w:rsid w:val="21E55FF4"/>
    <w:rsid w:val="22171E1E"/>
    <w:rsid w:val="22383B4D"/>
    <w:rsid w:val="22466CD3"/>
    <w:rsid w:val="225D1D49"/>
    <w:rsid w:val="225D33C8"/>
    <w:rsid w:val="226239FE"/>
    <w:rsid w:val="22626562"/>
    <w:rsid w:val="226A76AE"/>
    <w:rsid w:val="22733EB6"/>
    <w:rsid w:val="22906578"/>
    <w:rsid w:val="22973E77"/>
    <w:rsid w:val="22AB58F3"/>
    <w:rsid w:val="22C13FD4"/>
    <w:rsid w:val="22C24771"/>
    <w:rsid w:val="22CB0895"/>
    <w:rsid w:val="231527D7"/>
    <w:rsid w:val="23185AD8"/>
    <w:rsid w:val="23336451"/>
    <w:rsid w:val="23474320"/>
    <w:rsid w:val="23492735"/>
    <w:rsid w:val="235B5F37"/>
    <w:rsid w:val="235C3EA6"/>
    <w:rsid w:val="23604810"/>
    <w:rsid w:val="237A7609"/>
    <w:rsid w:val="23BE4330"/>
    <w:rsid w:val="23BF0A62"/>
    <w:rsid w:val="23C263BB"/>
    <w:rsid w:val="23D04F68"/>
    <w:rsid w:val="23D50A64"/>
    <w:rsid w:val="23FC0268"/>
    <w:rsid w:val="240B4621"/>
    <w:rsid w:val="241061D3"/>
    <w:rsid w:val="24114322"/>
    <w:rsid w:val="24122F3C"/>
    <w:rsid w:val="24181A61"/>
    <w:rsid w:val="241A4D23"/>
    <w:rsid w:val="244328F6"/>
    <w:rsid w:val="245032E9"/>
    <w:rsid w:val="24536196"/>
    <w:rsid w:val="24626203"/>
    <w:rsid w:val="247573F6"/>
    <w:rsid w:val="247A4BE7"/>
    <w:rsid w:val="24806762"/>
    <w:rsid w:val="24814D5C"/>
    <w:rsid w:val="24831C33"/>
    <w:rsid w:val="248601CB"/>
    <w:rsid w:val="24917BA8"/>
    <w:rsid w:val="24981483"/>
    <w:rsid w:val="249B0370"/>
    <w:rsid w:val="24A24AC6"/>
    <w:rsid w:val="24B93055"/>
    <w:rsid w:val="24C252E5"/>
    <w:rsid w:val="24C93BB5"/>
    <w:rsid w:val="24D02E03"/>
    <w:rsid w:val="24F86BC7"/>
    <w:rsid w:val="250F44FD"/>
    <w:rsid w:val="2514288A"/>
    <w:rsid w:val="256609A5"/>
    <w:rsid w:val="25781237"/>
    <w:rsid w:val="257A6914"/>
    <w:rsid w:val="2588530F"/>
    <w:rsid w:val="25963C8A"/>
    <w:rsid w:val="25AB3731"/>
    <w:rsid w:val="25B464A2"/>
    <w:rsid w:val="25BA0209"/>
    <w:rsid w:val="25BB4BF0"/>
    <w:rsid w:val="25E62DA9"/>
    <w:rsid w:val="25F465E7"/>
    <w:rsid w:val="25F6641C"/>
    <w:rsid w:val="25F74FA1"/>
    <w:rsid w:val="25FC3091"/>
    <w:rsid w:val="25FD11FA"/>
    <w:rsid w:val="25FF3210"/>
    <w:rsid w:val="2611098A"/>
    <w:rsid w:val="264221C6"/>
    <w:rsid w:val="265D3370"/>
    <w:rsid w:val="26666555"/>
    <w:rsid w:val="268B7C99"/>
    <w:rsid w:val="268C4A4A"/>
    <w:rsid w:val="269A7501"/>
    <w:rsid w:val="26A3584F"/>
    <w:rsid w:val="26A66B0A"/>
    <w:rsid w:val="26A73989"/>
    <w:rsid w:val="26A86D42"/>
    <w:rsid w:val="26C30557"/>
    <w:rsid w:val="26CB2EBC"/>
    <w:rsid w:val="26CB4B73"/>
    <w:rsid w:val="26E34A7B"/>
    <w:rsid w:val="26E9756C"/>
    <w:rsid w:val="26FA4570"/>
    <w:rsid w:val="27217FF0"/>
    <w:rsid w:val="27242893"/>
    <w:rsid w:val="273612F4"/>
    <w:rsid w:val="27445146"/>
    <w:rsid w:val="277602F5"/>
    <w:rsid w:val="278038CA"/>
    <w:rsid w:val="27C33BB0"/>
    <w:rsid w:val="27C55F98"/>
    <w:rsid w:val="27CC0CD0"/>
    <w:rsid w:val="27D071BC"/>
    <w:rsid w:val="27D4538F"/>
    <w:rsid w:val="27DE15AE"/>
    <w:rsid w:val="27E03A2F"/>
    <w:rsid w:val="280D297A"/>
    <w:rsid w:val="28276A98"/>
    <w:rsid w:val="285710C8"/>
    <w:rsid w:val="285C4BAF"/>
    <w:rsid w:val="285D0F42"/>
    <w:rsid w:val="28703320"/>
    <w:rsid w:val="289539A5"/>
    <w:rsid w:val="289F019A"/>
    <w:rsid w:val="28CC6ED5"/>
    <w:rsid w:val="28F010D9"/>
    <w:rsid w:val="28F05C88"/>
    <w:rsid w:val="29082E70"/>
    <w:rsid w:val="291343EF"/>
    <w:rsid w:val="29166F16"/>
    <w:rsid w:val="294D5371"/>
    <w:rsid w:val="295A5964"/>
    <w:rsid w:val="29626133"/>
    <w:rsid w:val="29702C6A"/>
    <w:rsid w:val="298756CC"/>
    <w:rsid w:val="29A81FA5"/>
    <w:rsid w:val="29AB297C"/>
    <w:rsid w:val="29C535D7"/>
    <w:rsid w:val="29C65905"/>
    <w:rsid w:val="29DA5777"/>
    <w:rsid w:val="29DF2425"/>
    <w:rsid w:val="2A0E6FDD"/>
    <w:rsid w:val="2A142C99"/>
    <w:rsid w:val="2A1E4871"/>
    <w:rsid w:val="2A214539"/>
    <w:rsid w:val="2A367BB2"/>
    <w:rsid w:val="2A3D54FD"/>
    <w:rsid w:val="2A410FE5"/>
    <w:rsid w:val="2A4173A1"/>
    <w:rsid w:val="2A596631"/>
    <w:rsid w:val="2A5A05BF"/>
    <w:rsid w:val="2A5F2983"/>
    <w:rsid w:val="2A601F6F"/>
    <w:rsid w:val="2A7A07C0"/>
    <w:rsid w:val="2AB17620"/>
    <w:rsid w:val="2AB30FEA"/>
    <w:rsid w:val="2AB657B1"/>
    <w:rsid w:val="2AE07913"/>
    <w:rsid w:val="2AEA3FC0"/>
    <w:rsid w:val="2AEA4AC4"/>
    <w:rsid w:val="2B0E64B5"/>
    <w:rsid w:val="2B166BF6"/>
    <w:rsid w:val="2B2B0DE1"/>
    <w:rsid w:val="2B3E1E16"/>
    <w:rsid w:val="2B5D0E3B"/>
    <w:rsid w:val="2B5E2134"/>
    <w:rsid w:val="2B6F3EEE"/>
    <w:rsid w:val="2B70774D"/>
    <w:rsid w:val="2B7D446F"/>
    <w:rsid w:val="2B8D4A3E"/>
    <w:rsid w:val="2BCC1BD6"/>
    <w:rsid w:val="2BD27B06"/>
    <w:rsid w:val="2BDF0CFB"/>
    <w:rsid w:val="2BE234F2"/>
    <w:rsid w:val="2BE33AA6"/>
    <w:rsid w:val="2BE40B44"/>
    <w:rsid w:val="2BEF68A7"/>
    <w:rsid w:val="2BF22DBE"/>
    <w:rsid w:val="2BF73785"/>
    <w:rsid w:val="2C0F30B3"/>
    <w:rsid w:val="2C1235EB"/>
    <w:rsid w:val="2C162BEC"/>
    <w:rsid w:val="2C2F0BC4"/>
    <w:rsid w:val="2C391765"/>
    <w:rsid w:val="2C3D18DD"/>
    <w:rsid w:val="2C3D5EB9"/>
    <w:rsid w:val="2C4C0F0A"/>
    <w:rsid w:val="2C5254C3"/>
    <w:rsid w:val="2C532EF2"/>
    <w:rsid w:val="2C5C500F"/>
    <w:rsid w:val="2C6E3526"/>
    <w:rsid w:val="2C6F1E54"/>
    <w:rsid w:val="2C993631"/>
    <w:rsid w:val="2C9B7E11"/>
    <w:rsid w:val="2CAF1058"/>
    <w:rsid w:val="2CB32C99"/>
    <w:rsid w:val="2CBC36F5"/>
    <w:rsid w:val="2CC907F0"/>
    <w:rsid w:val="2CCC5126"/>
    <w:rsid w:val="2CF756B7"/>
    <w:rsid w:val="2CF9252D"/>
    <w:rsid w:val="2CF97782"/>
    <w:rsid w:val="2D107154"/>
    <w:rsid w:val="2D143281"/>
    <w:rsid w:val="2D1C79F8"/>
    <w:rsid w:val="2D30327E"/>
    <w:rsid w:val="2D324177"/>
    <w:rsid w:val="2D5A7835"/>
    <w:rsid w:val="2D6578A0"/>
    <w:rsid w:val="2D7343C9"/>
    <w:rsid w:val="2DE44256"/>
    <w:rsid w:val="2DE557EB"/>
    <w:rsid w:val="2E0E6D42"/>
    <w:rsid w:val="2E0F4249"/>
    <w:rsid w:val="2E2F0A58"/>
    <w:rsid w:val="2E447583"/>
    <w:rsid w:val="2E4B4467"/>
    <w:rsid w:val="2E5520B9"/>
    <w:rsid w:val="2E63548C"/>
    <w:rsid w:val="2E640C1C"/>
    <w:rsid w:val="2E6B523D"/>
    <w:rsid w:val="2E7A08F9"/>
    <w:rsid w:val="2E7B33BD"/>
    <w:rsid w:val="2E836803"/>
    <w:rsid w:val="2E96363C"/>
    <w:rsid w:val="2EB86707"/>
    <w:rsid w:val="2EC92184"/>
    <w:rsid w:val="2ECD27F6"/>
    <w:rsid w:val="2F0E1C14"/>
    <w:rsid w:val="2F366FC1"/>
    <w:rsid w:val="2F5034C7"/>
    <w:rsid w:val="2F866106"/>
    <w:rsid w:val="2FA3249D"/>
    <w:rsid w:val="2FC05B92"/>
    <w:rsid w:val="2FDE3BE4"/>
    <w:rsid w:val="2FEC1413"/>
    <w:rsid w:val="2FEF5C51"/>
    <w:rsid w:val="301F1E0F"/>
    <w:rsid w:val="302E6295"/>
    <w:rsid w:val="303329F0"/>
    <w:rsid w:val="303818E5"/>
    <w:rsid w:val="303F1851"/>
    <w:rsid w:val="303F79AD"/>
    <w:rsid w:val="30492212"/>
    <w:rsid w:val="304C3A2B"/>
    <w:rsid w:val="30596318"/>
    <w:rsid w:val="306F339C"/>
    <w:rsid w:val="30762710"/>
    <w:rsid w:val="30814CF1"/>
    <w:rsid w:val="308E4163"/>
    <w:rsid w:val="30C20BA4"/>
    <w:rsid w:val="30C478ED"/>
    <w:rsid w:val="30EC01FB"/>
    <w:rsid w:val="30F54D00"/>
    <w:rsid w:val="31026564"/>
    <w:rsid w:val="310A5122"/>
    <w:rsid w:val="312107CD"/>
    <w:rsid w:val="31210CA8"/>
    <w:rsid w:val="31215285"/>
    <w:rsid w:val="312D0344"/>
    <w:rsid w:val="31346C1B"/>
    <w:rsid w:val="314A407E"/>
    <w:rsid w:val="317038BB"/>
    <w:rsid w:val="317958D0"/>
    <w:rsid w:val="318D218C"/>
    <w:rsid w:val="31964319"/>
    <w:rsid w:val="319A32FE"/>
    <w:rsid w:val="31A53AB7"/>
    <w:rsid w:val="31A801F9"/>
    <w:rsid w:val="31C57FB2"/>
    <w:rsid w:val="31C932E2"/>
    <w:rsid w:val="31EC6FED"/>
    <w:rsid w:val="31F61F62"/>
    <w:rsid w:val="320358D0"/>
    <w:rsid w:val="32052FE4"/>
    <w:rsid w:val="320B77FD"/>
    <w:rsid w:val="321976B1"/>
    <w:rsid w:val="321D6876"/>
    <w:rsid w:val="3220390C"/>
    <w:rsid w:val="322B51BC"/>
    <w:rsid w:val="322F26BF"/>
    <w:rsid w:val="32313F22"/>
    <w:rsid w:val="32643522"/>
    <w:rsid w:val="326470BA"/>
    <w:rsid w:val="32744A8B"/>
    <w:rsid w:val="32753DA5"/>
    <w:rsid w:val="32886DB3"/>
    <w:rsid w:val="32895C45"/>
    <w:rsid w:val="32A43D99"/>
    <w:rsid w:val="32B141E0"/>
    <w:rsid w:val="32B44D2D"/>
    <w:rsid w:val="32C90A49"/>
    <w:rsid w:val="32FA2D7F"/>
    <w:rsid w:val="32FC6C4E"/>
    <w:rsid w:val="33085CC5"/>
    <w:rsid w:val="33262CBA"/>
    <w:rsid w:val="332B323C"/>
    <w:rsid w:val="332E3189"/>
    <w:rsid w:val="335B62EC"/>
    <w:rsid w:val="335E79BA"/>
    <w:rsid w:val="3360061D"/>
    <w:rsid w:val="336549AB"/>
    <w:rsid w:val="33782709"/>
    <w:rsid w:val="3392025F"/>
    <w:rsid w:val="33A8285D"/>
    <w:rsid w:val="33AC1E29"/>
    <w:rsid w:val="33B17041"/>
    <w:rsid w:val="33B202F3"/>
    <w:rsid w:val="33B20F64"/>
    <w:rsid w:val="33EE53FA"/>
    <w:rsid w:val="33FD7485"/>
    <w:rsid w:val="34012F1B"/>
    <w:rsid w:val="34467089"/>
    <w:rsid w:val="34523AB5"/>
    <w:rsid w:val="346B4B47"/>
    <w:rsid w:val="346E4F77"/>
    <w:rsid w:val="34762AAC"/>
    <w:rsid w:val="348402A8"/>
    <w:rsid w:val="34B510BB"/>
    <w:rsid w:val="34BB2714"/>
    <w:rsid w:val="34C25EF7"/>
    <w:rsid w:val="34D20F28"/>
    <w:rsid w:val="34E22DC0"/>
    <w:rsid w:val="350233D4"/>
    <w:rsid w:val="35195F01"/>
    <w:rsid w:val="35313A72"/>
    <w:rsid w:val="35493C91"/>
    <w:rsid w:val="355C0228"/>
    <w:rsid w:val="357800DF"/>
    <w:rsid w:val="358527FB"/>
    <w:rsid w:val="358B5BCF"/>
    <w:rsid w:val="359A77E8"/>
    <w:rsid w:val="35A1790B"/>
    <w:rsid w:val="35A45B99"/>
    <w:rsid w:val="35B01090"/>
    <w:rsid w:val="35DD2073"/>
    <w:rsid w:val="35DF75FB"/>
    <w:rsid w:val="35EB21A5"/>
    <w:rsid w:val="35F52D00"/>
    <w:rsid w:val="35FF153A"/>
    <w:rsid w:val="3606622C"/>
    <w:rsid w:val="36077316"/>
    <w:rsid w:val="3613278E"/>
    <w:rsid w:val="36356D4F"/>
    <w:rsid w:val="36405687"/>
    <w:rsid w:val="36414112"/>
    <w:rsid w:val="365F3D60"/>
    <w:rsid w:val="36645530"/>
    <w:rsid w:val="367851C1"/>
    <w:rsid w:val="369510BC"/>
    <w:rsid w:val="36973632"/>
    <w:rsid w:val="36A30194"/>
    <w:rsid w:val="36D21A02"/>
    <w:rsid w:val="37104DEB"/>
    <w:rsid w:val="372D0977"/>
    <w:rsid w:val="37337382"/>
    <w:rsid w:val="374D5647"/>
    <w:rsid w:val="374F42A7"/>
    <w:rsid w:val="37506DBE"/>
    <w:rsid w:val="3759338C"/>
    <w:rsid w:val="37654002"/>
    <w:rsid w:val="378E3E66"/>
    <w:rsid w:val="37C244FC"/>
    <w:rsid w:val="37D95C79"/>
    <w:rsid w:val="37E81F7B"/>
    <w:rsid w:val="38026A1B"/>
    <w:rsid w:val="38197832"/>
    <w:rsid w:val="383903C6"/>
    <w:rsid w:val="383C423B"/>
    <w:rsid w:val="38415136"/>
    <w:rsid w:val="386C1D38"/>
    <w:rsid w:val="387A25A5"/>
    <w:rsid w:val="38963295"/>
    <w:rsid w:val="389D2F53"/>
    <w:rsid w:val="38A945B7"/>
    <w:rsid w:val="38CC2A09"/>
    <w:rsid w:val="38D677A2"/>
    <w:rsid w:val="38D770AE"/>
    <w:rsid w:val="38F70050"/>
    <w:rsid w:val="38FC33FC"/>
    <w:rsid w:val="38FD0E84"/>
    <w:rsid w:val="38FF1B5B"/>
    <w:rsid w:val="390273B1"/>
    <w:rsid w:val="39153767"/>
    <w:rsid w:val="39225CA9"/>
    <w:rsid w:val="3923070B"/>
    <w:rsid w:val="392C49BB"/>
    <w:rsid w:val="39381E2B"/>
    <w:rsid w:val="3942282F"/>
    <w:rsid w:val="3953338B"/>
    <w:rsid w:val="396B7002"/>
    <w:rsid w:val="396C2A15"/>
    <w:rsid w:val="39940136"/>
    <w:rsid w:val="39AC01F9"/>
    <w:rsid w:val="39B73BAC"/>
    <w:rsid w:val="39B7517F"/>
    <w:rsid w:val="39BA3B51"/>
    <w:rsid w:val="39C20795"/>
    <w:rsid w:val="39E90E2B"/>
    <w:rsid w:val="39E94D86"/>
    <w:rsid w:val="39F1638E"/>
    <w:rsid w:val="3A001C79"/>
    <w:rsid w:val="3A1513BA"/>
    <w:rsid w:val="3A2E618D"/>
    <w:rsid w:val="3A4109A1"/>
    <w:rsid w:val="3A742C8C"/>
    <w:rsid w:val="3A7B2702"/>
    <w:rsid w:val="3A896EEE"/>
    <w:rsid w:val="3AAA2893"/>
    <w:rsid w:val="3ABB15C7"/>
    <w:rsid w:val="3AD8279E"/>
    <w:rsid w:val="3AE73EDB"/>
    <w:rsid w:val="3B08641D"/>
    <w:rsid w:val="3B1C7A19"/>
    <w:rsid w:val="3B2B5582"/>
    <w:rsid w:val="3B4234D4"/>
    <w:rsid w:val="3B7622BA"/>
    <w:rsid w:val="3B7C1C88"/>
    <w:rsid w:val="3B8107C8"/>
    <w:rsid w:val="3B8972AA"/>
    <w:rsid w:val="3BA219B8"/>
    <w:rsid w:val="3BA96003"/>
    <w:rsid w:val="3BC61A51"/>
    <w:rsid w:val="3BE14893"/>
    <w:rsid w:val="3BE8265C"/>
    <w:rsid w:val="3BE92A35"/>
    <w:rsid w:val="3BEB460F"/>
    <w:rsid w:val="3BEF1DA2"/>
    <w:rsid w:val="3BF64635"/>
    <w:rsid w:val="3BF956C3"/>
    <w:rsid w:val="3C0E5CDB"/>
    <w:rsid w:val="3C4D3B02"/>
    <w:rsid w:val="3C5B1D89"/>
    <w:rsid w:val="3C85498F"/>
    <w:rsid w:val="3C8946A5"/>
    <w:rsid w:val="3CA372A1"/>
    <w:rsid w:val="3CA600E0"/>
    <w:rsid w:val="3CB765A9"/>
    <w:rsid w:val="3CBA4326"/>
    <w:rsid w:val="3CBC0BE3"/>
    <w:rsid w:val="3CC614DA"/>
    <w:rsid w:val="3CD01DA9"/>
    <w:rsid w:val="3CDA38F5"/>
    <w:rsid w:val="3CDD517D"/>
    <w:rsid w:val="3CE33FC3"/>
    <w:rsid w:val="3CEA3B31"/>
    <w:rsid w:val="3CF9401E"/>
    <w:rsid w:val="3CFC6325"/>
    <w:rsid w:val="3D093C71"/>
    <w:rsid w:val="3D1A22C0"/>
    <w:rsid w:val="3D294B1B"/>
    <w:rsid w:val="3D2B034D"/>
    <w:rsid w:val="3D5A60CA"/>
    <w:rsid w:val="3D9F4364"/>
    <w:rsid w:val="3DA702BF"/>
    <w:rsid w:val="3DB92106"/>
    <w:rsid w:val="3DCF457D"/>
    <w:rsid w:val="3DF169A7"/>
    <w:rsid w:val="3DF2399F"/>
    <w:rsid w:val="3DF40FE4"/>
    <w:rsid w:val="3E0519AD"/>
    <w:rsid w:val="3E4A1D40"/>
    <w:rsid w:val="3E4C287B"/>
    <w:rsid w:val="3E633FD2"/>
    <w:rsid w:val="3E6F32D2"/>
    <w:rsid w:val="3E742C66"/>
    <w:rsid w:val="3E7E19E7"/>
    <w:rsid w:val="3E8572BF"/>
    <w:rsid w:val="3E917B82"/>
    <w:rsid w:val="3E9656A5"/>
    <w:rsid w:val="3E997463"/>
    <w:rsid w:val="3E9F7600"/>
    <w:rsid w:val="3ECD5479"/>
    <w:rsid w:val="3ED62B90"/>
    <w:rsid w:val="3EE34DD3"/>
    <w:rsid w:val="3EF434CC"/>
    <w:rsid w:val="3EFB6FF7"/>
    <w:rsid w:val="3EFF0A75"/>
    <w:rsid w:val="3F1054CE"/>
    <w:rsid w:val="3F2534F3"/>
    <w:rsid w:val="3F3A1B65"/>
    <w:rsid w:val="3F3A5EB9"/>
    <w:rsid w:val="3F522210"/>
    <w:rsid w:val="3F544AF6"/>
    <w:rsid w:val="3F5C361D"/>
    <w:rsid w:val="3F5E64F5"/>
    <w:rsid w:val="3F656E2C"/>
    <w:rsid w:val="3F6D5029"/>
    <w:rsid w:val="3F92376D"/>
    <w:rsid w:val="3F9C1CD6"/>
    <w:rsid w:val="3FB035B9"/>
    <w:rsid w:val="3FC45A80"/>
    <w:rsid w:val="3FDE13B9"/>
    <w:rsid w:val="3FE029F1"/>
    <w:rsid w:val="3FE457AE"/>
    <w:rsid w:val="3FE57701"/>
    <w:rsid w:val="400C4E03"/>
    <w:rsid w:val="40126EBB"/>
    <w:rsid w:val="401A4D54"/>
    <w:rsid w:val="40262C07"/>
    <w:rsid w:val="40362FE4"/>
    <w:rsid w:val="404209E3"/>
    <w:rsid w:val="40451C67"/>
    <w:rsid w:val="404A1B2B"/>
    <w:rsid w:val="404A601E"/>
    <w:rsid w:val="404C52F4"/>
    <w:rsid w:val="405C0FC1"/>
    <w:rsid w:val="40733CBA"/>
    <w:rsid w:val="407A4DF7"/>
    <w:rsid w:val="40B16CC2"/>
    <w:rsid w:val="40B81BAD"/>
    <w:rsid w:val="40BB2365"/>
    <w:rsid w:val="40D23962"/>
    <w:rsid w:val="40D61BC8"/>
    <w:rsid w:val="40DC4F1D"/>
    <w:rsid w:val="40DF2097"/>
    <w:rsid w:val="40E71ABD"/>
    <w:rsid w:val="413C11C7"/>
    <w:rsid w:val="41447F0E"/>
    <w:rsid w:val="414733E0"/>
    <w:rsid w:val="41566753"/>
    <w:rsid w:val="416A21FA"/>
    <w:rsid w:val="416B09D7"/>
    <w:rsid w:val="417D1E08"/>
    <w:rsid w:val="417D5552"/>
    <w:rsid w:val="4188208C"/>
    <w:rsid w:val="419B51EE"/>
    <w:rsid w:val="41B11897"/>
    <w:rsid w:val="41C57D35"/>
    <w:rsid w:val="41F34606"/>
    <w:rsid w:val="4200399D"/>
    <w:rsid w:val="420E20BD"/>
    <w:rsid w:val="421647B9"/>
    <w:rsid w:val="42263E3B"/>
    <w:rsid w:val="422C70F1"/>
    <w:rsid w:val="423C6CFA"/>
    <w:rsid w:val="42442693"/>
    <w:rsid w:val="428D1B97"/>
    <w:rsid w:val="42B608A5"/>
    <w:rsid w:val="42BC6C8F"/>
    <w:rsid w:val="42C5446D"/>
    <w:rsid w:val="42E94337"/>
    <w:rsid w:val="43031943"/>
    <w:rsid w:val="431327F1"/>
    <w:rsid w:val="43182DB2"/>
    <w:rsid w:val="4368794F"/>
    <w:rsid w:val="436D0FB5"/>
    <w:rsid w:val="437518D1"/>
    <w:rsid w:val="438D1E49"/>
    <w:rsid w:val="43B23B98"/>
    <w:rsid w:val="43C80076"/>
    <w:rsid w:val="43D8550E"/>
    <w:rsid w:val="43DC0C7D"/>
    <w:rsid w:val="43EA69D8"/>
    <w:rsid w:val="44356D2F"/>
    <w:rsid w:val="44390E25"/>
    <w:rsid w:val="44433468"/>
    <w:rsid w:val="44437F9F"/>
    <w:rsid w:val="444F5C68"/>
    <w:rsid w:val="44613E6E"/>
    <w:rsid w:val="446A5324"/>
    <w:rsid w:val="447E7804"/>
    <w:rsid w:val="44943661"/>
    <w:rsid w:val="44A05C5C"/>
    <w:rsid w:val="44AC7417"/>
    <w:rsid w:val="44B16853"/>
    <w:rsid w:val="450D5FAD"/>
    <w:rsid w:val="45172F07"/>
    <w:rsid w:val="451D5184"/>
    <w:rsid w:val="452F3716"/>
    <w:rsid w:val="453C65FD"/>
    <w:rsid w:val="454B256E"/>
    <w:rsid w:val="455D76E4"/>
    <w:rsid w:val="45646F33"/>
    <w:rsid w:val="45671007"/>
    <w:rsid w:val="456C331B"/>
    <w:rsid w:val="457353E6"/>
    <w:rsid w:val="45A26739"/>
    <w:rsid w:val="45B07140"/>
    <w:rsid w:val="45C43431"/>
    <w:rsid w:val="45EE3358"/>
    <w:rsid w:val="46066722"/>
    <w:rsid w:val="461976C3"/>
    <w:rsid w:val="461C0664"/>
    <w:rsid w:val="463D42BA"/>
    <w:rsid w:val="46521A41"/>
    <w:rsid w:val="465D50F1"/>
    <w:rsid w:val="46771C91"/>
    <w:rsid w:val="467F06A4"/>
    <w:rsid w:val="4694259D"/>
    <w:rsid w:val="46A64B43"/>
    <w:rsid w:val="46AA5A85"/>
    <w:rsid w:val="46AC6264"/>
    <w:rsid w:val="46C01696"/>
    <w:rsid w:val="46C52BE0"/>
    <w:rsid w:val="46D118AB"/>
    <w:rsid w:val="46F30AEE"/>
    <w:rsid w:val="47123940"/>
    <w:rsid w:val="47204C1C"/>
    <w:rsid w:val="4726595C"/>
    <w:rsid w:val="47600773"/>
    <w:rsid w:val="47661F26"/>
    <w:rsid w:val="476E25F3"/>
    <w:rsid w:val="47783B12"/>
    <w:rsid w:val="477D5156"/>
    <w:rsid w:val="477F2265"/>
    <w:rsid w:val="47890AD6"/>
    <w:rsid w:val="478D2FF6"/>
    <w:rsid w:val="478F6037"/>
    <w:rsid w:val="4798720D"/>
    <w:rsid w:val="47BF7C9C"/>
    <w:rsid w:val="47C2246C"/>
    <w:rsid w:val="47CA5F05"/>
    <w:rsid w:val="47DA1720"/>
    <w:rsid w:val="47E11737"/>
    <w:rsid w:val="47E77D53"/>
    <w:rsid w:val="47EE48C0"/>
    <w:rsid w:val="47F35E3E"/>
    <w:rsid w:val="47FB766F"/>
    <w:rsid w:val="48064E6E"/>
    <w:rsid w:val="4808575C"/>
    <w:rsid w:val="480B439D"/>
    <w:rsid w:val="482F10F4"/>
    <w:rsid w:val="48606A0B"/>
    <w:rsid w:val="486D78BB"/>
    <w:rsid w:val="48915636"/>
    <w:rsid w:val="48985F31"/>
    <w:rsid w:val="48AC6E35"/>
    <w:rsid w:val="48BD43A0"/>
    <w:rsid w:val="48C96968"/>
    <w:rsid w:val="48F84416"/>
    <w:rsid w:val="490874C4"/>
    <w:rsid w:val="491A6A98"/>
    <w:rsid w:val="491D4AAF"/>
    <w:rsid w:val="4926292B"/>
    <w:rsid w:val="49371235"/>
    <w:rsid w:val="494324F6"/>
    <w:rsid w:val="49455D20"/>
    <w:rsid w:val="497B341F"/>
    <w:rsid w:val="49B415EE"/>
    <w:rsid w:val="49B63FD6"/>
    <w:rsid w:val="49BF4D00"/>
    <w:rsid w:val="49D1562B"/>
    <w:rsid w:val="49DE1EF5"/>
    <w:rsid w:val="49E579C4"/>
    <w:rsid w:val="49EA2381"/>
    <w:rsid w:val="49F43753"/>
    <w:rsid w:val="49F54A10"/>
    <w:rsid w:val="49F94CE9"/>
    <w:rsid w:val="49FE0E45"/>
    <w:rsid w:val="4A040938"/>
    <w:rsid w:val="4A11169A"/>
    <w:rsid w:val="4A212635"/>
    <w:rsid w:val="4A2175B6"/>
    <w:rsid w:val="4A4260CB"/>
    <w:rsid w:val="4A611E1A"/>
    <w:rsid w:val="4A7055A6"/>
    <w:rsid w:val="4A9C47ED"/>
    <w:rsid w:val="4AA71D5E"/>
    <w:rsid w:val="4AAA6CA9"/>
    <w:rsid w:val="4AE008D2"/>
    <w:rsid w:val="4B0B3617"/>
    <w:rsid w:val="4B2815DF"/>
    <w:rsid w:val="4B473F5E"/>
    <w:rsid w:val="4B49191E"/>
    <w:rsid w:val="4B507FB2"/>
    <w:rsid w:val="4B647620"/>
    <w:rsid w:val="4B695935"/>
    <w:rsid w:val="4B7A55E6"/>
    <w:rsid w:val="4B82653E"/>
    <w:rsid w:val="4B894031"/>
    <w:rsid w:val="4B8C1A83"/>
    <w:rsid w:val="4B946154"/>
    <w:rsid w:val="4BB12731"/>
    <w:rsid w:val="4BE10A59"/>
    <w:rsid w:val="4BE123D1"/>
    <w:rsid w:val="4C0A534C"/>
    <w:rsid w:val="4C0F01F9"/>
    <w:rsid w:val="4C270B31"/>
    <w:rsid w:val="4C3202E6"/>
    <w:rsid w:val="4C4A6E65"/>
    <w:rsid w:val="4C6370A1"/>
    <w:rsid w:val="4C736886"/>
    <w:rsid w:val="4C7F7CEF"/>
    <w:rsid w:val="4C82118E"/>
    <w:rsid w:val="4C821AA7"/>
    <w:rsid w:val="4CA43125"/>
    <w:rsid w:val="4CAC2A11"/>
    <w:rsid w:val="4CB01CB9"/>
    <w:rsid w:val="4CCD33EA"/>
    <w:rsid w:val="4CCF426B"/>
    <w:rsid w:val="4CFE069C"/>
    <w:rsid w:val="4D033F9C"/>
    <w:rsid w:val="4D055E23"/>
    <w:rsid w:val="4D2433AC"/>
    <w:rsid w:val="4D4A4A28"/>
    <w:rsid w:val="4D5D7D7F"/>
    <w:rsid w:val="4D625C01"/>
    <w:rsid w:val="4D8F350E"/>
    <w:rsid w:val="4D924E46"/>
    <w:rsid w:val="4D9877E4"/>
    <w:rsid w:val="4DBD22E7"/>
    <w:rsid w:val="4DC73507"/>
    <w:rsid w:val="4DDA6A5F"/>
    <w:rsid w:val="4DDB7205"/>
    <w:rsid w:val="4DDF772B"/>
    <w:rsid w:val="4DEB15AD"/>
    <w:rsid w:val="4DF87443"/>
    <w:rsid w:val="4E370600"/>
    <w:rsid w:val="4E435024"/>
    <w:rsid w:val="4E4E7E80"/>
    <w:rsid w:val="4E534A5B"/>
    <w:rsid w:val="4E5C5562"/>
    <w:rsid w:val="4E5F69A8"/>
    <w:rsid w:val="4E655726"/>
    <w:rsid w:val="4E754A02"/>
    <w:rsid w:val="4E95725E"/>
    <w:rsid w:val="4E9A6CF9"/>
    <w:rsid w:val="4EA65FD0"/>
    <w:rsid w:val="4ED33DCB"/>
    <w:rsid w:val="4EE34782"/>
    <w:rsid w:val="4EE63F4F"/>
    <w:rsid w:val="4F007E65"/>
    <w:rsid w:val="4F0A1AF8"/>
    <w:rsid w:val="4F203D73"/>
    <w:rsid w:val="4F27252E"/>
    <w:rsid w:val="4F323E26"/>
    <w:rsid w:val="4F3913E8"/>
    <w:rsid w:val="4F501419"/>
    <w:rsid w:val="4F594DAC"/>
    <w:rsid w:val="4F6C3F07"/>
    <w:rsid w:val="4F830574"/>
    <w:rsid w:val="4F8D5FB6"/>
    <w:rsid w:val="4F9753D7"/>
    <w:rsid w:val="4FA54804"/>
    <w:rsid w:val="4FBF34BA"/>
    <w:rsid w:val="4FCA2B98"/>
    <w:rsid w:val="4FCB218A"/>
    <w:rsid w:val="4FCE7BAE"/>
    <w:rsid w:val="4FFE4A87"/>
    <w:rsid w:val="500344EA"/>
    <w:rsid w:val="500B7B4C"/>
    <w:rsid w:val="503C3296"/>
    <w:rsid w:val="504B0F0D"/>
    <w:rsid w:val="50527689"/>
    <w:rsid w:val="506633AA"/>
    <w:rsid w:val="507237E3"/>
    <w:rsid w:val="50911DB8"/>
    <w:rsid w:val="50943033"/>
    <w:rsid w:val="509D389C"/>
    <w:rsid w:val="50A642FD"/>
    <w:rsid w:val="50AF647F"/>
    <w:rsid w:val="50BB317D"/>
    <w:rsid w:val="50D06E68"/>
    <w:rsid w:val="50D37C72"/>
    <w:rsid w:val="50E466DC"/>
    <w:rsid w:val="50EA1869"/>
    <w:rsid w:val="50FD00F4"/>
    <w:rsid w:val="50FF056E"/>
    <w:rsid w:val="510F2A7F"/>
    <w:rsid w:val="512746EF"/>
    <w:rsid w:val="51283E4C"/>
    <w:rsid w:val="51291D35"/>
    <w:rsid w:val="512B3A7F"/>
    <w:rsid w:val="51414399"/>
    <w:rsid w:val="515D5FD6"/>
    <w:rsid w:val="516A7012"/>
    <w:rsid w:val="51721A38"/>
    <w:rsid w:val="517D016D"/>
    <w:rsid w:val="51A45867"/>
    <w:rsid w:val="51AD7250"/>
    <w:rsid w:val="51CF1465"/>
    <w:rsid w:val="51D1247D"/>
    <w:rsid w:val="51EC4955"/>
    <w:rsid w:val="51F067B7"/>
    <w:rsid w:val="52077D46"/>
    <w:rsid w:val="52187D0D"/>
    <w:rsid w:val="52361B9C"/>
    <w:rsid w:val="52362A26"/>
    <w:rsid w:val="523B0BAD"/>
    <w:rsid w:val="524B7169"/>
    <w:rsid w:val="5250515D"/>
    <w:rsid w:val="526921DD"/>
    <w:rsid w:val="5297132B"/>
    <w:rsid w:val="529F28D8"/>
    <w:rsid w:val="529F6FBB"/>
    <w:rsid w:val="52C076EC"/>
    <w:rsid w:val="52C25708"/>
    <w:rsid w:val="52C315CC"/>
    <w:rsid w:val="52CD10CA"/>
    <w:rsid w:val="52EB6F11"/>
    <w:rsid w:val="52F0249E"/>
    <w:rsid w:val="5353575F"/>
    <w:rsid w:val="535B2E70"/>
    <w:rsid w:val="535C4E8B"/>
    <w:rsid w:val="536278AA"/>
    <w:rsid w:val="53673357"/>
    <w:rsid w:val="53676B5F"/>
    <w:rsid w:val="536E21FF"/>
    <w:rsid w:val="5385006E"/>
    <w:rsid w:val="538A4A6D"/>
    <w:rsid w:val="53B45677"/>
    <w:rsid w:val="53DD2466"/>
    <w:rsid w:val="53E34323"/>
    <w:rsid w:val="53FC3987"/>
    <w:rsid w:val="5427381E"/>
    <w:rsid w:val="543B788E"/>
    <w:rsid w:val="54447CBB"/>
    <w:rsid w:val="545062A7"/>
    <w:rsid w:val="545C3555"/>
    <w:rsid w:val="54617320"/>
    <w:rsid w:val="546B7158"/>
    <w:rsid w:val="547A28DC"/>
    <w:rsid w:val="54827775"/>
    <w:rsid w:val="54AC5134"/>
    <w:rsid w:val="54DE6078"/>
    <w:rsid w:val="54E86EBD"/>
    <w:rsid w:val="54F2526E"/>
    <w:rsid w:val="55075D9B"/>
    <w:rsid w:val="55184BBF"/>
    <w:rsid w:val="551874CA"/>
    <w:rsid w:val="551E6A56"/>
    <w:rsid w:val="552006D3"/>
    <w:rsid w:val="55301CB3"/>
    <w:rsid w:val="55327054"/>
    <w:rsid w:val="553A26BA"/>
    <w:rsid w:val="5556054C"/>
    <w:rsid w:val="55862A42"/>
    <w:rsid w:val="55990578"/>
    <w:rsid w:val="55A56891"/>
    <w:rsid w:val="55AC66CB"/>
    <w:rsid w:val="55C33131"/>
    <w:rsid w:val="55CD7903"/>
    <w:rsid w:val="55E172A0"/>
    <w:rsid w:val="55E24605"/>
    <w:rsid w:val="55F81C60"/>
    <w:rsid w:val="55FA0F14"/>
    <w:rsid w:val="56097F90"/>
    <w:rsid w:val="56133E90"/>
    <w:rsid w:val="56474D43"/>
    <w:rsid w:val="564C1D1D"/>
    <w:rsid w:val="565F1E2E"/>
    <w:rsid w:val="56670F45"/>
    <w:rsid w:val="566F1BE2"/>
    <w:rsid w:val="567B004B"/>
    <w:rsid w:val="56825178"/>
    <w:rsid w:val="568F784B"/>
    <w:rsid w:val="569C0124"/>
    <w:rsid w:val="56A17AE8"/>
    <w:rsid w:val="56C9634D"/>
    <w:rsid w:val="56D41BE8"/>
    <w:rsid w:val="56EC7A5D"/>
    <w:rsid w:val="56F4599D"/>
    <w:rsid w:val="570D0322"/>
    <w:rsid w:val="57180ACE"/>
    <w:rsid w:val="571B61B6"/>
    <w:rsid w:val="57213E7D"/>
    <w:rsid w:val="5723561B"/>
    <w:rsid w:val="572362C9"/>
    <w:rsid w:val="572F37C6"/>
    <w:rsid w:val="5736629C"/>
    <w:rsid w:val="57540996"/>
    <w:rsid w:val="57802A35"/>
    <w:rsid w:val="578C3658"/>
    <w:rsid w:val="57B66918"/>
    <w:rsid w:val="57BD6FCE"/>
    <w:rsid w:val="57D214D2"/>
    <w:rsid w:val="57DA1A42"/>
    <w:rsid w:val="58002D08"/>
    <w:rsid w:val="58057728"/>
    <w:rsid w:val="581D1F94"/>
    <w:rsid w:val="582872BA"/>
    <w:rsid w:val="5829318A"/>
    <w:rsid w:val="582D7EE9"/>
    <w:rsid w:val="583343BB"/>
    <w:rsid w:val="583439B3"/>
    <w:rsid w:val="583B5787"/>
    <w:rsid w:val="586759C7"/>
    <w:rsid w:val="58C07CA9"/>
    <w:rsid w:val="58DE5A38"/>
    <w:rsid w:val="58FA7B16"/>
    <w:rsid w:val="58FB22A6"/>
    <w:rsid w:val="59003437"/>
    <w:rsid w:val="59182EE7"/>
    <w:rsid w:val="5921212C"/>
    <w:rsid w:val="59395687"/>
    <w:rsid w:val="596F472F"/>
    <w:rsid w:val="5974345D"/>
    <w:rsid w:val="597534AA"/>
    <w:rsid w:val="59951C91"/>
    <w:rsid w:val="59982867"/>
    <w:rsid w:val="59A11ED6"/>
    <w:rsid w:val="59AB0DFC"/>
    <w:rsid w:val="59C1557F"/>
    <w:rsid w:val="59C8615E"/>
    <w:rsid w:val="59E771C2"/>
    <w:rsid w:val="59E84659"/>
    <w:rsid w:val="59FF2575"/>
    <w:rsid w:val="5A344FB0"/>
    <w:rsid w:val="5A360707"/>
    <w:rsid w:val="5A482568"/>
    <w:rsid w:val="5A5755C9"/>
    <w:rsid w:val="5A5A13C0"/>
    <w:rsid w:val="5A772EA3"/>
    <w:rsid w:val="5A7D29E6"/>
    <w:rsid w:val="5A821401"/>
    <w:rsid w:val="5A8A2B4B"/>
    <w:rsid w:val="5A9F5080"/>
    <w:rsid w:val="5AAB6618"/>
    <w:rsid w:val="5AC52E1B"/>
    <w:rsid w:val="5AE91049"/>
    <w:rsid w:val="5AEF582B"/>
    <w:rsid w:val="5B0B5334"/>
    <w:rsid w:val="5B1B7ACD"/>
    <w:rsid w:val="5B247C71"/>
    <w:rsid w:val="5B2A406A"/>
    <w:rsid w:val="5B2B06FA"/>
    <w:rsid w:val="5B392BD6"/>
    <w:rsid w:val="5B561D67"/>
    <w:rsid w:val="5B774FD6"/>
    <w:rsid w:val="5B814790"/>
    <w:rsid w:val="5B82237F"/>
    <w:rsid w:val="5B824855"/>
    <w:rsid w:val="5B856A19"/>
    <w:rsid w:val="5B88245B"/>
    <w:rsid w:val="5B8A0D7A"/>
    <w:rsid w:val="5B8B0F7C"/>
    <w:rsid w:val="5B9E05AD"/>
    <w:rsid w:val="5BBB1AC4"/>
    <w:rsid w:val="5BE11C63"/>
    <w:rsid w:val="5BF24E07"/>
    <w:rsid w:val="5BFB55EA"/>
    <w:rsid w:val="5C15792E"/>
    <w:rsid w:val="5C1A5869"/>
    <w:rsid w:val="5C2404DB"/>
    <w:rsid w:val="5C290BF2"/>
    <w:rsid w:val="5C4E1E1E"/>
    <w:rsid w:val="5C4F343B"/>
    <w:rsid w:val="5C6A79EB"/>
    <w:rsid w:val="5C912690"/>
    <w:rsid w:val="5C970365"/>
    <w:rsid w:val="5C9F632F"/>
    <w:rsid w:val="5CCB04A2"/>
    <w:rsid w:val="5CCD7E04"/>
    <w:rsid w:val="5CD51F6A"/>
    <w:rsid w:val="5CD6026B"/>
    <w:rsid w:val="5CE319F6"/>
    <w:rsid w:val="5CE42846"/>
    <w:rsid w:val="5CE9406B"/>
    <w:rsid w:val="5D0656E1"/>
    <w:rsid w:val="5D566DF5"/>
    <w:rsid w:val="5D5736EC"/>
    <w:rsid w:val="5D592213"/>
    <w:rsid w:val="5D7067ED"/>
    <w:rsid w:val="5D77660D"/>
    <w:rsid w:val="5D7A7C97"/>
    <w:rsid w:val="5D8A240A"/>
    <w:rsid w:val="5D8A4019"/>
    <w:rsid w:val="5D9907FA"/>
    <w:rsid w:val="5DCD4FAD"/>
    <w:rsid w:val="5DD45E20"/>
    <w:rsid w:val="5DD77F01"/>
    <w:rsid w:val="5DF376B4"/>
    <w:rsid w:val="5DF974C4"/>
    <w:rsid w:val="5E150E16"/>
    <w:rsid w:val="5E156702"/>
    <w:rsid w:val="5E2C3CE8"/>
    <w:rsid w:val="5E480DBB"/>
    <w:rsid w:val="5E532C32"/>
    <w:rsid w:val="5E6B78B9"/>
    <w:rsid w:val="5E72530D"/>
    <w:rsid w:val="5E7B3471"/>
    <w:rsid w:val="5E811840"/>
    <w:rsid w:val="5EAC620C"/>
    <w:rsid w:val="5EB56E43"/>
    <w:rsid w:val="5EDB6E5E"/>
    <w:rsid w:val="5F050603"/>
    <w:rsid w:val="5F0F5BF5"/>
    <w:rsid w:val="5F1070E5"/>
    <w:rsid w:val="5F137093"/>
    <w:rsid w:val="5F2925A9"/>
    <w:rsid w:val="5F475DFB"/>
    <w:rsid w:val="5F4A6912"/>
    <w:rsid w:val="5FA342D5"/>
    <w:rsid w:val="5FA40581"/>
    <w:rsid w:val="5FBF418B"/>
    <w:rsid w:val="5FC03F1C"/>
    <w:rsid w:val="5FC128D4"/>
    <w:rsid w:val="5FC577B3"/>
    <w:rsid w:val="5FFB751D"/>
    <w:rsid w:val="5FFC1DCE"/>
    <w:rsid w:val="602423C7"/>
    <w:rsid w:val="603F2394"/>
    <w:rsid w:val="604407B5"/>
    <w:rsid w:val="60487E62"/>
    <w:rsid w:val="605A5C34"/>
    <w:rsid w:val="60630B92"/>
    <w:rsid w:val="606E4C0D"/>
    <w:rsid w:val="608D2AFA"/>
    <w:rsid w:val="60935B47"/>
    <w:rsid w:val="60C76F62"/>
    <w:rsid w:val="60CE1254"/>
    <w:rsid w:val="60D321CB"/>
    <w:rsid w:val="60D467A9"/>
    <w:rsid w:val="60EA12BA"/>
    <w:rsid w:val="60EB3CE8"/>
    <w:rsid w:val="61034470"/>
    <w:rsid w:val="61041400"/>
    <w:rsid w:val="6108421E"/>
    <w:rsid w:val="610C08D6"/>
    <w:rsid w:val="611504BF"/>
    <w:rsid w:val="61233B56"/>
    <w:rsid w:val="6129287D"/>
    <w:rsid w:val="6132559A"/>
    <w:rsid w:val="61535DEE"/>
    <w:rsid w:val="6166167A"/>
    <w:rsid w:val="617020C2"/>
    <w:rsid w:val="61755B39"/>
    <w:rsid w:val="617A0C46"/>
    <w:rsid w:val="618B1EF3"/>
    <w:rsid w:val="61A33787"/>
    <w:rsid w:val="61A66AB4"/>
    <w:rsid w:val="61BC38FA"/>
    <w:rsid w:val="61BE0E4F"/>
    <w:rsid w:val="61C85E7F"/>
    <w:rsid w:val="61CD78CF"/>
    <w:rsid w:val="61DA14FE"/>
    <w:rsid w:val="61E53D34"/>
    <w:rsid w:val="61E73697"/>
    <w:rsid w:val="61EE3162"/>
    <w:rsid w:val="61F62056"/>
    <w:rsid w:val="620208E6"/>
    <w:rsid w:val="620E46C5"/>
    <w:rsid w:val="620F37AC"/>
    <w:rsid w:val="621536B2"/>
    <w:rsid w:val="621C707C"/>
    <w:rsid w:val="621E0130"/>
    <w:rsid w:val="62271A32"/>
    <w:rsid w:val="6245212D"/>
    <w:rsid w:val="624B2E9D"/>
    <w:rsid w:val="62504ABA"/>
    <w:rsid w:val="62510C1A"/>
    <w:rsid w:val="62607DE0"/>
    <w:rsid w:val="62757089"/>
    <w:rsid w:val="62AE05DB"/>
    <w:rsid w:val="62B60A29"/>
    <w:rsid w:val="62BA5EE7"/>
    <w:rsid w:val="62F04E93"/>
    <w:rsid w:val="62F14EED"/>
    <w:rsid w:val="62FF3767"/>
    <w:rsid w:val="63074094"/>
    <w:rsid w:val="63256E52"/>
    <w:rsid w:val="6337684E"/>
    <w:rsid w:val="63403C73"/>
    <w:rsid w:val="6351410B"/>
    <w:rsid w:val="635D4427"/>
    <w:rsid w:val="635F082F"/>
    <w:rsid w:val="63710CD7"/>
    <w:rsid w:val="639A0C81"/>
    <w:rsid w:val="63A00543"/>
    <w:rsid w:val="63AC556F"/>
    <w:rsid w:val="63BE2991"/>
    <w:rsid w:val="63D672A4"/>
    <w:rsid w:val="63E900E8"/>
    <w:rsid w:val="63F105D2"/>
    <w:rsid w:val="64003000"/>
    <w:rsid w:val="64020FD8"/>
    <w:rsid w:val="640B49C1"/>
    <w:rsid w:val="64156CD8"/>
    <w:rsid w:val="64413D22"/>
    <w:rsid w:val="64470699"/>
    <w:rsid w:val="644B6CD5"/>
    <w:rsid w:val="646253D3"/>
    <w:rsid w:val="64627D01"/>
    <w:rsid w:val="6473435B"/>
    <w:rsid w:val="64864D44"/>
    <w:rsid w:val="64A01013"/>
    <w:rsid w:val="64C76164"/>
    <w:rsid w:val="64D3186F"/>
    <w:rsid w:val="64EF2266"/>
    <w:rsid w:val="64F33559"/>
    <w:rsid w:val="64FD2EEA"/>
    <w:rsid w:val="64FF1ABC"/>
    <w:rsid w:val="650E3520"/>
    <w:rsid w:val="654069DE"/>
    <w:rsid w:val="65413B3E"/>
    <w:rsid w:val="654B3E81"/>
    <w:rsid w:val="655555A6"/>
    <w:rsid w:val="655F14F0"/>
    <w:rsid w:val="65660277"/>
    <w:rsid w:val="656E6D13"/>
    <w:rsid w:val="65990AED"/>
    <w:rsid w:val="65A63707"/>
    <w:rsid w:val="65A80F59"/>
    <w:rsid w:val="65AA319F"/>
    <w:rsid w:val="65AC5539"/>
    <w:rsid w:val="65BB595A"/>
    <w:rsid w:val="65F22562"/>
    <w:rsid w:val="65F65692"/>
    <w:rsid w:val="660C7338"/>
    <w:rsid w:val="66407FD5"/>
    <w:rsid w:val="665346CA"/>
    <w:rsid w:val="6661498D"/>
    <w:rsid w:val="666B3926"/>
    <w:rsid w:val="668C5B9C"/>
    <w:rsid w:val="66A421AD"/>
    <w:rsid w:val="66C77BCC"/>
    <w:rsid w:val="66CF58C8"/>
    <w:rsid w:val="66D00FF0"/>
    <w:rsid w:val="66E50A5C"/>
    <w:rsid w:val="66E5305A"/>
    <w:rsid w:val="66F82D14"/>
    <w:rsid w:val="66FA0A76"/>
    <w:rsid w:val="670314C2"/>
    <w:rsid w:val="670A28DD"/>
    <w:rsid w:val="671F2137"/>
    <w:rsid w:val="67256725"/>
    <w:rsid w:val="672C3BD3"/>
    <w:rsid w:val="67441F0C"/>
    <w:rsid w:val="674465E9"/>
    <w:rsid w:val="67594618"/>
    <w:rsid w:val="675B3954"/>
    <w:rsid w:val="676B6466"/>
    <w:rsid w:val="67954429"/>
    <w:rsid w:val="67C47F84"/>
    <w:rsid w:val="67D85572"/>
    <w:rsid w:val="67DD10E7"/>
    <w:rsid w:val="67E51A4F"/>
    <w:rsid w:val="67E81C89"/>
    <w:rsid w:val="67F16AAB"/>
    <w:rsid w:val="67FC2A34"/>
    <w:rsid w:val="68022928"/>
    <w:rsid w:val="68163291"/>
    <w:rsid w:val="68244FDF"/>
    <w:rsid w:val="682634A6"/>
    <w:rsid w:val="68335612"/>
    <w:rsid w:val="683D75EE"/>
    <w:rsid w:val="683F6341"/>
    <w:rsid w:val="68413BF7"/>
    <w:rsid w:val="684A3899"/>
    <w:rsid w:val="68516552"/>
    <w:rsid w:val="685D249D"/>
    <w:rsid w:val="68600066"/>
    <w:rsid w:val="6861776A"/>
    <w:rsid w:val="687222C2"/>
    <w:rsid w:val="6879445C"/>
    <w:rsid w:val="687A5897"/>
    <w:rsid w:val="687D194E"/>
    <w:rsid w:val="68945561"/>
    <w:rsid w:val="689D6C87"/>
    <w:rsid w:val="68A05E34"/>
    <w:rsid w:val="68A4599C"/>
    <w:rsid w:val="68AD0074"/>
    <w:rsid w:val="68D4182F"/>
    <w:rsid w:val="68DA458B"/>
    <w:rsid w:val="68E565D8"/>
    <w:rsid w:val="68ED4DA7"/>
    <w:rsid w:val="68FC5EBD"/>
    <w:rsid w:val="69122538"/>
    <w:rsid w:val="69194FE8"/>
    <w:rsid w:val="691F4315"/>
    <w:rsid w:val="69544350"/>
    <w:rsid w:val="69703FA0"/>
    <w:rsid w:val="697A2F79"/>
    <w:rsid w:val="69997B9C"/>
    <w:rsid w:val="69A84304"/>
    <w:rsid w:val="69B52A42"/>
    <w:rsid w:val="69B67148"/>
    <w:rsid w:val="69BE4DB3"/>
    <w:rsid w:val="69CF0E91"/>
    <w:rsid w:val="69CF0ED8"/>
    <w:rsid w:val="69D52B56"/>
    <w:rsid w:val="69D54DDD"/>
    <w:rsid w:val="69E028D2"/>
    <w:rsid w:val="69E874BD"/>
    <w:rsid w:val="69F54308"/>
    <w:rsid w:val="6A0A7A54"/>
    <w:rsid w:val="6A2622A1"/>
    <w:rsid w:val="6A35577F"/>
    <w:rsid w:val="6A3A22EA"/>
    <w:rsid w:val="6A3F2D1D"/>
    <w:rsid w:val="6A592054"/>
    <w:rsid w:val="6A777087"/>
    <w:rsid w:val="6A820574"/>
    <w:rsid w:val="6A99048F"/>
    <w:rsid w:val="6AA077DB"/>
    <w:rsid w:val="6AA47C92"/>
    <w:rsid w:val="6AB909BB"/>
    <w:rsid w:val="6ABA0C51"/>
    <w:rsid w:val="6ABD020C"/>
    <w:rsid w:val="6ADD6D64"/>
    <w:rsid w:val="6B0F06C2"/>
    <w:rsid w:val="6B2B6878"/>
    <w:rsid w:val="6B633F4F"/>
    <w:rsid w:val="6B70680D"/>
    <w:rsid w:val="6B816F14"/>
    <w:rsid w:val="6B8A298B"/>
    <w:rsid w:val="6B8A779B"/>
    <w:rsid w:val="6BAD6C20"/>
    <w:rsid w:val="6BB456BB"/>
    <w:rsid w:val="6BB62A44"/>
    <w:rsid w:val="6BD81D0A"/>
    <w:rsid w:val="6BE052CE"/>
    <w:rsid w:val="6BF2692A"/>
    <w:rsid w:val="6BF358A4"/>
    <w:rsid w:val="6C051F4E"/>
    <w:rsid w:val="6C096C12"/>
    <w:rsid w:val="6C1A5960"/>
    <w:rsid w:val="6C417EB8"/>
    <w:rsid w:val="6C613F45"/>
    <w:rsid w:val="6C756221"/>
    <w:rsid w:val="6C7B08BB"/>
    <w:rsid w:val="6C816AF9"/>
    <w:rsid w:val="6C846694"/>
    <w:rsid w:val="6CA841D2"/>
    <w:rsid w:val="6CB10385"/>
    <w:rsid w:val="6CDF0F3A"/>
    <w:rsid w:val="6CE47854"/>
    <w:rsid w:val="6D0D25B8"/>
    <w:rsid w:val="6D490A6B"/>
    <w:rsid w:val="6D582A6D"/>
    <w:rsid w:val="6D604FD1"/>
    <w:rsid w:val="6D635FBA"/>
    <w:rsid w:val="6D6534EB"/>
    <w:rsid w:val="6D6C0EA8"/>
    <w:rsid w:val="6D732F9C"/>
    <w:rsid w:val="6D9239A2"/>
    <w:rsid w:val="6DB664EE"/>
    <w:rsid w:val="6DBC6250"/>
    <w:rsid w:val="6DC64BAC"/>
    <w:rsid w:val="6E037AD7"/>
    <w:rsid w:val="6E056523"/>
    <w:rsid w:val="6E074EC9"/>
    <w:rsid w:val="6E160E52"/>
    <w:rsid w:val="6E2E569B"/>
    <w:rsid w:val="6E4064F1"/>
    <w:rsid w:val="6E4E39FC"/>
    <w:rsid w:val="6E5545BD"/>
    <w:rsid w:val="6E5D1964"/>
    <w:rsid w:val="6E614B19"/>
    <w:rsid w:val="6E616F13"/>
    <w:rsid w:val="6E7369B5"/>
    <w:rsid w:val="6E7B5CAB"/>
    <w:rsid w:val="6EAA56FE"/>
    <w:rsid w:val="6EB37B5B"/>
    <w:rsid w:val="6EBE6FBB"/>
    <w:rsid w:val="6ED70BA2"/>
    <w:rsid w:val="6EDB7671"/>
    <w:rsid w:val="6EF77260"/>
    <w:rsid w:val="6F2302E3"/>
    <w:rsid w:val="6F314C13"/>
    <w:rsid w:val="6F382FA6"/>
    <w:rsid w:val="6F391F60"/>
    <w:rsid w:val="6F694006"/>
    <w:rsid w:val="6F6C5490"/>
    <w:rsid w:val="6F761900"/>
    <w:rsid w:val="6FA71AD5"/>
    <w:rsid w:val="6FAF2607"/>
    <w:rsid w:val="6FD47D24"/>
    <w:rsid w:val="6FE17D06"/>
    <w:rsid w:val="6FF536DD"/>
    <w:rsid w:val="6FFD71B3"/>
    <w:rsid w:val="700D2412"/>
    <w:rsid w:val="70112883"/>
    <w:rsid w:val="70243856"/>
    <w:rsid w:val="703F2471"/>
    <w:rsid w:val="704B4131"/>
    <w:rsid w:val="70531ED5"/>
    <w:rsid w:val="705A528C"/>
    <w:rsid w:val="7068062C"/>
    <w:rsid w:val="707F47B3"/>
    <w:rsid w:val="70954F53"/>
    <w:rsid w:val="70A94A40"/>
    <w:rsid w:val="70D80F32"/>
    <w:rsid w:val="70D97C76"/>
    <w:rsid w:val="70F76E40"/>
    <w:rsid w:val="711337D0"/>
    <w:rsid w:val="713173E8"/>
    <w:rsid w:val="71420658"/>
    <w:rsid w:val="7143472C"/>
    <w:rsid w:val="71440341"/>
    <w:rsid w:val="71531561"/>
    <w:rsid w:val="71597148"/>
    <w:rsid w:val="716D089C"/>
    <w:rsid w:val="71715206"/>
    <w:rsid w:val="71743A1D"/>
    <w:rsid w:val="71774D56"/>
    <w:rsid w:val="71901CEF"/>
    <w:rsid w:val="719438F4"/>
    <w:rsid w:val="719D7F3F"/>
    <w:rsid w:val="71B55DFD"/>
    <w:rsid w:val="71B834E8"/>
    <w:rsid w:val="71D0750E"/>
    <w:rsid w:val="71D803D1"/>
    <w:rsid w:val="71E501C6"/>
    <w:rsid w:val="71F40A44"/>
    <w:rsid w:val="7202163F"/>
    <w:rsid w:val="723B04C8"/>
    <w:rsid w:val="724E6817"/>
    <w:rsid w:val="72600D68"/>
    <w:rsid w:val="72604620"/>
    <w:rsid w:val="726B02C1"/>
    <w:rsid w:val="726D2C67"/>
    <w:rsid w:val="729A0F74"/>
    <w:rsid w:val="72C30466"/>
    <w:rsid w:val="72F03574"/>
    <w:rsid w:val="72F77CB6"/>
    <w:rsid w:val="731438BD"/>
    <w:rsid w:val="733155C8"/>
    <w:rsid w:val="73422D3C"/>
    <w:rsid w:val="73625723"/>
    <w:rsid w:val="737007D9"/>
    <w:rsid w:val="738B5B50"/>
    <w:rsid w:val="73AA53A0"/>
    <w:rsid w:val="73B04F6B"/>
    <w:rsid w:val="73D20D1A"/>
    <w:rsid w:val="73E168D2"/>
    <w:rsid w:val="73E873C4"/>
    <w:rsid w:val="73F07AA4"/>
    <w:rsid w:val="74010DBC"/>
    <w:rsid w:val="74054701"/>
    <w:rsid w:val="740D2C3F"/>
    <w:rsid w:val="74135925"/>
    <w:rsid w:val="742827DB"/>
    <w:rsid w:val="742D6CA9"/>
    <w:rsid w:val="742E58A2"/>
    <w:rsid w:val="74525628"/>
    <w:rsid w:val="745F06BF"/>
    <w:rsid w:val="746C713B"/>
    <w:rsid w:val="748D2368"/>
    <w:rsid w:val="749217E0"/>
    <w:rsid w:val="74B22D8C"/>
    <w:rsid w:val="74C26B38"/>
    <w:rsid w:val="74C55FC1"/>
    <w:rsid w:val="74CC7EC1"/>
    <w:rsid w:val="74DA7552"/>
    <w:rsid w:val="74E41FDD"/>
    <w:rsid w:val="74EF6361"/>
    <w:rsid w:val="74F347DF"/>
    <w:rsid w:val="74FA7FE6"/>
    <w:rsid w:val="74FD4A9B"/>
    <w:rsid w:val="751D43A6"/>
    <w:rsid w:val="75453AE1"/>
    <w:rsid w:val="75573AC9"/>
    <w:rsid w:val="75595449"/>
    <w:rsid w:val="758B283A"/>
    <w:rsid w:val="75BD313A"/>
    <w:rsid w:val="75BF6D3D"/>
    <w:rsid w:val="75DC1EF4"/>
    <w:rsid w:val="75E50837"/>
    <w:rsid w:val="75EF5520"/>
    <w:rsid w:val="75F63713"/>
    <w:rsid w:val="76143A54"/>
    <w:rsid w:val="7637074A"/>
    <w:rsid w:val="763B63B0"/>
    <w:rsid w:val="764772A3"/>
    <w:rsid w:val="767B7960"/>
    <w:rsid w:val="769A6195"/>
    <w:rsid w:val="76A44430"/>
    <w:rsid w:val="76A71FBB"/>
    <w:rsid w:val="76AA5D81"/>
    <w:rsid w:val="76AB50DC"/>
    <w:rsid w:val="76BB3C83"/>
    <w:rsid w:val="76C80EC7"/>
    <w:rsid w:val="76F73D47"/>
    <w:rsid w:val="77006E1F"/>
    <w:rsid w:val="77032A24"/>
    <w:rsid w:val="771670C1"/>
    <w:rsid w:val="772C16E9"/>
    <w:rsid w:val="77683E14"/>
    <w:rsid w:val="77734EA5"/>
    <w:rsid w:val="77A06542"/>
    <w:rsid w:val="77A922C9"/>
    <w:rsid w:val="77AC049C"/>
    <w:rsid w:val="77B23714"/>
    <w:rsid w:val="77BB772D"/>
    <w:rsid w:val="77D43FD2"/>
    <w:rsid w:val="77FA155A"/>
    <w:rsid w:val="781137AD"/>
    <w:rsid w:val="781D13FA"/>
    <w:rsid w:val="782817E9"/>
    <w:rsid w:val="78555C26"/>
    <w:rsid w:val="78640057"/>
    <w:rsid w:val="78810787"/>
    <w:rsid w:val="78826969"/>
    <w:rsid w:val="788E3AAC"/>
    <w:rsid w:val="78B515B5"/>
    <w:rsid w:val="78C21620"/>
    <w:rsid w:val="78CE2D76"/>
    <w:rsid w:val="78EE2375"/>
    <w:rsid w:val="78FA244C"/>
    <w:rsid w:val="78FE1B78"/>
    <w:rsid w:val="79024116"/>
    <w:rsid w:val="790B5E4F"/>
    <w:rsid w:val="790D572F"/>
    <w:rsid w:val="79233654"/>
    <w:rsid w:val="79455569"/>
    <w:rsid w:val="79470AE2"/>
    <w:rsid w:val="795123A8"/>
    <w:rsid w:val="79535AC3"/>
    <w:rsid w:val="79620961"/>
    <w:rsid w:val="79987ED2"/>
    <w:rsid w:val="79AE1AE3"/>
    <w:rsid w:val="79AE77FB"/>
    <w:rsid w:val="79B85AA8"/>
    <w:rsid w:val="79C342A8"/>
    <w:rsid w:val="79C34F9F"/>
    <w:rsid w:val="79C81B6A"/>
    <w:rsid w:val="79E83652"/>
    <w:rsid w:val="79EF6059"/>
    <w:rsid w:val="7A074D7D"/>
    <w:rsid w:val="7A1053E1"/>
    <w:rsid w:val="7A17618B"/>
    <w:rsid w:val="7A1E05C7"/>
    <w:rsid w:val="7A3F1ABF"/>
    <w:rsid w:val="7A413A99"/>
    <w:rsid w:val="7A4642A9"/>
    <w:rsid w:val="7A4B6B30"/>
    <w:rsid w:val="7A5D3D51"/>
    <w:rsid w:val="7A5F0CF7"/>
    <w:rsid w:val="7A675EA5"/>
    <w:rsid w:val="7A6B3865"/>
    <w:rsid w:val="7A7041ED"/>
    <w:rsid w:val="7A832390"/>
    <w:rsid w:val="7A92679C"/>
    <w:rsid w:val="7A955810"/>
    <w:rsid w:val="7A985E92"/>
    <w:rsid w:val="7A9C2E47"/>
    <w:rsid w:val="7A9E009C"/>
    <w:rsid w:val="7AC019FF"/>
    <w:rsid w:val="7ACA6FB9"/>
    <w:rsid w:val="7AF46C5F"/>
    <w:rsid w:val="7AF91BCC"/>
    <w:rsid w:val="7B0C5BAE"/>
    <w:rsid w:val="7B2374FE"/>
    <w:rsid w:val="7B34342A"/>
    <w:rsid w:val="7B3873CB"/>
    <w:rsid w:val="7B496993"/>
    <w:rsid w:val="7B52082D"/>
    <w:rsid w:val="7B783675"/>
    <w:rsid w:val="7B796807"/>
    <w:rsid w:val="7BAC2D3A"/>
    <w:rsid w:val="7BAE3C97"/>
    <w:rsid w:val="7BB16076"/>
    <w:rsid w:val="7BB46DB9"/>
    <w:rsid w:val="7BC02341"/>
    <w:rsid w:val="7BD74454"/>
    <w:rsid w:val="7BE96DEC"/>
    <w:rsid w:val="7C021A51"/>
    <w:rsid w:val="7C033C13"/>
    <w:rsid w:val="7C041A0F"/>
    <w:rsid w:val="7C110306"/>
    <w:rsid w:val="7C212B8A"/>
    <w:rsid w:val="7C8464A1"/>
    <w:rsid w:val="7C887EAB"/>
    <w:rsid w:val="7C9D2D7B"/>
    <w:rsid w:val="7CA26867"/>
    <w:rsid w:val="7CB43A8E"/>
    <w:rsid w:val="7CC106AB"/>
    <w:rsid w:val="7CDF4250"/>
    <w:rsid w:val="7D09113D"/>
    <w:rsid w:val="7D157A0E"/>
    <w:rsid w:val="7D1658AD"/>
    <w:rsid w:val="7D1D4159"/>
    <w:rsid w:val="7D243099"/>
    <w:rsid w:val="7D4B3993"/>
    <w:rsid w:val="7D5F5E30"/>
    <w:rsid w:val="7D6C208F"/>
    <w:rsid w:val="7D897D56"/>
    <w:rsid w:val="7D9B14E5"/>
    <w:rsid w:val="7DAA42B2"/>
    <w:rsid w:val="7DAA569A"/>
    <w:rsid w:val="7DB1501E"/>
    <w:rsid w:val="7DB676D9"/>
    <w:rsid w:val="7DBE16CF"/>
    <w:rsid w:val="7DC37DE3"/>
    <w:rsid w:val="7DD45912"/>
    <w:rsid w:val="7E0D4E8F"/>
    <w:rsid w:val="7E107D04"/>
    <w:rsid w:val="7E202441"/>
    <w:rsid w:val="7E4B691E"/>
    <w:rsid w:val="7E616C7B"/>
    <w:rsid w:val="7E733A70"/>
    <w:rsid w:val="7E8A0780"/>
    <w:rsid w:val="7EA574A2"/>
    <w:rsid w:val="7EBB0DC0"/>
    <w:rsid w:val="7EC42E15"/>
    <w:rsid w:val="7EC50C54"/>
    <w:rsid w:val="7ED11A3C"/>
    <w:rsid w:val="7ED91C72"/>
    <w:rsid w:val="7EEB5BB3"/>
    <w:rsid w:val="7F1568D7"/>
    <w:rsid w:val="7F2E0D24"/>
    <w:rsid w:val="7F312E91"/>
    <w:rsid w:val="7F33645C"/>
    <w:rsid w:val="7F4E4DC2"/>
    <w:rsid w:val="7F66205C"/>
    <w:rsid w:val="7FA8327A"/>
    <w:rsid w:val="7FB32EED"/>
    <w:rsid w:val="7FB6358D"/>
    <w:rsid w:val="7FE07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Body Text"/>
    <w:basedOn w:val="1"/>
    <w:next w:val="4"/>
    <w:qFormat/>
    <w:uiPriority w:val="0"/>
    <w:pPr>
      <w:widowControl w:val="0"/>
      <w:jc w:val="both"/>
    </w:pPr>
    <w:rPr>
      <w:rFonts w:ascii="Calibri" w:hAnsi="Calibri" w:eastAsia="宋体" w:cs="Times New Roman"/>
      <w:kern w:val="2"/>
      <w:sz w:val="28"/>
      <w:szCs w:val="24"/>
      <w:lang w:val="en-US" w:eastAsia="zh-CN" w:bidi="ar-SA"/>
    </w:rPr>
  </w:style>
  <w:style w:type="paragraph" w:styleId="4">
    <w:name w:val="toc 5"/>
    <w:basedOn w:val="1"/>
    <w:next w:val="1"/>
    <w:qFormat/>
    <w:uiPriority w:val="0"/>
    <w:pPr>
      <w:ind w:left="1680" w:leftChars="8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e Normal"/>
    <w:unhideWhenUsed/>
    <w:qFormat/>
    <w:uiPriority w:val="0"/>
    <w:tblPr>
      <w:tblCellMar>
        <w:top w:w="0" w:type="dxa"/>
        <w:left w:w="0" w:type="dxa"/>
        <w:bottom w:w="0" w:type="dxa"/>
        <w:right w:w="0" w:type="dxa"/>
      </w:tblCellMar>
    </w:tblPr>
  </w:style>
  <w:style w:type="paragraph" w:customStyle="1" w:styleId="12">
    <w:name w:val="BodyText1I"/>
    <w:basedOn w:val="1"/>
    <w:qFormat/>
    <w:uiPriority w:val="99"/>
    <w:pPr>
      <w:snapToGrid w:val="0"/>
      <w:spacing w:line="360" w:lineRule="auto"/>
      <w:ind w:firstLine="420" w:firstLineChars="100"/>
    </w:pPr>
    <w:rPr>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4632</Words>
  <Characters>5144</Characters>
  <Lines>0</Lines>
  <Paragraphs>0</Paragraphs>
  <TotalTime>1</TotalTime>
  <ScaleCrop>false</ScaleCrop>
  <LinksUpToDate>false</LinksUpToDate>
  <CharactersWithSpaces>5191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2023-04-23T08:56:00Z</dcterms:created>
  <dc:creator>新一天</dc:creator>
  <cp:lastModifiedBy>Hedy</cp:lastModifiedBy>
  <cp:lastPrinted>2023-08-24T01:07:00Z</cp:lastPrinted>
  <dcterms:modified xsi:type="dcterms:W3CDTF">2024-07-01T11:02:53Z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50306CC149C84F98BF850919EA3E5AFB_13</vt:lpwstr>
  </property>
</Properties>
</file>