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CF244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1FFA9DD3">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0D27BF95">
      <w:pPr>
        <w:spacing w:line="115" w:lineRule="exact"/>
        <w:rPr>
          <w:color w:val="000000" w:themeColor="text1"/>
          <w14:textFill>
            <w14:solidFill>
              <w14:schemeClr w14:val="tx1"/>
            </w14:solidFill>
          </w14:textFill>
        </w:rPr>
      </w:pPr>
    </w:p>
    <w:tbl>
      <w:tblPr>
        <w:tblStyle w:val="10"/>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6B88E4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44BE2F40">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504FCC05">
            <w:pPr>
              <w:spacing w:before="103" w:line="219" w:lineRule="auto"/>
              <w:ind w:left="708"/>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岳阳楼区文化旅游广电体育局</w:t>
            </w:r>
          </w:p>
        </w:tc>
      </w:tr>
      <w:tr w14:paraId="0EAD2E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850" w:type="dxa"/>
            <w:vMerge w:val="restart"/>
            <w:tcBorders>
              <w:bottom w:val="nil"/>
            </w:tcBorders>
            <w:noWrap w:val="0"/>
            <w:vAlign w:val="top"/>
          </w:tcPr>
          <w:p w14:paraId="09D762D3">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160555B9">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5D7CB408">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14:paraId="0624F233">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14:paraId="76CCE7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2" w:hRule="atLeast"/>
        </w:trPr>
        <w:tc>
          <w:tcPr>
            <w:tcW w:w="3850" w:type="dxa"/>
            <w:vMerge w:val="continue"/>
            <w:tcBorders>
              <w:top w:val="nil"/>
            </w:tcBorders>
            <w:noWrap w:val="0"/>
            <w:vAlign w:val="top"/>
          </w:tcPr>
          <w:p w14:paraId="3D7F0169">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5A647404">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11</w:t>
            </w:r>
          </w:p>
        </w:tc>
        <w:tc>
          <w:tcPr>
            <w:tcW w:w="2325" w:type="dxa"/>
            <w:gridSpan w:val="2"/>
            <w:noWrap w:val="0"/>
            <w:vAlign w:val="top"/>
          </w:tcPr>
          <w:p w14:paraId="7C2AB7CB">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16</w:t>
            </w:r>
          </w:p>
        </w:tc>
        <w:tc>
          <w:tcPr>
            <w:tcW w:w="1679" w:type="dxa"/>
            <w:gridSpan w:val="2"/>
            <w:noWrap w:val="0"/>
            <w:vAlign w:val="top"/>
          </w:tcPr>
          <w:p w14:paraId="49147730">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14:paraId="1147D1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2" w:hRule="atLeast"/>
        </w:trPr>
        <w:tc>
          <w:tcPr>
            <w:tcW w:w="3850" w:type="dxa"/>
            <w:noWrap w:val="0"/>
            <w:vAlign w:val="top"/>
          </w:tcPr>
          <w:p w14:paraId="1612D8C0">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58502168">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14:paraId="6CD06E61">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14:paraId="411D6C32">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14:paraId="659AD4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3" w:hRule="atLeast"/>
        </w:trPr>
        <w:tc>
          <w:tcPr>
            <w:tcW w:w="3850" w:type="dxa"/>
            <w:noWrap w:val="0"/>
            <w:vAlign w:val="top"/>
          </w:tcPr>
          <w:p w14:paraId="53705E7D">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14:paraId="77AC5E54">
            <w:pPr>
              <w:jc w:val="righ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2.72</w:t>
            </w:r>
          </w:p>
        </w:tc>
        <w:tc>
          <w:tcPr>
            <w:tcW w:w="2325" w:type="dxa"/>
            <w:gridSpan w:val="2"/>
            <w:noWrap w:val="0"/>
            <w:vAlign w:val="top"/>
          </w:tcPr>
          <w:p w14:paraId="038680A1">
            <w:pPr>
              <w:jc w:val="righ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1.84</w:t>
            </w:r>
          </w:p>
        </w:tc>
        <w:tc>
          <w:tcPr>
            <w:tcW w:w="1679" w:type="dxa"/>
            <w:gridSpan w:val="2"/>
            <w:noWrap w:val="0"/>
            <w:vAlign w:val="top"/>
          </w:tcPr>
          <w:p w14:paraId="50A46E0C">
            <w:pPr>
              <w:jc w:val="righ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1.84</w:t>
            </w:r>
          </w:p>
        </w:tc>
      </w:tr>
      <w:tr w14:paraId="3A6BBD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24972BAE">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14:paraId="17751BDB">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F8D6AAD">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1CA636F9">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54644D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7E59ACF">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14:paraId="07D5DAE4">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6DF1FDA">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10DAC81">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2251A8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50ECA6F8">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14:paraId="33F1E6E2">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12F1197B">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9FB9930">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38BF24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1D81AFCA">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14:paraId="17975A37">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EE95857">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BBB0D0F">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1AB6B1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1E162E2">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14:paraId="52FD26C9">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2.72</w:t>
            </w:r>
          </w:p>
        </w:tc>
        <w:tc>
          <w:tcPr>
            <w:tcW w:w="2325" w:type="dxa"/>
            <w:gridSpan w:val="2"/>
            <w:noWrap w:val="0"/>
            <w:vAlign w:val="top"/>
          </w:tcPr>
          <w:p w14:paraId="075B60D8">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1.84</w:t>
            </w:r>
          </w:p>
        </w:tc>
        <w:tc>
          <w:tcPr>
            <w:tcW w:w="1679" w:type="dxa"/>
            <w:gridSpan w:val="2"/>
            <w:noWrap w:val="0"/>
            <w:vAlign w:val="top"/>
          </w:tcPr>
          <w:p w14:paraId="57D4C4CA">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1.84</w:t>
            </w:r>
          </w:p>
        </w:tc>
      </w:tr>
      <w:tr w14:paraId="4EA40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B0FABE6">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14:paraId="4706151C">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auto"/>
                <w:sz w:val="21"/>
                <w:lang w:val="en-US" w:eastAsia="zh-CN"/>
              </w:rPr>
              <w:t>1192.02</w:t>
            </w:r>
          </w:p>
        </w:tc>
        <w:tc>
          <w:tcPr>
            <w:tcW w:w="2325" w:type="dxa"/>
            <w:gridSpan w:val="2"/>
            <w:noWrap w:val="0"/>
            <w:vAlign w:val="top"/>
          </w:tcPr>
          <w:p w14:paraId="16838BF3">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2218.71</w:t>
            </w:r>
          </w:p>
        </w:tc>
        <w:tc>
          <w:tcPr>
            <w:tcW w:w="1679" w:type="dxa"/>
            <w:gridSpan w:val="2"/>
            <w:noWrap w:val="0"/>
            <w:vAlign w:val="top"/>
          </w:tcPr>
          <w:p w14:paraId="6CAE0A6E">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2218.71</w:t>
            </w:r>
          </w:p>
        </w:tc>
      </w:tr>
      <w:tr w14:paraId="4329F2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01A2C34F">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14:paraId="3C6150AF">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330.57</w:t>
            </w:r>
          </w:p>
        </w:tc>
        <w:tc>
          <w:tcPr>
            <w:tcW w:w="2325" w:type="dxa"/>
            <w:gridSpan w:val="2"/>
            <w:noWrap w:val="0"/>
            <w:vAlign w:val="top"/>
          </w:tcPr>
          <w:p w14:paraId="5DDD82DE">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224.55</w:t>
            </w:r>
          </w:p>
        </w:tc>
        <w:tc>
          <w:tcPr>
            <w:tcW w:w="1679" w:type="dxa"/>
            <w:gridSpan w:val="2"/>
            <w:noWrap w:val="0"/>
            <w:vAlign w:val="top"/>
          </w:tcPr>
          <w:p w14:paraId="0021EC6C">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224.55</w:t>
            </w:r>
          </w:p>
        </w:tc>
      </w:tr>
      <w:tr w14:paraId="6A5ABE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7E713131">
            <w:pPr>
              <w:spacing w:before="143" w:line="209" w:lineRule="auto"/>
              <w:ind w:left="384"/>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14:paraId="0780274E">
            <w:pPr>
              <w:jc w:val="right"/>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9733987">
            <w:pPr>
              <w:jc w:val="right"/>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1D526CE2">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1562A0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352E1D15">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省十四运会资金</w:t>
            </w:r>
          </w:p>
        </w:tc>
        <w:tc>
          <w:tcPr>
            <w:tcW w:w="1815" w:type="dxa"/>
            <w:gridSpan w:val="2"/>
            <w:noWrap w:val="0"/>
            <w:vAlign w:val="top"/>
          </w:tcPr>
          <w:p w14:paraId="4AD894A5">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3C589688">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221.52</w:t>
            </w:r>
          </w:p>
        </w:tc>
        <w:tc>
          <w:tcPr>
            <w:tcW w:w="1679" w:type="dxa"/>
            <w:gridSpan w:val="2"/>
            <w:noWrap w:val="0"/>
            <w:vAlign w:val="top"/>
          </w:tcPr>
          <w:p w14:paraId="2CD1CAAA">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221.52</w:t>
            </w:r>
          </w:p>
        </w:tc>
      </w:tr>
      <w:tr w14:paraId="6F342B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39D50516">
            <w:pPr>
              <w:spacing w:before="93" w:line="219" w:lineRule="auto"/>
              <w:ind w:firstLine="976" w:firstLineChars="400"/>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疫情防控</w:t>
            </w:r>
          </w:p>
        </w:tc>
        <w:tc>
          <w:tcPr>
            <w:tcW w:w="1815" w:type="dxa"/>
            <w:gridSpan w:val="2"/>
            <w:noWrap w:val="0"/>
            <w:vAlign w:val="top"/>
          </w:tcPr>
          <w:p w14:paraId="4507A462">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482.36</w:t>
            </w:r>
          </w:p>
        </w:tc>
        <w:tc>
          <w:tcPr>
            <w:tcW w:w="2325" w:type="dxa"/>
            <w:gridSpan w:val="2"/>
            <w:noWrap w:val="0"/>
            <w:vAlign w:val="top"/>
          </w:tcPr>
          <w:p w14:paraId="1085818E">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1348.82</w:t>
            </w:r>
          </w:p>
        </w:tc>
        <w:tc>
          <w:tcPr>
            <w:tcW w:w="1679" w:type="dxa"/>
            <w:gridSpan w:val="2"/>
            <w:noWrap w:val="0"/>
            <w:vAlign w:val="top"/>
          </w:tcPr>
          <w:p w14:paraId="1BD757B2">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1348.82</w:t>
            </w:r>
          </w:p>
        </w:tc>
      </w:tr>
      <w:tr w14:paraId="14DB93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30125406">
            <w:pPr>
              <w:spacing w:before="93" w:line="219" w:lineRule="auto"/>
              <w:ind w:firstLine="984" w:firstLineChars="400"/>
              <w:jc w:val="left"/>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公共文化服务体系建设</w:t>
            </w:r>
          </w:p>
        </w:tc>
        <w:tc>
          <w:tcPr>
            <w:tcW w:w="1815" w:type="dxa"/>
            <w:gridSpan w:val="2"/>
            <w:noWrap w:val="0"/>
            <w:vAlign w:val="top"/>
          </w:tcPr>
          <w:p w14:paraId="325AA423">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4B62FEC5">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140</w:t>
            </w:r>
          </w:p>
        </w:tc>
        <w:tc>
          <w:tcPr>
            <w:tcW w:w="1679" w:type="dxa"/>
            <w:gridSpan w:val="2"/>
            <w:noWrap w:val="0"/>
            <w:vAlign w:val="top"/>
          </w:tcPr>
          <w:p w14:paraId="12284B8D">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140</w:t>
            </w:r>
          </w:p>
        </w:tc>
      </w:tr>
      <w:tr w14:paraId="4D4648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15146BD0">
            <w:pPr>
              <w:spacing w:before="93" w:line="219" w:lineRule="auto"/>
              <w:ind w:firstLine="984" w:firstLineChars="400"/>
              <w:jc w:val="left"/>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粤汉铁路英国专家维护</w:t>
            </w:r>
          </w:p>
        </w:tc>
        <w:tc>
          <w:tcPr>
            <w:tcW w:w="1815" w:type="dxa"/>
            <w:gridSpan w:val="2"/>
            <w:noWrap w:val="0"/>
            <w:vAlign w:val="top"/>
          </w:tcPr>
          <w:p w14:paraId="66DB8942">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59871F7C">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w:t>
            </w:r>
          </w:p>
        </w:tc>
        <w:tc>
          <w:tcPr>
            <w:tcW w:w="1679" w:type="dxa"/>
            <w:gridSpan w:val="2"/>
            <w:noWrap w:val="0"/>
            <w:vAlign w:val="top"/>
          </w:tcPr>
          <w:p w14:paraId="21404933">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w:t>
            </w:r>
          </w:p>
        </w:tc>
      </w:tr>
      <w:tr w14:paraId="316339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211FF71">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3、上级转移支付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14:paraId="1F40D590">
            <w:pPr>
              <w:jc w:val="right"/>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2384A4AA">
            <w:pPr>
              <w:jc w:val="right"/>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04C7282A">
            <w:pPr>
              <w:jc w:val="right"/>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01B902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310B1B01">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粤汉铁路英国专家维护</w:t>
            </w:r>
          </w:p>
        </w:tc>
        <w:tc>
          <w:tcPr>
            <w:tcW w:w="1815" w:type="dxa"/>
            <w:gridSpan w:val="2"/>
            <w:noWrap w:val="0"/>
            <w:vAlign w:val="top"/>
          </w:tcPr>
          <w:p w14:paraId="5A2D443A">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13266D50">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192.72</w:t>
            </w:r>
          </w:p>
        </w:tc>
        <w:tc>
          <w:tcPr>
            <w:tcW w:w="1679" w:type="dxa"/>
            <w:gridSpan w:val="2"/>
            <w:noWrap w:val="0"/>
            <w:vAlign w:val="top"/>
          </w:tcPr>
          <w:p w14:paraId="3F9157F2">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192.72</w:t>
            </w:r>
          </w:p>
        </w:tc>
      </w:tr>
      <w:tr w14:paraId="345C01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4DC780FF">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公共文化服务体系建设</w:t>
            </w:r>
          </w:p>
        </w:tc>
        <w:tc>
          <w:tcPr>
            <w:tcW w:w="1815" w:type="dxa"/>
            <w:gridSpan w:val="2"/>
            <w:noWrap w:val="0"/>
            <w:vAlign w:val="top"/>
          </w:tcPr>
          <w:p w14:paraId="3D1CF0A6">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379.09</w:t>
            </w:r>
          </w:p>
        </w:tc>
        <w:tc>
          <w:tcPr>
            <w:tcW w:w="2325" w:type="dxa"/>
            <w:gridSpan w:val="2"/>
            <w:noWrap w:val="0"/>
            <w:vAlign w:val="top"/>
          </w:tcPr>
          <w:p w14:paraId="2126E908">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29.91</w:t>
            </w:r>
          </w:p>
        </w:tc>
        <w:tc>
          <w:tcPr>
            <w:tcW w:w="1679" w:type="dxa"/>
            <w:gridSpan w:val="2"/>
            <w:noWrap w:val="0"/>
            <w:vAlign w:val="top"/>
          </w:tcPr>
          <w:p w14:paraId="1B175EF0">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29.91</w:t>
            </w:r>
          </w:p>
        </w:tc>
      </w:tr>
      <w:tr w14:paraId="3432BC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9518445">
            <w:pPr>
              <w:spacing w:before="85" w:line="220" w:lineRule="auto"/>
              <w:ind w:firstLine="492" w:firstLineChars="200"/>
              <w:jc w:val="left"/>
              <w:rPr>
                <w:rFonts w:hint="default"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4、其他</w:t>
            </w: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省十四运会资金</w:t>
            </w:r>
          </w:p>
        </w:tc>
        <w:tc>
          <w:tcPr>
            <w:tcW w:w="1815" w:type="dxa"/>
            <w:gridSpan w:val="2"/>
            <w:noWrap w:val="0"/>
            <w:vAlign w:val="top"/>
          </w:tcPr>
          <w:p w14:paraId="00435F3E">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0E428B1B">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50.19</w:t>
            </w:r>
          </w:p>
        </w:tc>
        <w:tc>
          <w:tcPr>
            <w:tcW w:w="1679" w:type="dxa"/>
            <w:gridSpan w:val="2"/>
            <w:noWrap w:val="0"/>
            <w:vAlign w:val="top"/>
          </w:tcPr>
          <w:p w14:paraId="64E21711">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50.19</w:t>
            </w:r>
          </w:p>
        </w:tc>
      </w:tr>
      <w:tr w14:paraId="54080A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6E0DF07F">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14:paraId="6F49932B">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61.10</w:t>
            </w:r>
          </w:p>
        </w:tc>
        <w:tc>
          <w:tcPr>
            <w:tcW w:w="2325" w:type="dxa"/>
            <w:gridSpan w:val="2"/>
            <w:noWrap w:val="0"/>
            <w:vAlign w:val="top"/>
          </w:tcPr>
          <w:p w14:paraId="7E7753FC">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30.6</w:t>
            </w:r>
          </w:p>
        </w:tc>
        <w:tc>
          <w:tcPr>
            <w:tcW w:w="1679" w:type="dxa"/>
            <w:gridSpan w:val="2"/>
            <w:noWrap w:val="0"/>
            <w:vAlign w:val="top"/>
          </w:tcPr>
          <w:p w14:paraId="7108CA72">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72.16</w:t>
            </w:r>
          </w:p>
        </w:tc>
      </w:tr>
      <w:tr w14:paraId="2DC3FE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E12A305">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14:paraId="0B3DC19B">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58.43</w:t>
            </w:r>
          </w:p>
        </w:tc>
        <w:tc>
          <w:tcPr>
            <w:tcW w:w="2325" w:type="dxa"/>
            <w:gridSpan w:val="2"/>
            <w:noWrap w:val="0"/>
            <w:vAlign w:val="top"/>
          </w:tcPr>
          <w:p w14:paraId="3C3E7392">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25.55</w:t>
            </w:r>
          </w:p>
        </w:tc>
        <w:tc>
          <w:tcPr>
            <w:tcW w:w="1679" w:type="dxa"/>
            <w:gridSpan w:val="2"/>
            <w:noWrap w:val="0"/>
            <w:vAlign w:val="top"/>
          </w:tcPr>
          <w:p w14:paraId="43269250">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27.71</w:t>
            </w:r>
          </w:p>
        </w:tc>
      </w:tr>
      <w:tr w14:paraId="07499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0BDB4702">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14:paraId="483B4619">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2.67</w:t>
            </w:r>
          </w:p>
        </w:tc>
        <w:tc>
          <w:tcPr>
            <w:tcW w:w="2325" w:type="dxa"/>
            <w:gridSpan w:val="2"/>
            <w:noWrap w:val="0"/>
            <w:vAlign w:val="top"/>
          </w:tcPr>
          <w:p w14:paraId="022A67BA">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5.05</w:t>
            </w:r>
          </w:p>
        </w:tc>
        <w:tc>
          <w:tcPr>
            <w:tcW w:w="1679" w:type="dxa"/>
            <w:gridSpan w:val="2"/>
            <w:noWrap w:val="0"/>
            <w:vAlign w:val="top"/>
          </w:tcPr>
          <w:p w14:paraId="36AB43CF">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69.82</w:t>
            </w:r>
          </w:p>
        </w:tc>
      </w:tr>
      <w:tr w14:paraId="00F8A6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649C3666">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14:paraId="1A6FE8F9">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158DB223">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248DAD93">
            <w:pPr>
              <w:jc w:val="right"/>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2991D5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 w:hRule="atLeast"/>
        </w:trPr>
        <w:tc>
          <w:tcPr>
            <w:tcW w:w="3850" w:type="dxa"/>
            <w:noWrap w:val="0"/>
            <w:vAlign w:val="top"/>
          </w:tcPr>
          <w:p w14:paraId="2D7030EB">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14:paraId="5B53CA1F">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313.30</w:t>
            </w:r>
          </w:p>
        </w:tc>
        <w:tc>
          <w:tcPr>
            <w:tcW w:w="2325" w:type="dxa"/>
            <w:gridSpan w:val="2"/>
            <w:noWrap w:val="0"/>
            <w:vAlign w:val="top"/>
          </w:tcPr>
          <w:p w14:paraId="36F7F384">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240.16</w:t>
            </w:r>
          </w:p>
        </w:tc>
        <w:tc>
          <w:tcPr>
            <w:tcW w:w="1679" w:type="dxa"/>
            <w:gridSpan w:val="2"/>
            <w:noWrap w:val="0"/>
            <w:vAlign w:val="top"/>
          </w:tcPr>
          <w:p w14:paraId="0D99B7DA">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249.85</w:t>
            </w:r>
          </w:p>
        </w:tc>
      </w:tr>
      <w:tr w14:paraId="231645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7" w:hRule="atLeast"/>
        </w:trPr>
        <w:tc>
          <w:tcPr>
            <w:tcW w:w="3850" w:type="dxa"/>
            <w:noWrap w:val="0"/>
            <w:vAlign w:val="top"/>
          </w:tcPr>
          <w:p w14:paraId="643B9138">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14:paraId="6E6B00C0">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232.64</w:t>
            </w:r>
          </w:p>
        </w:tc>
        <w:tc>
          <w:tcPr>
            <w:tcW w:w="2325" w:type="dxa"/>
            <w:gridSpan w:val="2"/>
            <w:noWrap w:val="0"/>
            <w:vAlign w:val="top"/>
          </w:tcPr>
          <w:p w14:paraId="33E377FE">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431.47</w:t>
            </w:r>
          </w:p>
        </w:tc>
        <w:tc>
          <w:tcPr>
            <w:tcW w:w="1679" w:type="dxa"/>
            <w:gridSpan w:val="2"/>
            <w:noWrap w:val="0"/>
            <w:vAlign w:val="top"/>
          </w:tcPr>
          <w:p w14:paraId="3E1A2E53">
            <w:pPr>
              <w:jc w:val="right"/>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431.47</w:t>
            </w:r>
          </w:p>
        </w:tc>
      </w:tr>
      <w:tr w14:paraId="621805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0A2D256E">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741C7E23">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14:paraId="0C8A17E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6FD9962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14:paraId="33AED0C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1B4460C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14:paraId="31DA5B2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11EFB71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77DE20A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27ACBBD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4FC883A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2D1789F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1C04F63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32D50BA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7767E28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14:paraId="62AEED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2" w:hRule="atLeast"/>
        </w:trPr>
        <w:tc>
          <w:tcPr>
            <w:tcW w:w="3850" w:type="dxa"/>
            <w:vMerge w:val="continue"/>
            <w:tcBorders>
              <w:top w:val="nil"/>
            </w:tcBorders>
            <w:noWrap w:val="0"/>
            <w:vAlign w:val="top"/>
          </w:tcPr>
          <w:p w14:paraId="75A48229">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14:paraId="5757D7C6">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990" w:type="dxa"/>
            <w:noWrap w:val="0"/>
            <w:vAlign w:val="top"/>
          </w:tcPr>
          <w:p w14:paraId="3D89244E">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40" w:type="dxa"/>
            <w:noWrap w:val="0"/>
            <w:vAlign w:val="top"/>
          </w:tcPr>
          <w:p w14:paraId="23253941">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85" w:type="dxa"/>
            <w:noWrap w:val="0"/>
            <w:vAlign w:val="top"/>
          </w:tcPr>
          <w:p w14:paraId="52E3B1DA">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10" w:type="dxa"/>
            <w:noWrap w:val="0"/>
            <w:vAlign w:val="top"/>
          </w:tcPr>
          <w:p w14:paraId="1C5733B9">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14:paraId="47B57DE2">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594B35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3850" w:type="dxa"/>
            <w:noWrap w:val="0"/>
            <w:vAlign w:val="top"/>
          </w:tcPr>
          <w:p w14:paraId="5EDCDDEF">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1691E5B4">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《专项资金管理办法》《岳阳楼区文化旅游广电体育局内控管理办法》</w:t>
            </w:r>
          </w:p>
        </w:tc>
      </w:tr>
    </w:tbl>
    <w:p w14:paraId="0D23FEC9">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7F3CAC5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任雨鸿</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13873081203</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刘英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2023-6-2</w:t>
      </w:r>
    </w:p>
    <w:p w14:paraId="340202C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10D3B60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30BD267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053FF7B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7C913E0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0F03403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26E3CF0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242C687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3CB8761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682ED44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1304E53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2710E2A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2C0E66D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1B619D2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6A84111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1DD2C37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4E32F8F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11861C5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418E34B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7D1EE3D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429E112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66A377F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7379037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1D7C3DF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4F8369B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67C386D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46C8292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5240825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6FCAD93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165F7F2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69065C0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250E209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3F3AD52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3575B04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1ED1A9B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7CB4E67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1F2EB16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733CA10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51EDB07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30975F2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14:paraId="221E8359">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6D4B9502">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0C550B69">
      <w:pPr>
        <w:spacing w:line="168" w:lineRule="exact"/>
        <w:rPr>
          <w:color w:val="000000" w:themeColor="text1"/>
          <w14:textFill>
            <w14:solidFill>
              <w14:schemeClr w14:val="tx1"/>
            </w14:solidFill>
          </w14:textFill>
        </w:rPr>
      </w:pPr>
    </w:p>
    <w:tbl>
      <w:tblPr>
        <w:tblStyle w:val="10"/>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555"/>
        <w:gridCol w:w="1140"/>
        <w:gridCol w:w="1152"/>
        <w:gridCol w:w="719"/>
        <w:gridCol w:w="802"/>
        <w:gridCol w:w="1275"/>
      </w:tblGrid>
      <w:tr w14:paraId="104BCA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14:paraId="7968D324">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14:paraId="00FD820D">
            <w:pPr>
              <w:rPr>
                <w:rFonts w:ascii="Arial"/>
                <w:color w:val="000000" w:themeColor="text1"/>
                <w:sz w:val="21"/>
                <w14:textFill>
                  <w14:solidFill>
                    <w14:schemeClr w14:val="tx1"/>
                  </w14:solidFill>
                </w14:textFill>
              </w:rPr>
            </w:pPr>
          </w:p>
          <w:p w14:paraId="1D71B76B">
            <w:pPr>
              <w:tabs>
                <w:tab w:val="left" w:pos="1168"/>
              </w:tabs>
              <w:bidi w:val="0"/>
              <w:jc w:val="left"/>
              <w:rPr>
                <w:rFonts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ab/>
            </w:r>
            <w:r>
              <w:rPr>
                <w:rFonts w:hint="eastAsia" w:cstheme="minorBidi"/>
                <w:kern w:val="2"/>
                <w:sz w:val="21"/>
                <w:szCs w:val="24"/>
                <w:lang w:val="en-US" w:eastAsia="zh-CN" w:bidi="ar-SA"/>
              </w:rPr>
              <w:t>岳阳楼区文化旅游广电体育局</w:t>
            </w:r>
          </w:p>
        </w:tc>
      </w:tr>
      <w:tr w14:paraId="358F9B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14:paraId="44F308FE">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14:paraId="379BFD3F">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14:paraId="7EA5C606">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14:paraId="2A285A62">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14:paraId="3DB99A0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555" w:type="dxa"/>
            <w:noWrap w:val="0"/>
            <w:vAlign w:val="center"/>
          </w:tcPr>
          <w:p w14:paraId="3C6E3EFE">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140" w:type="dxa"/>
            <w:noWrap w:val="0"/>
            <w:vAlign w:val="center"/>
          </w:tcPr>
          <w:p w14:paraId="3478A6DF">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152" w:type="dxa"/>
            <w:noWrap w:val="0"/>
            <w:vAlign w:val="center"/>
          </w:tcPr>
          <w:p w14:paraId="55346267">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14:paraId="1D9CCAB8">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00FA00F3">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14:paraId="37974AD8">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3F341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65070EBC">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14:paraId="3D4753FD">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555" w:type="dxa"/>
            <w:noWrap w:val="0"/>
            <w:vAlign w:val="center"/>
          </w:tcPr>
          <w:p w14:paraId="5D95313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535.42</w:t>
            </w:r>
          </w:p>
        </w:tc>
        <w:tc>
          <w:tcPr>
            <w:tcW w:w="1140" w:type="dxa"/>
            <w:noWrap w:val="0"/>
            <w:vAlign w:val="center"/>
          </w:tcPr>
          <w:p w14:paraId="2235038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2650.18</w:t>
            </w:r>
          </w:p>
        </w:tc>
        <w:tc>
          <w:tcPr>
            <w:tcW w:w="1152" w:type="dxa"/>
            <w:noWrap w:val="0"/>
            <w:vAlign w:val="center"/>
          </w:tcPr>
          <w:p w14:paraId="471CC97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2650.18</w:t>
            </w:r>
          </w:p>
        </w:tc>
        <w:tc>
          <w:tcPr>
            <w:tcW w:w="719" w:type="dxa"/>
            <w:noWrap w:val="0"/>
            <w:vAlign w:val="center"/>
          </w:tcPr>
          <w:p w14:paraId="63D0AE3D">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14:paraId="325242A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14:paraId="2729CC8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14:paraId="128105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57645383">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803" w:type="dxa"/>
            <w:gridSpan w:val="4"/>
            <w:noWrap w:val="0"/>
            <w:vAlign w:val="center"/>
          </w:tcPr>
          <w:p w14:paraId="332A5961">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r>
              <w:rPr>
                <w:rFonts w:hint="eastAsia" w:ascii="宋体" w:hAnsi="宋体" w:eastAsia="宋体" w:cs="宋体"/>
                <w:color w:val="000000" w:themeColor="text1"/>
                <w:spacing w:val="0"/>
                <w:sz w:val="21"/>
                <w:szCs w:val="21"/>
                <w:lang w:val="en-US" w:eastAsia="zh-CN"/>
                <w14:textFill>
                  <w14:solidFill>
                    <w14:schemeClr w14:val="tx1"/>
                  </w14:solidFill>
                </w14:textFill>
              </w:rPr>
              <w:t>2650.18</w:t>
            </w:r>
          </w:p>
        </w:tc>
        <w:tc>
          <w:tcPr>
            <w:tcW w:w="3948" w:type="dxa"/>
            <w:gridSpan w:val="4"/>
            <w:noWrap w:val="0"/>
            <w:vAlign w:val="center"/>
          </w:tcPr>
          <w:p w14:paraId="3F803794">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r>
              <w:rPr>
                <w:rFonts w:hint="eastAsia" w:ascii="宋体" w:hAnsi="宋体" w:eastAsia="宋体" w:cs="宋体"/>
                <w:color w:val="000000" w:themeColor="text1"/>
                <w:spacing w:val="0"/>
                <w:sz w:val="21"/>
                <w:szCs w:val="21"/>
                <w:lang w:val="en-US" w:eastAsia="zh-CN"/>
                <w14:textFill>
                  <w14:solidFill>
                    <w14:schemeClr w14:val="tx1"/>
                  </w14:solidFill>
                </w14:textFill>
              </w:rPr>
              <w:t>2650.18</w:t>
            </w:r>
          </w:p>
        </w:tc>
      </w:tr>
      <w:tr w14:paraId="46D267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69862314">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803" w:type="dxa"/>
            <w:gridSpan w:val="4"/>
            <w:noWrap w:val="0"/>
            <w:vAlign w:val="center"/>
          </w:tcPr>
          <w:p w14:paraId="6E57E646">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2234.84</w:t>
            </w:r>
          </w:p>
        </w:tc>
        <w:tc>
          <w:tcPr>
            <w:tcW w:w="3948" w:type="dxa"/>
            <w:gridSpan w:val="4"/>
            <w:noWrap w:val="0"/>
            <w:vAlign w:val="center"/>
          </w:tcPr>
          <w:p w14:paraId="10D3B76E">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431.47</w:t>
            </w:r>
          </w:p>
        </w:tc>
      </w:tr>
      <w:tr w14:paraId="405B68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14:paraId="5B04A247">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803" w:type="dxa"/>
            <w:gridSpan w:val="4"/>
            <w:noWrap w:val="0"/>
            <w:vAlign w:val="center"/>
          </w:tcPr>
          <w:p w14:paraId="7764EB2E">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r>
              <w:rPr>
                <w:rFonts w:hint="eastAsia" w:ascii="宋体" w:hAnsi="宋体" w:eastAsia="宋体" w:cs="宋体"/>
                <w:color w:val="000000" w:themeColor="text1"/>
                <w:spacing w:val="0"/>
                <w:sz w:val="21"/>
                <w:szCs w:val="21"/>
                <w:lang w:val="en-US" w:eastAsia="zh-CN"/>
                <w14:textFill>
                  <w14:solidFill>
                    <w14:schemeClr w14:val="tx1"/>
                  </w14:solidFill>
                </w14:textFill>
              </w:rPr>
              <w:t>19.30</w:t>
            </w:r>
          </w:p>
        </w:tc>
        <w:tc>
          <w:tcPr>
            <w:tcW w:w="3948" w:type="dxa"/>
            <w:gridSpan w:val="4"/>
            <w:noWrap w:val="0"/>
            <w:vAlign w:val="center"/>
          </w:tcPr>
          <w:p w14:paraId="599A7695">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2218.71</w:t>
            </w:r>
          </w:p>
        </w:tc>
      </w:tr>
      <w:tr w14:paraId="4EC805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085DE987">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803" w:type="dxa"/>
            <w:gridSpan w:val="4"/>
            <w:noWrap w:val="0"/>
            <w:vAlign w:val="center"/>
          </w:tcPr>
          <w:p w14:paraId="30F42D38">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3948" w:type="dxa"/>
            <w:gridSpan w:val="4"/>
            <w:noWrap w:val="0"/>
            <w:vAlign w:val="center"/>
          </w:tcPr>
          <w:p w14:paraId="4881123D">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14:paraId="043EB4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6606A4A0">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803" w:type="dxa"/>
            <w:gridSpan w:val="4"/>
            <w:noWrap w:val="0"/>
            <w:vAlign w:val="center"/>
          </w:tcPr>
          <w:p w14:paraId="07C4B5B8">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396.04</w:t>
            </w:r>
          </w:p>
        </w:tc>
        <w:tc>
          <w:tcPr>
            <w:tcW w:w="3948" w:type="dxa"/>
            <w:gridSpan w:val="4"/>
            <w:noWrap w:val="0"/>
            <w:vAlign w:val="center"/>
          </w:tcPr>
          <w:p w14:paraId="7DD37D4B">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14:paraId="225EAB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14:paraId="2A085BAB">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803" w:type="dxa"/>
            <w:gridSpan w:val="4"/>
            <w:noWrap w:val="0"/>
            <w:vAlign w:val="center"/>
          </w:tcPr>
          <w:p w14:paraId="08A694A1">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48" w:type="dxa"/>
            <w:gridSpan w:val="4"/>
            <w:noWrap w:val="0"/>
            <w:vAlign w:val="center"/>
          </w:tcPr>
          <w:p w14:paraId="0F9A6FF5">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5FE057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4A117925">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803" w:type="dxa"/>
            <w:gridSpan w:val="4"/>
            <w:noWrap w:val="0"/>
            <w:vAlign w:val="center"/>
          </w:tcPr>
          <w:p w14:paraId="16A6C51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w:t>
            </w:r>
            <w:r>
              <w:rPr>
                <w:rFonts w:hint="eastAsia" w:ascii="Arial"/>
                <w:color w:val="000000" w:themeColor="text1"/>
                <w:spacing w:val="0"/>
                <w:sz w:val="20"/>
                <w14:textFill>
                  <w14:solidFill>
                    <w14:schemeClr w14:val="tx1"/>
                  </w14:solidFill>
                </w14:textFill>
              </w:rPr>
              <w:t>着力建设智慧公共文化服务体系。</w:t>
            </w:r>
            <w:r>
              <w:rPr>
                <w:rFonts w:hint="eastAsia" w:ascii="Arial"/>
                <w:color w:val="000000" w:themeColor="text1"/>
                <w:spacing w:val="0"/>
                <w:sz w:val="20"/>
                <w:lang w:val="en-US" w:eastAsia="zh-CN"/>
                <w14:textFill>
                  <w14:solidFill>
                    <w14:schemeClr w14:val="tx1"/>
                  </w14:solidFill>
                </w14:textFill>
              </w:rPr>
              <w:t>2.</w:t>
            </w:r>
            <w:r>
              <w:rPr>
                <w:rFonts w:hint="eastAsia" w:ascii="Arial"/>
                <w:color w:val="000000" w:themeColor="text1"/>
                <w:spacing w:val="0"/>
                <w:sz w:val="20"/>
                <w14:textFill>
                  <w14:solidFill>
                    <w14:schemeClr w14:val="tx1"/>
                  </w14:solidFill>
                </w14:textFill>
              </w:rPr>
              <w:t>继续夯实公共文化服务基础设施。</w:t>
            </w:r>
            <w:r>
              <w:rPr>
                <w:rFonts w:hint="eastAsia" w:ascii="Arial"/>
                <w:color w:val="000000" w:themeColor="text1"/>
                <w:spacing w:val="0"/>
                <w:sz w:val="20"/>
                <w:lang w:val="en-US" w:eastAsia="zh-CN"/>
                <w14:textFill>
                  <w14:solidFill>
                    <w14:schemeClr w14:val="tx1"/>
                  </w14:solidFill>
                </w14:textFill>
              </w:rPr>
              <w:t>3.</w:t>
            </w:r>
            <w:r>
              <w:rPr>
                <w:rFonts w:hint="eastAsia" w:ascii="Arial"/>
                <w:color w:val="000000" w:themeColor="text1"/>
                <w:spacing w:val="0"/>
                <w:sz w:val="20"/>
                <w14:textFill>
                  <w14:solidFill>
                    <w14:schemeClr w14:val="tx1"/>
                  </w14:solidFill>
                </w14:textFill>
              </w:rPr>
              <w:t>进一步丰富中心城市历史文化元素</w:t>
            </w:r>
            <w:r>
              <w:rPr>
                <w:rFonts w:hint="eastAsia" w:ascii="Arial"/>
                <w:color w:val="000000" w:themeColor="text1"/>
                <w:spacing w:val="0"/>
                <w:sz w:val="20"/>
                <w:lang w:eastAsia="zh-CN"/>
                <w14:textFill>
                  <w14:solidFill>
                    <w14:schemeClr w14:val="tx1"/>
                  </w14:solidFill>
                </w14:textFill>
              </w:rPr>
              <w:t>。</w:t>
            </w:r>
            <w:r>
              <w:rPr>
                <w:rFonts w:hint="eastAsia" w:ascii="Arial"/>
                <w:color w:val="000000" w:themeColor="text1"/>
                <w:spacing w:val="0"/>
                <w:sz w:val="20"/>
                <w:lang w:val="en-US" w:eastAsia="zh-CN"/>
                <w14:textFill>
                  <w14:solidFill>
                    <w14:schemeClr w14:val="tx1"/>
                  </w14:solidFill>
                </w14:textFill>
              </w:rPr>
              <w:t>4.提升区域文化旅游品牌竞争力。5.创新工作方式助推产业发展。6.完成省十四运会下达的工作任务。</w:t>
            </w:r>
          </w:p>
        </w:tc>
        <w:tc>
          <w:tcPr>
            <w:tcW w:w="3948" w:type="dxa"/>
            <w:gridSpan w:val="4"/>
            <w:noWrap w:val="0"/>
            <w:vAlign w:val="center"/>
          </w:tcPr>
          <w:p w14:paraId="10C87FA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pacing w:val="0"/>
                <w:sz w:val="20"/>
                <w:lang w:eastAsia="zh-CN"/>
                <w14:textFill>
                  <w14:solidFill>
                    <w14:schemeClr w14:val="tx1"/>
                  </w14:solidFill>
                </w14:textFill>
              </w:rPr>
            </w:pPr>
            <w:r>
              <w:rPr>
                <w:rFonts w:hint="eastAsia" w:ascii="Arial"/>
                <w:color w:val="000000" w:themeColor="text1"/>
                <w:spacing w:val="0"/>
                <w:sz w:val="20"/>
                <w:lang w:eastAsia="zh-CN"/>
                <w14:textFill>
                  <w14:solidFill>
                    <w14:schemeClr w14:val="tx1"/>
                  </w14:solidFill>
                </w14:textFill>
              </w:rPr>
              <w:t>圆满完成各项工作</w:t>
            </w:r>
          </w:p>
        </w:tc>
      </w:tr>
      <w:tr w14:paraId="74DB3D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14:paraId="0ACE5622">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14:paraId="1EA0278F">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14:paraId="73FD2FEA">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14:paraId="3507B7BA">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555" w:type="dxa"/>
            <w:noWrap w:val="0"/>
            <w:vAlign w:val="center"/>
          </w:tcPr>
          <w:p w14:paraId="01A59E4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40" w:type="dxa"/>
            <w:noWrap w:val="0"/>
            <w:vAlign w:val="center"/>
          </w:tcPr>
          <w:p w14:paraId="3BE3A405">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152" w:type="dxa"/>
            <w:noWrap w:val="0"/>
            <w:vAlign w:val="center"/>
          </w:tcPr>
          <w:p w14:paraId="75128890">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14:paraId="6937B6AE">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6F010A14">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14:paraId="0F214FCA">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14:paraId="41A52827">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14:paraId="1BDBF7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2C9CA78B">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3468A310">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016B8940">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080F694A">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493FF578">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286B4775">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14:paraId="32ECE78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tcBorders>
              <w:bottom w:val="nil"/>
            </w:tcBorders>
            <w:noWrap w:val="0"/>
            <w:vAlign w:val="center"/>
          </w:tcPr>
          <w:p w14:paraId="7BF793DF">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555" w:type="dxa"/>
            <w:noWrap w:val="0"/>
            <w:vAlign w:val="bottom"/>
          </w:tcPr>
          <w:p w14:paraId="0092C63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文化、体育、文物、旅游市场整治检查活动.</w:t>
            </w:r>
          </w:p>
        </w:tc>
        <w:tc>
          <w:tcPr>
            <w:tcW w:w="1140" w:type="dxa"/>
            <w:noWrap w:val="0"/>
            <w:vAlign w:val="center"/>
          </w:tcPr>
          <w:p w14:paraId="0D6CEA3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≥4次</w:t>
            </w:r>
          </w:p>
        </w:tc>
        <w:tc>
          <w:tcPr>
            <w:tcW w:w="1152" w:type="dxa"/>
            <w:noWrap w:val="0"/>
            <w:vAlign w:val="center"/>
          </w:tcPr>
          <w:p w14:paraId="23F2F5EF">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w:t>
            </w:r>
            <w:r>
              <w:rPr>
                <w:rFonts w:hint="eastAsia" w:ascii="Arial"/>
                <w:color w:val="000000" w:themeColor="text1"/>
                <w:spacing w:val="0"/>
                <w:sz w:val="20"/>
                <w:lang w:val="en-US" w:eastAsia="zh-CN"/>
                <w14:textFill>
                  <w14:solidFill>
                    <w14:schemeClr w14:val="tx1"/>
                  </w14:solidFill>
                </w14:textFill>
              </w:rPr>
              <w:t>次</w:t>
            </w:r>
          </w:p>
        </w:tc>
        <w:tc>
          <w:tcPr>
            <w:tcW w:w="719" w:type="dxa"/>
            <w:noWrap w:val="0"/>
            <w:vAlign w:val="center"/>
          </w:tcPr>
          <w:p w14:paraId="70AA23F8">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auto"/>
                <w:sz w:val="20"/>
                <w:lang w:val="en-US" w:eastAsia="zh-CN"/>
              </w:rPr>
            </w:pPr>
            <w:r>
              <w:rPr>
                <w:rFonts w:hint="eastAsia" w:ascii="Arial"/>
                <w:color w:val="auto"/>
                <w:sz w:val="20"/>
                <w:lang w:val="en-US" w:eastAsia="zh-CN"/>
              </w:rPr>
              <w:t>3</w:t>
            </w:r>
          </w:p>
        </w:tc>
        <w:tc>
          <w:tcPr>
            <w:tcW w:w="802" w:type="dxa"/>
            <w:noWrap w:val="0"/>
            <w:vAlign w:val="center"/>
          </w:tcPr>
          <w:p w14:paraId="571C5052">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14:paraId="0B979A3D">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FF0000"/>
                <w:sz w:val="20"/>
                <w:lang w:val="en-US" w:eastAsia="zh-CN"/>
              </w:rPr>
            </w:pPr>
          </w:p>
        </w:tc>
      </w:tr>
      <w:tr w14:paraId="791DDE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3D371604">
            <w:pPr>
              <w:rPr>
                <w:rFonts w:ascii="Arial"/>
                <w:color w:val="000000" w:themeColor="text1"/>
                <w:sz w:val="21"/>
                <w14:textFill>
                  <w14:solidFill>
                    <w14:schemeClr w14:val="tx1"/>
                  </w14:solidFill>
                </w14:textFill>
              </w:rPr>
            </w:pPr>
          </w:p>
        </w:tc>
        <w:tc>
          <w:tcPr>
            <w:tcW w:w="1079" w:type="dxa"/>
            <w:vMerge w:val="continue"/>
            <w:noWrap w:val="0"/>
            <w:vAlign w:val="center"/>
          </w:tcPr>
          <w:p w14:paraId="3C0438FA">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noWrap w:val="0"/>
            <w:vAlign w:val="center"/>
          </w:tcPr>
          <w:p w14:paraId="251666F9">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555" w:type="dxa"/>
            <w:noWrap w:val="0"/>
            <w:vAlign w:val="center"/>
          </w:tcPr>
          <w:p w14:paraId="059558A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送戏下乡、广场文化活动</w:t>
            </w:r>
          </w:p>
        </w:tc>
        <w:tc>
          <w:tcPr>
            <w:tcW w:w="1140" w:type="dxa"/>
            <w:noWrap w:val="0"/>
            <w:vAlign w:val="center"/>
          </w:tcPr>
          <w:p w14:paraId="324B4A9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≥20次</w:t>
            </w:r>
          </w:p>
        </w:tc>
        <w:tc>
          <w:tcPr>
            <w:tcW w:w="1152" w:type="dxa"/>
            <w:noWrap w:val="0"/>
            <w:vAlign w:val="center"/>
          </w:tcPr>
          <w:p w14:paraId="2882D7F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25次</w:t>
            </w:r>
          </w:p>
        </w:tc>
        <w:tc>
          <w:tcPr>
            <w:tcW w:w="719" w:type="dxa"/>
            <w:noWrap w:val="0"/>
            <w:vAlign w:val="center"/>
          </w:tcPr>
          <w:p w14:paraId="4F46F5C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auto"/>
                <w:spacing w:val="0"/>
                <w:sz w:val="20"/>
                <w:lang w:val="en-US" w:eastAsia="zh-CN"/>
              </w:rPr>
            </w:pPr>
            <w:r>
              <w:rPr>
                <w:rFonts w:hint="eastAsia" w:ascii="Arial"/>
                <w:color w:val="auto"/>
                <w:spacing w:val="0"/>
                <w:sz w:val="20"/>
                <w:lang w:val="en-US" w:eastAsia="zh-CN"/>
              </w:rPr>
              <w:t>2</w:t>
            </w:r>
          </w:p>
        </w:tc>
        <w:tc>
          <w:tcPr>
            <w:tcW w:w="802" w:type="dxa"/>
            <w:noWrap w:val="0"/>
            <w:vAlign w:val="center"/>
          </w:tcPr>
          <w:p w14:paraId="75E4080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noWrap w:val="0"/>
            <w:vAlign w:val="center"/>
          </w:tcPr>
          <w:p w14:paraId="60FB56A7">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FF0000"/>
                <w:sz w:val="20"/>
              </w:rPr>
            </w:pPr>
          </w:p>
        </w:tc>
      </w:tr>
      <w:tr w14:paraId="28FEB4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28ECFF3F">
            <w:pPr>
              <w:rPr>
                <w:rFonts w:ascii="Arial"/>
                <w:color w:val="000000" w:themeColor="text1"/>
                <w:sz w:val="21"/>
                <w14:textFill>
                  <w14:solidFill>
                    <w14:schemeClr w14:val="tx1"/>
                  </w14:solidFill>
                </w14:textFill>
              </w:rPr>
            </w:pPr>
          </w:p>
        </w:tc>
        <w:tc>
          <w:tcPr>
            <w:tcW w:w="1079" w:type="dxa"/>
            <w:vMerge w:val="continue"/>
            <w:noWrap w:val="0"/>
            <w:vAlign w:val="center"/>
          </w:tcPr>
          <w:p w14:paraId="7917EA02">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noWrap w:val="0"/>
            <w:vAlign w:val="center"/>
          </w:tcPr>
          <w:p w14:paraId="4453B31C">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555" w:type="dxa"/>
            <w:noWrap w:val="0"/>
            <w:vAlign w:val="center"/>
          </w:tcPr>
          <w:p w14:paraId="3856495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群众体育比赛活动及开展体育活动</w:t>
            </w:r>
          </w:p>
        </w:tc>
        <w:tc>
          <w:tcPr>
            <w:tcW w:w="1140" w:type="dxa"/>
            <w:noWrap w:val="0"/>
            <w:vAlign w:val="center"/>
          </w:tcPr>
          <w:p w14:paraId="0F8AA3C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≥6次</w:t>
            </w:r>
          </w:p>
        </w:tc>
        <w:tc>
          <w:tcPr>
            <w:tcW w:w="1152" w:type="dxa"/>
            <w:noWrap w:val="0"/>
            <w:vAlign w:val="center"/>
          </w:tcPr>
          <w:p w14:paraId="0B377CC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6次</w:t>
            </w:r>
          </w:p>
        </w:tc>
        <w:tc>
          <w:tcPr>
            <w:tcW w:w="719" w:type="dxa"/>
            <w:noWrap w:val="0"/>
            <w:vAlign w:val="center"/>
          </w:tcPr>
          <w:p w14:paraId="09ADA32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auto"/>
                <w:spacing w:val="0"/>
                <w:sz w:val="20"/>
                <w:lang w:val="en-US" w:eastAsia="zh-CN"/>
              </w:rPr>
            </w:pPr>
            <w:r>
              <w:rPr>
                <w:rFonts w:hint="eastAsia" w:ascii="Arial"/>
                <w:color w:val="auto"/>
                <w:spacing w:val="0"/>
                <w:sz w:val="20"/>
                <w:lang w:val="en-US" w:eastAsia="zh-CN"/>
              </w:rPr>
              <w:t>5</w:t>
            </w:r>
          </w:p>
        </w:tc>
        <w:tc>
          <w:tcPr>
            <w:tcW w:w="802" w:type="dxa"/>
            <w:noWrap w:val="0"/>
            <w:vAlign w:val="center"/>
          </w:tcPr>
          <w:p w14:paraId="110ACEA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w:t>
            </w:r>
          </w:p>
        </w:tc>
        <w:tc>
          <w:tcPr>
            <w:tcW w:w="1275" w:type="dxa"/>
            <w:noWrap w:val="0"/>
            <w:vAlign w:val="center"/>
          </w:tcPr>
          <w:p w14:paraId="26542208">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FF0000"/>
                <w:sz w:val="20"/>
              </w:rPr>
            </w:pPr>
          </w:p>
        </w:tc>
      </w:tr>
      <w:tr w14:paraId="0BE0CE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7A2FF7ED">
            <w:pPr>
              <w:rPr>
                <w:rFonts w:ascii="Arial"/>
                <w:color w:val="000000" w:themeColor="text1"/>
                <w:sz w:val="21"/>
                <w14:textFill>
                  <w14:solidFill>
                    <w14:schemeClr w14:val="tx1"/>
                  </w14:solidFill>
                </w14:textFill>
              </w:rPr>
            </w:pPr>
          </w:p>
        </w:tc>
        <w:tc>
          <w:tcPr>
            <w:tcW w:w="1079" w:type="dxa"/>
            <w:vMerge w:val="continue"/>
            <w:noWrap w:val="0"/>
            <w:vAlign w:val="center"/>
          </w:tcPr>
          <w:p w14:paraId="2CE8B448">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noWrap w:val="0"/>
            <w:vAlign w:val="center"/>
          </w:tcPr>
          <w:p w14:paraId="35E4F989">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555" w:type="dxa"/>
            <w:noWrap w:val="0"/>
            <w:vAlign w:val="center"/>
          </w:tcPr>
          <w:p w14:paraId="24D0DFC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四上”企业入库及产业调查。</w:t>
            </w:r>
          </w:p>
        </w:tc>
        <w:tc>
          <w:tcPr>
            <w:tcW w:w="1140" w:type="dxa"/>
            <w:noWrap w:val="0"/>
            <w:vAlign w:val="center"/>
          </w:tcPr>
          <w:p w14:paraId="0693626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≥2次</w:t>
            </w:r>
          </w:p>
        </w:tc>
        <w:tc>
          <w:tcPr>
            <w:tcW w:w="1152" w:type="dxa"/>
            <w:noWrap w:val="0"/>
            <w:vAlign w:val="center"/>
          </w:tcPr>
          <w:p w14:paraId="60BF97F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2次</w:t>
            </w:r>
          </w:p>
        </w:tc>
        <w:tc>
          <w:tcPr>
            <w:tcW w:w="719" w:type="dxa"/>
            <w:noWrap w:val="0"/>
            <w:vAlign w:val="center"/>
          </w:tcPr>
          <w:p w14:paraId="2DCBBF2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auto"/>
                <w:spacing w:val="0"/>
                <w:sz w:val="20"/>
                <w:lang w:val="en-US" w:eastAsia="zh-CN"/>
              </w:rPr>
            </w:pPr>
            <w:r>
              <w:rPr>
                <w:rFonts w:hint="eastAsia" w:ascii="Arial"/>
                <w:color w:val="auto"/>
                <w:spacing w:val="0"/>
                <w:sz w:val="20"/>
                <w:lang w:val="en-US" w:eastAsia="zh-CN"/>
              </w:rPr>
              <w:t>2</w:t>
            </w:r>
          </w:p>
        </w:tc>
        <w:tc>
          <w:tcPr>
            <w:tcW w:w="802" w:type="dxa"/>
            <w:noWrap w:val="0"/>
            <w:vAlign w:val="center"/>
          </w:tcPr>
          <w:p w14:paraId="20CA78F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noWrap w:val="0"/>
            <w:vAlign w:val="center"/>
          </w:tcPr>
          <w:p w14:paraId="31A3D146">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FF0000"/>
                <w:sz w:val="20"/>
              </w:rPr>
            </w:pPr>
          </w:p>
        </w:tc>
      </w:tr>
      <w:tr w14:paraId="5E7463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75DE4B53">
            <w:pPr>
              <w:rPr>
                <w:rFonts w:ascii="Arial"/>
                <w:color w:val="000000" w:themeColor="text1"/>
                <w:sz w:val="21"/>
                <w14:textFill>
                  <w14:solidFill>
                    <w14:schemeClr w14:val="tx1"/>
                  </w14:solidFill>
                </w14:textFill>
              </w:rPr>
            </w:pPr>
          </w:p>
        </w:tc>
        <w:tc>
          <w:tcPr>
            <w:tcW w:w="1079" w:type="dxa"/>
            <w:vMerge w:val="continue"/>
            <w:noWrap w:val="0"/>
            <w:vAlign w:val="center"/>
          </w:tcPr>
          <w:p w14:paraId="414A9314">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noWrap w:val="0"/>
            <w:vAlign w:val="center"/>
          </w:tcPr>
          <w:p w14:paraId="10DEE4A1">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555" w:type="dxa"/>
            <w:noWrap w:val="0"/>
            <w:vAlign w:val="center"/>
          </w:tcPr>
          <w:p w14:paraId="2637083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公共文化服务体系</w:t>
            </w:r>
          </w:p>
        </w:tc>
        <w:tc>
          <w:tcPr>
            <w:tcW w:w="1140" w:type="dxa"/>
            <w:noWrap w:val="0"/>
            <w:vAlign w:val="center"/>
          </w:tcPr>
          <w:p w14:paraId="2CC54D5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≥95%</w:t>
            </w:r>
          </w:p>
        </w:tc>
        <w:tc>
          <w:tcPr>
            <w:tcW w:w="1152" w:type="dxa"/>
            <w:noWrap w:val="0"/>
            <w:vAlign w:val="center"/>
          </w:tcPr>
          <w:p w14:paraId="4E24D81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95%</w:t>
            </w:r>
          </w:p>
        </w:tc>
        <w:tc>
          <w:tcPr>
            <w:tcW w:w="719" w:type="dxa"/>
            <w:noWrap w:val="0"/>
            <w:vAlign w:val="center"/>
          </w:tcPr>
          <w:p w14:paraId="1CE6B33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auto"/>
                <w:spacing w:val="0"/>
                <w:sz w:val="20"/>
                <w:lang w:val="en-US" w:eastAsia="zh-CN"/>
              </w:rPr>
            </w:pPr>
            <w:r>
              <w:rPr>
                <w:rFonts w:hint="eastAsia" w:ascii="Arial"/>
                <w:color w:val="auto"/>
                <w:spacing w:val="0"/>
                <w:sz w:val="20"/>
                <w:lang w:val="en-US" w:eastAsia="zh-CN"/>
              </w:rPr>
              <w:t>3</w:t>
            </w:r>
          </w:p>
        </w:tc>
        <w:tc>
          <w:tcPr>
            <w:tcW w:w="802" w:type="dxa"/>
            <w:noWrap w:val="0"/>
            <w:vAlign w:val="center"/>
          </w:tcPr>
          <w:p w14:paraId="1846B11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w:t>
            </w:r>
          </w:p>
        </w:tc>
        <w:tc>
          <w:tcPr>
            <w:tcW w:w="1275" w:type="dxa"/>
            <w:noWrap w:val="0"/>
            <w:vAlign w:val="center"/>
          </w:tcPr>
          <w:p w14:paraId="534F57BB">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FF0000"/>
                <w:sz w:val="20"/>
              </w:rPr>
            </w:pPr>
          </w:p>
        </w:tc>
      </w:tr>
      <w:tr w14:paraId="72461F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24C9264E">
            <w:pPr>
              <w:rPr>
                <w:rFonts w:ascii="Arial"/>
                <w:color w:val="000000" w:themeColor="text1"/>
                <w:sz w:val="21"/>
                <w14:textFill>
                  <w14:solidFill>
                    <w14:schemeClr w14:val="tx1"/>
                  </w14:solidFill>
                </w14:textFill>
              </w:rPr>
            </w:pPr>
          </w:p>
        </w:tc>
        <w:tc>
          <w:tcPr>
            <w:tcW w:w="1079" w:type="dxa"/>
            <w:vMerge w:val="continue"/>
            <w:noWrap w:val="0"/>
            <w:vAlign w:val="center"/>
          </w:tcPr>
          <w:p w14:paraId="37E98BE2">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noWrap w:val="0"/>
            <w:vAlign w:val="center"/>
          </w:tcPr>
          <w:p w14:paraId="12459C6E">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555" w:type="dxa"/>
            <w:noWrap w:val="0"/>
            <w:vAlign w:val="bottom"/>
          </w:tcPr>
          <w:p w14:paraId="1824DB6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省十四运会金牌数</w:t>
            </w:r>
          </w:p>
        </w:tc>
        <w:tc>
          <w:tcPr>
            <w:tcW w:w="1140" w:type="dxa"/>
            <w:noWrap w:val="0"/>
            <w:vAlign w:val="center"/>
          </w:tcPr>
          <w:p w14:paraId="6A3298C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≥5块</w:t>
            </w:r>
          </w:p>
        </w:tc>
        <w:tc>
          <w:tcPr>
            <w:tcW w:w="1152" w:type="dxa"/>
            <w:noWrap w:val="0"/>
            <w:vAlign w:val="center"/>
          </w:tcPr>
          <w:p w14:paraId="59DE3D8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14块</w:t>
            </w:r>
          </w:p>
        </w:tc>
        <w:tc>
          <w:tcPr>
            <w:tcW w:w="719" w:type="dxa"/>
            <w:noWrap w:val="0"/>
            <w:vAlign w:val="center"/>
          </w:tcPr>
          <w:p w14:paraId="6D9AF73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auto"/>
                <w:spacing w:val="0"/>
                <w:sz w:val="20"/>
                <w:lang w:val="en-US" w:eastAsia="zh-CN"/>
              </w:rPr>
            </w:pPr>
            <w:r>
              <w:rPr>
                <w:rFonts w:hint="eastAsia" w:ascii="Arial"/>
                <w:color w:val="auto"/>
                <w:spacing w:val="0"/>
                <w:sz w:val="20"/>
                <w:lang w:val="en-US" w:eastAsia="zh-CN"/>
              </w:rPr>
              <w:t>5</w:t>
            </w:r>
          </w:p>
        </w:tc>
        <w:tc>
          <w:tcPr>
            <w:tcW w:w="802" w:type="dxa"/>
            <w:noWrap w:val="0"/>
            <w:vAlign w:val="center"/>
          </w:tcPr>
          <w:p w14:paraId="7296E73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w:t>
            </w:r>
          </w:p>
        </w:tc>
        <w:tc>
          <w:tcPr>
            <w:tcW w:w="1275" w:type="dxa"/>
            <w:noWrap w:val="0"/>
            <w:vAlign w:val="center"/>
          </w:tcPr>
          <w:p w14:paraId="528961A0">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FF0000"/>
                <w:sz w:val="20"/>
              </w:rPr>
            </w:pPr>
          </w:p>
        </w:tc>
      </w:tr>
      <w:tr w14:paraId="4ADE67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22C9DF7F">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C1D5FD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39BCB4E4">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555" w:type="dxa"/>
            <w:noWrap w:val="0"/>
            <w:vAlign w:val="center"/>
          </w:tcPr>
          <w:p w14:paraId="3F5C5EE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确保单位正常行使各项职能工作有序开展</w:t>
            </w:r>
          </w:p>
        </w:tc>
        <w:tc>
          <w:tcPr>
            <w:tcW w:w="1140" w:type="dxa"/>
            <w:noWrap w:val="0"/>
            <w:vAlign w:val="center"/>
          </w:tcPr>
          <w:p w14:paraId="10E69CD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≥95%</w:t>
            </w:r>
          </w:p>
        </w:tc>
        <w:tc>
          <w:tcPr>
            <w:tcW w:w="1152" w:type="dxa"/>
            <w:noWrap w:val="0"/>
            <w:vAlign w:val="center"/>
          </w:tcPr>
          <w:p w14:paraId="2D7D21F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95%</w:t>
            </w:r>
          </w:p>
        </w:tc>
        <w:tc>
          <w:tcPr>
            <w:tcW w:w="719" w:type="dxa"/>
            <w:noWrap w:val="0"/>
            <w:vAlign w:val="center"/>
          </w:tcPr>
          <w:p w14:paraId="712314A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802" w:type="dxa"/>
            <w:noWrap w:val="0"/>
            <w:vAlign w:val="center"/>
          </w:tcPr>
          <w:p w14:paraId="7E3343D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1275" w:type="dxa"/>
            <w:noWrap w:val="0"/>
            <w:vAlign w:val="center"/>
          </w:tcPr>
          <w:p w14:paraId="418F31B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FF0000"/>
                <w:sz w:val="20"/>
              </w:rPr>
            </w:pPr>
          </w:p>
        </w:tc>
      </w:tr>
      <w:tr w14:paraId="5242B6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4C8F9B94">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039B7A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0F87C81B">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555" w:type="dxa"/>
            <w:noWrap w:val="0"/>
            <w:vAlign w:val="center"/>
          </w:tcPr>
          <w:p w14:paraId="07DBE0F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资金到位时间</w:t>
            </w:r>
          </w:p>
        </w:tc>
        <w:tc>
          <w:tcPr>
            <w:tcW w:w="1140" w:type="dxa"/>
            <w:noWrap w:val="0"/>
            <w:vAlign w:val="center"/>
          </w:tcPr>
          <w:p w14:paraId="0A64516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2022年12月</w:t>
            </w:r>
          </w:p>
        </w:tc>
        <w:tc>
          <w:tcPr>
            <w:tcW w:w="1152" w:type="dxa"/>
            <w:noWrap w:val="0"/>
            <w:vAlign w:val="center"/>
          </w:tcPr>
          <w:p w14:paraId="603CA15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按时完成</w:t>
            </w:r>
          </w:p>
        </w:tc>
        <w:tc>
          <w:tcPr>
            <w:tcW w:w="719" w:type="dxa"/>
            <w:noWrap w:val="0"/>
            <w:vAlign w:val="center"/>
          </w:tcPr>
          <w:p w14:paraId="219739A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802" w:type="dxa"/>
            <w:noWrap w:val="0"/>
            <w:vAlign w:val="center"/>
          </w:tcPr>
          <w:p w14:paraId="749D400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1275" w:type="dxa"/>
            <w:noWrap w:val="0"/>
            <w:vAlign w:val="center"/>
          </w:tcPr>
          <w:p w14:paraId="72B1029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FF0000"/>
                <w:sz w:val="20"/>
                <w:lang w:val="en-US" w:eastAsia="zh-CN"/>
              </w:rPr>
            </w:pPr>
          </w:p>
        </w:tc>
      </w:tr>
      <w:tr w14:paraId="7A946B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7C62E31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B009A8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62C23CF5">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555" w:type="dxa"/>
            <w:noWrap w:val="0"/>
            <w:vAlign w:val="center"/>
          </w:tcPr>
          <w:p w14:paraId="570DF21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成本节约率</w:t>
            </w:r>
          </w:p>
        </w:tc>
        <w:tc>
          <w:tcPr>
            <w:tcW w:w="1140" w:type="dxa"/>
            <w:noWrap w:val="0"/>
            <w:vAlign w:val="center"/>
          </w:tcPr>
          <w:p w14:paraId="64B4092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≥0</w:t>
            </w:r>
          </w:p>
        </w:tc>
        <w:tc>
          <w:tcPr>
            <w:tcW w:w="1152" w:type="dxa"/>
            <w:noWrap w:val="0"/>
            <w:vAlign w:val="center"/>
          </w:tcPr>
          <w:p w14:paraId="09F9831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0</w:t>
            </w:r>
          </w:p>
        </w:tc>
        <w:tc>
          <w:tcPr>
            <w:tcW w:w="719" w:type="dxa"/>
            <w:noWrap w:val="0"/>
            <w:vAlign w:val="center"/>
          </w:tcPr>
          <w:p w14:paraId="31E1072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802" w:type="dxa"/>
            <w:noWrap w:val="0"/>
            <w:vAlign w:val="center"/>
          </w:tcPr>
          <w:p w14:paraId="21651B6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1275" w:type="dxa"/>
            <w:noWrap w:val="0"/>
            <w:vAlign w:val="center"/>
          </w:tcPr>
          <w:p w14:paraId="6A4114C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FF0000"/>
                <w:sz w:val="20"/>
              </w:rPr>
            </w:pPr>
          </w:p>
        </w:tc>
      </w:tr>
      <w:tr w14:paraId="299CF1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6BFFF813">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1CFAFED9">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14:paraId="470DEBA4">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223BFDF3">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7BA89AFB">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6752C84C">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14:paraId="4F8B27A3">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tcBorders>
              <w:bottom w:val="nil"/>
            </w:tcBorders>
            <w:noWrap w:val="0"/>
            <w:vAlign w:val="center"/>
          </w:tcPr>
          <w:p w14:paraId="77027834">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14:paraId="62D0F00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555" w:type="dxa"/>
            <w:noWrap w:val="0"/>
            <w:vAlign w:val="center"/>
          </w:tcPr>
          <w:p w14:paraId="3011119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p>
        </w:tc>
        <w:tc>
          <w:tcPr>
            <w:tcW w:w="1140" w:type="dxa"/>
            <w:noWrap w:val="0"/>
            <w:vAlign w:val="center"/>
          </w:tcPr>
          <w:p w14:paraId="4C4902B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p>
        </w:tc>
        <w:tc>
          <w:tcPr>
            <w:tcW w:w="1152" w:type="dxa"/>
            <w:noWrap w:val="0"/>
            <w:vAlign w:val="center"/>
          </w:tcPr>
          <w:p w14:paraId="751784D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p>
        </w:tc>
        <w:tc>
          <w:tcPr>
            <w:tcW w:w="719" w:type="dxa"/>
            <w:noWrap w:val="0"/>
            <w:vAlign w:val="center"/>
          </w:tcPr>
          <w:p w14:paraId="4F46E25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p>
        </w:tc>
        <w:tc>
          <w:tcPr>
            <w:tcW w:w="802" w:type="dxa"/>
            <w:noWrap w:val="0"/>
            <w:vAlign w:val="center"/>
          </w:tcPr>
          <w:p w14:paraId="0EAF32B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p>
        </w:tc>
        <w:tc>
          <w:tcPr>
            <w:tcW w:w="1275" w:type="dxa"/>
            <w:noWrap w:val="0"/>
            <w:vAlign w:val="center"/>
          </w:tcPr>
          <w:p w14:paraId="0CB203C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FF0000"/>
                <w:sz w:val="20"/>
              </w:rPr>
            </w:pPr>
          </w:p>
        </w:tc>
      </w:tr>
      <w:tr w14:paraId="16D285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61FF5859">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CF837B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5D71C56E">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14:paraId="1CA5CC02">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555" w:type="dxa"/>
            <w:noWrap w:val="0"/>
            <w:vAlign w:val="center"/>
          </w:tcPr>
          <w:p w14:paraId="1143BB0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auto"/>
                <w:spacing w:val="0"/>
                <w:sz w:val="20"/>
                <w:lang w:val="en-US" w:eastAsia="zh-CN"/>
              </w:rPr>
            </w:pPr>
            <w:r>
              <w:rPr>
                <w:rFonts w:hint="eastAsia" w:ascii="Arial"/>
                <w:color w:val="auto"/>
                <w:spacing w:val="0"/>
                <w:sz w:val="20"/>
                <w:lang w:val="en-US" w:eastAsia="zh-CN"/>
              </w:rPr>
              <w:t>.进一步优化了公共文化设施网络布局，公共文化服务体系全面覆盖城乡。</w:t>
            </w:r>
          </w:p>
        </w:tc>
        <w:tc>
          <w:tcPr>
            <w:tcW w:w="1140" w:type="dxa"/>
            <w:noWrap w:val="0"/>
            <w:vAlign w:val="center"/>
          </w:tcPr>
          <w:p w14:paraId="6C0DCE6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auto"/>
                <w:spacing w:val="0"/>
                <w:sz w:val="20"/>
                <w:lang w:val="en-US" w:eastAsia="zh-CN"/>
              </w:rPr>
            </w:pPr>
            <w:r>
              <w:rPr>
                <w:rFonts w:hint="eastAsia" w:ascii="Arial"/>
                <w:color w:val="auto"/>
                <w:spacing w:val="0"/>
                <w:sz w:val="20"/>
                <w:lang w:val="en-US" w:eastAsia="zh-CN"/>
              </w:rPr>
              <w:tab/>
            </w:r>
            <w:r>
              <w:rPr>
                <w:rFonts w:hint="eastAsia" w:ascii="Arial"/>
                <w:color w:val="auto"/>
                <w:spacing w:val="0"/>
                <w:sz w:val="20"/>
                <w:lang w:val="en-US" w:eastAsia="zh-CN"/>
              </w:rPr>
              <w:t>全面促进</w:t>
            </w:r>
            <w:r>
              <w:rPr>
                <w:rFonts w:hint="eastAsia" w:ascii="宋体" w:hAnsi="宋体" w:eastAsia="宋体" w:cs="宋体"/>
                <w:i w:val="0"/>
                <w:iCs w:val="0"/>
                <w:color w:val="auto"/>
                <w:kern w:val="0"/>
                <w:sz w:val="20"/>
                <w:szCs w:val="20"/>
                <w:u w:val="none"/>
                <w:lang w:val="en-US" w:eastAsia="zh-CN" w:bidi="ar"/>
              </w:rPr>
              <w:t>公共文化设施标准化建设覆盖</w:t>
            </w:r>
          </w:p>
        </w:tc>
        <w:tc>
          <w:tcPr>
            <w:tcW w:w="1152" w:type="dxa"/>
            <w:noWrap w:val="0"/>
            <w:vAlign w:val="center"/>
          </w:tcPr>
          <w:p w14:paraId="0DDB0AC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auto"/>
                <w:spacing w:val="0"/>
                <w:sz w:val="20"/>
                <w:lang w:val="en-US" w:eastAsia="zh-CN"/>
              </w:rPr>
            </w:pPr>
            <w:r>
              <w:rPr>
                <w:rFonts w:hint="eastAsia" w:ascii="Arial"/>
                <w:color w:val="auto"/>
                <w:spacing w:val="0"/>
                <w:sz w:val="20"/>
                <w:lang w:val="en-US" w:eastAsia="zh-CN"/>
              </w:rPr>
              <w:t>全面促进</w:t>
            </w:r>
            <w:r>
              <w:rPr>
                <w:rFonts w:hint="eastAsia" w:ascii="宋体" w:hAnsi="宋体" w:eastAsia="宋体" w:cs="宋体"/>
                <w:i w:val="0"/>
                <w:iCs w:val="0"/>
                <w:color w:val="auto"/>
                <w:kern w:val="0"/>
                <w:sz w:val="20"/>
                <w:szCs w:val="20"/>
                <w:u w:val="none"/>
                <w:lang w:val="en-US" w:eastAsia="zh-CN" w:bidi="ar"/>
              </w:rPr>
              <w:t>公共文化设施标准化建设覆盖</w:t>
            </w:r>
          </w:p>
        </w:tc>
        <w:tc>
          <w:tcPr>
            <w:tcW w:w="719" w:type="dxa"/>
            <w:noWrap w:val="0"/>
            <w:vAlign w:val="center"/>
          </w:tcPr>
          <w:p w14:paraId="01358C3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802" w:type="dxa"/>
            <w:noWrap w:val="0"/>
            <w:vAlign w:val="center"/>
          </w:tcPr>
          <w:p w14:paraId="65F68D4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w:t>
            </w:r>
          </w:p>
        </w:tc>
        <w:tc>
          <w:tcPr>
            <w:tcW w:w="1275" w:type="dxa"/>
            <w:noWrap w:val="0"/>
            <w:vAlign w:val="center"/>
          </w:tcPr>
          <w:p w14:paraId="5F9DBE3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FF0000"/>
                <w:sz w:val="20"/>
                <w:lang w:val="en-US" w:eastAsia="zh-CN"/>
              </w:rPr>
            </w:pPr>
          </w:p>
        </w:tc>
      </w:tr>
      <w:tr w14:paraId="591AA9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540EF907">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54BF63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5667D598">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3"/>
                <w:sz w:val="21"/>
                <w:szCs w:val="21"/>
                <w14:textFill>
                  <w14:solidFill>
                    <w14:schemeClr w14:val="tx1"/>
                  </w14:solidFill>
                </w14:textFill>
              </w:rPr>
            </w:pPr>
          </w:p>
        </w:tc>
        <w:tc>
          <w:tcPr>
            <w:tcW w:w="1555" w:type="dxa"/>
            <w:noWrap w:val="0"/>
            <w:vAlign w:val="center"/>
          </w:tcPr>
          <w:p w14:paraId="6776867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auto"/>
                <w:spacing w:val="0"/>
                <w:sz w:val="20"/>
                <w:lang w:val="en-US" w:eastAsia="zh-CN"/>
              </w:rPr>
            </w:pPr>
            <w:r>
              <w:rPr>
                <w:rFonts w:hint="eastAsia" w:ascii="Arial"/>
                <w:color w:val="auto"/>
                <w:spacing w:val="0"/>
                <w:sz w:val="20"/>
                <w:lang w:val="en-US" w:eastAsia="zh-CN"/>
              </w:rPr>
              <w:t>充分挖掘申报一批非物质文化遗产项目，增强全社会的文化遗产保护意识</w:t>
            </w:r>
          </w:p>
        </w:tc>
        <w:tc>
          <w:tcPr>
            <w:tcW w:w="1140" w:type="dxa"/>
            <w:noWrap w:val="0"/>
            <w:vAlign w:val="center"/>
          </w:tcPr>
          <w:p w14:paraId="7ED2D47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auto"/>
                <w:spacing w:val="0"/>
                <w:sz w:val="20"/>
                <w:lang w:val="en-US" w:eastAsia="zh-CN"/>
              </w:rPr>
            </w:pPr>
            <w:r>
              <w:rPr>
                <w:rFonts w:hint="eastAsia" w:ascii="Arial"/>
                <w:color w:val="auto"/>
                <w:spacing w:val="0"/>
                <w:sz w:val="20"/>
                <w:lang w:val="en-US" w:eastAsia="zh-CN"/>
              </w:rPr>
              <w:t>有效增强全社会的文化遗产保护意识</w:t>
            </w:r>
          </w:p>
        </w:tc>
        <w:tc>
          <w:tcPr>
            <w:tcW w:w="1152" w:type="dxa"/>
            <w:noWrap w:val="0"/>
            <w:vAlign w:val="center"/>
          </w:tcPr>
          <w:p w14:paraId="4180D43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auto"/>
                <w:spacing w:val="0"/>
                <w:sz w:val="20"/>
                <w:lang w:val="en-US" w:eastAsia="zh-CN"/>
              </w:rPr>
            </w:pPr>
            <w:r>
              <w:rPr>
                <w:rFonts w:hint="eastAsia" w:ascii="Arial"/>
                <w:color w:val="auto"/>
                <w:spacing w:val="0"/>
                <w:sz w:val="20"/>
                <w:lang w:val="en-US" w:eastAsia="zh-CN"/>
              </w:rPr>
              <w:t>有效增强全社会的文化遗产保护意识</w:t>
            </w:r>
          </w:p>
        </w:tc>
        <w:tc>
          <w:tcPr>
            <w:tcW w:w="719" w:type="dxa"/>
            <w:noWrap w:val="0"/>
            <w:vAlign w:val="center"/>
          </w:tcPr>
          <w:p w14:paraId="198F7A9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w:t>
            </w:r>
          </w:p>
        </w:tc>
        <w:tc>
          <w:tcPr>
            <w:tcW w:w="802" w:type="dxa"/>
            <w:noWrap w:val="0"/>
            <w:vAlign w:val="center"/>
          </w:tcPr>
          <w:p w14:paraId="1CAC73F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4</w:t>
            </w:r>
          </w:p>
        </w:tc>
        <w:tc>
          <w:tcPr>
            <w:tcW w:w="1275" w:type="dxa"/>
            <w:noWrap w:val="0"/>
            <w:vAlign w:val="center"/>
          </w:tcPr>
          <w:p w14:paraId="6C00D99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FF0000"/>
                <w:sz w:val="20"/>
              </w:rPr>
            </w:pPr>
          </w:p>
        </w:tc>
      </w:tr>
      <w:tr w14:paraId="2A0D58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58265F67">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FCBA5E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05A6A1D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3"/>
                <w:sz w:val="21"/>
                <w:szCs w:val="21"/>
                <w14:textFill>
                  <w14:solidFill>
                    <w14:schemeClr w14:val="tx1"/>
                  </w14:solidFill>
                </w14:textFill>
              </w:rPr>
            </w:pPr>
          </w:p>
        </w:tc>
        <w:tc>
          <w:tcPr>
            <w:tcW w:w="1555" w:type="dxa"/>
            <w:noWrap w:val="0"/>
            <w:vAlign w:val="center"/>
          </w:tcPr>
          <w:p w14:paraId="3730A15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auto"/>
                <w:spacing w:val="0"/>
                <w:sz w:val="20"/>
                <w:lang w:val="en-US" w:eastAsia="zh-CN"/>
              </w:rPr>
            </w:pPr>
            <w:r>
              <w:rPr>
                <w:rFonts w:hint="eastAsia" w:ascii="Arial"/>
                <w:color w:val="auto"/>
                <w:spacing w:val="0"/>
                <w:sz w:val="20"/>
                <w:lang w:val="en-US" w:eastAsia="zh-CN"/>
              </w:rPr>
              <w:t>继续大力推进文化体育旅游市场规范化，净化市场环境，维护市场安全。</w:t>
            </w:r>
          </w:p>
        </w:tc>
        <w:tc>
          <w:tcPr>
            <w:tcW w:w="1140" w:type="dxa"/>
            <w:noWrap w:val="0"/>
            <w:vAlign w:val="center"/>
          </w:tcPr>
          <w:p w14:paraId="7F29758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auto"/>
                <w:spacing w:val="0"/>
                <w:sz w:val="20"/>
                <w:lang w:val="en-US" w:eastAsia="zh-CN"/>
              </w:rPr>
            </w:pPr>
            <w:r>
              <w:rPr>
                <w:rFonts w:hint="eastAsia" w:ascii="Arial"/>
                <w:color w:val="auto"/>
                <w:spacing w:val="0"/>
                <w:sz w:val="20"/>
                <w:lang w:val="en-US" w:eastAsia="zh-CN"/>
              </w:rPr>
              <w:t>净化市场环境，维护市场安全。</w:t>
            </w:r>
          </w:p>
        </w:tc>
        <w:tc>
          <w:tcPr>
            <w:tcW w:w="1152" w:type="dxa"/>
            <w:noWrap w:val="0"/>
            <w:vAlign w:val="center"/>
          </w:tcPr>
          <w:p w14:paraId="61C4F0D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auto"/>
                <w:spacing w:val="0"/>
                <w:sz w:val="20"/>
                <w:lang w:val="en-US" w:eastAsia="zh-CN"/>
              </w:rPr>
            </w:pPr>
            <w:r>
              <w:rPr>
                <w:rFonts w:hint="eastAsia" w:ascii="Arial"/>
                <w:color w:val="auto"/>
                <w:spacing w:val="0"/>
                <w:sz w:val="20"/>
                <w:lang w:val="en-US" w:eastAsia="zh-CN"/>
              </w:rPr>
              <w:t>净化市场环境，维护市场安全。</w:t>
            </w:r>
          </w:p>
        </w:tc>
        <w:tc>
          <w:tcPr>
            <w:tcW w:w="719" w:type="dxa"/>
            <w:noWrap w:val="0"/>
            <w:vAlign w:val="center"/>
          </w:tcPr>
          <w:p w14:paraId="0385D4F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w:t>
            </w:r>
          </w:p>
        </w:tc>
        <w:tc>
          <w:tcPr>
            <w:tcW w:w="802" w:type="dxa"/>
            <w:noWrap w:val="0"/>
            <w:vAlign w:val="center"/>
          </w:tcPr>
          <w:p w14:paraId="68A8B37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4</w:t>
            </w:r>
          </w:p>
        </w:tc>
        <w:tc>
          <w:tcPr>
            <w:tcW w:w="1275" w:type="dxa"/>
            <w:noWrap w:val="0"/>
            <w:vAlign w:val="center"/>
          </w:tcPr>
          <w:p w14:paraId="43852A9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FF0000"/>
                <w:sz w:val="20"/>
              </w:rPr>
            </w:pPr>
          </w:p>
        </w:tc>
      </w:tr>
      <w:tr w14:paraId="64E51E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50B2C919">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327397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2DDA1B04">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14:paraId="3775461C">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555" w:type="dxa"/>
            <w:noWrap w:val="0"/>
            <w:vAlign w:val="center"/>
          </w:tcPr>
          <w:p w14:paraId="36267C7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p>
        </w:tc>
        <w:tc>
          <w:tcPr>
            <w:tcW w:w="1140" w:type="dxa"/>
            <w:noWrap w:val="0"/>
            <w:vAlign w:val="center"/>
          </w:tcPr>
          <w:p w14:paraId="46F9CEF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p>
        </w:tc>
        <w:tc>
          <w:tcPr>
            <w:tcW w:w="1152" w:type="dxa"/>
            <w:noWrap w:val="0"/>
            <w:vAlign w:val="center"/>
          </w:tcPr>
          <w:p w14:paraId="1EBCC9D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p>
        </w:tc>
        <w:tc>
          <w:tcPr>
            <w:tcW w:w="719" w:type="dxa"/>
            <w:noWrap w:val="0"/>
            <w:vAlign w:val="center"/>
          </w:tcPr>
          <w:p w14:paraId="69D7160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p>
        </w:tc>
        <w:tc>
          <w:tcPr>
            <w:tcW w:w="802" w:type="dxa"/>
            <w:noWrap w:val="0"/>
            <w:vAlign w:val="center"/>
          </w:tcPr>
          <w:p w14:paraId="28B9623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p>
        </w:tc>
        <w:tc>
          <w:tcPr>
            <w:tcW w:w="1275" w:type="dxa"/>
            <w:noWrap w:val="0"/>
            <w:vAlign w:val="center"/>
          </w:tcPr>
          <w:p w14:paraId="55F6933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FF0000"/>
                <w:sz w:val="20"/>
              </w:rPr>
            </w:pPr>
          </w:p>
        </w:tc>
      </w:tr>
      <w:tr w14:paraId="5628FA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14:paraId="1A3349B9">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203D47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2C9CB742">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14:paraId="6049345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555" w:type="dxa"/>
            <w:noWrap w:val="0"/>
            <w:vAlign w:val="center"/>
          </w:tcPr>
          <w:p w14:paraId="57A8B6F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进一步丰富人民群众精神生活，文化生活越来越丰富、群众参与度和意愿越来越强，文化素养持续提高</w:t>
            </w:r>
            <w:r>
              <w:rPr>
                <w:rFonts w:hint="eastAsia" w:ascii="Arial"/>
                <w:color w:val="000000" w:themeColor="text1"/>
                <w:sz w:val="21"/>
                <w:lang w:eastAsia="zh-CN"/>
                <w14:textFill>
                  <w14:solidFill>
                    <w14:schemeClr w14:val="tx1"/>
                  </w14:solidFill>
                </w14:textFill>
              </w:rPr>
              <w:t>。</w:t>
            </w:r>
          </w:p>
        </w:tc>
        <w:tc>
          <w:tcPr>
            <w:tcW w:w="1140" w:type="dxa"/>
            <w:noWrap w:val="0"/>
            <w:vAlign w:val="center"/>
          </w:tcPr>
          <w:p w14:paraId="124669F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≥95%</w:t>
            </w:r>
          </w:p>
        </w:tc>
        <w:tc>
          <w:tcPr>
            <w:tcW w:w="1152" w:type="dxa"/>
            <w:noWrap w:val="0"/>
            <w:vAlign w:val="center"/>
          </w:tcPr>
          <w:p w14:paraId="5928B29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90%</w:t>
            </w:r>
          </w:p>
        </w:tc>
        <w:tc>
          <w:tcPr>
            <w:tcW w:w="719" w:type="dxa"/>
            <w:noWrap w:val="0"/>
            <w:vAlign w:val="center"/>
          </w:tcPr>
          <w:p w14:paraId="7B933C8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802" w:type="dxa"/>
            <w:noWrap w:val="0"/>
            <w:vAlign w:val="center"/>
          </w:tcPr>
          <w:p w14:paraId="4CA4415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w:t>
            </w:r>
          </w:p>
        </w:tc>
        <w:tc>
          <w:tcPr>
            <w:tcW w:w="1275" w:type="dxa"/>
            <w:noWrap w:val="0"/>
            <w:vAlign w:val="center"/>
          </w:tcPr>
          <w:p w14:paraId="3559656C">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FF0000"/>
                <w:sz w:val="21"/>
                <w:lang w:eastAsia="zh-CN"/>
              </w:rPr>
            </w:pPr>
          </w:p>
        </w:tc>
      </w:tr>
      <w:tr w14:paraId="43C39A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14:paraId="5DC4BB14">
            <w:pPr>
              <w:rPr>
                <w:rFonts w:ascii="Arial"/>
                <w:color w:val="000000" w:themeColor="text1"/>
                <w:sz w:val="21"/>
                <w14:textFill>
                  <w14:solidFill>
                    <w14:schemeClr w14:val="tx1"/>
                  </w14:solidFill>
                </w14:textFill>
              </w:rPr>
            </w:pPr>
          </w:p>
        </w:tc>
        <w:tc>
          <w:tcPr>
            <w:tcW w:w="1079" w:type="dxa"/>
            <w:tcBorders>
              <w:bottom w:val="nil"/>
            </w:tcBorders>
            <w:noWrap w:val="0"/>
            <w:vAlign w:val="center"/>
          </w:tcPr>
          <w:p w14:paraId="3B2B1607">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14:paraId="2782F6FC">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14:paraId="16E235F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14:paraId="34E1C921">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14:paraId="7B39131A">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14:paraId="6148CB28">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555" w:type="dxa"/>
            <w:noWrap w:val="0"/>
            <w:vAlign w:val="center"/>
          </w:tcPr>
          <w:p w14:paraId="695FC55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社会公众或服务对象满意度</w:t>
            </w:r>
          </w:p>
        </w:tc>
        <w:tc>
          <w:tcPr>
            <w:tcW w:w="1140" w:type="dxa"/>
            <w:noWrap w:val="0"/>
            <w:vAlign w:val="center"/>
          </w:tcPr>
          <w:p w14:paraId="32576A7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社会公众满意度达95%以上</w:t>
            </w:r>
          </w:p>
        </w:tc>
        <w:tc>
          <w:tcPr>
            <w:tcW w:w="1152" w:type="dxa"/>
            <w:noWrap w:val="0"/>
            <w:vAlign w:val="center"/>
          </w:tcPr>
          <w:p w14:paraId="05A2FA3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90%</w:t>
            </w:r>
          </w:p>
        </w:tc>
        <w:tc>
          <w:tcPr>
            <w:tcW w:w="719" w:type="dxa"/>
            <w:noWrap w:val="0"/>
            <w:vAlign w:val="center"/>
          </w:tcPr>
          <w:p w14:paraId="753E1A6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802" w:type="dxa"/>
            <w:noWrap w:val="0"/>
            <w:vAlign w:val="center"/>
          </w:tcPr>
          <w:p w14:paraId="5776868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w:t>
            </w:r>
          </w:p>
        </w:tc>
        <w:tc>
          <w:tcPr>
            <w:tcW w:w="1275" w:type="dxa"/>
            <w:noWrap w:val="0"/>
            <w:vAlign w:val="center"/>
          </w:tcPr>
          <w:p w14:paraId="3F9B112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FF0000"/>
                <w:sz w:val="21"/>
              </w:rPr>
            </w:pPr>
          </w:p>
        </w:tc>
      </w:tr>
      <w:tr w14:paraId="1625AA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14:paraId="365961A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14:paraId="49018D6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802" w:type="dxa"/>
            <w:noWrap w:val="0"/>
            <w:vAlign w:val="center"/>
          </w:tcPr>
          <w:p w14:paraId="1B02C38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95</w:t>
            </w:r>
          </w:p>
        </w:tc>
        <w:tc>
          <w:tcPr>
            <w:tcW w:w="1275" w:type="dxa"/>
            <w:noWrap w:val="0"/>
            <w:vAlign w:val="center"/>
          </w:tcPr>
          <w:p w14:paraId="18696EBD">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FF0000"/>
                <w:sz w:val="21"/>
                <w:lang w:val="en-US" w:eastAsia="zh-CN"/>
              </w:rPr>
            </w:pPr>
          </w:p>
        </w:tc>
      </w:tr>
    </w:tbl>
    <w:p w14:paraId="3572D16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任雨鸿</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13873081203</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刘英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2023-6-2</w:t>
      </w:r>
    </w:p>
    <w:p w14:paraId="7E81DC8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14:paraId="143C85D2">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1A4D59E2">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5DE727D9">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 xml:space="preserve">   </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岳阳楼区文化旅游广电体育局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整体支出绩效自评报告</w:t>
      </w:r>
    </w:p>
    <w:p w14:paraId="5E5F9C5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8EAD4C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130CED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398FCB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332188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A38B37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9DE6A6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5B9D74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B88903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7DFF8C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79A7D2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D20835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AB75FA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6A856D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99F84C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60534F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9C1A73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7D4D13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C99C1B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955DB0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F906F1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7E705C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5CBA02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048E93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015120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01C28C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187C60A">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部门(单位)名称：岳阳楼区文化旅游广电体育局</w:t>
      </w:r>
    </w:p>
    <w:p w14:paraId="1EFCC6A3">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2023年6月3日</w:t>
      </w:r>
    </w:p>
    <w:p w14:paraId="7855BD5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778B8F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32E559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9F8D89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17A8458">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文化旅游广电体育局</w:t>
      </w:r>
    </w:p>
    <w:p w14:paraId="63427E7E">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单位整体支出绩效自评报告</w:t>
      </w:r>
    </w:p>
    <w:p w14:paraId="61BE3C1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93F78B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7788F0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0BCD050">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一、单位基本情况</w:t>
      </w:r>
    </w:p>
    <w:p w14:paraId="5AE1B67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（一）部门职责</w:t>
      </w:r>
    </w:p>
    <w:p w14:paraId="75251AA9">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主要职责是贯彻党和国家有关文化艺术、广播电影电视、旅游、体育的法律法规和方针政策，把握正确的舆论和创作导向；拟订全区文化旅游广电体育工作的政策；拟订全区文化旅游广电体育事业发展方向，并组织实施；指导管理全市文学艺术事业，指导艺术创作与生产，重点扶持具有代表性、示范性、实验性的文学艺术品种，推动各门艺术的发展等。推行全民健身计划，指导并开展群众性体育活动，实施国家体育锻炼标准，开展国民体质监测；指导和管理青少年竞技体育发展，合理设置和布局全区竞技运动项目。负责全区文化、体育、文物工作；负责区域范围内文物、体育市场行政执法工作。</w:t>
      </w:r>
    </w:p>
    <w:p w14:paraId="1A546B9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内设机构设置。我局机关设置8个股室：办公室、财务股、体育股、文物股、文艺股、旅游产业发展股、市场股、政工股。3个二级事业单位（文化馆、图书馆、文化体育产业服务中心）。共有编制数11名，实有在职人数16人，退休20人。</w:t>
      </w:r>
    </w:p>
    <w:p w14:paraId="2D371706">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二、一般公共预算支出情况</w:t>
      </w:r>
    </w:p>
    <w:p w14:paraId="554CA94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2022年我局整体收入2650.18万元，一般公共预算收入2234.84万元、政府性基金预算收入19.3万元和其他资金收入396.04万元。整体支出2650.18万元，一般公共预算支出2254.14万元，其中：基本支出431.47万元，项目支出1822.67万元；其他资金支出396.04万元。</w:t>
      </w:r>
    </w:p>
    <w:p w14:paraId="3947ADF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（一）基本支出情况</w:t>
      </w:r>
    </w:p>
    <w:p w14:paraId="4A7B4AE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2022年基本支出431.47万元，其中人员经费359.31万元，主要包括基本工资、津贴补贴、奖金、伙食补助费、机关事业单位基本养老保险缴费、职工基本医疗保险缴费、公务员医疗补助缴费、其他社会保障缴费、住房公积金、其他工资福利支出、其他对个人和家庭的补助；公用经费72.16万元，主要包括办公费、印刷费、水费、电费、邮电费、差旅费劳务费、维修（护）费、租赁费、公务接待费、工会经费、其他交通费用、其他商品和服务支出。本年度工资福利支出严格按照要求进行工资统发或规定的标准发放,不存在多发福利现象，三公经费总支出控制较好超未预算。</w:t>
      </w:r>
    </w:p>
    <w:p w14:paraId="61D1E08F">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（二）项目支出情况</w:t>
      </w:r>
    </w:p>
    <w:p w14:paraId="31186FC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我局严格规范专项资金管理，保障资金安全、高效运行，发挥资金使用效益，对专项资金要定期或不定期进行督查，确保项目资金专款专用。2022年项目资金支出2218.71万元。1.业务工作经费支出224.55万元；2.疫情防控项目支出1348.82万元；3.省十四运会项目支出271.71万元；4.公共文化服务体系建设项目支出169.91万元；5.粤汉铁路英国专家维修项目支出203.72万元。</w:t>
      </w:r>
    </w:p>
    <w:p w14:paraId="3E34EDEA">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三、政府性基金预算支出情况</w:t>
      </w:r>
    </w:p>
    <w:p w14:paraId="785D239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2022年度政府性基金预算支出19.3万元，主要是体彩公益金用于全民健身和体育比赛。</w:t>
      </w:r>
    </w:p>
    <w:p w14:paraId="37A07235">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四、国有资本经营预算支出情况</w:t>
      </w:r>
    </w:p>
    <w:p w14:paraId="62D6210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无国有资本经营预算支出情况</w:t>
      </w:r>
    </w:p>
    <w:p w14:paraId="2CF30FD7">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五、社会保险基金预算支出情况</w:t>
      </w:r>
    </w:p>
    <w:p w14:paraId="7BA5967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无社会保险基金预算支出情况</w:t>
      </w:r>
    </w:p>
    <w:p w14:paraId="58FCD56A">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 xml:space="preserve">六、部门整体支出绩效情况 </w:t>
      </w:r>
    </w:p>
    <w:p w14:paraId="2BC39FD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（一）绩效评价结果</w:t>
      </w:r>
    </w:p>
    <w:p w14:paraId="7B6C784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2022年度部门整体支出取得良好的成效，工作效率和效益得以提高，全程监控财政拨入经费的使用情况，并与工作开展相联系，资金使用与工作执行进度相结合，不断优化资金支出结构，保障资金使用高效益，以达到了保运转，保民生，保安全，促均衡的效果。年初制定的工作任务目标100%按时完成，各项工作成效显著，加快了我区文化体育旅游建设步伐，推动文化体育旅游事业各方面工作更好更快的发展，努力实现我区文化体育旅游大发展大繁荣的战略目标，自评得分95分。</w:t>
      </w:r>
    </w:p>
    <w:p w14:paraId="25587F09">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（二）部门整体支出绩效完成情况</w:t>
      </w:r>
    </w:p>
    <w:p w14:paraId="56898686">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我局围绕中心工作、重点工作，解放思想、创新举措，扎实推进城乡公共文化旅游体育设施建设，服务水平和服务效能明显提高。</w:t>
      </w:r>
    </w:p>
    <w:p w14:paraId="7F78194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是疫情防控措施精准有效。按照疫情防控行业部门责任，全局15个市场监督检查组坚持开展日常巡查，督促区内宾馆、文娱、网吧经营场所落实各项疫情防控措施。截至9月28日，共检查经营门店3200余家次，现场整改132家次，配合执法部门停业整改13家次，督促文旅行业中风险从业人员完成核酸检测17000余人次（一周两检）。根据区防指工作指令，3月26日至5月5日，抽调9人到铂臣酒店开展集中隔离点管理工作。积极将疫情防控措施落实到文化旅游体育行业的各领域、各环节，做到了“守土有责、守土负责、守土尽责”。</w:t>
      </w:r>
    </w:p>
    <w:p w14:paraId="0330EF46">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是文旅广电市场运行安全有序。组织开展行业安全生产“大排查、大整治、大清规”行动。重点检查了67家娱乐场所、96家网吧、5家旅行社，督促15家存在安全隐患的经营单位落实整改。今年来，配合市文旅广电局、市住建局、市公安局、市消防支队开展专项整治行动3次，共检查经营场所32家，对其中存在突出隐患的2家电竞酒店和3家网吧予以停业整顿。7月份，组织召开全区境外违规卫星电视整治工作部署会，联合市文旅广电局、乡街道城管、派出所等部门开展专项整治行动，拆除违规境外电视接收装置80余个，并对违规销售门店泰和电器71号门面进行教育查处。同时，开展文化和旅游行业领域自建房排查工作，督促企业落实安全生产主体责任，确保了文化旅游广电市场安全稳定有序发展。</w:t>
      </w:r>
    </w:p>
    <w:p w14:paraId="5BABD9A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三是公共文化服务持续提升。持续开展“七送一展”文化志愿服务，举办了市民艺术文艺汇演、“我们的节日·元宵·端午”、文化科技卫生“三下乡”、“喜迎二十大·奋进新征程·阅读进万家”、“‘岳’你共绘·活力巴陵”美术摄影作品展等主题文化活动，不仅让市民们在家附近就能享受高质量的文化服务，更是为喜迎党的二十大营造了良好的文化氛围。“洞庭渔火季”——“渔歌起洞庭”洞庭渔歌展演吸引了数万名市民观看，助力岳阳文旅融合、激活夜经济。前三季度，在滨湖社区、汴河街、建中村等地开展“送戏下乡”活动21场，“公共阅读”活动5场次，“红马甲”市民艺术学校开展各类文化艺术培训累计服务市民26000余人次，深受群众喜爱。</w:t>
      </w:r>
    </w:p>
    <w:p w14:paraId="7BD3933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四是文化遗产保护卓有成效。经过长时间的调查和整理，将中国传统插花（巴陵插花）、中药炮制技艺（明医堂中药饮片炮制技艺）纳入了区级非物质文化遗产保护项目名录。积极开展“文化和自然遗产日”宣传展示活动，推动非遗文化进景区服务，在洞庭南路历史文化街区开展“洞庭渔歌”展示演出5场。认真做好省级文物保护单位“粤汉铁路英国专家”的修缮工作，并多次对工程进度进行跟踪督导和现场检查,确保修缮工程保质保量、安全有序推进。目前主体修缮已完工，正进入四方初验阶段。</w:t>
      </w:r>
    </w:p>
    <w:p w14:paraId="5328785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五是文旅产业稳步融合发展。积极推进岳阳楼景区、汴河街、洞庭南路历史文化街区申报国家级文化和旅游夜间消费聚集区，配合市城投集团按时间节点完成申报资料的准备和报送工作，并协调吕办、楼办、城管、环卫等单位开展上级交办问题的整改，做好上级实地考核验收工作。8月16日，文旅部公布“岳阳楼旅游区”（岳阳楼公园、汴河街、洞庭南路历史文化街区）正式成为国家级夜间文化和旅游消费集聚区。市级重点文旅项目“自在·云梦泽养生谷”完成投资1700万元，经营收入4142万元。1-8月，“四上”文化企业经营收入11.47亿元，同比增长18.4%。1-2季度接待旅游总人数（大楼区）407.1634万人次，旅游经营收入（大楼区）42.0062亿元。按照市场主体倍增工作计划，开展规模上文化行业企业调查，截至目前，新增3家文化企业完成“四上”入规，并将9家企业纳入规上统计管理。</w:t>
      </w:r>
    </w:p>
    <w:p w14:paraId="61CABBF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六是旅游市场推广持续发力。组织区旅游饭店参加全市旅游饭店职业技能大赛，获得团体竞赛二等奖，参加全省旅游饭店职业技能大赛，荣获3个二等奖和3个三等奖。组织文旅企业参加岳阳首期“文旅推荐官”培训班，其中3位优秀学员成功晋级“最美文旅推荐官”湖南赛区百强赛。完成《今上岳阳楼》旅游宣传画册、《岳阳旅游》杂志楼区专版的编撰制作，并通过“中国旅游日”“文化和自然遗产日”活动向市民免费发放。配合岳阳富安公司百果园基地成功申报市级研学旅行基地。8月底，组织麻布山森林公园、田园牧歌、岳州宋瓷、正心文创、岳州古窑青瓷等16家企业参展2022湖南省旅博会暨文旅商品大赛。其中，“渔乐至尚”非遗手办礼盒首次参展，岳州青瓷《一江碧水一杯》，文创产品《粽袋》、《喜迎学运手帐套盒》获大赛铜奖，探索“非遗+旅游”“非遗+文创”“非遗+歌舞”文旅产业融合发展业态。</w:t>
      </w:r>
    </w:p>
    <w:p w14:paraId="7C1CE5D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七是省运会组赛工作成绩喜人。湖南省第十四届运动会筹备工作开展以来，我区紧紧围绕“办赛精彩、参赛出彩、发展添彩”的总体目标，全面加强组织领导，强化工作举措，坚持高标准、严要求做好赛事组织筹备各项工作。对照市筹备组的任务、责任、时间“三张清单”制定了总体方案，结合实际组建了12个工作组，督促工作推进。9月18日，省十四运会顺利闭幕。我区承办的6项赛事以及后勤服务等工作均得到了省、市领导和参赛裁判员、运动员的一致好评。在本次省运会中，我区运动员共获14金8银8铜、总分530分的优异成绩，超额完成市政府下达给我区的参赛夺牌任务。</w:t>
      </w:r>
    </w:p>
    <w:p w14:paraId="63D22380">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七、存在的问题及原因分析</w:t>
      </w:r>
    </w:p>
    <w:p w14:paraId="198214A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一是绩效预算编制还有待进一步细化，</w:t>
      </w:r>
      <w:r>
        <w:rPr>
          <w:rFonts w:hint="eastAsia" w:ascii="仿宋" w:hAnsi="仿宋" w:eastAsia="仿宋" w:cs="仿宋"/>
          <w:bCs/>
          <w:sz w:val="30"/>
          <w:szCs w:val="30"/>
          <w:lang w:val="en-US" w:eastAsia="zh-CN"/>
        </w:rPr>
        <w:t>预算编制不够明确和细化，合理性需要提高。</w:t>
      </w: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二是个别项目资金支付进度缓慢，未达到资金预期目标。</w:t>
      </w:r>
    </w:p>
    <w:p w14:paraId="4C7C0014">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八、下一步改进措施</w:t>
      </w:r>
    </w:p>
    <w:p w14:paraId="00A5953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一是加强年初预算编制的学习，不断增强业务人员的业务水平。二是执行管理，根据工作开展情况合理调整支出进度。三是加强预算编制的前期调查研究，进一步提升预算的科学性、合理性及实用性。</w:t>
      </w:r>
    </w:p>
    <w:p w14:paraId="6721CAA8">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九、部门整体支出绩效自评结果拟应用和公开情况</w:t>
      </w:r>
    </w:p>
    <w:p w14:paraId="7D65568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我局将以结果为导向，健全绩效评估与绩效评价结果挂钩机制，对绩效评价发现的问题，采取有力措施绩效整改，并将绩效评价结果作为年度绩效考核的依据，持续提高资金使用效益。本报告将在岳阳楼区政府门户网站进行公示。</w:t>
      </w:r>
    </w:p>
    <w:p w14:paraId="47D2092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其他需要说明的情况：无</w:t>
      </w:r>
    </w:p>
    <w:p w14:paraId="7DBF325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51A573A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75AD8F4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7623EF7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A6D2BC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654009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49F523A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59D8EFAF">
      <w:pPr>
        <w:spacing w:before="169" w:line="776" w:lineRule="exact"/>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14:paraId="06BCB261">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2A865DBA">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0"/>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04"/>
        <w:gridCol w:w="1140"/>
        <w:gridCol w:w="2040"/>
        <w:gridCol w:w="810"/>
        <w:gridCol w:w="1065"/>
        <w:gridCol w:w="450"/>
        <w:gridCol w:w="825"/>
        <w:gridCol w:w="1171"/>
      </w:tblGrid>
      <w:tr w14:paraId="3584B8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1075" w:type="dxa"/>
            <w:noWrap w:val="0"/>
            <w:vAlign w:val="center"/>
          </w:tcPr>
          <w:p w14:paraId="55EFF852">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53C84559">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017A7E3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公共文化服务（农村文化）建设</w:t>
            </w:r>
          </w:p>
        </w:tc>
      </w:tr>
      <w:tr w14:paraId="394147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1075" w:type="dxa"/>
            <w:noWrap w:val="0"/>
            <w:vAlign w:val="center"/>
          </w:tcPr>
          <w:p w14:paraId="119AACCC">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994" w:type="dxa"/>
            <w:gridSpan w:val="4"/>
            <w:noWrap w:val="0"/>
            <w:vAlign w:val="center"/>
          </w:tcPr>
          <w:p w14:paraId="51888F0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岳阳楼区人民政府</w:t>
            </w:r>
          </w:p>
        </w:tc>
        <w:tc>
          <w:tcPr>
            <w:tcW w:w="1065" w:type="dxa"/>
            <w:noWrap w:val="0"/>
            <w:vAlign w:val="center"/>
          </w:tcPr>
          <w:p w14:paraId="0EA2F610">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446" w:type="dxa"/>
            <w:gridSpan w:val="3"/>
            <w:noWrap w:val="0"/>
            <w:vAlign w:val="center"/>
          </w:tcPr>
          <w:p w14:paraId="045E109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岳阳楼区文化旅游广电体育局</w:t>
            </w:r>
          </w:p>
        </w:tc>
      </w:tr>
      <w:tr w14:paraId="3F7C8D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1" w:hRule="atLeast"/>
        </w:trPr>
        <w:tc>
          <w:tcPr>
            <w:tcW w:w="1075" w:type="dxa"/>
            <w:vMerge w:val="restart"/>
            <w:tcBorders>
              <w:bottom w:val="nil"/>
            </w:tcBorders>
            <w:noWrap w:val="0"/>
            <w:vAlign w:val="center"/>
          </w:tcPr>
          <w:p w14:paraId="75A88BFA">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0AAE1C09">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24575F9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28F8497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44" w:type="dxa"/>
            <w:gridSpan w:val="2"/>
            <w:noWrap w:val="0"/>
            <w:vAlign w:val="center"/>
          </w:tcPr>
          <w:p w14:paraId="3985C6C8">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2040" w:type="dxa"/>
            <w:noWrap w:val="0"/>
            <w:vAlign w:val="center"/>
          </w:tcPr>
          <w:p w14:paraId="7C45E63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03670FB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810" w:type="dxa"/>
            <w:noWrap w:val="0"/>
            <w:vAlign w:val="center"/>
          </w:tcPr>
          <w:p w14:paraId="7D34394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4139BFB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065" w:type="dxa"/>
            <w:noWrap w:val="0"/>
            <w:vAlign w:val="center"/>
          </w:tcPr>
          <w:p w14:paraId="674BAC4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172C24E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450" w:type="dxa"/>
            <w:noWrap w:val="0"/>
            <w:vAlign w:val="center"/>
          </w:tcPr>
          <w:p w14:paraId="5F720FD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25" w:type="dxa"/>
            <w:noWrap w:val="0"/>
            <w:vAlign w:val="center"/>
          </w:tcPr>
          <w:p w14:paraId="242E36A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171" w:type="dxa"/>
            <w:noWrap w:val="0"/>
            <w:vAlign w:val="center"/>
          </w:tcPr>
          <w:p w14:paraId="0A3538E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3E31D7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 w:hRule="atLeast"/>
        </w:trPr>
        <w:tc>
          <w:tcPr>
            <w:tcW w:w="1075" w:type="dxa"/>
            <w:vMerge w:val="continue"/>
            <w:tcBorders>
              <w:top w:val="nil"/>
              <w:bottom w:val="nil"/>
            </w:tcBorders>
            <w:noWrap w:val="0"/>
            <w:vAlign w:val="center"/>
          </w:tcPr>
          <w:p w14:paraId="3282755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44" w:type="dxa"/>
            <w:gridSpan w:val="2"/>
            <w:noWrap w:val="0"/>
            <w:vAlign w:val="center"/>
          </w:tcPr>
          <w:p w14:paraId="77BB8B8A">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2040" w:type="dxa"/>
            <w:noWrap w:val="0"/>
            <w:vAlign w:val="center"/>
          </w:tcPr>
          <w:p w14:paraId="5CCC77E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140</w:t>
            </w:r>
          </w:p>
        </w:tc>
        <w:tc>
          <w:tcPr>
            <w:tcW w:w="810" w:type="dxa"/>
            <w:noWrap w:val="0"/>
            <w:vAlign w:val="center"/>
          </w:tcPr>
          <w:p w14:paraId="78DFB05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169.91</w:t>
            </w:r>
          </w:p>
        </w:tc>
        <w:tc>
          <w:tcPr>
            <w:tcW w:w="1065" w:type="dxa"/>
            <w:noWrap w:val="0"/>
            <w:vAlign w:val="center"/>
          </w:tcPr>
          <w:p w14:paraId="189CC29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169.91</w:t>
            </w:r>
          </w:p>
        </w:tc>
        <w:tc>
          <w:tcPr>
            <w:tcW w:w="450" w:type="dxa"/>
            <w:noWrap w:val="0"/>
            <w:vAlign w:val="center"/>
          </w:tcPr>
          <w:p w14:paraId="7E7164C4">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825" w:type="dxa"/>
            <w:noWrap w:val="0"/>
            <w:vAlign w:val="center"/>
          </w:tcPr>
          <w:p w14:paraId="6467616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71" w:type="dxa"/>
            <w:noWrap w:val="0"/>
            <w:vAlign w:val="center"/>
          </w:tcPr>
          <w:p w14:paraId="57EEB7B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58B48E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075" w:type="dxa"/>
            <w:vMerge w:val="continue"/>
            <w:tcBorders>
              <w:top w:val="nil"/>
              <w:bottom w:val="nil"/>
            </w:tcBorders>
            <w:noWrap w:val="0"/>
            <w:vAlign w:val="center"/>
          </w:tcPr>
          <w:p w14:paraId="053B80D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44" w:type="dxa"/>
            <w:gridSpan w:val="2"/>
            <w:noWrap w:val="0"/>
            <w:vAlign w:val="center"/>
          </w:tcPr>
          <w:p w14:paraId="13D00AA0">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2040" w:type="dxa"/>
            <w:noWrap w:val="0"/>
            <w:vAlign w:val="center"/>
          </w:tcPr>
          <w:p w14:paraId="0B14DCDF">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140</w:t>
            </w:r>
          </w:p>
        </w:tc>
        <w:tc>
          <w:tcPr>
            <w:tcW w:w="810" w:type="dxa"/>
            <w:noWrap w:val="0"/>
            <w:vAlign w:val="center"/>
          </w:tcPr>
          <w:p w14:paraId="36B8018B">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169.91</w:t>
            </w:r>
          </w:p>
        </w:tc>
        <w:tc>
          <w:tcPr>
            <w:tcW w:w="1065" w:type="dxa"/>
            <w:noWrap w:val="0"/>
            <w:vAlign w:val="center"/>
          </w:tcPr>
          <w:p w14:paraId="787F6E15">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169.91</w:t>
            </w:r>
          </w:p>
        </w:tc>
        <w:tc>
          <w:tcPr>
            <w:tcW w:w="450" w:type="dxa"/>
            <w:noWrap w:val="0"/>
            <w:vAlign w:val="center"/>
          </w:tcPr>
          <w:p w14:paraId="079767BF">
            <w:pPr>
              <w:keepNext w:val="0"/>
              <w:keepLines w:val="0"/>
              <w:pageBreakBefore w:val="0"/>
              <w:widowControl w:val="0"/>
              <w:kinsoku/>
              <w:wordWrap/>
              <w:overflowPunct/>
              <w:topLinePunct w:val="0"/>
              <w:autoSpaceDE/>
              <w:autoSpaceDN/>
              <w:bidi w:val="0"/>
              <w:adjustRightInd/>
              <w:snapToGrid/>
              <w:spacing w:line="165" w:lineRule="exact"/>
              <w:ind w:left="0" w:leftChars="0" w:right="0" w:rightChars="0"/>
              <w:jc w:val="center"/>
              <w:textAlignment w:val="auto"/>
              <w:rPr>
                <w:rFonts w:ascii="Arial"/>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825" w:type="dxa"/>
            <w:noWrap w:val="0"/>
            <w:vAlign w:val="center"/>
          </w:tcPr>
          <w:p w14:paraId="50295C0B">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71" w:type="dxa"/>
            <w:noWrap w:val="0"/>
            <w:vAlign w:val="center"/>
          </w:tcPr>
          <w:p w14:paraId="3B7E651D">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2FEF50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2" w:hRule="atLeast"/>
        </w:trPr>
        <w:tc>
          <w:tcPr>
            <w:tcW w:w="1075" w:type="dxa"/>
            <w:vMerge w:val="continue"/>
            <w:tcBorders>
              <w:top w:val="nil"/>
              <w:bottom w:val="nil"/>
            </w:tcBorders>
            <w:noWrap w:val="0"/>
            <w:vAlign w:val="center"/>
          </w:tcPr>
          <w:p w14:paraId="4CB2C48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44" w:type="dxa"/>
            <w:gridSpan w:val="2"/>
            <w:noWrap w:val="0"/>
            <w:vAlign w:val="center"/>
          </w:tcPr>
          <w:p w14:paraId="1B544CF6">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2040" w:type="dxa"/>
            <w:noWrap w:val="0"/>
            <w:vAlign w:val="center"/>
          </w:tcPr>
          <w:p w14:paraId="409B487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10" w:type="dxa"/>
            <w:noWrap w:val="0"/>
            <w:vAlign w:val="center"/>
          </w:tcPr>
          <w:p w14:paraId="64CE21A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65" w:type="dxa"/>
            <w:noWrap w:val="0"/>
            <w:vAlign w:val="center"/>
          </w:tcPr>
          <w:p w14:paraId="1AC5C96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0" w:type="dxa"/>
            <w:noWrap w:val="0"/>
            <w:vAlign w:val="center"/>
          </w:tcPr>
          <w:p w14:paraId="2FDE143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25" w:type="dxa"/>
            <w:noWrap w:val="0"/>
            <w:vAlign w:val="center"/>
          </w:tcPr>
          <w:p w14:paraId="7F8EC63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71" w:type="dxa"/>
            <w:noWrap w:val="0"/>
            <w:vAlign w:val="center"/>
          </w:tcPr>
          <w:p w14:paraId="3097705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454AFE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1075" w:type="dxa"/>
            <w:vMerge w:val="continue"/>
            <w:tcBorders>
              <w:top w:val="nil"/>
            </w:tcBorders>
            <w:noWrap w:val="0"/>
            <w:vAlign w:val="center"/>
          </w:tcPr>
          <w:p w14:paraId="18776C3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44" w:type="dxa"/>
            <w:gridSpan w:val="2"/>
            <w:noWrap w:val="0"/>
            <w:vAlign w:val="center"/>
          </w:tcPr>
          <w:p w14:paraId="05A64323">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2040" w:type="dxa"/>
            <w:noWrap w:val="0"/>
            <w:vAlign w:val="center"/>
          </w:tcPr>
          <w:p w14:paraId="3B90373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10" w:type="dxa"/>
            <w:noWrap w:val="0"/>
            <w:vAlign w:val="center"/>
          </w:tcPr>
          <w:p w14:paraId="59601DF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65" w:type="dxa"/>
            <w:noWrap w:val="0"/>
            <w:vAlign w:val="center"/>
          </w:tcPr>
          <w:p w14:paraId="5B9C114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0" w:type="dxa"/>
            <w:noWrap w:val="0"/>
            <w:vAlign w:val="center"/>
          </w:tcPr>
          <w:p w14:paraId="4885EAF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25" w:type="dxa"/>
            <w:noWrap w:val="0"/>
            <w:vAlign w:val="center"/>
          </w:tcPr>
          <w:p w14:paraId="364C96B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71" w:type="dxa"/>
            <w:noWrap w:val="0"/>
            <w:vAlign w:val="center"/>
          </w:tcPr>
          <w:p w14:paraId="6FBF990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73A055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68732D94">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0BC0E418">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994" w:type="dxa"/>
            <w:gridSpan w:val="4"/>
            <w:noWrap w:val="0"/>
            <w:vAlign w:val="center"/>
          </w:tcPr>
          <w:p w14:paraId="02D5BA92">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511" w:type="dxa"/>
            <w:gridSpan w:val="4"/>
            <w:noWrap w:val="0"/>
            <w:vAlign w:val="center"/>
          </w:tcPr>
          <w:p w14:paraId="274C39A6">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7C0AFF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772B6E8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994" w:type="dxa"/>
            <w:gridSpan w:val="4"/>
            <w:noWrap w:val="0"/>
            <w:vAlign w:val="center"/>
          </w:tcPr>
          <w:p w14:paraId="434AABF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w:t>
            </w:r>
            <w:r>
              <w:rPr>
                <w:rFonts w:hint="eastAsia" w:ascii="宋体" w:hAnsi="宋体" w:eastAsia="宋体" w:cs="宋体"/>
                <w:i w:val="0"/>
                <w:iCs w:val="0"/>
                <w:color w:val="000000"/>
                <w:kern w:val="0"/>
                <w:sz w:val="20"/>
                <w:szCs w:val="20"/>
                <w:u w:val="none"/>
                <w:lang w:val="en-US" w:eastAsia="zh-CN" w:bidi="ar"/>
              </w:rPr>
              <w:t>扎实推进公共文化服务法治化建设”、“加快推进城乡公共文化设施标准化建设”、“创新推动公共文化服务供给精准化建设”、“有序推动公共文化服务融合发展一体化建设”、“统筹推进公共数字文化服务网络化建设”、“有效促进公共文化服务社会化发展”、“着力加强公共文化人才队伍专业化建设”、“全面促进乡村公共文化服务均衡化发展”等八个主要任务，</w:t>
            </w:r>
          </w:p>
        </w:tc>
        <w:tc>
          <w:tcPr>
            <w:tcW w:w="3511" w:type="dxa"/>
            <w:gridSpan w:val="4"/>
            <w:noWrap w:val="0"/>
            <w:vAlign w:val="center"/>
          </w:tcPr>
          <w:p w14:paraId="59FBA8F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圆满完成各项任务</w:t>
            </w:r>
          </w:p>
        </w:tc>
      </w:tr>
      <w:tr w14:paraId="6DFEC0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3B9003DC">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04" w:type="dxa"/>
            <w:noWrap w:val="0"/>
            <w:vAlign w:val="center"/>
          </w:tcPr>
          <w:p w14:paraId="3B38B23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140" w:type="dxa"/>
            <w:noWrap w:val="0"/>
            <w:vAlign w:val="center"/>
          </w:tcPr>
          <w:p w14:paraId="723CDA7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2040" w:type="dxa"/>
            <w:noWrap w:val="0"/>
            <w:vAlign w:val="center"/>
          </w:tcPr>
          <w:p w14:paraId="7C7F1AE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810" w:type="dxa"/>
            <w:noWrap w:val="0"/>
            <w:vAlign w:val="center"/>
          </w:tcPr>
          <w:p w14:paraId="08C4A88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4D0DAAC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065" w:type="dxa"/>
            <w:noWrap w:val="0"/>
            <w:vAlign w:val="center"/>
          </w:tcPr>
          <w:p w14:paraId="058F6DA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78B92FD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450" w:type="dxa"/>
            <w:noWrap w:val="0"/>
            <w:vAlign w:val="center"/>
          </w:tcPr>
          <w:p w14:paraId="2536A46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25" w:type="dxa"/>
            <w:noWrap w:val="0"/>
            <w:vAlign w:val="center"/>
          </w:tcPr>
          <w:p w14:paraId="2CF6F22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171" w:type="dxa"/>
            <w:noWrap w:val="0"/>
            <w:vAlign w:val="center"/>
          </w:tcPr>
          <w:p w14:paraId="32443EE0">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175C6D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07FB9BE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restart"/>
            <w:noWrap w:val="0"/>
            <w:vAlign w:val="center"/>
          </w:tcPr>
          <w:p w14:paraId="6CDA8FBB">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4FCA1A78">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4B87BEB0">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2D3D1CE8">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62B2B3A9">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5785593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140" w:type="dxa"/>
            <w:vMerge w:val="restart"/>
            <w:noWrap w:val="0"/>
            <w:vAlign w:val="center"/>
          </w:tcPr>
          <w:p w14:paraId="7555C70B">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2040" w:type="dxa"/>
            <w:noWrap w:val="0"/>
            <w:vAlign w:val="center"/>
          </w:tcPr>
          <w:p w14:paraId="429E4BD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推进城乡公共文化设施标准化建设</w:t>
            </w:r>
          </w:p>
        </w:tc>
        <w:tc>
          <w:tcPr>
            <w:tcW w:w="810" w:type="dxa"/>
            <w:noWrap w:val="0"/>
            <w:vAlign w:val="center"/>
          </w:tcPr>
          <w:p w14:paraId="35DA049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1065" w:type="dxa"/>
            <w:noWrap w:val="0"/>
            <w:vAlign w:val="center"/>
          </w:tcPr>
          <w:p w14:paraId="123D2C6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450" w:type="dxa"/>
            <w:noWrap w:val="0"/>
            <w:vAlign w:val="center"/>
          </w:tcPr>
          <w:p w14:paraId="5244308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5</w:t>
            </w:r>
          </w:p>
        </w:tc>
        <w:tc>
          <w:tcPr>
            <w:tcW w:w="825" w:type="dxa"/>
            <w:noWrap w:val="0"/>
            <w:vAlign w:val="center"/>
          </w:tcPr>
          <w:p w14:paraId="423735A2">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5</w:t>
            </w:r>
          </w:p>
        </w:tc>
        <w:tc>
          <w:tcPr>
            <w:tcW w:w="1171" w:type="dxa"/>
            <w:noWrap w:val="0"/>
            <w:vAlign w:val="center"/>
          </w:tcPr>
          <w:p w14:paraId="7341919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color w:val="FF0000"/>
                <w:spacing w:val="0"/>
                <w:sz w:val="21"/>
                <w:szCs w:val="21"/>
                <w:lang w:val="en-US" w:eastAsia="zh-CN"/>
              </w:rPr>
            </w:pPr>
          </w:p>
        </w:tc>
      </w:tr>
      <w:tr w14:paraId="360A2F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09D900D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noWrap w:val="0"/>
            <w:vAlign w:val="center"/>
          </w:tcPr>
          <w:p w14:paraId="0CC13C7D">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40" w:type="dxa"/>
            <w:vMerge w:val="continue"/>
            <w:noWrap w:val="0"/>
            <w:vAlign w:val="center"/>
          </w:tcPr>
          <w:p w14:paraId="315D16D9">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2040" w:type="dxa"/>
            <w:noWrap w:val="0"/>
            <w:vAlign w:val="center"/>
          </w:tcPr>
          <w:p w14:paraId="13E8F5F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推动公共文化服务融合发展一体化建设</w:t>
            </w:r>
          </w:p>
        </w:tc>
        <w:tc>
          <w:tcPr>
            <w:tcW w:w="810" w:type="dxa"/>
            <w:noWrap w:val="0"/>
            <w:vAlign w:val="center"/>
          </w:tcPr>
          <w:p w14:paraId="5394B71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1065" w:type="dxa"/>
            <w:noWrap w:val="0"/>
            <w:vAlign w:val="center"/>
          </w:tcPr>
          <w:p w14:paraId="08B5F32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450" w:type="dxa"/>
            <w:noWrap w:val="0"/>
            <w:vAlign w:val="center"/>
          </w:tcPr>
          <w:p w14:paraId="59F8839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5</w:t>
            </w:r>
          </w:p>
        </w:tc>
        <w:tc>
          <w:tcPr>
            <w:tcW w:w="825" w:type="dxa"/>
            <w:noWrap w:val="0"/>
            <w:vAlign w:val="center"/>
          </w:tcPr>
          <w:p w14:paraId="6638137D">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5</w:t>
            </w:r>
          </w:p>
        </w:tc>
        <w:tc>
          <w:tcPr>
            <w:tcW w:w="1171" w:type="dxa"/>
            <w:noWrap w:val="0"/>
            <w:vAlign w:val="center"/>
          </w:tcPr>
          <w:p w14:paraId="6DA71B6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color w:val="FF0000"/>
                <w:spacing w:val="0"/>
                <w:sz w:val="21"/>
                <w:szCs w:val="21"/>
                <w:lang w:val="en-US" w:eastAsia="zh-CN"/>
              </w:rPr>
            </w:pPr>
          </w:p>
        </w:tc>
      </w:tr>
      <w:tr w14:paraId="5312CB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1A798F9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noWrap w:val="0"/>
            <w:vAlign w:val="center"/>
          </w:tcPr>
          <w:p w14:paraId="11B23D8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40" w:type="dxa"/>
            <w:vMerge w:val="continue"/>
            <w:noWrap w:val="0"/>
            <w:vAlign w:val="center"/>
          </w:tcPr>
          <w:p w14:paraId="1C1C26A8">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2040" w:type="dxa"/>
            <w:noWrap w:val="0"/>
            <w:vAlign w:val="center"/>
          </w:tcPr>
          <w:p w14:paraId="366D20F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推进公共数字文化服务网络化建设</w:t>
            </w:r>
          </w:p>
        </w:tc>
        <w:tc>
          <w:tcPr>
            <w:tcW w:w="810" w:type="dxa"/>
            <w:noWrap w:val="0"/>
            <w:vAlign w:val="center"/>
          </w:tcPr>
          <w:p w14:paraId="478424E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1065" w:type="dxa"/>
            <w:noWrap w:val="0"/>
            <w:vAlign w:val="center"/>
          </w:tcPr>
          <w:p w14:paraId="12033D3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450" w:type="dxa"/>
            <w:noWrap w:val="0"/>
            <w:vAlign w:val="center"/>
          </w:tcPr>
          <w:p w14:paraId="2C24856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p>
        </w:tc>
        <w:tc>
          <w:tcPr>
            <w:tcW w:w="825" w:type="dxa"/>
            <w:noWrap w:val="0"/>
            <w:vAlign w:val="center"/>
          </w:tcPr>
          <w:p w14:paraId="6352FC9A">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p>
        </w:tc>
        <w:tc>
          <w:tcPr>
            <w:tcW w:w="1171" w:type="dxa"/>
            <w:noWrap w:val="0"/>
            <w:vAlign w:val="center"/>
          </w:tcPr>
          <w:p w14:paraId="71B93CA5">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FF0000"/>
                <w:spacing w:val="0"/>
                <w:sz w:val="21"/>
                <w:szCs w:val="21"/>
                <w:lang w:val="en-US" w:eastAsia="zh-CN"/>
              </w:rPr>
            </w:pPr>
          </w:p>
        </w:tc>
      </w:tr>
      <w:tr w14:paraId="246D56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517C90C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noWrap w:val="0"/>
            <w:vAlign w:val="center"/>
          </w:tcPr>
          <w:p w14:paraId="71A4F8E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40" w:type="dxa"/>
            <w:vMerge w:val="continue"/>
            <w:noWrap w:val="0"/>
            <w:vAlign w:val="center"/>
          </w:tcPr>
          <w:p w14:paraId="4576914E">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2040" w:type="dxa"/>
            <w:noWrap w:val="0"/>
            <w:vAlign w:val="center"/>
          </w:tcPr>
          <w:p w14:paraId="682535C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推进公共文化服务法治化建设</w:t>
            </w:r>
          </w:p>
        </w:tc>
        <w:tc>
          <w:tcPr>
            <w:tcW w:w="810" w:type="dxa"/>
            <w:noWrap w:val="0"/>
            <w:vAlign w:val="center"/>
          </w:tcPr>
          <w:p w14:paraId="312BBA0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1065" w:type="dxa"/>
            <w:noWrap w:val="0"/>
            <w:vAlign w:val="center"/>
          </w:tcPr>
          <w:p w14:paraId="0EA7227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450" w:type="dxa"/>
            <w:noWrap w:val="0"/>
            <w:vAlign w:val="center"/>
          </w:tcPr>
          <w:p w14:paraId="5862A65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w:t>
            </w:r>
          </w:p>
        </w:tc>
        <w:tc>
          <w:tcPr>
            <w:tcW w:w="825" w:type="dxa"/>
            <w:noWrap w:val="0"/>
            <w:vAlign w:val="center"/>
          </w:tcPr>
          <w:p w14:paraId="3EA489C5">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w:t>
            </w:r>
          </w:p>
        </w:tc>
        <w:tc>
          <w:tcPr>
            <w:tcW w:w="1171" w:type="dxa"/>
            <w:noWrap w:val="0"/>
            <w:vAlign w:val="center"/>
          </w:tcPr>
          <w:p w14:paraId="6256486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color w:val="FF0000"/>
                <w:spacing w:val="0"/>
                <w:sz w:val="21"/>
                <w:szCs w:val="21"/>
                <w:lang w:val="en-US" w:eastAsia="zh-CN"/>
              </w:rPr>
            </w:pPr>
          </w:p>
        </w:tc>
      </w:tr>
      <w:tr w14:paraId="622615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1CCF337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noWrap w:val="0"/>
            <w:vAlign w:val="center"/>
          </w:tcPr>
          <w:p w14:paraId="13B2454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40" w:type="dxa"/>
            <w:vMerge w:val="continue"/>
            <w:noWrap w:val="0"/>
            <w:vAlign w:val="center"/>
          </w:tcPr>
          <w:p w14:paraId="71488521">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2040" w:type="dxa"/>
            <w:noWrap w:val="0"/>
            <w:vAlign w:val="center"/>
          </w:tcPr>
          <w:p w14:paraId="7972A2C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加强公共文化人才队伍专业化建设</w:t>
            </w:r>
          </w:p>
        </w:tc>
        <w:tc>
          <w:tcPr>
            <w:tcW w:w="810" w:type="dxa"/>
            <w:noWrap w:val="0"/>
            <w:vAlign w:val="center"/>
          </w:tcPr>
          <w:p w14:paraId="2F9B4A6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1065" w:type="dxa"/>
            <w:noWrap w:val="0"/>
            <w:vAlign w:val="center"/>
          </w:tcPr>
          <w:p w14:paraId="68D0902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450" w:type="dxa"/>
            <w:noWrap w:val="0"/>
            <w:vAlign w:val="center"/>
          </w:tcPr>
          <w:p w14:paraId="25B6609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w:t>
            </w:r>
          </w:p>
        </w:tc>
        <w:tc>
          <w:tcPr>
            <w:tcW w:w="825" w:type="dxa"/>
            <w:noWrap w:val="0"/>
            <w:vAlign w:val="center"/>
          </w:tcPr>
          <w:p w14:paraId="146D73F0">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w:t>
            </w:r>
          </w:p>
        </w:tc>
        <w:tc>
          <w:tcPr>
            <w:tcW w:w="1171" w:type="dxa"/>
            <w:noWrap w:val="0"/>
            <w:vAlign w:val="center"/>
          </w:tcPr>
          <w:p w14:paraId="4F23A13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color w:val="FF0000"/>
                <w:spacing w:val="0"/>
                <w:sz w:val="21"/>
                <w:szCs w:val="21"/>
                <w:lang w:val="en-US" w:eastAsia="zh-CN"/>
              </w:rPr>
            </w:pPr>
          </w:p>
        </w:tc>
      </w:tr>
      <w:tr w14:paraId="4946CA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7DC221A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noWrap w:val="0"/>
            <w:vAlign w:val="center"/>
          </w:tcPr>
          <w:p w14:paraId="4FC7C40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40" w:type="dxa"/>
            <w:vMerge w:val="continue"/>
            <w:tcBorders>
              <w:bottom w:val="nil"/>
            </w:tcBorders>
            <w:noWrap w:val="0"/>
            <w:vAlign w:val="center"/>
          </w:tcPr>
          <w:p w14:paraId="08A3267D">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2040" w:type="dxa"/>
            <w:noWrap w:val="0"/>
            <w:vAlign w:val="center"/>
          </w:tcPr>
          <w:p w14:paraId="3D74422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促进乡村公共文化服务均衡化发展</w:t>
            </w:r>
          </w:p>
        </w:tc>
        <w:tc>
          <w:tcPr>
            <w:tcW w:w="810" w:type="dxa"/>
            <w:noWrap w:val="0"/>
            <w:vAlign w:val="center"/>
          </w:tcPr>
          <w:p w14:paraId="6C3544F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1065" w:type="dxa"/>
            <w:noWrap w:val="0"/>
            <w:vAlign w:val="center"/>
          </w:tcPr>
          <w:p w14:paraId="5036097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450" w:type="dxa"/>
            <w:noWrap w:val="0"/>
            <w:vAlign w:val="center"/>
          </w:tcPr>
          <w:p w14:paraId="0C035A2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p>
        </w:tc>
        <w:tc>
          <w:tcPr>
            <w:tcW w:w="825" w:type="dxa"/>
            <w:noWrap w:val="0"/>
            <w:vAlign w:val="center"/>
          </w:tcPr>
          <w:p w14:paraId="153B0C60">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p>
        </w:tc>
        <w:tc>
          <w:tcPr>
            <w:tcW w:w="1171" w:type="dxa"/>
            <w:noWrap w:val="0"/>
            <w:vAlign w:val="center"/>
          </w:tcPr>
          <w:p w14:paraId="1A1B614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color w:val="FF0000"/>
                <w:spacing w:val="0"/>
                <w:sz w:val="21"/>
                <w:szCs w:val="21"/>
                <w:lang w:val="en-US" w:eastAsia="zh-CN"/>
              </w:rPr>
            </w:pPr>
          </w:p>
        </w:tc>
      </w:tr>
      <w:tr w14:paraId="3D33CC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5A277E0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noWrap w:val="0"/>
            <w:vAlign w:val="center"/>
          </w:tcPr>
          <w:p w14:paraId="3D03402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47265D0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2040" w:type="dxa"/>
            <w:noWrap w:val="0"/>
            <w:vAlign w:val="center"/>
          </w:tcPr>
          <w:p w14:paraId="72B6EA8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公共文化服务体系建设良好率</w:t>
            </w:r>
          </w:p>
        </w:tc>
        <w:tc>
          <w:tcPr>
            <w:tcW w:w="810" w:type="dxa"/>
            <w:noWrap w:val="0"/>
            <w:vAlign w:val="center"/>
          </w:tcPr>
          <w:p w14:paraId="12DB08D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1065" w:type="dxa"/>
            <w:noWrap w:val="0"/>
            <w:vAlign w:val="center"/>
          </w:tcPr>
          <w:p w14:paraId="23D4D22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450" w:type="dxa"/>
            <w:noWrap w:val="0"/>
            <w:vAlign w:val="center"/>
          </w:tcPr>
          <w:p w14:paraId="40B4A22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7DEE8E0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71" w:type="dxa"/>
            <w:noWrap w:val="0"/>
            <w:vAlign w:val="center"/>
          </w:tcPr>
          <w:p w14:paraId="0EE5B2B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FF0000"/>
                <w:spacing w:val="0"/>
                <w:sz w:val="21"/>
                <w:szCs w:val="21"/>
                <w:lang w:val="en-US" w:eastAsia="zh-CN"/>
              </w:rPr>
            </w:pPr>
          </w:p>
        </w:tc>
      </w:tr>
      <w:tr w14:paraId="6BBB23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7AA246C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noWrap w:val="0"/>
            <w:vAlign w:val="center"/>
          </w:tcPr>
          <w:p w14:paraId="1C45F69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099448F0">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2040" w:type="dxa"/>
            <w:noWrap w:val="0"/>
            <w:vAlign w:val="center"/>
          </w:tcPr>
          <w:p w14:paraId="156F2C6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资金到位时间</w:t>
            </w:r>
          </w:p>
        </w:tc>
        <w:tc>
          <w:tcPr>
            <w:tcW w:w="810" w:type="dxa"/>
            <w:noWrap w:val="0"/>
            <w:vAlign w:val="center"/>
          </w:tcPr>
          <w:p w14:paraId="1C6D99F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2022年12月</w:t>
            </w:r>
          </w:p>
        </w:tc>
        <w:tc>
          <w:tcPr>
            <w:tcW w:w="1065" w:type="dxa"/>
            <w:noWrap w:val="0"/>
            <w:vAlign w:val="center"/>
          </w:tcPr>
          <w:p w14:paraId="56BFA44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按时完成</w:t>
            </w:r>
          </w:p>
        </w:tc>
        <w:tc>
          <w:tcPr>
            <w:tcW w:w="450" w:type="dxa"/>
            <w:noWrap w:val="0"/>
            <w:vAlign w:val="center"/>
          </w:tcPr>
          <w:p w14:paraId="6087886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548EEDE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71" w:type="dxa"/>
            <w:noWrap w:val="0"/>
            <w:vAlign w:val="center"/>
          </w:tcPr>
          <w:p w14:paraId="3DDD1BE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FF0000"/>
                <w:spacing w:val="0"/>
                <w:sz w:val="21"/>
                <w:szCs w:val="21"/>
                <w:lang w:val="en-US" w:eastAsia="zh-CN"/>
              </w:rPr>
            </w:pPr>
          </w:p>
        </w:tc>
      </w:tr>
      <w:tr w14:paraId="59A5F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1075" w:type="dxa"/>
            <w:vMerge w:val="continue"/>
            <w:tcBorders>
              <w:top w:val="nil"/>
              <w:bottom w:val="nil"/>
            </w:tcBorders>
            <w:noWrap w:val="0"/>
            <w:textDirection w:val="tbRlV"/>
            <w:vAlign w:val="center"/>
          </w:tcPr>
          <w:p w14:paraId="7619FBB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bottom w:val="nil"/>
            </w:tcBorders>
            <w:noWrap w:val="0"/>
            <w:vAlign w:val="center"/>
          </w:tcPr>
          <w:p w14:paraId="163B33D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28448C41">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2040" w:type="dxa"/>
            <w:noWrap w:val="0"/>
            <w:vAlign w:val="center"/>
          </w:tcPr>
          <w:p w14:paraId="34C69AF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成本节约率</w:t>
            </w:r>
          </w:p>
        </w:tc>
        <w:tc>
          <w:tcPr>
            <w:tcW w:w="810" w:type="dxa"/>
            <w:noWrap w:val="0"/>
            <w:vAlign w:val="center"/>
          </w:tcPr>
          <w:p w14:paraId="141FD56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Arial"/>
                <w:color w:val="000000" w:themeColor="text1"/>
                <w:spacing w:val="0"/>
                <w:sz w:val="20"/>
                <w:lang w:val="en-US" w:eastAsia="zh-CN"/>
                <w14:textFill>
                  <w14:solidFill>
                    <w14:schemeClr w14:val="tx1"/>
                  </w14:solidFill>
                </w14:textFill>
              </w:rPr>
              <w:t>≥0</w:t>
            </w:r>
          </w:p>
        </w:tc>
        <w:tc>
          <w:tcPr>
            <w:tcW w:w="1065" w:type="dxa"/>
            <w:noWrap w:val="0"/>
            <w:vAlign w:val="center"/>
          </w:tcPr>
          <w:p w14:paraId="435752F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Arial"/>
                <w:color w:val="000000" w:themeColor="text1"/>
                <w:spacing w:val="0"/>
                <w:sz w:val="20"/>
                <w:lang w:val="en-US" w:eastAsia="zh-CN"/>
                <w14:textFill>
                  <w14:solidFill>
                    <w14:schemeClr w14:val="tx1"/>
                  </w14:solidFill>
                </w14:textFill>
              </w:rPr>
              <w:t>0</w:t>
            </w:r>
          </w:p>
        </w:tc>
        <w:tc>
          <w:tcPr>
            <w:tcW w:w="450" w:type="dxa"/>
            <w:noWrap w:val="0"/>
            <w:vAlign w:val="center"/>
          </w:tcPr>
          <w:p w14:paraId="5712180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4760AB0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71" w:type="dxa"/>
            <w:noWrap w:val="0"/>
            <w:vAlign w:val="center"/>
          </w:tcPr>
          <w:p w14:paraId="315DB50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FF0000"/>
                <w:spacing w:val="0"/>
                <w:sz w:val="21"/>
                <w:szCs w:val="21"/>
              </w:rPr>
            </w:pPr>
          </w:p>
        </w:tc>
      </w:tr>
      <w:tr w14:paraId="255E5C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5" w:hRule="atLeast"/>
        </w:trPr>
        <w:tc>
          <w:tcPr>
            <w:tcW w:w="1075" w:type="dxa"/>
            <w:vMerge w:val="continue"/>
            <w:tcBorders>
              <w:top w:val="nil"/>
              <w:bottom w:val="nil"/>
            </w:tcBorders>
            <w:noWrap w:val="0"/>
            <w:textDirection w:val="tbRlV"/>
            <w:vAlign w:val="center"/>
          </w:tcPr>
          <w:p w14:paraId="637676B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restart"/>
            <w:tcBorders>
              <w:bottom w:val="nil"/>
            </w:tcBorders>
            <w:noWrap w:val="0"/>
            <w:vAlign w:val="center"/>
          </w:tcPr>
          <w:p w14:paraId="09EC8C89">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052B6A44">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23CDD97E">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2562E239">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3F1709C9">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140" w:type="dxa"/>
            <w:tcBorders>
              <w:bottom w:val="single" w:color="auto" w:sz="4" w:space="0"/>
            </w:tcBorders>
            <w:noWrap w:val="0"/>
            <w:vAlign w:val="center"/>
          </w:tcPr>
          <w:p w14:paraId="193D8F4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0739A67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2040" w:type="dxa"/>
            <w:tcBorders>
              <w:bottom w:val="single" w:color="auto" w:sz="4" w:space="0"/>
            </w:tcBorders>
            <w:noWrap w:val="0"/>
            <w:vAlign w:val="center"/>
          </w:tcPr>
          <w:p w14:paraId="4BD9337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810" w:type="dxa"/>
            <w:noWrap w:val="0"/>
            <w:vAlign w:val="center"/>
          </w:tcPr>
          <w:p w14:paraId="4E9CD0F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1065" w:type="dxa"/>
            <w:noWrap w:val="0"/>
            <w:vAlign w:val="center"/>
          </w:tcPr>
          <w:p w14:paraId="7160725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450" w:type="dxa"/>
            <w:noWrap w:val="0"/>
            <w:vAlign w:val="center"/>
          </w:tcPr>
          <w:p w14:paraId="2020057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825" w:type="dxa"/>
            <w:noWrap w:val="0"/>
            <w:vAlign w:val="center"/>
          </w:tcPr>
          <w:p w14:paraId="48822E5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1171" w:type="dxa"/>
            <w:noWrap w:val="0"/>
            <w:vAlign w:val="center"/>
          </w:tcPr>
          <w:p w14:paraId="3B07DA5F">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FF0000"/>
                <w:spacing w:val="0"/>
                <w:sz w:val="21"/>
                <w:szCs w:val="21"/>
              </w:rPr>
            </w:pPr>
          </w:p>
        </w:tc>
      </w:tr>
      <w:tr w14:paraId="592C6D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1075" w:type="dxa"/>
            <w:vMerge w:val="continue"/>
            <w:tcBorders>
              <w:top w:val="nil"/>
              <w:bottom w:val="nil"/>
            </w:tcBorders>
            <w:noWrap w:val="0"/>
            <w:textDirection w:val="tbRlV"/>
            <w:vAlign w:val="center"/>
          </w:tcPr>
          <w:p w14:paraId="61CB25F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top w:val="nil"/>
              <w:bottom w:val="nil"/>
              <w:right w:val="single" w:color="auto" w:sz="4" w:space="0"/>
            </w:tcBorders>
            <w:noWrap w:val="0"/>
            <w:vAlign w:val="center"/>
          </w:tcPr>
          <w:p w14:paraId="7D784BE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top w:val="single" w:color="auto" w:sz="4" w:space="0"/>
              <w:left w:val="single" w:color="auto" w:sz="4" w:space="0"/>
              <w:bottom w:val="single" w:color="auto" w:sz="4" w:space="0"/>
            </w:tcBorders>
            <w:noWrap w:val="0"/>
            <w:vAlign w:val="center"/>
          </w:tcPr>
          <w:p w14:paraId="334F7E1C">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21A5210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2040" w:type="dxa"/>
            <w:tcBorders>
              <w:top w:val="single" w:color="auto" w:sz="4" w:space="0"/>
              <w:bottom w:val="single" w:color="auto" w:sz="4" w:space="0"/>
              <w:right w:val="single" w:color="auto" w:sz="4" w:space="0"/>
            </w:tcBorders>
            <w:noWrap w:val="0"/>
            <w:vAlign w:val="center"/>
          </w:tcPr>
          <w:p w14:paraId="4DAD98F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公共文化设施标准化建设覆盖率</w:t>
            </w:r>
          </w:p>
        </w:tc>
        <w:tc>
          <w:tcPr>
            <w:tcW w:w="810" w:type="dxa"/>
            <w:tcBorders>
              <w:left w:val="single" w:color="auto" w:sz="4" w:space="0"/>
            </w:tcBorders>
            <w:noWrap w:val="0"/>
            <w:vAlign w:val="center"/>
          </w:tcPr>
          <w:p w14:paraId="1FE6B3C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1065" w:type="dxa"/>
            <w:noWrap w:val="0"/>
            <w:vAlign w:val="center"/>
          </w:tcPr>
          <w:p w14:paraId="2FF2394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w:t>
            </w:r>
            <w:bookmarkStart w:id="0" w:name="_GoBack"/>
            <w:bookmarkEnd w:id="0"/>
            <w:r>
              <w:rPr>
                <w:rFonts w:hint="eastAsia" w:ascii="宋体" w:hAnsi="宋体" w:eastAsia="宋体" w:cs="宋体"/>
                <w:i w:val="0"/>
                <w:iCs w:val="0"/>
                <w:color w:val="000000"/>
                <w:kern w:val="0"/>
                <w:sz w:val="20"/>
                <w:szCs w:val="20"/>
                <w:u w:val="none"/>
                <w:lang w:val="en-US" w:eastAsia="zh-CN" w:bidi="ar"/>
              </w:rPr>
              <w:t>5</w:t>
            </w:r>
            <w:r>
              <w:rPr>
                <w:rFonts w:hint="eastAsia" w:ascii="Arial"/>
                <w:color w:val="000000" w:themeColor="text1"/>
                <w:spacing w:val="0"/>
                <w:sz w:val="20"/>
                <w:lang w:val="en-US" w:eastAsia="zh-CN"/>
                <w14:textFill>
                  <w14:solidFill>
                    <w14:schemeClr w14:val="tx1"/>
                  </w14:solidFill>
                </w14:textFill>
              </w:rPr>
              <w:t>%</w:t>
            </w:r>
          </w:p>
        </w:tc>
        <w:tc>
          <w:tcPr>
            <w:tcW w:w="450" w:type="dxa"/>
            <w:noWrap w:val="0"/>
            <w:vAlign w:val="center"/>
          </w:tcPr>
          <w:p w14:paraId="1C2DB9E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15</w:t>
            </w:r>
          </w:p>
        </w:tc>
        <w:tc>
          <w:tcPr>
            <w:tcW w:w="825" w:type="dxa"/>
            <w:noWrap w:val="0"/>
            <w:vAlign w:val="center"/>
          </w:tcPr>
          <w:p w14:paraId="593DEF9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14</w:t>
            </w:r>
          </w:p>
        </w:tc>
        <w:tc>
          <w:tcPr>
            <w:tcW w:w="1171" w:type="dxa"/>
            <w:noWrap w:val="0"/>
            <w:vAlign w:val="center"/>
          </w:tcPr>
          <w:p w14:paraId="624E88F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FF0000"/>
                <w:spacing w:val="0"/>
                <w:sz w:val="21"/>
                <w:szCs w:val="21"/>
              </w:rPr>
            </w:pPr>
          </w:p>
        </w:tc>
      </w:tr>
      <w:tr w14:paraId="0C29FB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6E64F50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top w:val="nil"/>
              <w:bottom w:val="nil"/>
            </w:tcBorders>
            <w:noWrap w:val="0"/>
            <w:vAlign w:val="center"/>
          </w:tcPr>
          <w:p w14:paraId="1FF2B6D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top w:val="single" w:color="auto" w:sz="4" w:space="0"/>
              <w:bottom w:val="nil"/>
            </w:tcBorders>
            <w:noWrap w:val="0"/>
            <w:vAlign w:val="center"/>
          </w:tcPr>
          <w:p w14:paraId="0394F53E">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14:paraId="46D9745B">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2040" w:type="dxa"/>
            <w:tcBorders>
              <w:top w:val="single" w:color="auto" w:sz="4" w:space="0"/>
            </w:tcBorders>
            <w:noWrap w:val="0"/>
            <w:vAlign w:val="center"/>
          </w:tcPr>
          <w:p w14:paraId="56B55F1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810" w:type="dxa"/>
            <w:noWrap w:val="0"/>
            <w:vAlign w:val="center"/>
          </w:tcPr>
          <w:p w14:paraId="29DAB95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1065" w:type="dxa"/>
            <w:noWrap w:val="0"/>
            <w:vAlign w:val="center"/>
          </w:tcPr>
          <w:p w14:paraId="3DC7BDF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450" w:type="dxa"/>
            <w:noWrap w:val="0"/>
            <w:vAlign w:val="center"/>
          </w:tcPr>
          <w:p w14:paraId="1445F6D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825" w:type="dxa"/>
            <w:noWrap w:val="0"/>
            <w:vAlign w:val="center"/>
          </w:tcPr>
          <w:p w14:paraId="47D6492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1171" w:type="dxa"/>
            <w:noWrap w:val="0"/>
            <w:vAlign w:val="center"/>
          </w:tcPr>
          <w:p w14:paraId="3705A29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FF0000"/>
                <w:spacing w:val="0"/>
                <w:sz w:val="21"/>
                <w:szCs w:val="21"/>
              </w:rPr>
            </w:pPr>
          </w:p>
        </w:tc>
      </w:tr>
      <w:tr w14:paraId="5DACA4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63103B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top w:val="nil"/>
              <w:bottom w:val="nil"/>
            </w:tcBorders>
            <w:noWrap w:val="0"/>
            <w:vAlign w:val="center"/>
          </w:tcPr>
          <w:p w14:paraId="62E97B8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219445CB">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5AAB863D">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2040" w:type="dxa"/>
            <w:noWrap w:val="0"/>
            <w:vAlign w:val="center"/>
          </w:tcPr>
          <w:p w14:paraId="7493545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持续优化了公共文化设施网络布局，公共文化服务体系全面覆盖城乡</w:t>
            </w:r>
          </w:p>
        </w:tc>
        <w:tc>
          <w:tcPr>
            <w:tcW w:w="810" w:type="dxa"/>
            <w:noWrap w:val="0"/>
            <w:vAlign w:val="center"/>
          </w:tcPr>
          <w:p w14:paraId="06BE9B7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可持续</w:t>
            </w:r>
          </w:p>
          <w:p w14:paraId="1597DFB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影响</w:t>
            </w:r>
          </w:p>
        </w:tc>
        <w:tc>
          <w:tcPr>
            <w:tcW w:w="1065" w:type="dxa"/>
            <w:noWrap w:val="0"/>
            <w:vAlign w:val="center"/>
          </w:tcPr>
          <w:p w14:paraId="52FE60A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可持续</w:t>
            </w:r>
          </w:p>
          <w:p w14:paraId="1E23EC9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影响</w:t>
            </w:r>
          </w:p>
        </w:tc>
        <w:tc>
          <w:tcPr>
            <w:tcW w:w="450" w:type="dxa"/>
            <w:noWrap w:val="0"/>
            <w:vAlign w:val="center"/>
          </w:tcPr>
          <w:p w14:paraId="118F446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15</w:t>
            </w:r>
          </w:p>
        </w:tc>
        <w:tc>
          <w:tcPr>
            <w:tcW w:w="825" w:type="dxa"/>
            <w:noWrap w:val="0"/>
            <w:vAlign w:val="center"/>
          </w:tcPr>
          <w:p w14:paraId="25CE126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14</w:t>
            </w:r>
          </w:p>
        </w:tc>
        <w:tc>
          <w:tcPr>
            <w:tcW w:w="1171" w:type="dxa"/>
            <w:noWrap w:val="0"/>
            <w:vAlign w:val="center"/>
          </w:tcPr>
          <w:p w14:paraId="3485B86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FF0000"/>
                <w:spacing w:val="0"/>
                <w:sz w:val="21"/>
                <w:szCs w:val="21"/>
              </w:rPr>
            </w:pPr>
          </w:p>
        </w:tc>
      </w:tr>
      <w:tr w14:paraId="48E0D9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6DA8D6D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tcBorders>
              <w:bottom w:val="nil"/>
            </w:tcBorders>
            <w:noWrap w:val="0"/>
            <w:vAlign w:val="center"/>
          </w:tcPr>
          <w:p w14:paraId="7BCBDDD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196BBDA0">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1D595DB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140" w:type="dxa"/>
            <w:tcBorders>
              <w:bottom w:val="nil"/>
            </w:tcBorders>
            <w:noWrap w:val="0"/>
            <w:vAlign w:val="center"/>
          </w:tcPr>
          <w:p w14:paraId="0E30FC7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12879C2E">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720C3209">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2040" w:type="dxa"/>
            <w:noWrap w:val="0"/>
            <w:vAlign w:val="center"/>
          </w:tcPr>
          <w:p w14:paraId="17AD382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社会公众满意度</w:t>
            </w:r>
          </w:p>
        </w:tc>
        <w:tc>
          <w:tcPr>
            <w:tcW w:w="810" w:type="dxa"/>
            <w:noWrap w:val="0"/>
            <w:vAlign w:val="center"/>
          </w:tcPr>
          <w:p w14:paraId="4EA9784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1065" w:type="dxa"/>
            <w:noWrap w:val="0"/>
            <w:vAlign w:val="center"/>
          </w:tcPr>
          <w:p w14:paraId="6C70FBF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450" w:type="dxa"/>
            <w:noWrap w:val="0"/>
            <w:vAlign w:val="center"/>
          </w:tcPr>
          <w:p w14:paraId="75243BC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09723F3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71" w:type="dxa"/>
            <w:noWrap w:val="0"/>
            <w:vAlign w:val="center"/>
          </w:tcPr>
          <w:p w14:paraId="67CA0CD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FF0000"/>
                <w:spacing w:val="0"/>
                <w:sz w:val="21"/>
                <w:szCs w:val="21"/>
              </w:rPr>
            </w:pPr>
          </w:p>
        </w:tc>
      </w:tr>
      <w:tr w14:paraId="0453F4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7134" w:type="dxa"/>
            <w:gridSpan w:val="6"/>
            <w:noWrap w:val="0"/>
            <w:vAlign w:val="center"/>
          </w:tcPr>
          <w:p w14:paraId="66EC5E9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总分</w:t>
            </w:r>
          </w:p>
        </w:tc>
        <w:tc>
          <w:tcPr>
            <w:tcW w:w="450" w:type="dxa"/>
            <w:noWrap w:val="0"/>
            <w:vAlign w:val="center"/>
          </w:tcPr>
          <w:p w14:paraId="5D8B2B6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100</w:t>
            </w:r>
          </w:p>
        </w:tc>
        <w:tc>
          <w:tcPr>
            <w:tcW w:w="825" w:type="dxa"/>
            <w:noWrap w:val="0"/>
            <w:vAlign w:val="center"/>
          </w:tcPr>
          <w:p w14:paraId="29AFBBF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98</w:t>
            </w:r>
          </w:p>
        </w:tc>
        <w:tc>
          <w:tcPr>
            <w:tcW w:w="1171" w:type="dxa"/>
            <w:noWrap w:val="0"/>
            <w:vAlign w:val="center"/>
          </w:tcPr>
          <w:p w14:paraId="406E597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FF0000"/>
                <w:spacing w:val="0"/>
                <w:sz w:val="21"/>
                <w:szCs w:val="21"/>
              </w:rPr>
            </w:pPr>
          </w:p>
        </w:tc>
      </w:tr>
    </w:tbl>
    <w:p w14:paraId="716F2522">
      <w:pPr>
        <w:spacing w:line="252" w:lineRule="auto"/>
        <w:rPr>
          <w:rFonts w:ascii="Arial"/>
          <w:color w:val="000000" w:themeColor="text1"/>
          <w:sz w:val="21"/>
          <w14:textFill>
            <w14:solidFill>
              <w14:schemeClr w14:val="tx1"/>
            </w14:solidFill>
          </w14:textFill>
        </w:rPr>
      </w:pPr>
    </w:p>
    <w:p w14:paraId="51AE8BC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任雨鸿</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13873081203</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刘英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2023-6-2</w:t>
      </w:r>
    </w:p>
    <w:p w14:paraId="50313452">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5D3FB5B1">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115160D1">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151603DC">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58B8E983">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346C03FC">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0A62E9F9">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7BF21474">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71425FD3">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0F2B8E16">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564D3075">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5A67BD4B">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4A0C2902">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46A50750">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eastAsia="宋体" w:cs="宋体"/>
          <w:b/>
          <w:bCs/>
          <w:kern w:val="2"/>
          <w:sz w:val="44"/>
          <w:szCs w:val="44"/>
        </w:rPr>
      </w:pPr>
      <w:r>
        <w:rPr>
          <w:rFonts w:hint="eastAsia" w:ascii="宋体" w:hAnsi="宋体" w:cs="宋体"/>
          <w:b/>
          <w:bCs/>
          <w:kern w:val="2"/>
          <w:sz w:val="44"/>
          <w:szCs w:val="44"/>
          <w:lang w:val="en-US" w:eastAsia="zh-CN"/>
        </w:rPr>
        <w:t>公共文化服务体系建设</w:t>
      </w:r>
      <w:r>
        <w:rPr>
          <w:rFonts w:hint="eastAsia" w:ascii="宋体" w:hAnsi="宋体" w:cs="宋体"/>
          <w:b/>
          <w:bCs/>
          <w:kern w:val="2"/>
          <w:sz w:val="44"/>
          <w:szCs w:val="44"/>
          <w:lang w:eastAsia="zh-CN"/>
        </w:rPr>
        <w:t>资金</w:t>
      </w:r>
      <w:r>
        <w:rPr>
          <w:rFonts w:hint="eastAsia" w:ascii="宋体" w:hAnsi="宋体" w:eastAsia="宋体" w:cs="宋体"/>
          <w:b/>
          <w:bCs/>
          <w:kern w:val="2"/>
          <w:sz w:val="44"/>
          <w:szCs w:val="44"/>
        </w:rPr>
        <w:t>2022年度绩效自评报告</w:t>
      </w:r>
    </w:p>
    <w:p w14:paraId="616FE783">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240" w:lineRule="auto"/>
        <w:ind w:firstLine="602" w:firstLineChars="200"/>
        <w:jc w:val="both"/>
        <w:textAlignment w:val="auto"/>
        <w:rPr>
          <w:rFonts w:hint="eastAsia" w:ascii="仿宋" w:hAnsi="仿宋" w:eastAsia="仿宋" w:cs="仿宋"/>
          <w:b/>
          <w:bCs/>
          <w:kern w:val="2"/>
          <w:sz w:val="30"/>
          <w:szCs w:val="30"/>
          <w:lang w:val="en-US" w:eastAsia="zh-CN" w:bidi="ar-SA"/>
        </w:rPr>
      </w:pPr>
      <w:r>
        <w:rPr>
          <w:rFonts w:hint="eastAsia" w:ascii="仿宋" w:hAnsi="仿宋" w:eastAsia="仿宋" w:cs="仿宋"/>
          <w:b/>
          <w:bCs/>
          <w:kern w:val="2"/>
          <w:sz w:val="30"/>
          <w:szCs w:val="30"/>
          <w:lang w:val="en-US" w:eastAsia="zh-CN" w:bidi="ar-SA"/>
        </w:rPr>
        <w:t>一、绩效目标分解下达情况</w:t>
      </w:r>
    </w:p>
    <w:p w14:paraId="10467D15">
      <w:pPr>
        <w:keepNext w:val="0"/>
        <w:keepLines w:val="0"/>
        <w:pageBreakBefore w:val="0"/>
        <w:widowControl w:val="0"/>
        <w:kinsoku/>
        <w:wordWrap/>
        <w:overflowPunct/>
        <w:topLinePunct w:val="0"/>
        <w:autoSpaceDE/>
        <w:autoSpaceDN/>
        <w:bidi w:val="0"/>
        <w:adjustRightInd/>
        <w:snapToGrid/>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公共文化服务体系建设（农村文化建设）补助资金169.91万元。</w:t>
      </w:r>
      <w:r>
        <w:rPr>
          <w:rFonts w:hint="eastAsia" w:ascii="仿宋" w:hAnsi="仿宋" w:eastAsia="仿宋" w:cs="仿宋"/>
          <w:b/>
          <w:bCs/>
          <w:sz w:val="30"/>
          <w:szCs w:val="30"/>
          <w:lang w:val="en-US" w:eastAsia="zh-CN"/>
        </w:rPr>
        <w:t>1.</w:t>
      </w:r>
      <w:r>
        <w:rPr>
          <w:rFonts w:hint="eastAsia" w:ascii="仿宋" w:hAnsi="仿宋" w:eastAsia="仿宋" w:cs="仿宋"/>
          <w:sz w:val="30"/>
          <w:szCs w:val="30"/>
          <w:lang w:val="en-US" w:eastAsia="zh-CN"/>
        </w:rPr>
        <w:t>中央支持公共文化服务体系建设（农村文化建设）和省级对公共文化服务体系建设（农村文化建设）补助资金24.91万元（湘财预【2021】352号）；</w:t>
      </w:r>
      <w:r>
        <w:rPr>
          <w:rFonts w:hint="eastAsia" w:ascii="仿宋" w:hAnsi="仿宋" w:eastAsia="仿宋" w:cs="仿宋"/>
          <w:b/>
          <w:bCs/>
          <w:sz w:val="30"/>
          <w:szCs w:val="30"/>
          <w:lang w:val="en-US" w:eastAsia="zh-CN"/>
        </w:rPr>
        <w:t>2.</w:t>
      </w:r>
      <w:r>
        <w:rPr>
          <w:rFonts w:hint="eastAsia" w:ascii="仿宋" w:hAnsi="仿宋" w:eastAsia="仿宋" w:cs="仿宋"/>
          <w:sz w:val="30"/>
          <w:szCs w:val="30"/>
          <w:lang w:val="en-US" w:eastAsia="zh-CN"/>
        </w:rPr>
        <w:t>中央支持公共文化服务体系建设绩效奖励资金5万元（湘财预【2022】129号）；3.本级对公共文化服务体系建设（农村文化建设）补助资金140万元（年初预算）。新建数字文化馆分馆10家，图书馆分馆7家，选出优秀社区配送了10台公共文化服务一体机，8台数字图书借阅一体机，公共文化服务水平更加高效。志愿服务小分队常年为边远地区老百姓开展送演艺、培训、展览等活动。年举办各类讲座、展览、培训等活动60场次，下基层流动文化服务次数20次，年送戏下乡20场。开展“带动一群人 文化一座城”舞蹈培训进校园文化志愿行动。在洞庭南路街河口开展“带动一群人 文化一座城”广场舞文化志愿服务培训活动。开展各种主题的美术摄影作品展志愿服务活动。依托总分馆建设模式，致力于推行我区全民艺术普及工作，全面提升群众素质，提升文明指数。以开办红马甲市民艺术大学为平台，以创新公共文化服务内容形式为手段，把全民艺术普及与当前重点工作紧密结合，拓展公共文化服务领域，满足各阶层群众的精神文化需求。</w:t>
      </w:r>
    </w:p>
    <w:p w14:paraId="0FC279B8">
      <w:pPr>
        <w:pStyle w:val="6"/>
        <w:widowControl/>
        <w:shd w:val="clear" w:color="auto" w:fill="FFFFFF"/>
        <w:spacing w:beforeAutospacing="0" w:after="225" w:afterAutospacing="0" w:line="400" w:lineRule="exact"/>
        <w:ind w:firstLine="630"/>
        <w:jc w:val="both"/>
        <w:rPr>
          <w:rFonts w:hint="eastAsia" w:ascii="仿宋" w:hAnsi="仿宋" w:eastAsia="仿宋" w:cs="仿宋"/>
          <w:b/>
          <w:bCs/>
          <w:color w:val="3D3D3D"/>
          <w:sz w:val="30"/>
          <w:szCs w:val="30"/>
        </w:rPr>
      </w:pPr>
      <w:r>
        <w:rPr>
          <w:rFonts w:hint="eastAsia" w:ascii="黑体" w:hAnsi="黑体" w:eastAsia="黑体" w:cs="黑体"/>
          <w:b w:val="0"/>
          <w:bCs w:val="0"/>
          <w:color w:val="3D3D3D"/>
          <w:sz w:val="30"/>
          <w:szCs w:val="30"/>
          <w:shd w:val="clear" w:color="auto" w:fill="FFFFFF"/>
        </w:rPr>
        <w:t>二、绩效目标完成情况分析</w:t>
      </w:r>
    </w:p>
    <w:p w14:paraId="18F20ED1">
      <w:pPr>
        <w:pStyle w:val="6"/>
        <w:widowControl/>
        <w:shd w:val="clear" w:color="auto" w:fill="FFFFFF"/>
        <w:spacing w:beforeAutospacing="0" w:after="225" w:afterAutospacing="0" w:line="400" w:lineRule="exact"/>
        <w:ind w:firstLine="630"/>
        <w:jc w:val="both"/>
        <w:rPr>
          <w:rFonts w:hint="eastAsia" w:ascii="仿宋" w:hAnsi="仿宋" w:eastAsia="仿宋" w:cs="仿宋"/>
          <w:color w:val="auto"/>
          <w:sz w:val="30"/>
          <w:szCs w:val="30"/>
          <w:shd w:val="clear" w:color="auto" w:fill="FFFFFF"/>
        </w:rPr>
      </w:pPr>
      <w:r>
        <w:rPr>
          <w:rFonts w:hint="eastAsia" w:ascii="仿宋" w:hAnsi="仿宋" w:eastAsia="仿宋" w:cs="仿宋"/>
          <w:color w:val="auto"/>
          <w:sz w:val="30"/>
          <w:szCs w:val="30"/>
          <w:shd w:val="clear" w:color="auto" w:fill="FFFFFF"/>
        </w:rPr>
        <w:t>（一）资金投入情况分析</w:t>
      </w:r>
    </w:p>
    <w:p w14:paraId="3E54D691">
      <w:pPr>
        <w:pStyle w:val="6"/>
        <w:widowControl/>
        <w:shd w:val="clear" w:color="auto" w:fill="FFFFFF"/>
        <w:spacing w:beforeAutospacing="0" w:after="225" w:afterAutospacing="0" w:line="400" w:lineRule="exact"/>
        <w:ind w:firstLine="630"/>
        <w:jc w:val="both"/>
        <w:rPr>
          <w:rFonts w:hint="eastAsia" w:ascii="仿宋" w:hAnsi="仿宋" w:eastAsia="仿宋" w:cs="仿宋"/>
          <w:b w:val="0"/>
          <w:bCs w:val="0"/>
          <w:sz w:val="30"/>
          <w:szCs w:val="30"/>
        </w:rPr>
      </w:pPr>
      <w:r>
        <w:rPr>
          <w:rFonts w:hint="eastAsia" w:ascii="仿宋" w:hAnsi="仿宋" w:eastAsia="仿宋" w:cs="仿宋"/>
          <w:b w:val="0"/>
          <w:bCs w:val="0"/>
          <w:sz w:val="30"/>
          <w:szCs w:val="30"/>
          <w:lang w:val="en-US" w:eastAsia="zh-CN"/>
        </w:rPr>
        <w:t>1.</w:t>
      </w:r>
      <w:r>
        <w:rPr>
          <w:rFonts w:hint="eastAsia" w:ascii="仿宋" w:hAnsi="仿宋" w:eastAsia="仿宋" w:cs="仿宋"/>
          <w:b w:val="0"/>
          <w:bCs w:val="0"/>
          <w:sz w:val="30"/>
          <w:szCs w:val="30"/>
        </w:rPr>
        <w:t>项目资金实际使用情况分析</w:t>
      </w:r>
    </w:p>
    <w:p w14:paraId="2C75E659">
      <w:pPr>
        <w:keepNext w:val="0"/>
        <w:keepLines w:val="0"/>
        <w:pageBreakBefore w:val="0"/>
        <w:widowControl w:val="0"/>
        <w:kinsoku/>
        <w:wordWrap/>
        <w:overflowPunct/>
        <w:topLinePunct w:val="0"/>
        <w:autoSpaceDE/>
        <w:autoSpaceDN/>
        <w:bidi w:val="0"/>
        <w:adjustRightInd/>
        <w:snapToGrid/>
        <w:ind w:firstLine="600" w:firstLineChars="200"/>
        <w:rPr>
          <w:rFonts w:hint="eastAsia" w:ascii="仿宋" w:hAnsi="仿宋" w:eastAsia="仿宋" w:cs="仿宋"/>
          <w:color w:val="0000FF"/>
          <w:sz w:val="30"/>
          <w:szCs w:val="30"/>
          <w:lang w:val="en-US" w:eastAsia="zh-CN"/>
        </w:rPr>
      </w:pPr>
      <w:r>
        <w:rPr>
          <w:rFonts w:hint="eastAsia" w:ascii="仿宋" w:hAnsi="仿宋" w:eastAsia="仿宋" w:cs="仿宋"/>
          <w:sz w:val="30"/>
          <w:szCs w:val="30"/>
          <w:lang w:val="en-US" w:eastAsia="zh-CN"/>
        </w:rPr>
        <w:t>该项目资金使用严格按审批程序办理，操作规范、会计核审结果真实、准确，</w:t>
      </w:r>
      <w:r>
        <w:rPr>
          <w:rFonts w:hint="eastAsia" w:ascii="仿宋" w:hAnsi="仿宋" w:eastAsia="仿宋" w:cs="仿宋"/>
          <w:color w:val="000000" w:themeColor="text1"/>
          <w:sz w:val="30"/>
          <w:szCs w:val="30"/>
          <w:lang w:val="en-US" w:eastAsia="zh-CN"/>
          <w14:textFill>
            <w14:solidFill>
              <w14:schemeClr w14:val="tx1"/>
            </w14:solidFill>
          </w14:textFill>
        </w:rPr>
        <w:t>公共文化服务支出24.70万元、公共文化设施设备支出43.87万元、公共文化活动支出76.71万元。公共文化文旅融合、培训、展览等支出24.63万元。</w:t>
      </w:r>
    </w:p>
    <w:p w14:paraId="51E44597">
      <w:pPr>
        <w:keepNext w:val="0"/>
        <w:keepLines w:val="0"/>
        <w:pageBreakBefore w:val="0"/>
        <w:widowControl w:val="0"/>
        <w:kinsoku/>
        <w:wordWrap/>
        <w:overflowPunct/>
        <w:topLinePunct w:val="0"/>
        <w:autoSpaceDE/>
        <w:autoSpaceDN/>
        <w:bidi w:val="0"/>
        <w:adjustRightInd/>
        <w:snapToGrid/>
        <w:ind w:firstLine="600" w:firstLineChars="200"/>
        <w:rPr>
          <w:rFonts w:hint="eastAsia" w:ascii="仿宋" w:hAnsi="仿宋" w:eastAsia="仿宋" w:cs="仿宋"/>
          <w:b w:val="0"/>
          <w:bCs w:val="0"/>
          <w:sz w:val="30"/>
          <w:szCs w:val="30"/>
        </w:rPr>
      </w:pPr>
      <w:r>
        <w:rPr>
          <w:rFonts w:hint="eastAsia" w:ascii="仿宋" w:hAnsi="仿宋" w:eastAsia="仿宋" w:cs="仿宋"/>
          <w:b w:val="0"/>
          <w:bCs w:val="0"/>
          <w:sz w:val="30"/>
          <w:szCs w:val="30"/>
          <w:lang w:val="en-US" w:eastAsia="zh-CN"/>
        </w:rPr>
        <w:t>2.</w:t>
      </w:r>
      <w:r>
        <w:rPr>
          <w:rFonts w:hint="eastAsia" w:ascii="仿宋" w:hAnsi="仿宋" w:eastAsia="仿宋" w:cs="仿宋"/>
          <w:b w:val="0"/>
          <w:bCs w:val="0"/>
          <w:sz w:val="30"/>
          <w:szCs w:val="30"/>
        </w:rPr>
        <w:t>项目资金管理情况分析</w:t>
      </w:r>
    </w:p>
    <w:p w14:paraId="42F22F4F">
      <w:pPr>
        <w:keepNext w:val="0"/>
        <w:keepLines w:val="0"/>
        <w:pageBreakBefore w:val="0"/>
        <w:widowControl w:val="0"/>
        <w:kinsoku/>
        <w:wordWrap/>
        <w:overflowPunct/>
        <w:topLinePunct w:val="0"/>
        <w:autoSpaceDE/>
        <w:autoSpaceDN/>
        <w:bidi w:val="0"/>
        <w:adjustRightInd/>
        <w:snapToGrid/>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此</w:t>
      </w:r>
      <w:r>
        <w:rPr>
          <w:rFonts w:hint="eastAsia" w:ascii="仿宋" w:hAnsi="仿宋" w:eastAsia="仿宋" w:cs="仿宋"/>
          <w:sz w:val="30"/>
          <w:szCs w:val="30"/>
        </w:rPr>
        <w:t>项目严格按照专项资金的用途和范围，专款专用，</w:t>
      </w:r>
      <w:r>
        <w:rPr>
          <w:rFonts w:hint="eastAsia" w:ascii="仿宋" w:hAnsi="仿宋" w:eastAsia="仿宋" w:cs="仿宋"/>
          <w:sz w:val="30"/>
          <w:szCs w:val="30"/>
          <w:lang w:val="en-US" w:eastAsia="zh-CN"/>
        </w:rPr>
        <w:t>真实、有效、合法的</w:t>
      </w:r>
      <w:r>
        <w:rPr>
          <w:rFonts w:hint="eastAsia" w:ascii="仿宋" w:hAnsi="仿宋" w:eastAsia="仿宋" w:cs="仿宋"/>
          <w:sz w:val="30"/>
          <w:szCs w:val="30"/>
        </w:rPr>
        <w:t>实际开支</w:t>
      </w:r>
      <w:r>
        <w:rPr>
          <w:rFonts w:hint="eastAsia" w:ascii="仿宋" w:hAnsi="仿宋" w:eastAsia="仿宋" w:cs="仿宋"/>
          <w:sz w:val="30"/>
          <w:szCs w:val="30"/>
          <w:lang w:val="en-US" w:eastAsia="zh-CN"/>
        </w:rPr>
        <w:t>凭证，严格审批</w:t>
      </w:r>
      <w:r>
        <w:rPr>
          <w:rFonts w:hint="eastAsia" w:ascii="仿宋" w:hAnsi="仿宋" w:eastAsia="仿宋" w:cs="仿宋"/>
          <w:sz w:val="30"/>
          <w:szCs w:val="30"/>
        </w:rPr>
        <w:t>予以支付报销</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充分保障资金安全运行，发挥资金的使用效益。</w:t>
      </w:r>
    </w:p>
    <w:p w14:paraId="2D5815D8">
      <w:pPr>
        <w:numPr>
          <w:ilvl w:val="0"/>
          <w:numId w:val="1"/>
        </w:numPr>
        <w:ind w:left="30" w:leftChars="0" w:firstLine="600" w:firstLineChars="0"/>
        <w:jc w:val="both"/>
        <w:rPr>
          <w:rFonts w:hint="eastAsia" w:ascii="仿宋" w:hAnsi="仿宋" w:eastAsia="仿宋" w:cs="仿宋"/>
          <w:color w:val="auto"/>
          <w:sz w:val="30"/>
          <w:szCs w:val="30"/>
          <w:shd w:val="clear" w:color="auto" w:fill="FFFFFF"/>
        </w:rPr>
      </w:pPr>
      <w:r>
        <w:rPr>
          <w:rFonts w:hint="eastAsia" w:ascii="仿宋" w:hAnsi="仿宋" w:eastAsia="仿宋" w:cs="仿宋"/>
          <w:color w:val="auto"/>
          <w:sz w:val="30"/>
          <w:szCs w:val="30"/>
          <w:shd w:val="clear" w:color="auto" w:fill="FFFFFF"/>
        </w:rPr>
        <w:t>总体绩效目标完成情况分析</w:t>
      </w:r>
    </w:p>
    <w:p w14:paraId="1659E8D1">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580" w:lineRule="exact"/>
        <w:ind w:right="0" w:rightChars="0" w:firstLine="600" w:firstLineChars="200"/>
        <w:jc w:val="both"/>
        <w:rPr>
          <w:rFonts w:hint="eastAsia" w:ascii="仿宋_GB2312" w:hAnsi="仿宋_GB2312" w:eastAsia="仿宋_GB2312" w:cs="仿宋_GB2312"/>
          <w:color w:val="000000"/>
          <w:spacing w:val="-4"/>
          <w:sz w:val="32"/>
          <w:szCs w:val="32"/>
          <w:lang w:val="en-US" w:eastAsia="zh-CN"/>
        </w:rPr>
      </w:pPr>
      <w:r>
        <w:rPr>
          <w:rFonts w:hint="eastAsia" w:ascii="仿宋" w:hAnsi="仿宋" w:eastAsia="仿宋" w:cs="仿宋"/>
          <w:sz w:val="30"/>
          <w:szCs w:val="30"/>
        </w:rPr>
        <w:t>通过</w:t>
      </w:r>
      <w:r>
        <w:rPr>
          <w:rFonts w:hint="eastAsia" w:ascii="仿宋" w:hAnsi="仿宋" w:eastAsia="仿宋" w:cs="仿宋"/>
          <w:sz w:val="30"/>
          <w:szCs w:val="30"/>
          <w:lang w:val="en-US" w:eastAsia="zh-CN"/>
        </w:rPr>
        <w:t>对此项目的开展，</w:t>
      </w:r>
      <w:r>
        <w:rPr>
          <w:rFonts w:hint="eastAsia" w:ascii="仿宋" w:hAnsi="仿宋" w:eastAsia="仿宋" w:cs="仿宋"/>
          <w:b w:val="0"/>
          <w:bCs/>
          <w:sz w:val="30"/>
          <w:szCs w:val="30"/>
          <w:lang w:val="en-US" w:eastAsia="zh-CN"/>
        </w:rPr>
        <w:t>加快完善公共文化服务体系和设施建设提供了有力支持，</w:t>
      </w:r>
      <w:r>
        <w:rPr>
          <w:rFonts w:hint="eastAsia" w:ascii="楷体" w:hAnsi="楷体" w:eastAsia="楷体" w:cs="楷体"/>
          <w:b/>
          <w:bCs/>
          <w:color w:val="000000"/>
          <w:spacing w:val="-4"/>
          <w:sz w:val="32"/>
          <w:szCs w:val="32"/>
          <w:lang w:val="en-US" w:eastAsia="zh-CN"/>
        </w:rPr>
        <w:t>（一）全面深化公共文化机构免费开放。</w:t>
      </w:r>
      <w:r>
        <w:rPr>
          <w:rFonts w:hint="eastAsia" w:ascii="仿宋_GB2312" w:hAnsi="仿宋_GB2312" w:eastAsia="仿宋_GB2312" w:cs="仿宋_GB2312"/>
          <w:b w:val="0"/>
          <w:bCs w:val="0"/>
          <w:color w:val="000000"/>
          <w:spacing w:val="-4"/>
          <w:sz w:val="32"/>
          <w:szCs w:val="32"/>
          <w:lang w:val="en-US" w:eastAsia="zh-CN"/>
        </w:rPr>
        <w:t>实施公共图书馆、文化馆、乡镇（街道）综合文化站免费开放工作，所有免费开放场馆实现规章制度健全，服务内容明确，保障机制完善，设施利用率明显提高。扎实推进了全区公共文化服务体系一体建</w:t>
      </w:r>
      <w:r>
        <w:rPr>
          <w:rFonts w:hint="eastAsia" w:ascii="仿宋_GB2312" w:hAnsi="仿宋_GB2312" w:eastAsia="仿宋_GB2312" w:cs="仿宋_GB2312"/>
          <w:color w:val="000000"/>
          <w:spacing w:val="-4"/>
          <w:sz w:val="32"/>
          <w:szCs w:val="32"/>
          <w:lang w:val="en-US" w:eastAsia="zh-CN"/>
        </w:rPr>
        <w:t>设，全面提升了基层文化惠民服务的覆盖性和实效性，全年完成送戏下乡任务。指导基层综合文化服务中心提质升级，目前有四家市级“最美潇湘文化阵地”，分别是：芋头田社区、学院路社区、麻布山村、洪家洲社区综合文化服务中心。洪家洲社区还被评为“湖南省最佳文旅志愿服务社区”。</w:t>
      </w:r>
    </w:p>
    <w:p w14:paraId="4F3C6EF0">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580" w:lineRule="exact"/>
        <w:ind w:right="0" w:rightChars="0" w:firstLine="643" w:firstLineChars="200"/>
        <w:jc w:val="both"/>
        <w:rPr>
          <w:rFonts w:hint="eastAsia" w:ascii="仿宋_GB2312" w:hAnsi="仿宋_GB2312" w:eastAsia="仿宋_GB2312" w:cs="仿宋_GB2312"/>
          <w:color w:val="000000"/>
          <w:spacing w:val="-4"/>
          <w:sz w:val="32"/>
          <w:szCs w:val="32"/>
          <w:lang w:val="en-US" w:eastAsia="zh-CN"/>
        </w:rPr>
      </w:pPr>
      <w:r>
        <w:rPr>
          <w:rFonts w:hint="eastAsia" w:ascii="楷体" w:hAnsi="楷体" w:eastAsia="楷体" w:cs="楷体"/>
          <w:b/>
          <w:bCs/>
          <w:sz w:val="32"/>
          <w:szCs w:val="32"/>
          <w:lang w:val="en-US" w:eastAsia="zh-CN"/>
        </w:rPr>
        <w:t>（二）不断加强公共文化服务体系建设。</w:t>
      </w:r>
      <w:r>
        <w:rPr>
          <w:rFonts w:hint="eastAsia" w:ascii="仿宋_GB2312" w:hAnsi="仿宋_GB2312" w:eastAsia="仿宋_GB2312" w:cs="仿宋_GB2312"/>
          <w:color w:val="000000"/>
          <w:spacing w:val="-4"/>
          <w:sz w:val="32"/>
          <w:szCs w:val="32"/>
          <w:lang w:val="en-US" w:eastAsia="zh-CN"/>
        </w:rPr>
        <w:t>配合新建数字文化馆分馆10家，图书馆分馆7家，选出优秀社区配送了10台公共文化服务一体机，8台数字图书借阅一体机，</w:t>
      </w:r>
      <w:r>
        <w:rPr>
          <w:rFonts w:hint="eastAsia" w:ascii="仿宋_GB2312" w:hAnsi="仿宋_GB2312" w:eastAsia="仿宋_GB2312" w:cs="仿宋_GB2312"/>
          <w:color w:val="000000"/>
          <w:spacing w:val="-4"/>
          <w:sz w:val="32"/>
          <w:szCs w:val="32"/>
        </w:rPr>
        <w:t>公共文化服务水平更加高效</w:t>
      </w:r>
      <w:r>
        <w:rPr>
          <w:rFonts w:hint="eastAsia" w:ascii="仿宋_GB2312" w:hAnsi="仿宋_GB2312" w:eastAsia="仿宋_GB2312" w:cs="仿宋_GB2312"/>
          <w:color w:val="000000"/>
          <w:spacing w:val="-4"/>
          <w:sz w:val="32"/>
          <w:szCs w:val="32"/>
          <w:lang w:eastAsia="zh-CN"/>
        </w:rPr>
        <w:t>。</w:t>
      </w:r>
      <w:r>
        <w:rPr>
          <w:rFonts w:hint="eastAsia" w:ascii="仿宋_GB2312" w:hAnsi="仿宋_GB2312" w:eastAsia="仿宋_GB2312" w:cs="仿宋_GB2312"/>
          <w:color w:val="auto"/>
          <w:kern w:val="0"/>
          <w:sz w:val="32"/>
          <w:szCs w:val="32"/>
          <w:lang w:val="en-US" w:eastAsia="zh-CN" w:bidi="ar-SA"/>
        </w:rPr>
        <w:t>公共文化场馆免费开放服务群众数量达到80万人次以上，推动图书馆、文化馆等公共文化场馆拓展阵地服务功能，</w:t>
      </w:r>
      <w:r>
        <w:rPr>
          <w:rFonts w:hint="eastAsia" w:ascii="仿宋_GB2312" w:hAnsi="仿宋_GB2312" w:eastAsia="仿宋_GB2312" w:cs="仿宋_GB2312"/>
          <w:color w:val="000000"/>
          <w:spacing w:val="-4"/>
          <w:sz w:val="32"/>
          <w:szCs w:val="32"/>
        </w:rPr>
        <w:t>公共文化服务供给方式更加多元</w:t>
      </w:r>
      <w:r>
        <w:rPr>
          <w:rFonts w:hint="eastAsia" w:ascii="仿宋_GB2312" w:hAnsi="仿宋_GB2312" w:eastAsia="仿宋_GB2312" w:cs="仿宋_GB2312"/>
          <w:color w:val="000000"/>
          <w:spacing w:val="-4"/>
          <w:sz w:val="32"/>
          <w:szCs w:val="32"/>
          <w:lang w:eastAsia="zh-CN"/>
        </w:rPr>
        <w:t>。提升</w:t>
      </w:r>
      <w:r>
        <w:rPr>
          <w:rFonts w:hint="eastAsia" w:ascii="仿宋_GB2312" w:hAnsi="仿宋_GB2312" w:eastAsia="仿宋_GB2312" w:cs="仿宋_GB2312"/>
          <w:color w:val="000000"/>
          <w:spacing w:val="-4"/>
          <w:sz w:val="32"/>
          <w:szCs w:val="32"/>
          <w:lang w:val="en-US" w:eastAsia="zh-CN"/>
        </w:rPr>
        <w:t>维修改造数字文化馆，</w:t>
      </w:r>
      <w:r>
        <w:rPr>
          <w:rFonts w:hint="eastAsia" w:ascii="仿宋_GB2312" w:hAnsi="仿宋_GB2312" w:eastAsia="仿宋_GB2312" w:cs="仿宋_GB2312"/>
          <w:color w:val="000000"/>
          <w:spacing w:val="-4"/>
          <w:sz w:val="32"/>
          <w:szCs w:val="32"/>
        </w:rPr>
        <w:t>公共文化数字化网络化智慧化取得新发展</w:t>
      </w:r>
      <w:r>
        <w:rPr>
          <w:rFonts w:hint="eastAsia" w:ascii="仿宋_GB2312" w:hAnsi="仿宋_GB2312" w:eastAsia="仿宋_GB2312" w:cs="仿宋_GB2312"/>
          <w:color w:val="000000"/>
          <w:spacing w:val="-4"/>
          <w:sz w:val="32"/>
          <w:szCs w:val="32"/>
          <w:lang w:val="en-US" w:eastAsia="zh-CN"/>
        </w:rPr>
        <w:t>，提升群众幸福感、获得感。</w:t>
      </w:r>
    </w:p>
    <w:p w14:paraId="01052D89">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580" w:lineRule="exact"/>
        <w:ind w:right="0" w:rightChars="0" w:firstLine="643" w:firstLineChars="200"/>
        <w:jc w:val="both"/>
        <w:rPr>
          <w:rFonts w:hint="eastAsia" w:ascii="仿宋_GB2312" w:hAnsi="仿宋_GB2312" w:eastAsia="仿宋_GB2312" w:cs="仿宋_GB2312"/>
          <w:color w:val="auto"/>
          <w:spacing w:val="-4"/>
          <w:sz w:val="32"/>
          <w:szCs w:val="32"/>
          <w:lang w:val="en-US" w:eastAsia="zh-CN"/>
        </w:rPr>
      </w:pPr>
      <w:r>
        <w:rPr>
          <w:rFonts w:hint="eastAsia" w:ascii="楷体" w:hAnsi="楷体" w:eastAsia="楷体" w:cs="楷体"/>
          <w:b/>
          <w:bCs/>
          <w:sz w:val="32"/>
          <w:szCs w:val="32"/>
          <w:lang w:val="en-US" w:eastAsia="zh-CN"/>
        </w:rPr>
        <w:t>（三）大力实施公共文化惠民工程。</w:t>
      </w:r>
      <w:r>
        <w:rPr>
          <w:rFonts w:hint="eastAsia" w:ascii="仿宋_GB2312" w:hAnsi="仿宋_GB2312" w:eastAsia="仿宋_GB2312" w:cs="仿宋_GB2312"/>
          <w:color w:val="auto"/>
          <w:kern w:val="0"/>
          <w:sz w:val="32"/>
          <w:szCs w:val="32"/>
          <w:lang w:val="en-US" w:eastAsia="zh-CN" w:bidi="ar-SA"/>
        </w:rPr>
        <w:t>志愿服务小分队常年为边远地区老百姓开展送演艺、培训、展览等活动。为加大公共文化覆盖面，专门针对残疾儿童、留守儿童开设艺术送教活动，分别为岳阳市特殊教育学校、许市镇黄金小学、岳阳楼区九华山小学开展了“一起向未来”“送美育进校园”“播撒艺术的种子”等主题性文化志愿服务活动，成效显著。图书馆</w:t>
      </w:r>
      <w:r>
        <w:rPr>
          <w:rFonts w:hint="eastAsia" w:ascii="仿宋_GB2312" w:hAnsi="仿宋_GB2312" w:eastAsia="仿宋_GB2312" w:cs="仿宋_GB2312"/>
          <w:color w:val="auto"/>
          <w:sz w:val="32"/>
          <w:szCs w:val="32"/>
          <w:lang w:val="en-US" w:eastAsia="zh-CN"/>
        </w:rPr>
        <w:t>开展“到群众最需要的地方去”——岳阳楼区文旅志愿服务系列之“全民阅读进景区”活动，以丰富多样的形式展示数字文化资源，发挥公共文化机构在促进文明旅游中的积极作用。在郭镇乡麻布村举办“岳阳楼区公共数字文化进乡村社区”活动，持续13天，为11个乡村（社区）送上数字文化盛宴，为当地留守儿童和孤寡老人带来欢声笑语。</w:t>
      </w:r>
      <w:r>
        <w:rPr>
          <w:rFonts w:hint="eastAsia" w:ascii="仿宋_GB2312" w:hAnsi="仿宋_GB2312" w:eastAsia="仿宋_GB2312" w:cs="仿宋_GB2312"/>
          <w:color w:val="auto"/>
          <w:kern w:val="0"/>
          <w:sz w:val="32"/>
          <w:szCs w:val="32"/>
          <w:lang w:val="en-US" w:eastAsia="zh-CN" w:bidi="ar-SA"/>
        </w:rPr>
        <w:t>将先进的文化因子送到田间地头、送到老百姓的家门口，连通文化惠民最后一米。</w:t>
      </w:r>
      <w:r>
        <w:rPr>
          <w:rFonts w:hint="eastAsia" w:ascii="仿宋_GB2312" w:hAnsi="仿宋_GB2312" w:eastAsia="仿宋_GB2312" w:cs="仿宋_GB2312"/>
          <w:color w:val="auto"/>
          <w:spacing w:val="-4"/>
          <w:sz w:val="32"/>
          <w:szCs w:val="32"/>
          <w:lang w:val="en-US" w:eastAsia="zh-CN"/>
        </w:rPr>
        <w:t>年举办各类讲座、展览、培训等活动60场次，下基层流动文化服务次数20次，年送戏下乡20场。</w:t>
      </w:r>
    </w:p>
    <w:p w14:paraId="685081A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580" w:lineRule="exact"/>
        <w:ind w:right="0" w:firstLine="643" w:firstLineChars="200"/>
        <w:jc w:val="both"/>
        <w:rPr>
          <w:rFonts w:hint="eastAsia" w:ascii="仿宋_GB2312" w:hAnsi="仿宋_GB2312" w:eastAsia="仿宋_GB2312" w:cs="仿宋_GB2312"/>
          <w:sz w:val="32"/>
          <w:szCs w:val="32"/>
          <w:lang w:val="en-US" w:eastAsia="zh-CN"/>
        </w:rPr>
      </w:pPr>
      <w:r>
        <w:rPr>
          <w:rFonts w:hint="eastAsia" w:ascii="楷体" w:hAnsi="楷体" w:eastAsia="楷体" w:cs="楷体"/>
          <w:b/>
          <w:bCs/>
          <w:sz w:val="32"/>
          <w:szCs w:val="32"/>
          <w:lang w:val="en-US" w:eastAsia="zh-CN"/>
        </w:rPr>
        <w:t>（四）努力夯实公共文化队伍建设。</w:t>
      </w:r>
      <w:r>
        <w:rPr>
          <w:rFonts w:hint="eastAsia" w:ascii="仿宋_GB2312" w:hAnsi="仿宋_GB2312" w:eastAsia="仿宋_GB2312" w:cs="仿宋_GB2312"/>
          <w:b w:val="0"/>
          <w:bCs w:val="0"/>
          <w:sz w:val="32"/>
          <w:szCs w:val="32"/>
          <w:lang w:val="en-US" w:eastAsia="zh-CN"/>
        </w:rPr>
        <w:t>组建文化志愿者服务队，制定完善的文化志愿者招募办法，加强对文化志愿者的分级分类管理。开展“带动一群人 文化一座城”舞蹈培训进校园文化志愿行动。在洞庭南路街河口开展“带动一群人 文化一座城”广场舞文化志愿服务培训活动。</w:t>
      </w:r>
      <w:r>
        <w:rPr>
          <w:rFonts w:hint="eastAsia" w:ascii="仿宋_GB2312" w:hAnsi="仿宋_GB2312" w:eastAsia="仿宋_GB2312" w:cs="仿宋_GB2312"/>
          <w:sz w:val="32"/>
          <w:szCs w:val="32"/>
          <w:lang w:val="en-US" w:eastAsia="zh-CN"/>
        </w:rPr>
        <w:t>在洞庭南路举行“洞庭渔火季”岳阳楼区文旅志愿服务活动。岳阳楼区非遗保护项目展示区，“二两香”豆皮大王、龟蛇酒、兰花萝卜、岳州笔吸引了许多游客品尝、购买。同时开展了各种主题的美术摄影作品展志愿服务活动。</w:t>
      </w:r>
    </w:p>
    <w:p w14:paraId="628E960B">
      <w:pPr>
        <w:pStyle w:val="3"/>
        <w:numPr>
          <w:ilvl w:val="0"/>
          <w:numId w:val="0"/>
        </w:numPr>
        <w:ind w:firstLine="643" w:firstLineChars="200"/>
        <w:rPr>
          <w:rFonts w:hint="eastAsia" w:ascii="仿宋_GB2312" w:hAnsi="仿宋_GB2312" w:eastAsia="仿宋_GB2312" w:cs="仿宋_GB2312"/>
          <w:sz w:val="32"/>
          <w:szCs w:val="32"/>
          <w:lang w:val="en-US" w:eastAsia="zh-CN"/>
        </w:rPr>
      </w:pPr>
      <w:r>
        <w:rPr>
          <w:rFonts w:hint="eastAsia" w:ascii="楷体" w:hAnsi="楷体" w:eastAsia="楷体" w:cs="楷体"/>
          <w:b/>
          <w:bCs/>
          <w:kern w:val="2"/>
          <w:sz w:val="32"/>
          <w:szCs w:val="32"/>
          <w:lang w:val="en-US" w:eastAsia="zh-CN" w:bidi="ar-SA"/>
        </w:rPr>
        <w:t>（五）广泛开展全民艺术普及。</w:t>
      </w:r>
      <w:r>
        <w:rPr>
          <w:rFonts w:hint="eastAsia" w:ascii="仿宋_GB2312" w:hAnsi="仿宋_GB2312" w:eastAsia="仿宋_GB2312" w:cs="仿宋_GB2312"/>
          <w:sz w:val="32"/>
          <w:szCs w:val="32"/>
          <w:lang w:val="en-US" w:eastAsia="zh-CN"/>
        </w:rPr>
        <w:t>依托总分馆建设模式，致力于推行我区全民艺术普及工作，全面提升群众素质，提升文明指数。以开办红马甲市民艺术大学为平台，以创新公共文化服务内容形式为手段，把全民艺术普及与当前重点工作紧密结合，拓展公共文化服务领域，满足各阶层群众的精神文化需求。在“水色洞庭”——岳阳市首届中国画作品展中，“红马甲”市民艺术大学国画班三位老师、六位学员的作品入展，其中山水创作班学员徐雅红的作品《十里西畴熟稻香》获优秀作品奖。</w:t>
      </w:r>
    </w:p>
    <w:p w14:paraId="723C1EF8">
      <w:pPr>
        <w:pStyle w:val="6"/>
        <w:widowControl/>
        <w:shd w:val="clear" w:color="auto" w:fill="FFFFFF"/>
        <w:spacing w:beforeAutospacing="0" w:after="225" w:afterAutospacing="0" w:line="400" w:lineRule="exact"/>
        <w:ind w:firstLine="602" w:firstLineChars="200"/>
        <w:jc w:val="both"/>
        <w:rPr>
          <w:rFonts w:hint="eastAsia" w:ascii="仿宋" w:hAnsi="仿宋" w:eastAsia="仿宋" w:cs="仿宋"/>
          <w:b/>
          <w:bCs/>
          <w:color w:val="auto"/>
          <w:sz w:val="30"/>
          <w:szCs w:val="30"/>
        </w:rPr>
      </w:pPr>
      <w:r>
        <w:rPr>
          <w:rFonts w:hint="eastAsia" w:ascii="仿宋" w:hAnsi="仿宋" w:eastAsia="仿宋" w:cs="仿宋"/>
          <w:b/>
          <w:bCs/>
          <w:color w:val="auto"/>
          <w:sz w:val="30"/>
          <w:szCs w:val="30"/>
          <w:shd w:val="clear" w:color="auto" w:fill="FFFFFF"/>
        </w:rPr>
        <w:t>三</w:t>
      </w:r>
      <w:r>
        <w:rPr>
          <w:rFonts w:hint="eastAsia" w:ascii="仿宋" w:hAnsi="仿宋" w:eastAsia="仿宋" w:cs="仿宋"/>
          <w:b/>
          <w:bCs/>
          <w:color w:val="auto"/>
          <w:sz w:val="30"/>
          <w:szCs w:val="30"/>
          <w:shd w:val="clear" w:color="auto" w:fill="FFFFFF"/>
          <w:lang w:eastAsia="zh-CN"/>
        </w:rPr>
        <w:t>、</w:t>
      </w:r>
      <w:r>
        <w:rPr>
          <w:rFonts w:hint="eastAsia" w:ascii="仿宋" w:hAnsi="仿宋" w:eastAsia="仿宋" w:cs="仿宋"/>
          <w:b/>
          <w:bCs/>
          <w:color w:val="auto"/>
          <w:sz w:val="30"/>
          <w:szCs w:val="30"/>
          <w:shd w:val="clear" w:color="auto" w:fill="FFFFFF"/>
        </w:rPr>
        <w:t>绩效指标完成情况分析</w:t>
      </w:r>
    </w:p>
    <w:p w14:paraId="11E0A2DC">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240" w:lineRule="auto"/>
        <w:ind w:firstLine="629"/>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1.产出指标完成情况分析。</w:t>
      </w:r>
    </w:p>
    <w:p w14:paraId="2000689F">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240" w:lineRule="auto"/>
        <w:ind w:firstLine="629"/>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本项目是面向群众，面向基层，实施公益文化服务，保障人民群众基本文化权益，大力开展公共文化活动，为我区精神文明建设做贡献。</w:t>
      </w:r>
    </w:p>
    <w:p w14:paraId="48D16FBB">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240" w:lineRule="auto"/>
        <w:ind w:firstLine="629"/>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数量指标：（一）配合新建数字文化馆分馆10家，图书馆分馆7家，选出优秀社区配送了10台公共文化服务一体机，8台数字图书借阅一体机，公共文化服务水平更加高效。（二）大力实施公共文化惠民工程。志愿服务小分队常年为边远地区老百姓开展送演艺、培训、展览等活动。年举办各类讲座、展览、培训等活动60场次，下基层流动文化服务次数20次，年送戏下乡20场。（三）开展“带动一群人 文化一座城”舞蹈培训进校园文化志愿行动。在洞庭南路街河口开展“带动一群人 文化一座城”广场舞文化志愿服务培训活动。开展各种主题的美术摄影作品展志愿服务活动。（四）依托总分馆建设模式，致力于推行我区全民艺术普及工作，全面提升群众素质，提升文明指数。以开办红马甲市民艺术大学为平台，以创新公共文化服务内容形式为手段，把全民艺术普及与当前重点工作紧密结合，拓展公共文化服务领域，满足各阶层群众的精神文化需求。</w:t>
      </w:r>
    </w:p>
    <w:p w14:paraId="55EABE9E">
      <w:pPr>
        <w:pStyle w:val="6"/>
        <w:keepNext w:val="0"/>
        <w:keepLines w:val="0"/>
        <w:pageBreakBefore w:val="0"/>
        <w:widowControl/>
        <w:numPr>
          <w:ilvl w:val="0"/>
          <w:numId w:val="2"/>
        </w:numPr>
        <w:shd w:val="clear" w:color="auto" w:fill="FFFFFF"/>
        <w:kinsoku/>
        <w:wordWrap/>
        <w:overflowPunct/>
        <w:topLinePunct w:val="0"/>
        <w:autoSpaceDE/>
        <w:autoSpaceDN/>
        <w:bidi w:val="0"/>
        <w:adjustRightInd/>
        <w:snapToGrid/>
        <w:spacing w:beforeAutospacing="0" w:afterAutospacing="0" w:line="240" w:lineRule="auto"/>
        <w:ind w:firstLine="629"/>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质量指标：1.公共文化服务水平更加高效。2.建成“公共文化服务一体化”示范点。3服务活动、培训活动保质保量完成，达到创品牌文化活动的目标。4.全面提升群众素质，提升文明指数。</w:t>
      </w:r>
    </w:p>
    <w:p w14:paraId="4D337683">
      <w:pPr>
        <w:pStyle w:val="6"/>
        <w:keepNext w:val="0"/>
        <w:keepLines w:val="0"/>
        <w:pageBreakBefore w:val="0"/>
        <w:widowControl/>
        <w:numPr>
          <w:ilvl w:val="0"/>
          <w:numId w:val="0"/>
        </w:numPr>
        <w:shd w:val="clear" w:color="auto" w:fill="FFFFFF"/>
        <w:kinsoku/>
        <w:wordWrap/>
        <w:overflowPunct/>
        <w:topLinePunct w:val="0"/>
        <w:autoSpaceDE/>
        <w:autoSpaceDN/>
        <w:bidi w:val="0"/>
        <w:adjustRightInd/>
        <w:snapToGrid/>
        <w:spacing w:beforeAutospacing="0" w:afterAutospacing="0" w:line="240" w:lineRule="auto"/>
        <w:ind w:left="629"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（3）时效指标：2022年1月-12月按时完成。</w:t>
      </w:r>
    </w:p>
    <w:p w14:paraId="02931185">
      <w:pPr>
        <w:pStyle w:val="6"/>
        <w:keepNext w:val="0"/>
        <w:keepLines w:val="0"/>
        <w:pageBreakBefore w:val="0"/>
        <w:widowControl/>
        <w:shd w:val="clear" w:color="auto" w:fill="FFFFFF"/>
        <w:kinsoku/>
        <w:wordWrap/>
        <w:overflowPunct/>
        <w:topLinePunct w:val="0"/>
        <w:autoSpaceDE/>
        <w:autoSpaceDN/>
        <w:bidi w:val="0"/>
        <w:adjustRightInd/>
        <w:spacing w:beforeAutospacing="0" w:afterAutospacing="0" w:line="240" w:lineRule="auto"/>
        <w:ind w:firstLine="63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（4）成本指标：节约行政成本和运行费用</w:t>
      </w:r>
    </w:p>
    <w:p w14:paraId="7EC917D1">
      <w:pPr>
        <w:pStyle w:val="6"/>
        <w:keepNext w:val="0"/>
        <w:keepLines w:val="0"/>
        <w:pageBreakBefore w:val="0"/>
        <w:widowControl/>
        <w:shd w:val="clear" w:color="auto" w:fill="FFFFFF"/>
        <w:kinsoku/>
        <w:wordWrap/>
        <w:overflowPunct/>
        <w:topLinePunct w:val="0"/>
        <w:autoSpaceDE/>
        <w:autoSpaceDN/>
        <w:bidi w:val="0"/>
        <w:adjustRightInd/>
        <w:spacing w:beforeAutospacing="0" w:afterAutospacing="0" w:line="240" w:lineRule="auto"/>
        <w:ind w:firstLine="63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2.效益指标完成情况分析。</w:t>
      </w:r>
    </w:p>
    <w:p w14:paraId="43CA434E">
      <w:pPr>
        <w:pStyle w:val="6"/>
        <w:keepNext w:val="0"/>
        <w:keepLines w:val="0"/>
        <w:pageBreakBefore w:val="0"/>
        <w:widowControl/>
        <w:shd w:val="clear" w:color="auto" w:fill="FFFFFF"/>
        <w:kinsoku/>
        <w:wordWrap/>
        <w:overflowPunct/>
        <w:topLinePunct w:val="0"/>
        <w:autoSpaceDE/>
        <w:autoSpaceDN/>
        <w:bidi w:val="0"/>
        <w:adjustRightInd/>
        <w:spacing w:beforeAutospacing="0" w:afterAutospacing="0" w:line="240" w:lineRule="auto"/>
        <w:ind w:firstLine="63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为居民提供学习、交流平台，丰富精神文化生活，提升艺术审美力，营造良好的社区文化氛围，充分展现岳阳楼区近年来的群众文体建设风貌。为岳阳楼区构建终身教育体系和现代公共文化服务体系起到核心引领作用。</w:t>
      </w:r>
    </w:p>
    <w:p w14:paraId="422FA402">
      <w:pPr>
        <w:pStyle w:val="6"/>
        <w:keepNext w:val="0"/>
        <w:keepLines w:val="0"/>
        <w:pageBreakBefore w:val="0"/>
        <w:widowControl/>
        <w:shd w:val="clear" w:color="auto" w:fill="FFFFFF"/>
        <w:kinsoku/>
        <w:wordWrap/>
        <w:overflowPunct/>
        <w:topLinePunct w:val="0"/>
        <w:autoSpaceDE/>
        <w:autoSpaceDN/>
        <w:bidi w:val="0"/>
        <w:adjustRightInd/>
        <w:spacing w:beforeAutospacing="0" w:afterAutospacing="0" w:line="240" w:lineRule="auto"/>
        <w:ind w:firstLine="63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（1）经济效益：提升广大人民群众精神文化生活。</w:t>
      </w:r>
    </w:p>
    <w:p w14:paraId="3712A290">
      <w:pPr>
        <w:pStyle w:val="6"/>
        <w:keepNext w:val="0"/>
        <w:keepLines w:val="0"/>
        <w:pageBreakBefore w:val="0"/>
        <w:widowControl/>
        <w:shd w:val="clear" w:color="auto" w:fill="FFFFFF"/>
        <w:kinsoku/>
        <w:wordWrap/>
        <w:overflowPunct/>
        <w:topLinePunct w:val="0"/>
        <w:autoSpaceDE/>
        <w:autoSpaceDN/>
        <w:bidi w:val="0"/>
        <w:adjustRightInd/>
        <w:spacing w:beforeAutospacing="0" w:afterAutospacing="0" w:line="240" w:lineRule="auto"/>
        <w:ind w:firstLine="63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（2）社会效益：公益性、普惠性提高群众文化影响力，促进社会和谐稳定。</w:t>
      </w:r>
    </w:p>
    <w:p w14:paraId="7AFE8458">
      <w:pPr>
        <w:pStyle w:val="6"/>
        <w:keepNext w:val="0"/>
        <w:keepLines w:val="0"/>
        <w:pageBreakBefore w:val="0"/>
        <w:widowControl/>
        <w:shd w:val="clear" w:color="auto" w:fill="FFFFFF"/>
        <w:kinsoku/>
        <w:wordWrap/>
        <w:overflowPunct/>
        <w:topLinePunct w:val="0"/>
        <w:autoSpaceDE/>
        <w:autoSpaceDN/>
        <w:bidi w:val="0"/>
        <w:adjustRightInd/>
        <w:spacing w:beforeAutospacing="0" w:afterAutospacing="0" w:line="240" w:lineRule="auto"/>
        <w:ind w:firstLine="63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（3）生态效益：低碳、绿色树立良好文化环境。</w:t>
      </w:r>
    </w:p>
    <w:p w14:paraId="4297890C">
      <w:pPr>
        <w:pStyle w:val="6"/>
        <w:keepNext w:val="0"/>
        <w:keepLines w:val="0"/>
        <w:pageBreakBefore w:val="0"/>
        <w:widowControl/>
        <w:shd w:val="clear" w:color="auto" w:fill="FFFFFF"/>
        <w:kinsoku/>
        <w:wordWrap/>
        <w:overflowPunct/>
        <w:topLinePunct w:val="0"/>
        <w:autoSpaceDE/>
        <w:autoSpaceDN/>
        <w:bidi w:val="0"/>
        <w:adjustRightInd/>
        <w:spacing w:beforeAutospacing="0" w:afterAutospacing="0" w:line="240" w:lineRule="auto"/>
        <w:ind w:firstLine="63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（4）可持续影响：通过开展文体活动,整合群众文化资源，服务社会大众，创新基层文化形式，让社区邻里通过文化活动等搭建了邻里之间沟通、交流的桥梁，进一步营造幸福和谐的社区文化氛围。</w:t>
      </w:r>
    </w:p>
    <w:p w14:paraId="1FC3F132">
      <w:pPr>
        <w:pStyle w:val="6"/>
        <w:keepNext w:val="0"/>
        <w:keepLines w:val="0"/>
        <w:pageBreakBefore w:val="0"/>
        <w:widowControl/>
        <w:shd w:val="clear" w:color="auto" w:fill="FFFFFF"/>
        <w:kinsoku/>
        <w:wordWrap/>
        <w:overflowPunct/>
        <w:topLinePunct w:val="0"/>
        <w:autoSpaceDE/>
        <w:autoSpaceDN/>
        <w:bidi w:val="0"/>
        <w:adjustRightInd/>
        <w:spacing w:beforeAutospacing="0" w:afterAutospacing="0" w:line="240" w:lineRule="auto"/>
        <w:ind w:firstLine="63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3.满意度指标完成情况分析：公共文化活动的开展丰富广大人民群众精神文化生活，提升群众对公共文化服务的满意度。</w:t>
      </w:r>
    </w:p>
    <w:p w14:paraId="63B1E33B">
      <w:pPr>
        <w:keepNext w:val="0"/>
        <w:keepLines w:val="0"/>
        <w:pageBreakBefore w:val="0"/>
        <w:widowControl w:val="0"/>
        <w:kinsoku/>
        <w:wordWrap/>
        <w:overflowPunct/>
        <w:topLinePunct w:val="0"/>
        <w:autoSpaceDE/>
        <w:autoSpaceDN/>
        <w:bidi w:val="0"/>
        <w:adjustRightInd/>
        <w:snapToGrid/>
        <w:spacing w:line="240" w:lineRule="auto"/>
        <w:ind w:firstLine="900" w:firstLineChars="300"/>
        <w:textAlignment w:val="auto"/>
        <w:rPr>
          <w:rFonts w:hint="eastAsia" w:ascii="黑体" w:hAnsi="黑体" w:eastAsia="黑体" w:cs="黑体"/>
          <w:b w:val="0"/>
          <w:bCs w:val="0"/>
          <w:color w:val="3D3D3D"/>
          <w:kern w:val="0"/>
          <w:sz w:val="30"/>
          <w:szCs w:val="30"/>
          <w:shd w:val="clear" w:color="auto" w:fill="FFFFFF"/>
          <w:lang w:val="en-US" w:eastAsia="zh-CN" w:bidi="ar-SA"/>
        </w:rPr>
      </w:pPr>
      <w:r>
        <w:rPr>
          <w:rFonts w:hint="eastAsia" w:ascii="黑体" w:hAnsi="黑体" w:eastAsia="黑体" w:cs="黑体"/>
          <w:b w:val="0"/>
          <w:bCs w:val="0"/>
          <w:color w:val="3D3D3D"/>
          <w:kern w:val="0"/>
          <w:sz w:val="30"/>
          <w:szCs w:val="30"/>
          <w:shd w:val="clear" w:color="auto" w:fill="FFFFFF"/>
          <w:lang w:val="en-US" w:eastAsia="zh-CN" w:bidi="ar-SA"/>
        </w:rPr>
        <w:t>四 、评价结果</w:t>
      </w:r>
    </w:p>
    <w:p w14:paraId="51C3E934">
      <w:pPr>
        <w:keepNext w:val="0"/>
        <w:keepLines w:val="0"/>
        <w:pageBreakBefore w:val="0"/>
        <w:widowControl w:val="0"/>
        <w:kinsoku/>
        <w:wordWrap/>
        <w:overflowPunct/>
        <w:topLinePunct w:val="0"/>
        <w:autoSpaceDE/>
        <w:autoSpaceDN/>
        <w:bidi w:val="0"/>
        <w:adjustRightInd/>
        <w:snapToGrid/>
        <w:spacing w:line="240" w:lineRule="auto"/>
        <w:ind w:firstLine="612" w:firstLineChars="200"/>
        <w:textAlignment w:val="auto"/>
        <w:rPr>
          <w:rStyle w:val="12"/>
          <w:rFonts w:hint="eastAsia" w:ascii="仿宋" w:hAnsi="仿宋" w:eastAsia="仿宋" w:cs="仿宋"/>
          <w:b w:val="0"/>
          <w:bCs w:val="0"/>
          <w:color w:val="auto"/>
          <w:spacing w:val="3"/>
          <w:sz w:val="30"/>
          <w:szCs w:val="30"/>
          <w:lang w:eastAsia="zh-CN"/>
        </w:rPr>
      </w:pPr>
      <w:r>
        <w:rPr>
          <w:rStyle w:val="12"/>
          <w:rFonts w:hint="eastAsia" w:ascii="仿宋" w:hAnsi="仿宋" w:eastAsia="仿宋" w:cs="仿宋"/>
          <w:b w:val="0"/>
          <w:bCs w:val="0"/>
          <w:color w:val="auto"/>
          <w:spacing w:val="3"/>
          <w:sz w:val="30"/>
          <w:szCs w:val="30"/>
        </w:rPr>
        <w:t>本项目</w:t>
      </w:r>
      <w:r>
        <w:rPr>
          <w:rStyle w:val="12"/>
          <w:rFonts w:hint="eastAsia" w:ascii="仿宋" w:hAnsi="仿宋" w:eastAsia="仿宋" w:cs="仿宋"/>
          <w:b w:val="0"/>
          <w:bCs w:val="0"/>
          <w:color w:val="auto"/>
          <w:spacing w:val="3"/>
          <w:sz w:val="30"/>
          <w:szCs w:val="30"/>
          <w:lang w:val="en-US" w:eastAsia="zh-CN"/>
        </w:rPr>
        <w:t>我局</w:t>
      </w:r>
      <w:r>
        <w:rPr>
          <w:rStyle w:val="12"/>
          <w:rFonts w:hint="eastAsia" w:ascii="仿宋" w:hAnsi="仿宋" w:eastAsia="仿宋" w:cs="仿宋"/>
          <w:b w:val="0"/>
          <w:bCs w:val="0"/>
          <w:color w:val="auto"/>
          <w:spacing w:val="3"/>
          <w:sz w:val="30"/>
          <w:szCs w:val="30"/>
        </w:rPr>
        <w:t>严格按照规定的程序申请设立，符合国家相关法律法规、国民经济发展规划和党委政府决策，在项目使用管理过程中严格按照</w:t>
      </w:r>
      <w:r>
        <w:rPr>
          <w:rStyle w:val="12"/>
          <w:rFonts w:hint="eastAsia" w:ascii="仿宋" w:hAnsi="仿宋" w:eastAsia="仿宋" w:cs="仿宋"/>
          <w:b w:val="0"/>
          <w:bCs w:val="0"/>
          <w:color w:val="auto"/>
          <w:spacing w:val="3"/>
          <w:sz w:val="30"/>
          <w:szCs w:val="30"/>
          <w:lang w:eastAsia="zh-CN"/>
        </w:rPr>
        <w:t>《</w:t>
      </w:r>
      <w:r>
        <w:rPr>
          <w:rStyle w:val="12"/>
          <w:rFonts w:hint="eastAsia" w:ascii="仿宋" w:hAnsi="仿宋" w:eastAsia="仿宋" w:cs="仿宋"/>
          <w:b w:val="0"/>
          <w:bCs w:val="0"/>
          <w:color w:val="auto"/>
          <w:spacing w:val="3"/>
          <w:sz w:val="30"/>
          <w:szCs w:val="30"/>
          <w:lang w:val="en-US" w:eastAsia="zh-CN"/>
        </w:rPr>
        <w:t>中央补助地方公共文化服务体系建设专项资金管理暂行办法</w:t>
      </w:r>
      <w:r>
        <w:rPr>
          <w:rStyle w:val="12"/>
          <w:rFonts w:hint="eastAsia" w:ascii="仿宋" w:hAnsi="仿宋" w:eastAsia="仿宋" w:cs="仿宋"/>
          <w:b w:val="0"/>
          <w:bCs w:val="0"/>
          <w:color w:val="auto"/>
          <w:spacing w:val="3"/>
          <w:sz w:val="30"/>
          <w:szCs w:val="30"/>
          <w:lang w:eastAsia="zh-CN"/>
        </w:rPr>
        <w:t>》</w:t>
      </w:r>
      <w:r>
        <w:rPr>
          <w:rStyle w:val="12"/>
          <w:rFonts w:hint="eastAsia" w:ascii="仿宋" w:hAnsi="仿宋" w:eastAsia="仿宋" w:cs="仿宋"/>
          <w:b w:val="0"/>
          <w:bCs w:val="0"/>
          <w:color w:val="auto"/>
          <w:spacing w:val="3"/>
          <w:sz w:val="30"/>
          <w:szCs w:val="30"/>
          <w:lang w:val="en-US" w:eastAsia="zh-CN"/>
        </w:rPr>
        <w:t>的规定</w:t>
      </w:r>
      <w:r>
        <w:rPr>
          <w:rStyle w:val="12"/>
          <w:rFonts w:hint="eastAsia" w:ascii="仿宋" w:hAnsi="仿宋" w:eastAsia="仿宋" w:cs="仿宋"/>
          <w:b w:val="0"/>
          <w:bCs w:val="0"/>
          <w:color w:val="auto"/>
          <w:spacing w:val="3"/>
          <w:sz w:val="30"/>
          <w:szCs w:val="30"/>
        </w:rPr>
        <w:t>使用要求，专款专用，</w:t>
      </w:r>
      <w:r>
        <w:rPr>
          <w:rStyle w:val="12"/>
          <w:rFonts w:hint="eastAsia" w:ascii="仿宋" w:hAnsi="仿宋" w:eastAsia="仿宋" w:cs="仿宋"/>
          <w:b w:val="0"/>
          <w:bCs w:val="0"/>
          <w:color w:val="auto"/>
          <w:spacing w:val="3"/>
          <w:sz w:val="30"/>
          <w:szCs w:val="30"/>
          <w:lang w:val="en-US" w:eastAsia="zh-CN"/>
        </w:rPr>
        <w:t>没有截留、挤占、挪用现象，</w:t>
      </w:r>
      <w:r>
        <w:rPr>
          <w:rStyle w:val="12"/>
          <w:rFonts w:hint="eastAsia" w:ascii="仿宋" w:hAnsi="仿宋" w:eastAsia="仿宋" w:cs="仿宋"/>
          <w:b w:val="0"/>
          <w:bCs w:val="0"/>
          <w:color w:val="auto"/>
          <w:spacing w:val="3"/>
          <w:sz w:val="30"/>
          <w:szCs w:val="30"/>
        </w:rPr>
        <w:t>确保资金落实到位，</w:t>
      </w:r>
      <w:r>
        <w:rPr>
          <w:rStyle w:val="12"/>
          <w:rFonts w:hint="eastAsia" w:ascii="仿宋" w:hAnsi="仿宋" w:eastAsia="仿宋" w:cs="仿宋"/>
          <w:b w:val="0"/>
          <w:bCs w:val="0"/>
          <w:color w:val="auto"/>
          <w:spacing w:val="3"/>
          <w:sz w:val="30"/>
          <w:szCs w:val="30"/>
          <w:lang w:val="en-US" w:eastAsia="zh-CN"/>
        </w:rPr>
        <w:t>切实提高了资金的使用效益，对</w:t>
      </w:r>
      <w:r>
        <w:rPr>
          <w:rStyle w:val="12"/>
          <w:rFonts w:hint="eastAsia" w:ascii="仿宋" w:hAnsi="仿宋" w:eastAsia="仿宋" w:cs="仿宋"/>
          <w:b w:val="0"/>
          <w:bCs w:val="0"/>
          <w:color w:val="auto"/>
          <w:spacing w:val="3"/>
          <w:sz w:val="30"/>
          <w:szCs w:val="30"/>
        </w:rPr>
        <w:t>项目完成进度、阶段性目标完成情况、项目效益与预期目标偏差情况等进行阶段性跟踪和控制</w:t>
      </w:r>
      <w:r>
        <w:rPr>
          <w:rStyle w:val="12"/>
          <w:rFonts w:hint="eastAsia" w:ascii="仿宋" w:hAnsi="仿宋" w:eastAsia="仿宋" w:cs="仿宋"/>
          <w:b w:val="0"/>
          <w:bCs w:val="0"/>
          <w:color w:val="auto"/>
          <w:spacing w:val="3"/>
          <w:sz w:val="30"/>
          <w:szCs w:val="30"/>
          <w:lang w:eastAsia="zh-CN"/>
        </w:rPr>
        <w:t>，</w:t>
      </w:r>
      <w:r>
        <w:rPr>
          <w:rStyle w:val="12"/>
          <w:rFonts w:hint="eastAsia" w:ascii="仿宋" w:hAnsi="仿宋" w:eastAsia="仿宋" w:cs="仿宋"/>
          <w:b w:val="0"/>
          <w:bCs w:val="0"/>
          <w:color w:val="auto"/>
          <w:spacing w:val="3"/>
          <w:sz w:val="30"/>
          <w:szCs w:val="30"/>
          <w:lang w:val="en-US" w:eastAsia="zh-CN"/>
        </w:rPr>
        <w:t>有效的</w:t>
      </w:r>
      <w:r>
        <w:rPr>
          <w:rStyle w:val="12"/>
          <w:rFonts w:hint="eastAsia" w:ascii="仿宋" w:hAnsi="仿宋" w:eastAsia="仿宋" w:cs="仿宋"/>
          <w:b w:val="0"/>
          <w:bCs w:val="0"/>
          <w:color w:val="auto"/>
          <w:spacing w:val="3"/>
          <w:sz w:val="30"/>
          <w:szCs w:val="30"/>
        </w:rPr>
        <w:t>推动全区文</w:t>
      </w:r>
      <w:r>
        <w:rPr>
          <w:rStyle w:val="12"/>
          <w:rFonts w:hint="eastAsia" w:ascii="仿宋" w:hAnsi="仿宋" w:eastAsia="仿宋" w:cs="仿宋"/>
          <w:b w:val="0"/>
          <w:bCs w:val="0"/>
          <w:color w:val="auto"/>
          <w:spacing w:val="3"/>
          <w:sz w:val="30"/>
          <w:szCs w:val="30"/>
          <w:lang w:val="en-US" w:eastAsia="zh-CN"/>
        </w:rPr>
        <w:t>体</w:t>
      </w:r>
      <w:r>
        <w:rPr>
          <w:rStyle w:val="12"/>
          <w:rFonts w:hint="eastAsia" w:ascii="仿宋" w:hAnsi="仿宋" w:eastAsia="仿宋" w:cs="仿宋"/>
          <w:b w:val="0"/>
          <w:bCs w:val="0"/>
          <w:color w:val="auto"/>
          <w:spacing w:val="3"/>
          <w:sz w:val="30"/>
          <w:szCs w:val="30"/>
        </w:rPr>
        <w:t>工作的开展</w:t>
      </w:r>
      <w:r>
        <w:rPr>
          <w:rStyle w:val="12"/>
          <w:rFonts w:hint="eastAsia" w:ascii="仿宋" w:hAnsi="仿宋" w:eastAsia="仿宋" w:cs="仿宋"/>
          <w:b w:val="0"/>
          <w:bCs w:val="0"/>
          <w:color w:val="auto"/>
          <w:spacing w:val="3"/>
          <w:sz w:val="30"/>
          <w:szCs w:val="30"/>
          <w:lang w:eastAsia="zh-CN"/>
        </w:rPr>
        <w:t>，</w:t>
      </w:r>
      <w:r>
        <w:rPr>
          <w:rStyle w:val="12"/>
          <w:rFonts w:hint="eastAsia" w:ascii="仿宋" w:hAnsi="仿宋" w:eastAsia="仿宋" w:cs="仿宋"/>
          <w:b w:val="0"/>
          <w:bCs w:val="0"/>
          <w:color w:val="auto"/>
          <w:spacing w:val="3"/>
          <w:sz w:val="30"/>
          <w:szCs w:val="30"/>
        </w:rPr>
        <w:t>自评分9</w:t>
      </w:r>
      <w:r>
        <w:rPr>
          <w:rStyle w:val="12"/>
          <w:rFonts w:hint="eastAsia" w:ascii="仿宋" w:hAnsi="仿宋" w:eastAsia="仿宋" w:cs="仿宋"/>
          <w:b w:val="0"/>
          <w:bCs w:val="0"/>
          <w:color w:val="auto"/>
          <w:spacing w:val="3"/>
          <w:sz w:val="30"/>
          <w:szCs w:val="30"/>
          <w:lang w:val="en-US"/>
        </w:rPr>
        <w:t>8</w:t>
      </w:r>
      <w:r>
        <w:rPr>
          <w:rStyle w:val="12"/>
          <w:rFonts w:hint="eastAsia" w:ascii="仿宋" w:hAnsi="仿宋" w:eastAsia="仿宋" w:cs="仿宋"/>
          <w:b w:val="0"/>
          <w:bCs w:val="0"/>
          <w:color w:val="auto"/>
          <w:spacing w:val="3"/>
          <w:sz w:val="30"/>
          <w:szCs w:val="30"/>
        </w:rPr>
        <w:t>分</w:t>
      </w:r>
      <w:r>
        <w:rPr>
          <w:rStyle w:val="12"/>
          <w:rFonts w:hint="eastAsia" w:ascii="仿宋" w:hAnsi="仿宋" w:eastAsia="仿宋" w:cs="仿宋"/>
          <w:b w:val="0"/>
          <w:bCs w:val="0"/>
          <w:color w:val="auto"/>
          <w:spacing w:val="3"/>
          <w:sz w:val="30"/>
          <w:szCs w:val="30"/>
          <w:lang w:eastAsia="zh-CN"/>
        </w:rPr>
        <w:t>。</w:t>
      </w:r>
    </w:p>
    <w:p w14:paraId="7163C750">
      <w:pPr>
        <w:keepNext w:val="0"/>
        <w:keepLines w:val="0"/>
        <w:pageBreakBefore w:val="0"/>
        <w:widowControl w:val="0"/>
        <w:kinsoku/>
        <w:wordWrap/>
        <w:overflowPunct/>
        <w:topLinePunct w:val="0"/>
        <w:autoSpaceDE/>
        <w:autoSpaceDN/>
        <w:bidi w:val="0"/>
        <w:adjustRightInd/>
        <w:snapToGrid/>
        <w:spacing w:line="240" w:lineRule="auto"/>
        <w:ind w:firstLine="600" w:firstLineChars="200"/>
        <w:textAlignment w:val="auto"/>
        <w:rPr>
          <w:rFonts w:hint="eastAsia" w:ascii="方正黑体简体" w:hAnsi="方正黑体简体" w:eastAsia="方正黑体简体" w:cs="方正黑体简体"/>
          <w:sz w:val="28"/>
          <w:szCs w:val="28"/>
        </w:rPr>
      </w:pPr>
      <w:r>
        <w:rPr>
          <w:rFonts w:hint="eastAsia" w:ascii="黑体" w:hAnsi="黑体" w:eastAsia="黑体" w:cs="黑体"/>
          <w:b w:val="0"/>
          <w:bCs w:val="0"/>
          <w:color w:val="3D3D3D"/>
          <w:kern w:val="0"/>
          <w:sz w:val="30"/>
          <w:szCs w:val="30"/>
          <w:shd w:val="clear" w:color="auto" w:fill="FFFFFF"/>
          <w:lang w:val="en-US" w:eastAsia="zh-CN" w:bidi="ar-SA"/>
        </w:rPr>
        <w:t>五、存在的问题和建议</w:t>
      </w:r>
    </w:p>
    <w:p w14:paraId="722E340A">
      <w:pPr>
        <w:keepNext w:val="0"/>
        <w:keepLines w:val="0"/>
        <w:pageBreakBefore w:val="0"/>
        <w:widowControl w:val="0"/>
        <w:tabs>
          <w:tab w:val="left" w:pos="673"/>
        </w:tabs>
        <w:kinsoku/>
        <w:wordWrap/>
        <w:overflowPunct/>
        <w:topLinePunct w:val="0"/>
        <w:autoSpaceDE/>
        <w:autoSpaceDN/>
        <w:bidi w:val="0"/>
        <w:adjustRightInd/>
        <w:snapToGrid/>
        <w:spacing w:line="240" w:lineRule="auto"/>
        <w:ind w:firstLine="612" w:firstLineChars="200"/>
        <w:jc w:val="left"/>
        <w:textAlignment w:val="auto"/>
        <w:rPr>
          <w:rStyle w:val="12"/>
          <w:rFonts w:hint="eastAsia" w:ascii="仿宋" w:hAnsi="仿宋" w:eastAsia="仿宋" w:cs="仿宋"/>
          <w:b w:val="0"/>
          <w:bCs w:val="0"/>
          <w:color w:val="auto"/>
          <w:spacing w:val="3"/>
          <w:sz w:val="30"/>
          <w:szCs w:val="30"/>
          <w:lang w:val="en-US" w:eastAsia="zh-CN"/>
        </w:rPr>
      </w:pPr>
      <w:r>
        <w:rPr>
          <w:rStyle w:val="12"/>
          <w:rFonts w:hint="eastAsia" w:ascii="仿宋" w:hAnsi="仿宋" w:eastAsia="仿宋" w:cs="仿宋"/>
          <w:b w:val="0"/>
          <w:bCs w:val="0"/>
          <w:color w:val="auto"/>
          <w:spacing w:val="3"/>
          <w:sz w:val="30"/>
          <w:szCs w:val="30"/>
          <w:lang w:val="en-US" w:eastAsia="zh-CN"/>
        </w:rPr>
        <w:t>一是专项资金使用的监管力度不够。二是监管制度不具体。针对存在的问题，要认真分析原因，加强各项制度建设和工作力度，做好资金的专项检查，做到事前评估、事中监督、事后检查验收，继续加大绩效评价工作力度，健全绩效评价结果反馈和应用机制确保资金不折不扣的用到实处。</w:t>
      </w:r>
    </w:p>
    <w:p w14:paraId="6769371A">
      <w:pPr>
        <w:pStyle w:val="2"/>
        <w:keepNext w:val="0"/>
        <w:keepLines w:val="0"/>
        <w:pageBreakBefore w:val="0"/>
        <w:kinsoku/>
        <w:wordWrap/>
        <w:overflowPunct/>
        <w:topLinePunct w:val="0"/>
        <w:autoSpaceDE/>
        <w:autoSpaceDN/>
        <w:bidi w:val="0"/>
        <w:adjustRightInd/>
        <w:spacing w:line="240" w:lineRule="auto"/>
        <w:textAlignment w:val="auto"/>
        <w:rPr>
          <w:rStyle w:val="12"/>
          <w:rFonts w:hint="eastAsia" w:ascii="仿宋" w:hAnsi="仿宋" w:eastAsia="仿宋" w:cs="仿宋"/>
          <w:b w:val="0"/>
          <w:bCs w:val="0"/>
          <w:color w:val="auto"/>
          <w:spacing w:val="3"/>
          <w:sz w:val="30"/>
          <w:szCs w:val="30"/>
          <w:lang w:val="en-US" w:eastAsia="zh-CN"/>
        </w:rPr>
      </w:pPr>
    </w:p>
    <w:p w14:paraId="74784C9B">
      <w:pPr>
        <w:bidi w:val="0"/>
        <w:rPr>
          <w:rFonts w:hint="eastAsia" w:asciiTheme="minorHAnsi" w:hAnsiTheme="minorHAnsi" w:eastAsiaTheme="minorEastAsia" w:cstheme="minorBidi"/>
          <w:kern w:val="2"/>
          <w:sz w:val="21"/>
          <w:szCs w:val="24"/>
          <w:lang w:val="en-US" w:eastAsia="zh-CN" w:bidi="ar-SA"/>
        </w:rPr>
      </w:pPr>
    </w:p>
    <w:p w14:paraId="16DC8B5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64FC480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2A707E2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31CB3B7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3752439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0EF3771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52E453FD">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7CEA831E">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0"/>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04"/>
        <w:gridCol w:w="1140"/>
        <w:gridCol w:w="2040"/>
        <w:gridCol w:w="810"/>
        <w:gridCol w:w="1065"/>
        <w:gridCol w:w="450"/>
        <w:gridCol w:w="825"/>
        <w:gridCol w:w="1171"/>
      </w:tblGrid>
      <w:tr w14:paraId="34A975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1075" w:type="dxa"/>
            <w:noWrap w:val="0"/>
            <w:vAlign w:val="center"/>
          </w:tcPr>
          <w:p w14:paraId="1CC86745">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26D9D964">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322080A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省十四运会比赛</w:t>
            </w:r>
          </w:p>
        </w:tc>
      </w:tr>
      <w:tr w14:paraId="4D9DEA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1075" w:type="dxa"/>
            <w:noWrap w:val="0"/>
            <w:vAlign w:val="center"/>
          </w:tcPr>
          <w:p w14:paraId="2F25FA0D">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994" w:type="dxa"/>
            <w:gridSpan w:val="4"/>
            <w:noWrap w:val="0"/>
            <w:vAlign w:val="center"/>
          </w:tcPr>
          <w:p w14:paraId="50B59C9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岳阳楼区人民政府</w:t>
            </w:r>
          </w:p>
        </w:tc>
        <w:tc>
          <w:tcPr>
            <w:tcW w:w="1065" w:type="dxa"/>
            <w:noWrap w:val="0"/>
            <w:vAlign w:val="center"/>
          </w:tcPr>
          <w:p w14:paraId="40C7D9F2">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446" w:type="dxa"/>
            <w:gridSpan w:val="3"/>
            <w:noWrap w:val="0"/>
            <w:vAlign w:val="center"/>
          </w:tcPr>
          <w:p w14:paraId="13820F5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岳阳楼区文化旅游广电体育局</w:t>
            </w:r>
          </w:p>
        </w:tc>
      </w:tr>
      <w:tr w14:paraId="6CFD1E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1" w:hRule="atLeast"/>
        </w:trPr>
        <w:tc>
          <w:tcPr>
            <w:tcW w:w="1075" w:type="dxa"/>
            <w:vMerge w:val="restart"/>
            <w:tcBorders>
              <w:bottom w:val="nil"/>
            </w:tcBorders>
            <w:noWrap w:val="0"/>
            <w:vAlign w:val="center"/>
          </w:tcPr>
          <w:p w14:paraId="094A6BBA">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399E0E21">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0B317EC5">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60F7403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44" w:type="dxa"/>
            <w:gridSpan w:val="2"/>
            <w:noWrap w:val="0"/>
            <w:vAlign w:val="center"/>
          </w:tcPr>
          <w:p w14:paraId="3B3EF9D8">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2040" w:type="dxa"/>
            <w:noWrap w:val="0"/>
            <w:vAlign w:val="center"/>
          </w:tcPr>
          <w:p w14:paraId="147BE34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07CE634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810" w:type="dxa"/>
            <w:noWrap w:val="0"/>
            <w:vAlign w:val="center"/>
          </w:tcPr>
          <w:p w14:paraId="03C536C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570A79D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065" w:type="dxa"/>
            <w:noWrap w:val="0"/>
            <w:vAlign w:val="center"/>
          </w:tcPr>
          <w:p w14:paraId="671D55D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78A9449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450" w:type="dxa"/>
            <w:noWrap w:val="0"/>
            <w:vAlign w:val="center"/>
          </w:tcPr>
          <w:p w14:paraId="4D6D807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25" w:type="dxa"/>
            <w:noWrap w:val="0"/>
            <w:vAlign w:val="center"/>
          </w:tcPr>
          <w:p w14:paraId="5FB631F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171" w:type="dxa"/>
            <w:noWrap w:val="0"/>
            <w:vAlign w:val="center"/>
          </w:tcPr>
          <w:p w14:paraId="347FC1B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0B70FE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 w:hRule="atLeast"/>
        </w:trPr>
        <w:tc>
          <w:tcPr>
            <w:tcW w:w="1075" w:type="dxa"/>
            <w:vMerge w:val="continue"/>
            <w:tcBorders>
              <w:top w:val="nil"/>
              <w:bottom w:val="nil"/>
            </w:tcBorders>
            <w:noWrap w:val="0"/>
            <w:vAlign w:val="center"/>
          </w:tcPr>
          <w:p w14:paraId="001888C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44" w:type="dxa"/>
            <w:gridSpan w:val="2"/>
            <w:noWrap w:val="0"/>
            <w:vAlign w:val="center"/>
          </w:tcPr>
          <w:p w14:paraId="62565076">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2040" w:type="dxa"/>
            <w:noWrap w:val="0"/>
            <w:vAlign w:val="center"/>
          </w:tcPr>
          <w:p w14:paraId="6A8E583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810" w:type="dxa"/>
            <w:noWrap w:val="0"/>
            <w:vAlign w:val="center"/>
          </w:tcPr>
          <w:p w14:paraId="0135877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271.71</w:t>
            </w:r>
          </w:p>
        </w:tc>
        <w:tc>
          <w:tcPr>
            <w:tcW w:w="1065" w:type="dxa"/>
            <w:noWrap w:val="0"/>
            <w:vAlign w:val="center"/>
          </w:tcPr>
          <w:p w14:paraId="41FA227B">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271.71</w:t>
            </w:r>
          </w:p>
        </w:tc>
        <w:tc>
          <w:tcPr>
            <w:tcW w:w="450" w:type="dxa"/>
            <w:noWrap w:val="0"/>
            <w:vAlign w:val="center"/>
          </w:tcPr>
          <w:p w14:paraId="23FABB6D">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825" w:type="dxa"/>
            <w:noWrap w:val="0"/>
            <w:vAlign w:val="center"/>
          </w:tcPr>
          <w:p w14:paraId="1FABCD6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71" w:type="dxa"/>
            <w:noWrap w:val="0"/>
            <w:vAlign w:val="center"/>
          </w:tcPr>
          <w:p w14:paraId="11F8E06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778B80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075" w:type="dxa"/>
            <w:vMerge w:val="continue"/>
            <w:tcBorders>
              <w:top w:val="nil"/>
              <w:bottom w:val="nil"/>
            </w:tcBorders>
            <w:noWrap w:val="0"/>
            <w:vAlign w:val="center"/>
          </w:tcPr>
          <w:p w14:paraId="0EBEB26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44" w:type="dxa"/>
            <w:gridSpan w:val="2"/>
            <w:noWrap w:val="0"/>
            <w:vAlign w:val="center"/>
          </w:tcPr>
          <w:p w14:paraId="7F5149B7">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2040" w:type="dxa"/>
            <w:noWrap w:val="0"/>
            <w:vAlign w:val="center"/>
          </w:tcPr>
          <w:p w14:paraId="5128AD1C">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810" w:type="dxa"/>
            <w:noWrap w:val="0"/>
            <w:vAlign w:val="center"/>
          </w:tcPr>
          <w:p w14:paraId="2DE13026">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221.52</w:t>
            </w:r>
          </w:p>
        </w:tc>
        <w:tc>
          <w:tcPr>
            <w:tcW w:w="1065" w:type="dxa"/>
            <w:noWrap w:val="0"/>
            <w:vAlign w:val="center"/>
          </w:tcPr>
          <w:p w14:paraId="70DDFED5">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221.52</w:t>
            </w:r>
          </w:p>
        </w:tc>
        <w:tc>
          <w:tcPr>
            <w:tcW w:w="450" w:type="dxa"/>
            <w:noWrap w:val="0"/>
            <w:vAlign w:val="center"/>
          </w:tcPr>
          <w:p w14:paraId="6188AFA4">
            <w:pPr>
              <w:keepNext w:val="0"/>
              <w:keepLines w:val="0"/>
              <w:pageBreakBefore w:val="0"/>
              <w:widowControl w:val="0"/>
              <w:kinsoku/>
              <w:wordWrap/>
              <w:overflowPunct/>
              <w:topLinePunct w:val="0"/>
              <w:autoSpaceDE/>
              <w:autoSpaceDN/>
              <w:bidi w:val="0"/>
              <w:adjustRightInd/>
              <w:snapToGrid/>
              <w:spacing w:line="165" w:lineRule="exact"/>
              <w:ind w:left="0" w:leftChars="0" w:right="0" w:rightChars="0"/>
              <w:jc w:val="center"/>
              <w:textAlignment w:val="auto"/>
              <w:rPr>
                <w:rFonts w:ascii="Arial"/>
                <w:color w:val="000000" w:themeColor="text1"/>
                <w:spacing w:val="0"/>
                <w:sz w:val="21"/>
                <w:szCs w:val="21"/>
                <w14:textFill>
                  <w14:solidFill>
                    <w14:schemeClr w14:val="tx1"/>
                  </w14:solidFill>
                </w14:textFill>
              </w:rPr>
            </w:pPr>
          </w:p>
        </w:tc>
        <w:tc>
          <w:tcPr>
            <w:tcW w:w="825" w:type="dxa"/>
            <w:noWrap w:val="0"/>
            <w:vAlign w:val="center"/>
          </w:tcPr>
          <w:p w14:paraId="66AB53A3">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ascii="Arial"/>
                <w:color w:val="000000" w:themeColor="text1"/>
                <w:spacing w:val="0"/>
                <w:sz w:val="21"/>
                <w:szCs w:val="21"/>
                <w14:textFill>
                  <w14:solidFill>
                    <w14:schemeClr w14:val="tx1"/>
                  </w14:solidFill>
                </w14:textFill>
              </w:rPr>
            </w:pPr>
          </w:p>
        </w:tc>
        <w:tc>
          <w:tcPr>
            <w:tcW w:w="1171" w:type="dxa"/>
            <w:noWrap w:val="0"/>
            <w:vAlign w:val="center"/>
          </w:tcPr>
          <w:p w14:paraId="6F918BCA">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color w:val="000000" w:themeColor="text1"/>
                <w:spacing w:val="0"/>
                <w:sz w:val="21"/>
                <w:szCs w:val="21"/>
                <w:lang w:val="en-US"/>
                <w14:textFill>
                  <w14:solidFill>
                    <w14:schemeClr w14:val="tx1"/>
                  </w14:solidFill>
                </w14:textFill>
              </w:rPr>
            </w:pPr>
          </w:p>
        </w:tc>
      </w:tr>
      <w:tr w14:paraId="6DFDE8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2" w:hRule="atLeast"/>
        </w:trPr>
        <w:tc>
          <w:tcPr>
            <w:tcW w:w="1075" w:type="dxa"/>
            <w:vMerge w:val="continue"/>
            <w:tcBorders>
              <w:top w:val="nil"/>
              <w:bottom w:val="nil"/>
            </w:tcBorders>
            <w:noWrap w:val="0"/>
            <w:vAlign w:val="center"/>
          </w:tcPr>
          <w:p w14:paraId="53094A7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44" w:type="dxa"/>
            <w:gridSpan w:val="2"/>
            <w:noWrap w:val="0"/>
            <w:vAlign w:val="center"/>
          </w:tcPr>
          <w:p w14:paraId="5ACF3EA6">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2040" w:type="dxa"/>
            <w:noWrap w:val="0"/>
            <w:vAlign w:val="center"/>
          </w:tcPr>
          <w:p w14:paraId="06A1D63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10" w:type="dxa"/>
            <w:noWrap w:val="0"/>
            <w:vAlign w:val="center"/>
          </w:tcPr>
          <w:p w14:paraId="3D498B5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65" w:type="dxa"/>
            <w:noWrap w:val="0"/>
            <w:vAlign w:val="center"/>
          </w:tcPr>
          <w:p w14:paraId="4CFACDD7">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ascii="Arial"/>
                <w:color w:val="000000" w:themeColor="text1"/>
                <w:spacing w:val="0"/>
                <w:sz w:val="21"/>
                <w:szCs w:val="21"/>
                <w14:textFill>
                  <w14:solidFill>
                    <w14:schemeClr w14:val="tx1"/>
                  </w14:solidFill>
                </w14:textFill>
              </w:rPr>
            </w:pPr>
          </w:p>
        </w:tc>
        <w:tc>
          <w:tcPr>
            <w:tcW w:w="450" w:type="dxa"/>
            <w:noWrap w:val="0"/>
            <w:vAlign w:val="center"/>
          </w:tcPr>
          <w:p w14:paraId="191E80F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25" w:type="dxa"/>
            <w:noWrap w:val="0"/>
            <w:vAlign w:val="center"/>
          </w:tcPr>
          <w:p w14:paraId="3E450F9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71" w:type="dxa"/>
            <w:noWrap w:val="0"/>
            <w:vAlign w:val="center"/>
          </w:tcPr>
          <w:p w14:paraId="74DE62F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4F8B56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1075" w:type="dxa"/>
            <w:vMerge w:val="continue"/>
            <w:tcBorders>
              <w:top w:val="nil"/>
            </w:tcBorders>
            <w:noWrap w:val="0"/>
            <w:vAlign w:val="center"/>
          </w:tcPr>
          <w:p w14:paraId="25E97A7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44" w:type="dxa"/>
            <w:gridSpan w:val="2"/>
            <w:noWrap w:val="0"/>
            <w:vAlign w:val="center"/>
          </w:tcPr>
          <w:p w14:paraId="1390A843">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2040" w:type="dxa"/>
            <w:noWrap w:val="0"/>
            <w:vAlign w:val="center"/>
          </w:tcPr>
          <w:p w14:paraId="6557419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810" w:type="dxa"/>
            <w:noWrap w:val="0"/>
            <w:vAlign w:val="center"/>
          </w:tcPr>
          <w:p w14:paraId="47075AF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49.19</w:t>
            </w:r>
          </w:p>
        </w:tc>
        <w:tc>
          <w:tcPr>
            <w:tcW w:w="1065" w:type="dxa"/>
            <w:noWrap w:val="0"/>
            <w:vAlign w:val="center"/>
          </w:tcPr>
          <w:p w14:paraId="4C83DE2D">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49.19</w:t>
            </w:r>
          </w:p>
        </w:tc>
        <w:tc>
          <w:tcPr>
            <w:tcW w:w="450" w:type="dxa"/>
            <w:noWrap w:val="0"/>
            <w:vAlign w:val="center"/>
          </w:tcPr>
          <w:p w14:paraId="20034B2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25" w:type="dxa"/>
            <w:noWrap w:val="0"/>
            <w:vAlign w:val="center"/>
          </w:tcPr>
          <w:p w14:paraId="1341A75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171" w:type="dxa"/>
            <w:noWrap w:val="0"/>
            <w:vAlign w:val="center"/>
          </w:tcPr>
          <w:p w14:paraId="42765E7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r>
      <w:tr w14:paraId="731B6C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39651B25">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6F2C568D">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994" w:type="dxa"/>
            <w:gridSpan w:val="4"/>
            <w:noWrap w:val="0"/>
            <w:vAlign w:val="center"/>
          </w:tcPr>
          <w:p w14:paraId="2616DA4A">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511" w:type="dxa"/>
            <w:gridSpan w:val="4"/>
            <w:noWrap w:val="0"/>
            <w:vAlign w:val="center"/>
          </w:tcPr>
          <w:p w14:paraId="1BE6C80B">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0FF75D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30A75BF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994" w:type="dxa"/>
            <w:gridSpan w:val="4"/>
            <w:noWrap w:val="0"/>
            <w:vAlign w:val="center"/>
          </w:tcPr>
          <w:p w14:paraId="3681F38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湖南省第十四届运动会筹备工作紧紧围绕“办赛精彩、参赛出彩、发展添彩”的总体目标，全面加强组织领导，强化工作举措，坚持高标准、严要求做好赛事组织筹备各项工作，承办的6项赛事以及后勤服务等工作。在本次省运会中，我区运动员完成5金总分150分的目标。</w:t>
            </w:r>
          </w:p>
        </w:tc>
        <w:tc>
          <w:tcPr>
            <w:tcW w:w="3511" w:type="dxa"/>
            <w:gridSpan w:val="4"/>
            <w:noWrap w:val="0"/>
            <w:vAlign w:val="center"/>
          </w:tcPr>
          <w:p w14:paraId="3036F46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圆满完成各项任务</w:t>
            </w:r>
          </w:p>
        </w:tc>
      </w:tr>
      <w:tr w14:paraId="2F6B57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43B7384A">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04" w:type="dxa"/>
            <w:noWrap w:val="0"/>
            <w:vAlign w:val="center"/>
          </w:tcPr>
          <w:p w14:paraId="186F2AC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140" w:type="dxa"/>
            <w:noWrap w:val="0"/>
            <w:vAlign w:val="center"/>
          </w:tcPr>
          <w:p w14:paraId="431D952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2040" w:type="dxa"/>
            <w:noWrap w:val="0"/>
            <w:vAlign w:val="center"/>
          </w:tcPr>
          <w:p w14:paraId="11C6228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810" w:type="dxa"/>
            <w:noWrap w:val="0"/>
            <w:vAlign w:val="center"/>
          </w:tcPr>
          <w:p w14:paraId="2BBAB88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0CE6F01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065" w:type="dxa"/>
            <w:noWrap w:val="0"/>
            <w:vAlign w:val="center"/>
          </w:tcPr>
          <w:p w14:paraId="46D91A5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2969895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450" w:type="dxa"/>
            <w:noWrap w:val="0"/>
            <w:vAlign w:val="center"/>
          </w:tcPr>
          <w:p w14:paraId="344E320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25" w:type="dxa"/>
            <w:noWrap w:val="0"/>
            <w:vAlign w:val="center"/>
          </w:tcPr>
          <w:p w14:paraId="01372A6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171" w:type="dxa"/>
            <w:noWrap w:val="0"/>
            <w:vAlign w:val="center"/>
          </w:tcPr>
          <w:p w14:paraId="066CEBD3">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247C34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32DABEC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restart"/>
            <w:tcBorders>
              <w:bottom w:val="nil"/>
            </w:tcBorders>
            <w:noWrap w:val="0"/>
            <w:vAlign w:val="center"/>
          </w:tcPr>
          <w:p w14:paraId="00B3B3A8">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695072EE">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691051D4">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144F3080">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1F7B8FF">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3DAF4FF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140" w:type="dxa"/>
            <w:vMerge w:val="restart"/>
            <w:noWrap w:val="0"/>
            <w:vAlign w:val="center"/>
          </w:tcPr>
          <w:p w14:paraId="34C5D01A">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2040" w:type="dxa"/>
            <w:noWrap w:val="0"/>
            <w:vAlign w:val="center"/>
          </w:tcPr>
          <w:p w14:paraId="6C43060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省十四运会金牌数</w:t>
            </w:r>
          </w:p>
        </w:tc>
        <w:tc>
          <w:tcPr>
            <w:tcW w:w="810" w:type="dxa"/>
            <w:noWrap w:val="0"/>
            <w:vAlign w:val="center"/>
          </w:tcPr>
          <w:p w14:paraId="79E2BE7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5块</w:t>
            </w:r>
          </w:p>
        </w:tc>
        <w:tc>
          <w:tcPr>
            <w:tcW w:w="1065" w:type="dxa"/>
            <w:noWrap w:val="0"/>
            <w:vAlign w:val="center"/>
          </w:tcPr>
          <w:p w14:paraId="6282D30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14块</w:t>
            </w:r>
          </w:p>
        </w:tc>
        <w:tc>
          <w:tcPr>
            <w:tcW w:w="450" w:type="dxa"/>
            <w:noWrap w:val="0"/>
            <w:vAlign w:val="center"/>
          </w:tcPr>
          <w:p w14:paraId="00684AC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30ED858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71" w:type="dxa"/>
            <w:noWrap w:val="0"/>
            <w:vAlign w:val="center"/>
          </w:tcPr>
          <w:p w14:paraId="2714A28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r>
      <w:tr w14:paraId="7B09E7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78CAC13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noWrap w:val="0"/>
            <w:vAlign w:val="center"/>
          </w:tcPr>
          <w:p w14:paraId="2BA31B9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40" w:type="dxa"/>
            <w:vMerge w:val="continue"/>
            <w:tcBorders>
              <w:bottom w:val="nil"/>
            </w:tcBorders>
            <w:noWrap w:val="0"/>
            <w:vAlign w:val="center"/>
          </w:tcPr>
          <w:p w14:paraId="02B4EBC3">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2040" w:type="dxa"/>
            <w:noWrap w:val="0"/>
            <w:vAlign w:val="center"/>
          </w:tcPr>
          <w:p w14:paraId="4C997D6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赛事承办</w:t>
            </w:r>
          </w:p>
        </w:tc>
        <w:tc>
          <w:tcPr>
            <w:tcW w:w="810" w:type="dxa"/>
            <w:noWrap w:val="0"/>
            <w:vAlign w:val="center"/>
          </w:tcPr>
          <w:p w14:paraId="1CBBA87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6项</w:t>
            </w:r>
          </w:p>
        </w:tc>
        <w:tc>
          <w:tcPr>
            <w:tcW w:w="1065" w:type="dxa"/>
            <w:noWrap w:val="0"/>
            <w:vAlign w:val="center"/>
          </w:tcPr>
          <w:p w14:paraId="23C4A65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6项</w:t>
            </w:r>
          </w:p>
        </w:tc>
        <w:tc>
          <w:tcPr>
            <w:tcW w:w="450" w:type="dxa"/>
            <w:noWrap w:val="0"/>
            <w:vAlign w:val="center"/>
          </w:tcPr>
          <w:p w14:paraId="2412129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1C5DBA2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71" w:type="dxa"/>
            <w:noWrap w:val="0"/>
            <w:vAlign w:val="center"/>
          </w:tcPr>
          <w:p w14:paraId="39795894">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01F01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1FB6E2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top w:val="nil"/>
              <w:bottom w:val="nil"/>
            </w:tcBorders>
            <w:noWrap w:val="0"/>
            <w:vAlign w:val="center"/>
          </w:tcPr>
          <w:p w14:paraId="489CB77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5C27C545">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2040" w:type="dxa"/>
            <w:noWrap w:val="0"/>
            <w:vAlign w:val="center"/>
          </w:tcPr>
          <w:p w14:paraId="77192A0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办赛精彩、参赛出彩</w:t>
            </w:r>
          </w:p>
        </w:tc>
        <w:tc>
          <w:tcPr>
            <w:tcW w:w="810" w:type="dxa"/>
            <w:noWrap w:val="0"/>
            <w:vAlign w:val="center"/>
          </w:tcPr>
          <w:p w14:paraId="6AD554A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1065" w:type="dxa"/>
            <w:noWrap w:val="0"/>
            <w:vAlign w:val="center"/>
          </w:tcPr>
          <w:p w14:paraId="68FD82B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450" w:type="dxa"/>
            <w:noWrap w:val="0"/>
            <w:vAlign w:val="center"/>
          </w:tcPr>
          <w:p w14:paraId="06CEF34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5217C3D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71" w:type="dxa"/>
            <w:noWrap w:val="0"/>
            <w:vAlign w:val="center"/>
          </w:tcPr>
          <w:p w14:paraId="571D332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4C3B3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327786F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top w:val="nil"/>
              <w:bottom w:val="nil"/>
            </w:tcBorders>
            <w:noWrap w:val="0"/>
            <w:vAlign w:val="center"/>
          </w:tcPr>
          <w:p w14:paraId="7F91144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3DF027C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2040" w:type="dxa"/>
            <w:noWrap w:val="0"/>
            <w:vAlign w:val="center"/>
          </w:tcPr>
          <w:p w14:paraId="5E6D367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资金到位时间</w:t>
            </w:r>
          </w:p>
        </w:tc>
        <w:tc>
          <w:tcPr>
            <w:tcW w:w="810" w:type="dxa"/>
            <w:noWrap w:val="0"/>
            <w:vAlign w:val="center"/>
          </w:tcPr>
          <w:p w14:paraId="40C8401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2022年12月</w:t>
            </w:r>
          </w:p>
        </w:tc>
        <w:tc>
          <w:tcPr>
            <w:tcW w:w="1065" w:type="dxa"/>
            <w:noWrap w:val="0"/>
            <w:vAlign w:val="center"/>
          </w:tcPr>
          <w:p w14:paraId="7A6337E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按时完成</w:t>
            </w:r>
          </w:p>
        </w:tc>
        <w:tc>
          <w:tcPr>
            <w:tcW w:w="450" w:type="dxa"/>
            <w:noWrap w:val="0"/>
            <w:vAlign w:val="center"/>
          </w:tcPr>
          <w:p w14:paraId="4F9951F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28139B8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71" w:type="dxa"/>
            <w:noWrap w:val="0"/>
            <w:vAlign w:val="center"/>
          </w:tcPr>
          <w:p w14:paraId="21A48EF2">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D4ED7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01AC217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top w:val="nil"/>
              <w:bottom w:val="nil"/>
            </w:tcBorders>
            <w:noWrap w:val="0"/>
            <w:vAlign w:val="center"/>
          </w:tcPr>
          <w:p w14:paraId="5CD3E32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65589C5E">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2040" w:type="dxa"/>
            <w:noWrap w:val="0"/>
            <w:vAlign w:val="center"/>
          </w:tcPr>
          <w:p w14:paraId="2B52EDFB">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成本节约率</w:t>
            </w:r>
          </w:p>
        </w:tc>
        <w:tc>
          <w:tcPr>
            <w:tcW w:w="810" w:type="dxa"/>
            <w:noWrap w:val="0"/>
            <w:vAlign w:val="center"/>
          </w:tcPr>
          <w:p w14:paraId="130D3C0E">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Arial"/>
                <w:color w:val="000000" w:themeColor="text1"/>
                <w:spacing w:val="0"/>
                <w:sz w:val="20"/>
                <w:lang w:val="en-US" w:eastAsia="zh-CN"/>
                <w14:textFill>
                  <w14:solidFill>
                    <w14:schemeClr w14:val="tx1"/>
                  </w14:solidFill>
                </w14:textFill>
              </w:rPr>
              <w:t>≥0</w:t>
            </w:r>
          </w:p>
        </w:tc>
        <w:tc>
          <w:tcPr>
            <w:tcW w:w="1065" w:type="dxa"/>
            <w:noWrap w:val="0"/>
            <w:vAlign w:val="center"/>
          </w:tcPr>
          <w:p w14:paraId="13C3486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Arial"/>
                <w:color w:val="000000" w:themeColor="text1"/>
                <w:spacing w:val="0"/>
                <w:sz w:val="20"/>
                <w:lang w:val="en-US" w:eastAsia="zh-CN"/>
                <w14:textFill>
                  <w14:solidFill>
                    <w14:schemeClr w14:val="tx1"/>
                  </w14:solidFill>
                </w14:textFill>
              </w:rPr>
              <w:t>0</w:t>
            </w:r>
          </w:p>
        </w:tc>
        <w:tc>
          <w:tcPr>
            <w:tcW w:w="450" w:type="dxa"/>
            <w:noWrap w:val="0"/>
            <w:vAlign w:val="center"/>
          </w:tcPr>
          <w:p w14:paraId="6B4F3E5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18220D2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71" w:type="dxa"/>
            <w:noWrap w:val="0"/>
            <w:vAlign w:val="center"/>
          </w:tcPr>
          <w:p w14:paraId="08B91401">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C6D2B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78CBDC0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restart"/>
            <w:tcBorders>
              <w:bottom w:val="nil"/>
            </w:tcBorders>
            <w:noWrap w:val="0"/>
            <w:vAlign w:val="center"/>
          </w:tcPr>
          <w:p w14:paraId="0CE21882">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1D9B3816">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088EBEDB">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76A070D4">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6227F590">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140" w:type="dxa"/>
            <w:tcBorders>
              <w:bottom w:val="nil"/>
            </w:tcBorders>
            <w:noWrap w:val="0"/>
            <w:vAlign w:val="center"/>
          </w:tcPr>
          <w:p w14:paraId="484B961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7729B41D">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2040" w:type="dxa"/>
            <w:noWrap w:val="0"/>
            <w:vAlign w:val="center"/>
          </w:tcPr>
          <w:p w14:paraId="71FF3B1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810" w:type="dxa"/>
            <w:noWrap w:val="0"/>
            <w:vAlign w:val="center"/>
          </w:tcPr>
          <w:p w14:paraId="74A1791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1065" w:type="dxa"/>
            <w:noWrap w:val="0"/>
            <w:vAlign w:val="center"/>
          </w:tcPr>
          <w:p w14:paraId="7832E58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450" w:type="dxa"/>
            <w:noWrap w:val="0"/>
            <w:vAlign w:val="center"/>
          </w:tcPr>
          <w:p w14:paraId="6F3957A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825" w:type="dxa"/>
            <w:noWrap w:val="0"/>
            <w:vAlign w:val="center"/>
          </w:tcPr>
          <w:p w14:paraId="5683A78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1171" w:type="dxa"/>
            <w:noWrap w:val="0"/>
            <w:vAlign w:val="center"/>
          </w:tcPr>
          <w:p w14:paraId="7788C79A">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0D9EA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1" w:hRule="atLeast"/>
        </w:trPr>
        <w:tc>
          <w:tcPr>
            <w:tcW w:w="1075" w:type="dxa"/>
            <w:vMerge w:val="continue"/>
            <w:tcBorders>
              <w:top w:val="nil"/>
              <w:bottom w:val="nil"/>
            </w:tcBorders>
            <w:noWrap w:val="0"/>
            <w:textDirection w:val="tbRlV"/>
            <w:vAlign w:val="center"/>
          </w:tcPr>
          <w:p w14:paraId="05A923B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top w:val="nil"/>
              <w:bottom w:val="nil"/>
            </w:tcBorders>
            <w:noWrap w:val="0"/>
            <w:vAlign w:val="center"/>
          </w:tcPr>
          <w:p w14:paraId="0411E4E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6EA3041F">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184A458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2040" w:type="dxa"/>
            <w:noWrap w:val="0"/>
            <w:vAlign w:val="center"/>
          </w:tcPr>
          <w:p w14:paraId="140A08E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提高我区体育运动水平</w:t>
            </w:r>
          </w:p>
        </w:tc>
        <w:tc>
          <w:tcPr>
            <w:tcW w:w="810" w:type="dxa"/>
            <w:noWrap w:val="0"/>
            <w:vAlign w:val="center"/>
          </w:tcPr>
          <w:p w14:paraId="4898ABA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1065" w:type="dxa"/>
            <w:noWrap w:val="0"/>
            <w:vAlign w:val="center"/>
          </w:tcPr>
          <w:p w14:paraId="44A1965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450" w:type="dxa"/>
            <w:noWrap w:val="0"/>
            <w:vAlign w:val="center"/>
          </w:tcPr>
          <w:p w14:paraId="1F9765A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15</w:t>
            </w:r>
          </w:p>
        </w:tc>
        <w:tc>
          <w:tcPr>
            <w:tcW w:w="825" w:type="dxa"/>
            <w:noWrap w:val="0"/>
            <w:vAlign w:val="center"/>
          </w:tcPr>
          <w:p w14:paraId="7E0A003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14</w:t>
            </w:r>
          </w:p>
        </w:tc>
        <w:tc>
          <w:tcPr>
            <w:tcW w:w="1171" w:type="dxa"/>
            <w:noWrap w:val="0"/>
            <w:vAlign w:val="center"/>
          </w:tcPr>
          <w:p w14:paraId="31B54D6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39FAA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0D0445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top w:val="nil"/>
              <w:bottom w:val="nil"/>
            </w:tcBorders>
            <w:noWrap w:val="0"/>
            <w:vAlign w:val="center"/>
          </w:tcPr>
          <w:p w14:paraId="7C47707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790BB661">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14:paraId="12DD446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2040" w:type="dxa"/>
            <w:noWrap w:val="0"/>
            <w:vAlign w:val="center"/>
          </w:tcPr>
          <w:p w14:paraId="0366B4E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810" w:type="dxa"/>
            <w:noWrap w:val="0"/>
            <w:vAlign w:val="center"/>
          </w:tcPr>
          <w:p w14:paraId="49F7EAB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1065" w:type="dxa"/>
            <w:noWrap w:val="0"/>
            <w:vAlign w:val="center"/>
          </w:tcPr>
          <w:p w14:paraId="1FC5E1B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450" w:type="dxa"/>
            <w:noWrap w:val="0"/>
            <w:vAlign w:val="center"/>
          </w:tcPr>
          <w:p w14:paraId="7013962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825" w:type="dxa"/>
            <w:noWrap w:val="0"/>
            <w:vAlign w:val="center"/>
          </w:tcPr>
          <w:p w14:paraId="533A46C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1171" w:type="dxa"/>
            <w:noWrap w:val="0"/>
            <w:vAlign w:val="center"/>
          </w:tcPr>
          <w:p w14:paraId="6C9AE68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C7788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4BA55BD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top w:val="nil"/>
              <w:bottom w:val="nil"/>
            </w:tcBorders>
            <w:noWrap w:val="0"/>
            <w:vAlign w:val="center"/>
          </w:tcPr>
          <w:p w14:paraId="16D473E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09EAB7B1">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42633AD8">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2040" w:type="dxa"/>
            <w:noWrap w:val="0"/>
            <w:vAlign w:val="center"/>
          </w:tcPr>
          <w:p w14:paraId="2B12BCB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持续推动我区体育事业发展</w:t>
            </w:r>
          </w:p>
        </w:tc>
        <w:tc>
          <w:tcPr>
            <w:tcW w:w="810" w:type="dxa"/>
            <w:noWrap w:val="0"/>
            <w:vAlign w:val="center"/>
          </w:tcPr>
          <w:p w14:paraId="1DF35BF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可持续</w:t>
            </w:r>
          </w:p>
          <w:p w14:paraId="30BC16F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影响</w:t>
            </w:r>
          </w:p>
        </w:tc>
        <w:tc>
          <w:tcPr>
            <w:tcW w:w="1065" w:type="dxa"/>
            <w:noWrap w:val="0"/>
            <w:vAlign w:val="center"/>
          </w:tcPr>
          <w:p w14:paraId="03E6322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可持续</w:t>
            </w:r>
          </w:p>
          <w:p w14:paraId="0AE7F3A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影响</w:t>
            </w:r>
          </w:p>
        </w:tc>
        <w:tc>
          <w:tcPr>
            <w:tcW w:w="450" w:type="dxa"/>
            <w:noWrap w:val="0"/>
            <w:vAlign w:val="center"/>
          </w:tcPr>
          <w:p w14:paraId="0182108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15</w:t>
            </w:r>
          </w:p>
        </w:tc>
        <w:tc>
          <w:tcPr>
            <w:tcW w:w="825" w:type="dxa"/>
            <w:noWrap w:val="0"/>
            <w:vAlign w:val="center"/>
          </w:tcPr>
          <w:p w14:paraId="3EBA3BE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14</w:t>
            </w:r>
          </w:p>
        </w:tc>
        <w:tc>
          <w:tcPr>
            <w:tcW w:w="1171" w:type="dxa"/>
            <w:noWrap w:val="0"/>
            <w:vAlign w:val="center"/>
          </w:tcPr>
          <w:p w14:paraId="1DB820B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E9017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3C9C907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tcBorders>
              <w:bottom w:val="nil"/>
            </w:tcBorders>
            <w:noWrap w:val="0"/>
            <w:vAlign w:val="center"/>
          </w:tcPr>
          <w:p w14:paraId="452345D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1F9F045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2270031E">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140" w:type="dxa"/>
            <w:tcBorders>
              <w:bottom w:val="nil"/>
            </w:tcBorders>
            <w:noWrap w:val="0"/>
            <w:vAlign w:val="center"/>
          </w:tcPr>
          <w:p w14:paraId="6329E762">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213364AE">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4A45F4ED">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2040" w:type="dxa"/>
            <w:noWrap w:val="0"/>
            <w:vAlign w:val="center"/>
          </w:tcPr>
          <w:p w14:paraId="1AA1C71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社会公众满意度</w:t>
            </w:r>
          </w:p>
        </w:tc>
        <w:tc>
          <w:tcPr>
            <w:tcW w:w="810" w:type="dxa"/>
            <w:noWrap w:val="0"/>
            <w:vAlign w:val="center"/>
          </w:tcPr>
          <w:p w14:paraId="133A577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1065" w:type="dxa"/>
            <w:noWrap w:val="0"/>
            <w:vAlign w:val="center"/>
          </w:tcPr>
          <w:p w14:paraId="579D33C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Arial"/>
                <w:color w:val="000000" w:themeColor="text1"/>
                <w:spacing w:val="0"/>
                <w:sz w:val="20"/>
                <w:lang w:val="en-US" w:eastAsia="zh-CN"/>
                <w14:textFill>
                  <w14:solidFill>
                    <w14:schemeClr w14:val="tx1"/>
                  </w14:solidFill>
                </w14:textFill>
              </w:rPr>
              <w:t>%</w:t>
            </w:r>
          </w:p>
        </w:tc>
        <w:tc>
          <w:tcPr>
            <w:tcW w:w="450" w:type="dxa"/>
            <w:noWrap w:val="0"/>
            <w:vAlign w:val="center"/>
          </w:tcPr>
          <w:p w14:paraId="2851D64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1DC1795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71" w:type="dxa"/>
            <w:noWrap w:val="0"/>
            <w:vAlign w:val="center"/>
          </w:tcPr>
          <w:p w14:paraId="0AC5DFD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BF90A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7134" w:type="dxa"/>
            <w:gridSpan w:val="6"/>
            <w:noWrap w:val="0"/>
            <w:vAlign w:val="center"/>
          </w:tcPr>
          <w:p w14:paraId="00A255A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总分</w:t>
            </w:r>
          </w:p>
        </w:tc>
        <w:tc>
          <w:tcPr>
            <w:tcW w:w="450" w:type="dxa"/>
            <w:noWrap w:val="0"/>
            <w:vAlign w:val="center"/>
          </w:tcPr>
          <w:p w14:paraId="0115635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100</w:t>
            </w:r>
          </w:p>
        </w:tc>
        <w:tc>
          <w:tcPr>
            <w:tcW w:w="825" w:type="dxa"/>
            <w:noWrap w:val="0"/>
            <w:vAlign w:val="center"/>
          </w:tcPr>
          <w:p w14:paraId="63D870B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98</w:t>
            </w:r>
          </w:p>
        </w:tc>
        <w:tc>
          <w:tcPr>
            <w:tcW w:w="1171" w:type="dxa"/>
            <w:noWrap w:val="0"/>
            <w:vAlign w:val="center"/>
          </w:tcPr>
          <w:p w14:paraId="6FA03B6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0AD0B0A2">
      <w:pPr>
        <w:spacing w:line="252" w:lineRule="auto"/>
        <w:rPr>
          <w:rFonts w:ascii="Arial"/>
          <w:color w:val="000000" w:themeColor="text1"/>
          <w:sz w:val="21"/>
          <w14:textFill>
            <w14:solidFill>
              <w14:schemeClr w14:val="tx1"/>
            </w14:solidFill>
          </w14:textFill>
        </w:rPr>
      </w:pPr>
    </w:p>
    <w:p w14:paraId="3AF530A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任雨鸿</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13873081203</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刘英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2023-6-2</w:t>
      </w:r>
    </w:p>
    <w:p w14:paraId="015AB804">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eastAsia="宋体" w:cs="宋体"/>
          <w:b/>
          <w:bCs/>
          <w:kern w:val="2"/>
          <w:sz w:val="40"/>
          <w:szCs w:val="40"/>
        </w:rPr>
      </w:pPr>
      <w:r>
        <w:rPr>
          <w:rFonts w:hint="eastAsia" w:ascii="宋体" w:hAnsi="宋体" w:cs="宋体"/>
          <w:b/>
          <w:bCs/>
          <w:kern w:val="2"/>
          <w:sz w:val="40"/>
          <w:szCs w:val="40"/>
          <w:lang w:val="en-US" w:eastAsia="zh-CN"/>
        </w:rPr>
        <w:t>省十四运会项目</w:t>
      </w:r>
      <w:r>
        <w:rPr>
          <w:rFonts w:hint="eastAsia" w:ascii="宋体" w:hAnsi="宋体" w:cs="宋体"/>
          <w:b/>
          <w:bCs/>
          <w:kern w:val="2"/>
          <w:sz w:val="40"/>
          <w:szCs w:val="40"/>
          <w:lang w:eastAsia="zh-CN"/>
        </w:rPr>
        <w:t>资金</w:t>
      </w:r>
      <w:r>
        <w:rPr>
          <w:rFonts w:hint="eastAsia" w:ascii="宋体" w:hAnsi="宋体" w:eastAsia="宋体" w:cs="宋体"/>
          <w:b/>
          <w:bCs/>
          <w:kern w:val="2"/>
          <w:sz w:val="40"/>
          <w:szCs w:val="40"/>
        </w:rPr>
        <w:t>2022年度绩效自评报告</w:t>
      </w:r>
    </w:p>
    <w:p w14:paraId="75A8BE96">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240" w:lineRule="auto"/>
        <w:ind w:firstLine="602" w:firstLineChars="200"/>
        <w:jc w:val="both"/>
        <w:textAlignment w:val="auto"/>
        <w:rPr>
          <w:rFonts w:hint="eastAsia" w:ascii="仿宋" w:hAnsi="仿宋" w:eastAsia="仿宋" w:cs="仿宋"/>
          <w:b/>
          <w:bCs/>
          <w:kern w:val="2"/>
          <w:sz w:val="30"/>
          <w:szCs w:val="30"/>
          <w:lang w:val="en-US" w:eastAsia="zh-CN" w:bidi="ar-SA"/>
        </w:rPr>
      </w:pPr>
      <w:r>
        <w:rPr>
          <w:rFonts w:hint="eastAsia" w:ascii="仿宋" w:hAnsi="仿宋" w:eastAsia="仿宋" w:cs="仿宋"/>
          <w:b/>
          <w:bCs/>
          <w:kern w:val="2"/>
          <w:sz w:val="30"/>
          <w:szCs w:val="30"/>
          <w:lang w:val="en-US" w:eastAsia="zh-CN" w:bidi="ar-SA"/>
        </w:rPr>
        <w:t>一、绩效目标分解下达情况</w:t>
      </w:r>
    </w:p>
    <w:p w14:paraId="6A3DBE4E">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00" w:firstLineChars="200"/>
        <w:jc w:val="both"/>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省十四运会项目资金271.71万元。</w:t>
      </w:r>
      <w:r>
        <w:rPr>
          <w:rFonts w:hint="eastAsia" w:ascii="仿宋" w:hAnsi="仿宋" w:eastAsia="仿宋" w:cs="仿宋"/>
          <w:b/>
          <w:bCs/>
          <w:sz w:val="30"/>
          <w:szCs w:val="30"/>
          <w:lang w:val="en-US" w:eastAsia="zh-CN"/>
        </w:rPr>
        <w:t>1.</w:t>
      </w:r>
      <w:r>
        <w:rPr>
          <w:rFonts w:hint="eastAsia" w:ascii="仿宋" w:hAnsi="仿宋" w:eastAsia="仿宋" w:cs="仿宋"/>
          <w:sz w:val="30"/>
          <w:szCs w:val="30"/>
          <w:lang w:val="en-US" w:eastAsia="zh-CN"/>
        </w:rPr>
        <w:t>本级安排省十四运会项目资金221.52万元；</w:t>
      </w:r>
      <w:r>
        <w:rPr>
          <w:rFonts w:hint="eastAsia" w:ascii="仿宋" w:hAnsi="仿宋" w:eastAsia="仿宋" w:cs="仿宋"/>
          <w:b/>
          <w:bCs/>
          <w:sz w:val="30"/>
          <w:szCs w:val="30"/>
          <w:lang w:val="en-US" w:eastAsia="zh-CN"/>
        </w:rPr>
        <w:t>2.</w:t>
      </w:r>
      <w:r>
        <w:rPr>
          <w:rFonts w:hint="eastAsia" w:ascii="仿宋" w:hAnsi="仿宋" w:eastAsia="仿宋" w:cs="仿宋"/>
          <w:sz w:val="30"/>
          <w:szCs w:val="30"/>
          <w:lang w:val="en-US" w:eastAsia="zh-CN"/>
        </w:rPr>
        <w:t>其他资金49.19万元。我区承办的6项赛事以及后勤服务等工作均得到了省、市领导和参赛裁判员、运动员的一致好评。本次省运会我区运动员共获14金8银8铜、总分530分的优异成绩，超额完成市政府下达给我区的参赛夺牌任务。</w:t>
      </w:r>
    </w:p>
    <w:p w14:paraId="3D2F1E20">
      <w:pPr>
        <w:pStyle w:val="6"/>
        <w:widowControl/>
        <w:shd w:val="clear" w:color="auto" w:fill="FFFFFF"/>
        <w:spacing w:beforeAutospacing="0" w:after="225" w:afterAutospacing="0" w:line="400" w:lineRule="exact"/>
        <w:ind w:firstLine="630"/>
        <w:jc w:val="both"/>
        <w:rPr>
          <w:rFonts w:hint="eastAsia" w:ascii="仿宋" w:hAnsi="仿宋" w:eastAsia="仿宋" w:cs="仿宋"/>
          <w:b/>
          <w:bCs/>
          <w:color w:val="3D3D3D"/>
          <w:sz w:val="30"/>
          <w:szCs w:val="30"/>
        </w:rPr>
      </w:pPr>
      <w:r>
        <w:rPr>
          <w:rFonts w:hint="eastAsia" w:ascii="黑体" w:hAnsi="黑体" w:eastAsia="黑体" w:cs="黑体"/>
          <w:b w:val="0"/>
          <w:bCs w:val="0"/>
          <w:color w:val="3D3D3D"/>
          <w:sz w:val="30"/>
          <w:szCs w:val="30"/>
          <w:shd w:val="clear" w:color="auto" w:fill="FFFFFF"/>
        </w:rPr>
        <w:t>二、绩效目标完成情况分析</w:t>
      </w:r>
    </w:p>
    <w:p w14:paraId="7BBCE3F1">
      <w:pPr>
        <w:pStyle w:val="6"/>
        <w:widowControl/>
        <w:shd w:val="clear" w:color="auto" w:fill="FFFFFF"/>
        <w:spacing w:beforeAutospacing="0" w:after="225" w:afterAutospacing="0" w:line="400" w:lineRule="exact"/>
        <w:ind w:firstLine="630"/>
        <w:jc w:val="both"/>
        <w:rPr>
          <w:rFonts w:hint="eastAsia" w:ascii="仿宋" w:hAnsi="仿宋" w:eastAsia="仿宋" w:cs="仿宋"/>
          <w:color w:val="auto"/>
          <w:sz w:val="30"/>
          <w:szCs w:val="30"/>
          <w:shd w:val="clear" w:color="auto" w:fill="FFFFFF"/>
        </w:rPr>
      </w:pPr>
      <w:r>
        <w:rPr>
          <w:rFonts w:hint="eastAsia" w:ascii="仿宋" w:hAnsi="仿宋" w:eastAsia="仿宋" w:cs="仿宋"/>
          <w:color w:val="auto"/>
          <w:sz w:val="30"/>
          <w:szCs w:val="30"/>
          <w:shd w:val="clear" w:color="auto" w:fill="FFFFFF"/>
        </w:rPr>
        <w:t>（一）资金投入情况分析</w:t>
      </w:r>
    </w:p>
    <w:p w14:paraId="250BE509">
      <w:pPr>
        <w:pStyle w:val="6"/>
        <w:widowControl/>
        <w:shd w:val="clear" w:color="auto" w:fill="FFFFFF"/>
        <w:spacing w:beforeAutospacing="0" w:after="225" w:afterAutospacing="0" w:line="400" w:lineRule="exact"/>
        <w:ind w:firstLine="630"/>
        <w:jc w:val="both"/>
        <w:rPr>
          <w:rFonts w:hint="eastAsia" w:ascii="仿宋" w:hAnsi="仿宋" w:eastAsia="仿宋" w:cs="仿宋"/>
          <w:b w:val="0"/>
          <w:bCs w:val="0"/>
          <w:sz w:val="30"/>
          <w:szCs w:val="30"/>
        </w:rPr>
      </w:pPr>
      <w:r>
        <w:rPr>
          <w:rFonts w:hint="eastAsia" w:ascii="仿宋" w:hAnsi="仿宋" w:eastAsia="仿宋" w:cs="仿宋"/>
          <w:b w:val="0"/>
          <w:bCs w:val="0"/>
          <w:sz w:val="30"/>
          <w:szCs w:val="30"/>
          <w:lang w:val="en-US" w:eastAsia="zh-CN"/>
        </w:rPr>
        <w:t>1.</w:t>
      </w:r>
      <w:r>
        <w:rPr>
          <w:rFonts w:hint="eastAsia" w:ascii="仿宋" w:hAnsi="仿宋" w:eastAsia="仿宋" w:cs="仿宋"/>
          <w:b w:val="0"/>
          <w:bCs w:val="0"/>
          <w:sz w:val="30"/>
          <w:szCs w:val="30"/>
        </w:rPr>
        <w:t>项目资金实际使用情况分析</w:t>
      </w:r>
    </w:p>
    <w:p w14:paraId="5379FBD4">
      <w:pPr>
        <w:keepNext w:val="0"/>
        <w:keepLines w:val="0"/>
        <w:pageBreakBefore w:val="0"/>
        <w:widowControl w:val="0"/>
        <w:kinsoku/>
        <w:wordWrap/>
        <w:overflowPunct/>
        <w:topLinePunct w:val="0"/>
        <w:autoSpaceDE/>
        <w:autoSpaceDN/>
        <w:bidi w:val="0"/>
        <w:adjustRightInd/>
        <w:snapToGrid/>
        <w:ind w:firstLine="600" w:firstLineChars="200"/>
        <w:rPr>
          <w:rFonts w:hint="eastAsia" w:ascii="仿宋" w:hAnsi="仿宋" w:eastAsia="仿宋" w:cs="仿宋"/>
          <w:color w:val="0000FF"/>
          <w:sz w:val="30"/>
          <w:szCs w:val="30"/>
          <w:lang w:val="en-US" w:eastAsia="zh-CN"/>
        </w:rPr>
      </w:pPr>
      <w:r>
        <w:rPr>
          <w:rFonts w:hint="eastAsia" w:ascii="仿宋" w:hAnsi="仿宋" w:eastAsia="仿宋" w:cs="仿宋"/>
          <w:sz w:val="30"/>
          <w:szCs w:val="30"/>
          <w:lang w:val="en-US" w:eastAsia="zh-CN"/>
        </w:rPr>
        <w:t>该项目资金使用严格按审批程序办理，操作规范、会计核审结果真实、准确，</w:t>
      </w:r>
      <w:r>
        <w:rPr>
          <w:rFonts w:hint="eastAsia" w:ascii="仿宋" w:hAnsi="仿宋" w:eastAsia="仿宋" w:cs="仿宋"/>
          <w:color w:val="000000" w:themeColor="text1"/>
          <w:sz w:val="30"/>
          <w:szCs w:val="30"/>
          <w:lang w:val="en-US" w:eastAsia="zh-CN"/>
          <w14:textFill>
            <w14:solidFill>
              <w14:schemeClr w14:val="tx1"/>
            </w14:solidFill>
          </w14:textFill>
        </w:rPr>
        <w:t>承办6项省十四运会比赛支出178.52万元、参加省十四运会比赛支出92.19万元。</w:t>
      </w:r>
    </w:p>
    <w:p w14:paraId="7963AFBE">
      <w:pPr>
        <w:keepNext w:val="0"/>
        <w:keepLines w:val="0"/>
        <w:pageBreakBefore w:val="0"/>
        <w:widowControl w:val="0"/>
        <w:kinsoku/>
        <w:wordWrap/>
        <w:overflowPunct/>
        <w:topLinePunct w:val="0"/>
        <w:autoSpaceDE/>
        <w:autoSpaceDN/>
        <w:bidi w:val="0"/>
        <w:adjustRightInd/>
        <w:snapToGrid/>
        <w:ind w:firstLine="600" w:firstLineChars="200"/>
        <w:rPr>
          <w:rFonts w:hint="eastAsia" w:ascii="仿宋" w:hAnsi="仿宋" w:eastAsia="仿宋" w:cs="仿宋"/>
          <w:b w:val="0"/>
          <w:bCs w:val="0"/>
          <w:sz w:val="30"/>
          <w:szCs w:val="30"/>
        </w:rPr>
      </w:pPr>
      <w:r>
        <w:rPr>
          <w:rFonts w:hint="eastAsia" w:ascii="仿宋" w:hAnsi="仿宋" w:eastAsia="仿宋" w:cs="仿宋"/>
          <w:b w:val="0"/>
          <w:bCs w:val="0"/>
          <w:sz w:val="30"/>
          <w:szCs w:val="30"/>
          <w:lang w:val="en-US" w:eastAsia="zh-CN"/>
        </w:rPr>
        <w:t>2.</w:t>
      </w:r>
      <w:r>
        <w:rPr>
          <w:rFonts w:hint="eastAsia" w:ascii="仿宋" w:hAnsi="仿宋" w:eastAsia="仿宋" w:cs="仿宋"/>
          <w:b w:val="0"/>
          <w:bCs w:val="0"/>
          <w:sz w:val="30"/>
          <w:szCs w:val="30"/>
        </w:rPr>
        <w:t>项目资金管理情况分析</w:t>
      </w:r>
    </w:p>
    <w:p w14:paraId="691BD2C9">
      <w:pPr>
        <w:keepNext w:val="0"/>
        <w:keepLines w:val="0"/>
        <w:pageBreakBefore w:val="0"/>
        <w:widowControl w:val="0"/>
        <w:kinsoku/>
        <w:wordWrap/>
        <w:overflowPunct/>
        <w:topLinePunct w:val="0"/>
        <w:autoSpaceDE/>
        <w:autoSpaceDN/>
        <w:bidi w:val="0"/>
        <w:adjustRightInd/>
        <w:snapToGrid/>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此</w:t>
      </w:r>
      <w:r>
        <w:rPr>
          <w:rFonts w:hint="eastAsia" w:ascii="仿宋" w:hAnsi="仿宋" w:eastAsia="仿宋" w:cs="仿宋"/>
          <w:sz w:val="30"/>
          <w:szCs w:val="30"/>
        </w:rPr>
        <w:t>项目严格按照专项资金的用途和范围，专款专用，</w:t>
      </w:r>
      <w:r>
        <w:rPr>
          <w:rFonts w:hint="eastAsia" w:ascii="仿宋" w:hAnsi="仿宋" w:eastAsia="仿宋" w:cs="仿宋"/>
          <w:sz w:val="30"/>
          <w:szCs w:val="30"/>
          <w:lang w:val="en-US" w:eastAsia="zh-CN"/>
        </w:rPr>
        <w:t>真实、有效、合法的</w:t>
      </w:r>
      <w:r>
        <w:rPr>
          <w:rFonts w:hint="eastAsia" w:ascii="仿宋" w:hAnsi="仿宋" w:eastAsia="仿宋" w:cs="仿宋"/>
          <w:sz w:val="30"/>
          <w:szCs w:val="30"/>
        </w:rPr>
        <w:t>实际开支</w:t>
      </w:r>
      <w:r>
        <w:rPr>
          <w:rFonts w:hint="eastAsia" w:ascii="仿宋" w:hAnsi="仿宋" w:eastAsia="仿宋" w:cs="仿宋"/>
          <w:sz w:val="30"/>
          <w:szCs w:val="30"/>
          <w:lang w:val="en-US" w:eastAsia="zh-CN"/>
        </w:rPr>
        <w:t>凭证，严格审批</w:t>
      </w:r>
      <w:r>
        <w:rPr>
          <w:rFonts w:hint="eastAsia" w:ascii="仿宋" w:hAnsi="仿宋" w:eastAsia="仿宋" w:cs="仿宋"/>
          <w:sz w:val="30"/>
          <w:szCs w:val="30"/>
        </w:rPr>
        <w:t>予以支付报销</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充分保障资金安全运行，发挥资金的使用效益。</w:t>
      </w:r>
    </w:p>
    <w:p w14:paraId="295C7E4A">
      <w:pPr>
        <w:numPr>
          <w:ilvl w:val="0"/>
          <w:numId w:val="1"/>
        </w:numPr>
        <w:ind w:left="30" w:leftChars="0" w:firstLine="600" w:firstLineChars="0"/>
        <w:jc w:val="both"/>
        <w:rPr>
          <w:rFonts w:hint="eastAsia" w:ascii="仿宋" w:hAnsi="仿宋" w:eastAsia="仿宋" w:cs="仿宋"/>
          <w:color w:val="auto"/>
          <w:sz w:val="30"/>
          <w:szCs w:val="30"/>
          <w:shd w:val="clear" w:color="auto" w:fill="FFFFFF"/>
        </w:rPr>
      </w:pPr>
      <w:r>
        <w:rPr>
          <w:rFonts w:hint="eastAsia" w:ascii="仿宋" w:hAnsi="仿宋" w:eastAsia="仿宋" w:cs="仿宋"/>
          <w:color w:val="auto"/>
          <w:sz w:val="30"/>
          <w:szCs w:val="30"/>
          <w:shd w:val="clear" w:color="auto" w:fill="FFFFFF"/>
        </w:rPr>
        <w:t>总体绩效目标完成情况分析</w:t>
      </w:r>
    </w:p>
    <w:p w14:paraId="6B1C2154">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00" w:firstLineChars="200"/>
        <w:jc w:val="both"/>
        <w:rPr>
          <w:rFonts w:hint="eastAsia" w:ascii="仿宋_GB2312" w:hAnsi="仿宋_GB2312" w:eastAsia="仿宋_GB2312" w:cs="仿宋_GB2312"/>
          <w:sz w:val="32"/>
          <w:szCs w:val="32"/>
          <w:lang w:val="en-US" w:eastAsia="zh-CN"/>
        </w:rPr>
      </w:pPr>
      <w:r>
        <w:rPr>
          <w:rFonts w:hint="eastAsia" w:ascii="仿宋" w:hAnsi="仿宋" w:eastAsia="仿宋" w:cs="仿宋"/>
          <w:sz w:val="30"/>
          <w:szCs w:val="30"/>
          <w:lang w:val="en-US" w:eastAsia="zh-CN"/>
        </w:rPr>
        <w:t>湖南省第十四届运动会筹备工作开展以来，我区紧紧围绕“办赛精彩、参赛出彩、发展添彩”的总体目标，全面加强组织领导，强化工作举措，坚持高标准、严要求做好赛事组织筹备各项工作。对照市筹备组的任务、责任、时间“三张清单”制定了总体方案，结合实际组建了12个工作组，督促工作推进。9月18日，省十四运会顺利闭幕。我区承办的6项赛事以及后勤服务等工作均得到了省、市领导和参赛裁判员、运动员的一致好评。在本次省运会中，我区运动员共获14金8银8铜、总分530分的优异成绩，超额完成市政府下达给我区的参赛夺牌任务。</w:t>
      </w:r>
    </w:p>
    <w:p w14:paraId="2BA33C46">
      <w:pPr>
        <w:pStyle w:val="6"/>
        <w:keepNext w:val="0"/>
        <w:keepLines w:val="0"/>
        <w:pageBreakBefore w:val="0"/>
        <w:widowControl/>
        <w:shd w:val="clear" w:color="auto" w:fill="FFFFFF"/>
        <w:kinsoku/>
        <w:wordWrap/>
        <w:overflowPunct/>
        <w:topLinePunct w:val="0"/>
        <w:autoSpaceDE/>
        <w:autoSpaceDN/>
        <w:bidi w:val="0"/>
        <w:adjustRightInd/>
        <w:spacing w:beforeAutospacing="0" w:afterAutospacing="0" w:line="240" w:lineRule="auto"/>
        <w:ind w:firstLine="630"/>
        <w:jc w:val="both"/>
        <w:textAlignment w:val="auto"/>
        <w:rPr>
          <w:rFonts w:hint="eastAsia" w:ascii="黑体" w:hAnsi="黑体" w:eastAsia="黑体" w:cs="黑体"/>
          <w:b w:val="0"/>
          <w:bCs w:val="0"/>
          <w:color w:val="3D3D3D"/>
          <w:kern w:val="0"/>
          <w:sz w:val="30"/>
          <w:szCs w:val="30"/>
          <w:shd w:val="clear" w:color="auto" w:fill="FFFFFF"/>
          <w:lang w:val="en-US" w:eastAsia="zh-CN" w:bidi="ar-SA"/>
        </w:rPr>
      </w:pPr>
      <w:r>
        <w:rPr>
          <w:rFonts w:hint="eastAsia" w:ascii="仿宋" w:hAnsi="仿宋" w:eastAsia="仿宋" w:cs="仿宋"/>
          <w:b/>
          <w:bCs/>
          <w:color w:val="auto"/>
          <w:sz w:val="30"/>
          <w:szCs w:val="30"/>
          <w:shd w:val="clear" w:color="auto" w:fill="FFFFFF"/>
        </w:rPr>
        <w:t>三</w:t>
      </w:r>
      <w:r>
        <w:rPr>
          <w:rFonts w:hint="eastAsia" w:ascii="仿宋" w:hAnsi="仿宋" w:eastAsia="仿宋" w:cs="仿宋"/>
          <w:b/>
          <w:bCs/>
          <w:color w:val="auto"/>
          <w:sz w:val="30"/>
          <w:szCs w:val="30"/>
          <w:shd w:val="clear" w:color="auto" w:fill="FFFFFF"/>
          <w:lang w:eastAsia="zh-CN"/>
        </w:rPr>
        <w:t>、</w:t>
      </w:r>
      <w:r>
        <w:rPr>
          <w:rFonts w:hint="eastAsia" w:ascii="黑体" w:hAnsi="黑体" w:eastAsia="黑体" w:cs="黑体"/>
          <w:b w:val="0"/>
          <w:bCs w:val="0"/>
          <w:color w:val="3D3D3D"/>
          <w:kern w:val="0"/>
          <w:sz w:val="30"/>
          <w:szCs w:val="30"/>
          <w:shd w:val="clear" w:color="auto" w:fill="FFFFFF"/>
          <w:lang w:val="en-US" w:eastAsia="zh-CN" w:bidi="ar-SA"/>
        </w:rPr>
        <w:t>评价结果</w:t>
      </w:r>
    </w:p>
    <w:p w14:paraId="3C6178A5">
      <w:pPr>
        <w:keepNext w:val="0"/>
        <w:keepLines w:val="0"/>
        <w:pageBreakBefore w:val="0"/>
        <w:widowControl w:val="0"/>
        <w:kinsoku/>
        <w:wordWrap/>
        <w:overflowPunct/>
        <w:topLinePunct w:val="0"/>
        <w:autoSpaceDE/>
        <w:autoSpaceDN/>
        <w:bidi w:val="0"/>
        <w:adjustRightInd/>
        <w:snapToGrid/>
        <w:spacing w:line="240" w:lineRule="auto"/>
        <w:ind w:firstLine="612" w:firstLineChars="200"/>
        <w:textAlignment w:val="auto"/>
        <w:rPr>
          <w:rStyle w:val="12"/>
          <w:rFonts w:hint="eastAsia" w:ascii="仿宋" w:hAnsi="仿宋" w:eastAsia="仿宋" w:cs="仿宋"/>
          <w:b w:val="0"/>
          <w:bCs w:val="0"/>
          <w:color w:val="auto"/>
          <w:spacing w:val="3"/>
          <w:sz w:val="30"/>
          <w:szCs w:val="30"/>
          <w:lang w:eastAsia="zh-CN"/>
        </w:rPr>
      </w:pPr>
      <w:r>
        <w:rPr>
          <w:rStyle w:val="12"/>
          <w:rFonts w:hint="eastAsia" w:ascii="仿宋" w:hAnsi="仿宋" w:eastAsia="仿宋" w:cs="仿宋"/>
          <w:b w:val="0"/>
          <w:bCs w:val="0"/>
          <w:color w:val="auto"/>
          <w:spacing w:val="3"/>
          <w:sz w:val="30"/>
          <w:szCs w:val="30"/>
        </w:rPr>
        <w:t>本项目</w:t>
      </w:r>
      <w:r>
        <w:rPr>
          <w:rStyle w:val="12"/>
          <w:rFonts w:hint="eastAsia" w:ascii="仿宋" w:hAnsi="仿宋" w:eastAsia="仿宋" w:cs="仿宋"/>
          <w:b w:val="0"/>
          <w:bCs w:val="0"/>
          <w:color w:val="auto"/>
          <w:spacing w:val="3"/>
          <w:sz w:val="30"/>
          <w:szCs w:val="30"/>
          <w:lang w:val="en-US" w:eastAsia="zh-CN"/>
        </w:rPr>
        <w:t>我局</w:t>
      </w:r>
      <w:r>
        <w:rPr>
          <w:rStyle w:val="12"/>
          <w:rFonts w:hint="eastAsia" w:ascii="仿宋" w:hAnsi="仿宋" w:eastAsia="仿宋" w:cs="仿宋"/>
          <w:b w:val="0"/>
          <w:bCs w:val="0"/>
          <w:color w:val="auto"/>
          <w:spacing w:val="3"/>
          <w:sz w:val="30"/>
          <w:szCs w:val="30"/>
        </w:rPr>
        <w:t>严格按照规定的程序申请设立，符合国家相关法律法规、国民经济发展规划和党委政府决策，在项目使用管理过程中严格按照</w:t>
      </w:r>
      <w:r>
        <w:rPr>
          <w:rStyle w:val="12"/>
          <w:rFonts w:hint="eastAsia" w:ascii="仿宋" w:hAnsi="仿宋" w:eastAsia="仿宋" w:cs="仿宋"/>
          <w:b w:val="0"/>
          <w:bCs w:val="0"/>
          <w:color w:val="auto"/>
          <w:spacing w:val="3"/>
          <w:sz w:val="30"/>
          <w:szCs w:val="30"/>
          <w:lang w:eastAsia="zh-CN"/>
        </w:rPr>
        <w:t>有关</w:t>
      </w:r>
      <w:r>
        <w:rPr>
          <w:rStyle w:val="12"/>
          <w:rFonts w:hint="eastAsia" w:ascii="仿宋" w:hAnsi="仿宋" w:eastAsia="仿宋" w:cs="仿宋"/>
          <w:b w:val="0"/>
          <w:bCs w:val="0"/>
          <w:color w:val="auto"/>
          <w:spacing w:val="3"/>
          <w:sz w:val="30"/>
          <w:szCs w:val="30"/>
          <w:lang w:val="en-US" w:eastAsia="zh-CN"/>
        </w:rPr>
        <w:t>的规定</w:t>
      </w:r>
      <w:r>
        <w:rPr>
          <w:rStyle w:val="12"/>
          <w:rFonts w:hint="eastAsia" w:ascii="仿宋" w:hAnsi="仿宋" w:eastAsia="仿宋" w:cs="仿宋"/>
          <w:b w:val="0"/>
          <w:bCs w:val="0"/>
          <w:color w:val="auto"/>
          <w:spacing w:val="3"/>
          <w:sz w:val="30"/>
          <w:szCs w:val="30"/>
        </w:rPr>
        <w:t>使用要求，专款专用，</w:t>
      </w:r>
      <w:r>
        <w:rPr>
          <w:rStyle w:val="12"/>
          <w:rFonts w:hint="eastAsia" w:ascii="仿宋" w:hAnsi="仿宋" w:eastAsia="仿宋" w:cs="仿宋"/>
          <w:b w:val="0"/>
          <w:bCs w:val="0"/>
          <w:color w:val="auto"/>
          <w:spacing w:val="3"/>
          <w:sz w:val="30"/>
          <w:szCs w:val="30"/>
          <w:lang w:val="en-US" w:eastAsia="zh-CN"/>
        </w:rPr>
        <w:t>没有截留、挤占、挪用现象，</w:t>
      </w:r>
      <w:r>
        <w:rPr>
          <w:rStyle w:val="12"/>
          <w:rFonts w:hint="eastAsia" w:ascii="仿宋" w:hAnsi="仿宋" w:eastAsia="仿宋" w:cs="仿宋"/>
          <w:b w:val="0"/>
          <w:bCs w:val="0"/>
          <w:color w:val="auto"/>
          <w:spacing w:val="3"/>
          <w:sz w:val="30"/>
          <w:szCs w:val="30"/>
        </w:rPr>
        <w:t>确保资金落实到位，</w:t>
      </w:r>
      <w:r>
        <w:rPr>
          <w:rStyle w:val="12"/>
          <w:rFonts w:hint="eastAsia" w:ascii="仿宋" w:hAnsi="仿宋" w:eastAsia="仿宋" w:cs="仿宋"/>
          <w:b w:val="0"/>
          <w:bCs w:val="0"/>
          <w:color w:val="auto"/>
          <w:spacing w:val="3"/>
          <w:sz w:val="30"/>
          <w:szCs w:val="30"/>
          <w:lang w:val="en-US" w:eastAsia="zh-CN"/>
        </w:rPr>
        <w:t>切实提高了资金的使用效益，对</w:t>
      </w:r>
      <w:r>
        <w:rPr>
          <w:rStyle w:val="12"/>
          <w:rFonts w:hint="eastAsia" w:ascii="仿宋" w:hAnsi="仿宋" w:eastAsia="仿宋" w:cs="仿宋"/>
          <w:b w:val="0"/>
          <w:bCs w:val="0"/>
          <w:color w:val="auto"/>
          <w:spacing w:val="3"/>
          <w:sz w:val="30"/>
          <w:szCs w:val="30"/>
        </w:rPr>
        <w:t>项目完成进度、阶段性目标完成情况、项目效益与预期目标偏差情况等进行阶段性跟踪和控制</w:t>
      </w:r>
      <w:r>
        <w:rPr>
          <w:rStyle w:val="12"/>
          <w:rFonts w:hint="eastAsia" w:ascii="仿宋" w:hAnsi="仿宋" w:eastAsia="仿宋" w:cs="仿宋"/>
          <w:b w:val="0"/>
          <w:bCs w:val="0"/>
          <w:color w:val="auto"/>
          <w:spacing w:val="3"/>
          <w:sz w:val="30"/>
          <w:szCs w:val="30"/>
          <w:lang w:eastAsia="zh-CN"/>
        </w:rPr>
        <w:t>，</w:t>
      </w:r>
      <w:r>
        <w:rPr>
          <w:rStyle w:val="12"/>
          <w:rFonts w:hint="eastAsia" w:ascii="仿宋" w:hAnsi="仿宋" w:eastAsia="仿宋" w:cs="仿宋"/>
          <w:b w:val="0"/>
          <w:bCs w:val="0"/>
          <w:color w:val="auto"/>
          <w:spacing w:val="3"/>
          <w:sz w:val="30"/>
          <w:szCs w:val="30"/>
          <w:lang w:val="en-US" w:eastAsia="zh-CN"/>
        </w:rPr>
        <w:t>有效的</w:t>
      </w:r>
      <w:r>
        <w:rPr>
          <w:rStyle w:val="12"/>
          <w:rFonts w:hint="eastAsia" w:ascii="仿宋" w:hAnsi="仿宋" w:eastAsia="仿宋" w:cs="仿宋"/>
          <w:b w:val="0"/>
          <w:bCs w:val="0"/>
          <w:color w:val="auto"/>
          <w:spacing w:val="3"/>
          <w:sz w:val="30"/>
          <w:szCs w:val="30"/>
        </w:rPr>
        <w:t>推动全区文</w:t>
      </w:r>
      <w:r>
        <w:rPr>
          <w:rStyle w:val="12"/>
          <w:rFonts w:hint="eastAsia" w:ascii="仿宋" w:hAnsi="仿宋" w:eastAsia="仿宋" w:cs="仿宋"/>
          <w:b w:val="0"/>
          <w:bCs w:val="0"/>
          <w:color w:val="auto"/>
          <w:spacing w:val="3"/>
          <w:sz w:val="30"/>
          <w:szCs w:val="30"/>
          <w:lang w:val="en-US" w:eastAsia="zh-CN"/>
        </w:rPr>
        <w:t>体</w:t>
      </w:r>
      <w:r>
        <w:rPr>
          <w:rStyle w:val="12"/>
          <w:rFonts w:hint="eastAsia" w:ascii="仿宋" w:hAnsi="仿宋" w:eastAsia="仿宋" w:cs="仿宋"/>
          <w:b w:val="0"/>
          <w:bCs w:val="0"/>
          <w:color w:val="auto"/>
          <w:spacing w:val="3"/>
          <w:sz w:val="30"/>
          <w:szCs w:val="30"/>
        </w:rPr>
        <w:t>工作的开展</w:t>
      </w:r>
      <w:r>
        <w:rPr>
          <w:rStyle w:val="12"/>
          <w:rFonts w:hint="eastAsia" w:ascii="仿宋" w:hAnsi="仿宋" w:eastAsia="仿宋" w:cs="仿宋"/>
          <w:b w:val="0"/>
          <w:bCs w:val="0"/>
          <w:color w:val="auto"/>
          <w:spacing w:val="3"/>
          <w:sz w:val="30"/>
          <w:szCs w:val="30"/>
          <w:lang w:eastAsia="zh-CN"/>
        </w:rPr>
        <w:t>，</w:t>
      </w:r>
      <w:r>
        <w:rPr>
          <w:rStyle w:val="12"/>
          <w:rFonts w:hint="eastAsia" w:ascii="仿宋" w:hAnsi="仿宋" w:eastAsia="仿宋" w:cs="仿宋"/>
          <w:b w:val="0"/>
          <w:bCs w:val="0"/>
          <w:color w:val="auto"/>
          <w:spacing w:val="3"/>
          <w:sz w:val="30"/>
          <w:szCs w:val="30"/>
        </w:rPr>
        <w:t>自评分9</w:t>
      </w:r>
      <w:r>
        <w:rPr>
          <w:rStyle w:val="12"/>
          <w:rFonts w:hint="eastAsia" w:ascii="仿宋" w:hAnsi="仿宋" w:eastAsia="仿宋" w:cs="仿宋"/>
          <w:b w:val="0"/>
          <w:bCs w:val="0"/>
          <w:color w:val="auto"/>
          <w:spacing w:val="3"/>
          <w:sz w:val="30"/>
          <w:szCs w:val="30"/>
          <w:lang w:val="en-US"/>
        </w:rPr>
        <w:t>8</w:t>
      </w:r>
      <w:r>
        <w:rPr>
          <w:rStyle w:val="12"/>
          <w:rFonts w:hint="eastAsia" w:ascii="仿宋" w:hAnsi="仿宋" w:eastAsia="仿宋" w:cs="仿宋"/>
          <w:b w:val="0"/>
          <w:bCs w:val="0"/>
          <w:color w:val="auto"/>
          <w:spacing w:val="3"/>
          <w:sz w:val="30"/>
          <w:szCs w:val="30"/>
        </w:rPr>
        <w:t>分</w:t>
      </w:r>
      <w:r>
        <w:rPr>
          <w:rStyle w:val="12"/>
          <w:rFonts w:hint="eastAsia" w:ascii="仿宋" w:hAnsi="仿宋" w:eastAsia="仿宋" w:cs="仿宋"/>
          <w:b w:val="0"/>
          <w:bCs w:val="0"/>
          <w:color w:val="auto"/>
          <w:spacing w:val="3"/>
          <w:sz w:val="30"/>
          <w:szCs w:val="30"/>
          <w:lang w:eastAsia="zh-CN"/>
        </w:rPr>
        <w:t>。</w:t>
      </w:r>
    </w:p>
    <w:p w14:paraId="1168E50B">
      <w:pPr>
        <w:keepNext w:val="0"/>
        <w:keepLines w:val="0"/>
        <w:pageBreakBefore w:val="0"/>
        <w:widowControl w:val="0"/>
        <w:kinsoku/>
        <w:wordWrap/>
        <w:overflowPunct/>
        <w:topLinePunct w:val="0"/>
        <w:autoSpaceDE/>
        <w:autoSpaceDN/>
        <w:bidi w:val="0"/>
        <w:adjustRightInd/>
        <w:snapToGrid/>
        <w:spacing w:line="240" w:lineRule="auto"/>
        <w:ind w:firstLine="600" w:firstLineChars="200"/>
        <w:textAlignment w:val="auto"/>
        <w:rPr>
          <w:rFonts w:hint="eastAsia" w:ascii="方正黑体简体" w:hAnsi="方正黑体简体" w:eastAsia="方正黑体简体" w:cs="方正黑体简体"/>
          <w:sz w:val="28"/>
          <w:szCs w:val="28"/>
        </w:rPr>
      </w:pPr>
      <w:r>
        <w:rPr>
          <w:rFonts w:hint="eastAsia" w:ascii="黑体" w:hAnsi="黑体" w:eastAsia="黑体" w:cs="黑体"/>
          <w:b w:val="0"/>
          <w:bCs w:val="0"/>
          <w:color w:val="3D3D3D"/>
          <w:kern w:val="0"/>
          <w:sz w:val="30"/>
          <w:szCs w:val="30"/>
          <w:shd w:val="clear" w:color="auto" w:fill="FFFFFF"/>
          <w:lang w:val="en-US" w:eastAsia="zh-CN" w:bidi="ar-SA"/>
        </w:rPr>
        <w:t>四、存在的问题和建议</w:t>
      </w:r>
    </w:p>
    <w:p w14:paraId="2587455D">
      <w:pPr>
        <w:keepNext w:val="0"/>
        <w:keepLines w:val="0"/>
        <w:pageBreakBefore w:val="0"/>
        <w:widowControl w:val="0"/>
        <w:tabs>
          <w:tab w:val="left" w:pos="673"/>
        </w:tabs>
        <w:kinsoku/>
        <w:wordWrap/>
        <w:overflowPunct/>
        <w:topLinePunct w:val="0"/>
        <w:autoSpaceDE/>
        <w:autoSpaceDN/>
        <w:bidi w:val="0"/>
        <w:adjustRightInd/>
        <w:snapToGrid/>
        <w:spacing w:line="240" w:lineRule="auto"/>
        <w:ind w:firstLine="612" w:firstLineChars="200"/>
        <w:jc w:val="left"/>
        <w:textAlignment w:val="auto"/>
        <w:rPr>
          <w:rStyle w:val="12"/>
          <w:rFonts w:hint="eastAsia" w:ascii="仿宋" w:hAnsi="仿宋" w:eastAsia="仿宋" w:cs="仿宋"/>
          <w:b w:val="0"/>
          <w:bCs w:val="0"/>
          <w:color w:val="auto"/>
          <w:spacing w:val="3"/>
          <w:sz w:val="30"/>
          <w:szCs w:val="30"/>
          <w:lang w:val="en-US" w:eastAsia="zh-CN"/>
        </w:rPr>
      </w:pPr>
      <w:r>
        <w:rPr>
          <w:rStyle w:val="12"/>
          <w:rFonts w:hint="eastAsia" w:ascii="仿宋" w:hAnsi="仿宋" w:eastAsia="仿宋" w:cs="仿宋"/>
          <w:b w:val="0"/>
          <w:bCs w:val="0"/>
          <w:color w:val="auto"/>
          <w:spacing w:val="3"/>
          <w:sz w:val="30"/>
          <w:szCs w:val="30"/>
          <w:lang w:val="en-US" w:eastAsia="zh-CN"/>
        </w:rPr>
        <w:t>一是专项资金使用的监管力度不够。二是监管制度不具体。针对存在的问题，要认真分析原因，加强各项制度建设和工作力度，做好资金的专项检查，做到事前评估、事中监督、事后检查验收，继续加大绩效评价工作力度，健全绩效评价结果反馈和应用机制确保资金不折不扣的用到实处。</w:t>
      </w:r>
    </w:p>
    <w:p w14:paraId="4C6B04A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6AFFC2F2">
      <w:pPr>
        <w:pStyle w:val="2"/>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4889DC66">
      <w:pPr>
        <w:pStyle w:val="2"/>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761F63C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6F57A2E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20B5CC7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7B95625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1AE607D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1D199E8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4AED010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7D272DF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53C007B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1A93B1E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296258E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3711791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5A70E0D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486D147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27515C3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31B1E7C5">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1B6CBFF4">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 xml:space="preserve"> 2022年度项目支出绩效自评表</w:t>
      </w:r>
    </w:p>
    <w:tbl>
      <w:tblPr>
        <w:tblStyle w:val="10"/>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04"/>
        <w:gridCol w:w="1140"/>
        <w:gridCol w:w="2040"/>
        <w:gridCol w:w="810"/>
        <w:gridCol w:w="1065"/>
        <w:gridCol w:w="450"/>
        <w:gridCol w:w="825"/>
        <w:gridCol w:w="1171"/>
      </w:tblGrid>
      <w:tr w14:paraId="2D0FF6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1075" w:type="dxa"/>
            <w:noWrap w:val="0"/>
            <w:vAlign w:val="center"/>
          </w:tcPr>
          <w:p w14:paraId="19A96442">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项目支出</w:t>
            </w:r>
          </w:p>
          <w:p w14:paraId="293D5C81">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名称</w:t>
            </w:r>
          </w:p>
        </w:tc>
        <w:tc>
          <w:tcPr>
            <w:tcW w:w="8505" w:type="dxa"/>
            <w:gridSpan w:val="8"/>
            <w:noWrap w:val="0"/>
            <w:vAlign w:val="center"/>
          </w:tcPr>
          <w:p w14:paraId="66B11C5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18"/>
                <w:szCs w:val="18"/>
                <w:lang w:eastAsia="zh-CN"/>
                <w14:textFill>
                  <w14:solidFill>
                    <w14:schemeClr w14:val="tx1"/>
                  </w14:solidFill>
                </w14:textFill>
              </w:rPr>
            </w:pPr>
            <w:r>
              <w:rPr>
                <w:rFonts w:hint="eastAsia" w:ascii="Arial"/>
                <w:color w:val="000000" w:themeColor="text1"/>
                <w:spacing w:val="0"/>
                <w:sz w:val="18"/>
                <w:szCs w:val="18"/>
                <w:lang w:eastAsia="zh-CN"/>
                <w14:textFill>
                  <w14:solidFill>
                    <w14:schemeClr w14:val="tx1"/>
                  </w14:solidFill>
                </w14:textFill>
              </w:rPr>
              <w:t>疫情防控</w:t>
            </w:r>
          </w:p>
        </w:tc>
      </w:tr>
      <w:tr w14:paraId="664C23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1075" w:type="dxa"/>
            <w:noWrap w:val="0"/>
            <w:vAlign w:val="center"/>
          </w:tcPr>
          <w:p w14:paraId="59CA8E43">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主管部门</w:t>
            </w:r>
          </w:p>
        </w:tc>
        <w:tc>
          <w:tcPr>
            <w:tcW w:w="4994" w:type="dxa"/>
            <w:gridSpan w:val="4"/>
            <w:noWrap w:val="0"/>
            <w:vAlign w:val="center"/>
          </w:tcPr>
          <w:p w14:paraId="2C0F1EF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18"/>
                <w:szCs w:val="18"/>
                <w:lang w:eastAsia="zh-CN"/>
                <w14:textFill>
                  <w14:solidFill>
                    <w14:schemeClr w14:val="tx1"/>
                  </w14:solidFill>
                </w14:textFill>
              </w:rPr>
            </w:pPr>
            <w:r>
              <w:rPr>
                <w:rFonts w:hint="eastAsia" w:ascii="Arial"/>
                <w:color w:val="000000" w:themeColor="text1"/>
                <w:spacing w:val="0"/>
                <w:sz w:val="18"/>
                <w:szCs w:val="18"/>
                <w:lang w:eastAsia="zh-CN"/>
                <w14:textFill>
                  <w14:solidFill>
                    <w14:schemeClr w14:val="tx1"/>
                  </w14:solidFill>
                </w14:textFill>
              </w:rPr>
              <w:t>岳阳楼区人民政府</w:t>
            </w:r>
          </w:p>
        </w:tc>
        <w:tc>
          <w:tcPr>
            <w:tcW w:w="1065" w:type="dxa"/>
            <w:noWrap w:val="0"/>
            <w:vAlign w:val="center"/>
          </w:tcPr>
          <w:p w14:paraId="5AFE3A4F">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实施单位</w:t>
            </w:r>
          </w:p>
        </w:tc>
        <w:tc>
          <w:tcPr>
            <w:tcW w:w="2446" w:type="dxa"/>
            <w:gridSpan w:val="3"/>
            <w:noWrap w:val="0"/>
            <w:vAlign w:val="center"/>
          </w:tcPr>
          <w:p w14:paraId="7E0261B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18"/>
                <w:szCs w:val="18"/>
                <w:lang w:eastAsia="zh-CN"/>
                <w14:textFill>
                  <w14:solidFill>
                    <w14:schemeClr w14:val="tx1"/>
                  </w14:solidFill>
                </w14:textFill>
              </w:rPr>
            </w:pPr>
            <w:r>
              <w:rPr>
                <w:rFonts w:hint="eastAsia" w:ascii="Arial"/>
                <w:color w:val="000000" w:themeColor="text1"/>
                <w:spacing w:val="0"/>
                <w:sz w:val="18"/>
                <w:szCs w:val="18"/>
                <w:lang w:eastAsia="zh-CN"/>
                <w14:textFill>
                  <w14:solidFill>
                    <w14:schemeClr w14:val="tx1"/>
                  </w14:solidFill>
                </w14:textFill>
              </w:rPr>
              <w:t>岳阳楼区文化旅游广电体育局</w:t>
            </w:r>
          </w:p>
        </w:tc>
      </w:tr>
      <w:tr w14:paraId="47B924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1" w:hRule="atLeast"/>
        </w:trPr>
        <w:tc>
          <w:tcPr>
            <w:tcW w:w="1075" w:type="dxa"/>
            <w:vMerge w:val="restart"/>
            <w:tcBorders>
              <w:bottom w:val="nil"/>
            </w:tcBorders>
            <w:noWrap w:val="0"/>
            <w:vAlign w:val="center"/>
          </w:tcPr>
          <w:p w14:paraId="27DBB18A">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18"/>
                <w:szCs w:val="18"/>
                <w14:textFill>
                  <w14:solidFill>
                    <w14:schemeClr w14:val="tx1"/>
                  </w14:solidFill>
                </w14:textFill>
              </w:rPr>
            </w:pPr>
          </w:p>
          <w:p w14:paraId="222C1877">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18"/>
                <w:szCs w:val="18"/>
                <w14:textFill>
                  <w14:solidFill>
                    <w14:schemeClr w14:val="tx1"/>
                  </w14:solidFill>
                </w14:textFill>
              </w:rPr>
            </w:pPr>
          </w:p>
          <w:p w14:paraId="1466BA7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项目资金</w:t>
            </w:r>
          </w:p>
          <w:p w14:paraId="00575CA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(万元)</w:t>
            </w:r>
          </w:p>
        </w:tc>
        <w:tc>
          <w:tcPr>
            <w:tcW w:w="2144" w:type="dxa"/>
            <w:gridSpan w:val="2"/>
            <w:noWrap w:val="0"/>
            <w:vAlign w:val="center"/>
          </w:tcPr>
          <w:p w14:paraId="69A39B07">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18"/>
                <w:szCs w:val="18"/>
                <w14:textFill>
                  <w14:solidFill>
                    <w14:schemeClr w14:val="tx1"/>
                  </w14:solidFill>
                </w14:textFill>
              </w:rPr>
            </w:pPr>
          </w:p>
        </w:tc>
        <w:tc>
          <w:tcPr>
            <w:tcW w:w="2040" w:type="dxa"/>
            <w:noWrap w:val="0"/>
            <w:vAlign w:val="center"/>
          </w:tcPr>
          <w:p w14:paraId="78157D9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年初</w:t>
            </w:r>
          </w:p>
          <w:p w14:paraId="2CF3D83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预算数</w:t>
            </w:r>
          </w:p>
        </w:tc>
        <w:tc>
          <w:tcPr>
            <w:tcW w:w="810" w:type="dxa"/>
            <w:noWrap w:val="0"/>
            <w:vAlign w:val="center"/>
          </w:tcPr>
          <w:p w14:paraId="213C0C8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全年</w:t>
            </w:r>
          </w:p>
          <w:p w14:paraId="6B529ED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预算数</w:t>
            </w:r>
          </w:p>
        </w:tc>
        <w:tc>
          <w:tcPr>
            <w:tcW w:w="1065" w:type="dxa"/>
            <w:noWrap w:val="0"/>
            <w:vAlign w:val="center"/>
          </w:tcPr>
          <w:p w14:paraId="022BD26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全年</w:t>
            </w:r>
          </w:p>
          <w:p w14:paraId="3F15EA6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执行数</w:t>
            </w:r>
          </w:p>
        </w:tc>
        <w:tc>
          <w:tcPr>
            <w:tcW w:w="450" w:type="dxa"/>
            <w:noWrap w:val="0"/>
            <w:vAlign w:val="center"/>
          </w:tcPr>
          <w:p w14:paraId="6974EEE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分值</w:t>
            </w:r>
          </w:p>
        </w:tc>
        <w:tc>
          <w:tcPr>
            <w:tcW w:w="825" w:type="dxa"/>
            <w:noWrap w:val="0"/>
            <w:vAlign w:val="center"/>
          </w:tcPr>
          <w:p w14:paraId="3E6DC07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执行率</w:t>
            </w:r>
          </w:p>
        </w:tc>
        <w:tc>
          <w:tcPr>
            <w:tcW w:w="1171" w:type="dxa"/>
            <w:noWrap w:val="0"/>
            <w:vAlign w:val="center"/>
          </w:tcPr>
          <w:p w14:paraId="483CC1D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得分</w:t>
            </w:r>
          </w:p>
        </w:tc>
      </w:tr>
      <w:tr w14:paraId="7AF389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 w:hRule="atLeast"/>
        </w:trPr>
        <w:tc>
          <w:tcPr>
            <w:tcW w:w="1075" w:type="dxa"/>
            <w:vMerge w:val="continue"/>
            <w:tcBorders>
              <w:top w:val="nil"/>
              <w:bottom w:val="nil"/>
            </w:tcBorders>
            <w:noWrap w:val="0"/>
            <w:vAlign w:val="center"/>
          </w:tcPr>
          <w:p w14:paraId="1951BCC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2144" w:type="dxa"/>
            <w:gridSpan w:val="2"/>
            <w:noWrap w:val="0"/>
            <w:vAlign w:val="center"/>
          </w:tcPr>
          <w:p w14:paraId="50247A1C">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年度资金总额</w:t>
            </w:r>
          </w:p>
        </w:tc>
        <w:tc>
          <w:tcPr>
            <w:tcW w:w="2040" w:type="dxa"/>
            <w:noWrap w:val="0"/>
            <w:vAlign w:val="center"/>
          </w:tcPr>
          <w:p w14:paraId="68D8D779">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18"/>
                <w:szCs w:val="18"/>
                <w:lang w:val="en-US" w:eastAsia="zh-CN"/>
                <w14:textFill>
                  <w14:solidFill>
                    <w14:schemeClr w14:val="tx1"/>
                  </w14:solidFill>
                </w14:textFill>
              </w:rPr>
            </w:pPr>
            <w:r>
              <w:rPr>
                <w:rFonts w:hint="eastAsia" w:ascii="Arial"/>
                <w:color w:val="000000" w:themeColor="text1"/>
                <w:spacing w:val="0"/>
                <w:sz w:val="18"/>
                <w:szCs w:val="18"/>
                <w:lang w:val="en-US" w:eastAsia="zh-CN"/>
                <w14:textFill>
                  <w14:solidFill>
                    <w14:schemeClr w14:val="tx1"/>
                  </w14:solidFill>
                </w14:textFill>
              </w:rPr>
              <w:t>0</w:t>
            </w:r>
          </w:p>
        </w:tc>
        <w:tc>
          <w:tcPr>
            <w:tcW w:w="810" w:type="dxa"/>
            <w:noWrap w:val="0"/>
            <w:vAlign w:val="center"/>
          </w:tcPr>
          <w:p w14:paraId="11799DB6">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18"/>
                <w:szCs w:val="18"/>
                <w:lang w:val="en-US" w:eastAsia="zh-CN"/>
                <w14:textFill>
                  <w14:solidFill>
                    <w14:schemeClr w14:val="tx1"/>
                  </w14:solidFill>
                </w14:textFill>
              </w:rPr>
            </w:pPr>
            <w:r>
              <w:rPr>
                <w:rFonts w:hint="eastAsia" w:ascii="Arial"/>
                <w:color w:val="000000" w:themeColor="text1"/>
                <w:spacing w:val="0"/>
                <w:sz w:val="18"/>
                <w:szCs w:val="18"/>
                <w:lang w:val="en-US" w:eastAsia="zh-CN"/>
                <w14:textFill>
                  <w14:solidFill>
                    <w14:schemeClr w14:val="tx1"/>
                  </w14:solidFill>
                </w14:textFill>
              </w:rPr>
              <w:t>1348.82</w:t>
            </w:r>
          </w:p>
        </w:tc>
        <w:tc>
          <w:tcPr>
            <w:tcW w:w="1065" w:type="dxa"/>
            <w:noWrap w:val="0"/>
            <w:vAlign w:val="center"/>
          </w:tcPr>
          <w:p w14:paraId="5B32C9BD">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18"/>
                <w:szCs w:val="18"/>
                <w:lang w:val="en-US" w:eastAsia="zh-CN"/>
                <w14:textFill>
                  <w14:solidFill>
                    <w14:schemeClr w14:val="tx1"/>
                  </w14:solidFill>
                </w14:textFill>
              </w:rPr>
            </w:pPr>
            <w:r>
              <w:rPr>
                <w:rFonts w:hint="eastAsia" w:ascii="Arial"/>
                <w:color w:val="000000" w:themeColor="text1"/>
                <w:spacing w:val="0"/>
                <w:sz w:val="18"/>
                <w:szCs w:val="18"/>
                <w:lang w:val="en-US" w:eastAsia="zh-CN"/>
                <w14:textFill>
                  <w14:solidFill>
                    <w14:schemeClr w14:val="tx1"/>
                  </w14:solidFill>
                </w14:textFill>
              </w:rPr>
              <w:t>1348.82</w:t>
            </w:r>
          </w:p>
        </w:tc>
        <w:tc>
          <w:tcPr>
            <w:tcW w:w="450" w:type="dxa"/>
            <w:noWrap w:val="0"/>
            <w:vAlign w:val="center"/>
          </w:tcPr>
          <w:p w14:paraId="1A5515BD">
            <w:pPr>
              <w:keepNext w:val="0"/>
              <w:keepLines w:val="0"/>
              <w:pageBreakBefore w:val="0"/>
              <w:widowControl w:val="0"/>
              <w:kinsoku/>
              <w:wordWrap/>
              <w:overflowPunct/>
              <w:topLinePunct w:val="0"/>
              <w:autoSpaceDE/>
              <w:autoSpaceDN/>
              <w:bidi w:val="0"/>
              <w:adjustRightInd/>
              <w:snapToGrid/>
              <w:spacing w:line="165" w:lineRule="exact"/>
              <w:ind w:left="0" w:leftChars="0" w:right="0" w:rightChars="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position w:val="-2"/>
                <w:sz w:val="18"/>
                <w:szCs w:val="18"/>
                <w14:textFill>
                  <w14:solidFill>
                    <w14:schemeClr w14:val="tx1"/>
                  </w14:solidFill>
                </w14:textFill>
              </w:rPr>
              <w:t>10</w:t>
            </w:r>
          </w:p>
        </w:tc>
        <w:tc>
          <w:tcPr>
            <w:tcW w:w="825" w:type="dxa"/>
            <w:noWrap w:val="0"/>
            <w:vAlign w:val="center"/>
          </w:tcPr>
          <w:p w14:paraId="436F2CD9">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18"/>
                <w:szCs w:val="18"/>
                <w:lang w:val="en-US" w:eastAsia="zh-CN"/>
                <w14:textFill>
                  <w14:solidFill>
                    <w14:schemeClr w14:val="tx1"/>
                  </w14:solidFill>
                </w14:textFill>
              </w:rPr>
            </w:pPr>
            <w:r>
              <w:rPr>
                <w:rFonts w:hint="eastAsia" w:ascii="Arial"/>
                <w:color w:val="000000" w:themeColor="text1"/>
                <w:spacing w:val="0"/>
                <w:sz w:val="18"/>
                <w:szCs w:val="18"/>
                <w:lang w:val="en-US" w:eastAsia="zh-CN"/>
                <w14:textFill>
                  <w14:solidFill>
                    <w14:schemeClr w14:val="tx1"/>
                  </w14:solidFill>
                </w14:textFill>
              </w:rPr>
              <w:t>100</w:t>
            </w:r>
          </w:p>
        </w:tc>
        <w:tc>
          <w:tcPr>
            <w:tcW w:w="1171" w:type="dxa"/>
            <w:noWrap w:val="0"/>
            <w:vAlign w:val="center"/>
          </w:tcPr>
          <w:p w14:paraId="33F6E15C">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18"/>
                <w:szCs w:val="18"/>
                <w:lang w:val="en-US" w:eastAsia="zh-CN"/>
                <w14:textFill>
                  <w14:solidFill>
                    <w14:schemeClr w14:val="tx1"/>
                  </w14:solidFill>
                </w14:textFill>
              </w:rPr>
            </w:pPr>
            <w:r>
              <w:rPr>
                <w:rFonts w:hint="eastAsia" w:ascii="Arial"/>
                <w:color w:val="000000" w:themeColor="text1"/>
                <w:spacing w:val="0"/>
                <w:sz w:val="18"/>
                <w:szCs w:val="18"/>
                <w:lang w:val="en-US" w:eastAsia="zh-CN"/>
                <w14:textFill>
                  <w14:solidFill>
                    <w14:schemeClr w14:val="tx1"/>
                  </w14:solidFill>
                </w14:textFill>
              </w:rPr>
              <w:t>10</w:t>
            </w:r>
          </w:p>
        </w:tc>
      </w:tr>
      <w:tr w14:paraId="51AAB0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075" w:type="dxa"/>
            <w:vMerge w:val="continue"/>
            <w:tcBorders>
              <w:top w:val="nil"/>
              <w:bottom w:val="nil"/>
            </w:tcBorders>
            <w:noWrap w:val="0"/>
            <w:vAlign w:val="center"/>
          </w:tcPr>
          <w:p w14:paraId="4D69E71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2144" w:type="dxa"/>
            <w:gridSpan w:val="2"/>
            <w:noWrap w:val="0"/>
            <w:vAlign w:val="center"/>
          </w:tcPr>
          <w:p w14:paraId="76ACDE74">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其中：当年财政拨款</w:t>
            </w:r>
          </w:p>
        </w:tc>
        <w:tc>
          <w:tcPr>
            <w:tcW w:w="2040" w:type="dxa"/>
            <w:noWrap w:val="0"/>
            <w:vAlign w:val="center"/>
          </w:tcPr>
          <w:p w14:paraId="48AB0505">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18"/>
                <w:szCs w:val="18"/>
                <w:lang w:val="en-US" w:eastAsia="zh-CN"/>
                <w14:textFill>
                  <w14:solidFill>
                    <w14:schemeClr w14:val="tx1"/>
                  </w14:solidFill>
                </w14:textFill>
              </w:rPr>
            </w:pPr>
            <w:r>
              <w:rPr>
                <w:rFonts w:hint="eastAsia" w:ascii="Arial"/>
                <w:color w:val="000000" w:themeColor="text1"/>
                <w:spacing w:val="0"/>
                <w:sz w:val="18"/>
                <w:szCs w:val="18"/>
                <w:lang w:val="en-US" w:eastAsia="zh-CN"/>
                <w14:textFill>
                  <w14:solidFill>
                    <w14:schemeClr w14:val="tx1"/>
                  </w14:solidFill>
                </w14:textFill>
              </w:rPr>
              <w:t>0</w:t>
            </w:r>
          </w:p>
        </w:tc>
        <w:tc>
          <w:tcPr>
            <w:tcW w:w="810" w:type="dxa"/>
            <w:noWrap w:val="0"/>
            <w:vAlign w:val="center"/>
          </w:tcPr>
          <w:p w14:paraId="1CEFF854">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18"/>
                <w:szCs w:val="18"/>
                <w:lang w:val="en-US" w:eastAsia="zh-CN"/>
                <w14:textFill>
                  <w14:solidFill>
                    <w14:schemeClr w14:val="tx1"/>
                  </w14:solidFill>
                </w14:textFill>
              </w:rPr>
            </w:pPr>
            <w:r>
              <w:rPr>
                <w:rFonts w:hint="eastAsia" w:ascii="Arial"/>
                <w:color w:val="000000" w:themeColor="text1"/>
                <w:spacing w:val="0"/>
                <w:sz w:val="18"/>
                <w:szCs w:val="18"/>
                <w:lang w:val="en-US" w:eastAsia="zh-CN"/>
                <w14:textFill>
                  <w14:solidFill>
                    <w14:schemeClr w14:val="tx1"/>
                  </w14:solidFill>
                </w14:textFill>
              </w:rPr>
              <w:t>1348.82</w:t>
            </w:r>
          </w:p>
        </w:tc>
        <w:tc>
          <w:tcPr>
            <w:tcW w:w="1065" w:type="dxa"/>
            <w:noWrap w:val="0"/>
            <w:vAlign w:val="center"/>
          </w:tcPr>
          <w:p w14:paraId="0B87BDAF">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18"/>
                <w:szCs w:val="18"/>
                <w:lang w:val="en-US" w:eastAsia="zh-CN"/>
                <w14:textFill>
                  <w14:solidFill>
                    <w14:schemeClr w14:val="tx1"/>
                  </w14:solidFill>
                </w14:textFill>
              </w:rPr>
            </w:pPr>
            <w:r>
              <w:rPr>
                <w:rFonts w:hint="eastAsia" w:ascii="Arial"/>
                <w:color w:val="000000" w:themeColor="text1"/>
                <w:spacing w:val="0"/>
                <w:sz w:val="18"/>
                <w:szCs w:val="18"/>
                <w:lang w:val="en-US" w:eastAsia="zh-CN"/>
                <w14:textFill>
                  <w14:solidFill>
                    <w14:schemeClr w14:val="tx1"/>
                  </w14:solidFill>
                </w14:textFill>
              </w:rPr>
              <w:t>1348.82</w:t>
            </w:r>
          </w:p>
        </w:tc>
        <w:tc>
          <w:tcPr>
            <w:tcW w:w="450" w:type="dxa"/>
            <w:noWrap w:val="0"/>
            <w:vAlign w:val="center"/>
          </w:tcPr>
          <w:p w14:paraId="3C273372">
            <w:pPr>
              <w:keepNext w:val="0"/>
              <w:keepLines w:val="0"/>
              <w:pageBreakBefore w:val="0"/>
              <w:widowControl w:val="0"/>
              <w:kinsoku/>
              <w:wordWrap/>
              <w:overflowPunct/>
              <w:topLinePunct w:val="0"/>
              <w:autoSpaceDE/>
              <w:autoSpaceDN/>
              <w:bidi w:val="0"/>
              <w:adjustRightInd/>
              <w:snapToGrid/>
              <w:spacing w:line="165" w:lineRule="exact"/>
              <w:ind w:left="0" w:leftChars="0" w:right="0" w:rightChars="0"/>
              <w:jc w:val="center"/>
              <w:textAlignment w:val="auto"/>
              <w:rPr>
                <w:rFonts w:ascii="Arial"/>
                <w:color w:val="000000" w:themeColor="text1"/>
                <w:spacing w:val="0"/>
                <w:sz w:val="18"/>
                <w:szCs w:val="18"/>
                <w14:textFill>
                  <w14:solidFill>
                    <w14:schemeClr w14:val="tx1"/>
                  </w14:solidFill>
                </w14:textFill>
              </w:rPr>
            </w:pPr>
            <w:r>
              <w:rPr>
                <w:rFonts w:ascii="宋体" w:hAnsi="宋体" w:eastAsia="宋体" w:cs="宋体"/>
                <w:color w:val="000000" w:themeColor="text1"/>
                <w:spacing w:val="0"/>
                <w:position w:val="-2"/>
                <w:sz w:val="18"/>
                <w:szCs w:val="18"/>
                <w14:textFill>
                  <w14:solidFill>
                    <w14:schemeClr w14:val="tx1"/>
                  </w14:solidFill>
                </w14:textFill>
              </w:rPr>
              <w:t>10</w:t>
            </w:r>
          </w:p>
        </w:tc>
        <w:tc>
          <w:tcPr>
            <w:tcW w:w="825" w:type="dxa"/>
            <w:noWrap w:val="0"/>
            <w:vAlign w:val="center"/>
          </w:tcPr>
          <w:p w14:paraId="1AF6526B">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color w:val="000000" w:themeColor="text1"/>
                <w:spacing w:val="0"/>
                <w:sz w:val="18"/>
                <w:szCs w:val="18"/>
                <w:lang w:val="en-US"/>
                <w14:textFill>
                  <w14:solidFill>
                    <w14:schemeClr w14:val="tx1"/>
                  </w14:solidFill>
                </w14:textFill>
              </w:rPr>
            </w:pPr>
            <w:r>
              <w:rPr>
                <w:rFonts w:hint="eastAsia" w:ascii="Arial"/>
                <w:color w:val="000000" w:themeColor="text1"/>
                <w:spacing w:val="0"/>
                <w:sz w:val="18"/>
                <w:szCs w:val="18"/>
                <w:lang w:val="en-US" w:eastAsia="zh-CN"/>
                <w14:textFill>
                  <w14:solidFill>
                    <w14:schemeClr w14:val="tx1"/>
                  </w14:solidFill>
                </w14:textFill>
              </w:rPr>
              <w:t>100</w:t>
            </w:r>
          </w:p>
        </w:tc>
        <w:tc>
          <w:tcPr>
            <w:tcW w:w="1171" w:type="dxa"/>
            <w:noWrap w:val="0"/>
            <w:vAlign w:val="center"/>
          </w:tcPr>
          <w:p w14:paraId="0E825943">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color w:val="000000" w:themeColor="text1"/>
                <w:spacing w:val="0"/>
                <w:sz w:val="18"/>
                <w:szCs w:val="18"/>
                <w:lang w:val="en-US"/>
                <w14:textFill>
                  <w14:solidFill>
                    <w14:schemeClr w14:val="tx1"/>
                  </w14:solidFill>
                </w14:textFill>
              </w:rPr>
            </w:pPr>
            <w:r>
              <w:rPr>
                <w:rFonts w:hint="eastAsia" w:ascii="Arial"/>
                <w:color w:val="000000" w:themeColor="text1"/>
                <w:spacing w:val="0"/>
                <w:sz w:val="18"/>
                <w:szCs w:val="18"/>
                <w:lang w:val="en-US" w:eastAsia="zh-CN"/>
                <w14:textFill>
                  <w14:solidFill>
                    <w14:schemeClr w14:val="tx1"/>
                  </w14:solidFill>
                </w14:textFill>
              </w:rPr>
              <w:t>10</w:t>
            </w:r>
          </w:p>
        </w:tc>
      </w:tr>
      <w:tr w14:paraId="79A33C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2" w:hRule="atLeast"/>
        </w:trPr>
        <w:tc>
          <w:tcPr>
            <w:tcW w:w="1075" w:type="dxa"/>
            <w:vMerge w:val="continue"/>
            <w:tcBorders>
              <w:top w:val="nil"/>
              <w:bottom w:val="nil"/>
            </w:tcBorders>
            <w:noWrap w:val="0"/>
            <w:vAlign w:val="center"/>
          </w:tcPr>
          <w:p w14:paraId="63C8031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2144" w:type="dxa"/>
            <w:gridSpan w:val="2"/>
            <w:noWrap w:val="0"/>
            <w:vAlign w:val="center"/>
          </w:tcPr>
          <w:p w14:paraId="5C8BA495">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 xml:space="preserve">     </w:t>
            </w:r>
            <w:r>
              <w:rPr>
                <w:rFonts w:ascii="宋体" w:hAnsi="宋体" w:eastAsia="宋体" w:cs="宋体"/>
                <w:color w:val="000000" w:themeColor="text1"/>
                <w:spacing w:val="0"/>
                <w:sz w:val="18"/>
                <w:szCs w:val="18"/>
                <w14:textFill>
                  <w14:solidFill>
                    <w14:schemeClr w14:val="tx1"/>
                  </w14:solidFill>
                </w14:textFill>
              </w:rPr>
              <w:t>上年结转资金</w:t>
            </w:r>
          </w:p>
        </w:tc>
        <w:tc>
          <w:tcPr>
            <w:tcW w:w="2040" w:type="dxa"/>
            <w:noWrap w:val="0"/>
            <w:vAlign w:val="center"/>
          </w:tcPr>
          <w:p w14:paraId="38A143A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810" w:type="dxa"/>
            <w:noWrap w:val="0"/>
            <w:vAlign w:val="center"/>
          </w:tcPr>
          <w:p w14:paraId="6181403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065" w:type="dxa"/>
            <w:noWrap w:val="0"/>
            <w:vAlign w:val="center"/>
          </w:tcPr>
          <w:p w14:paraId="6F1C05A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450" w:type="dxa"/>
            <w:noWrap w:val="0"/>
            <w:vAlign w:val="center"/>
          </w:tcPr>
          <w:p w14:paraId="70F67C8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825" w:type="dxa"/>
            <w:noWrap w:val="0"/>
            <w:vAlign w:val="center"/>
          </w:tcPr>
          <w:p w14:paraId="4E77F7D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171" w:type="dxa"/>
            <w:noWrap w:val="0"/>
            <w:vAlign w:val="center"/>
          </w:tcPr>
          <w:p w14:paraId="2CC1443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r>
      <w:tr w14:paraId="364F62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1075" w:type="dxa"/>
            <w:vMerge w:val="continue"/>
            <w:tcBorders>
              <w:top w:val="nil"/>
            </w:tcBorders>
            <w:noWrap w:val="0"/>
            <w:vAlign w:val="center"/>
          </w:tcPr>
          <w:p w14:paraId="305866D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2144" w:type="dxa"/>
            <w:gridSpan w:val="2"/>
            <w:noWrap w:val="0"/>
            <w:vAlign w:val="center"/>
          </w:tcPr>
          <w:p w14:paraId="2BFCCD6A">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 xml:space="preserve">  </w:t>
            </w:r>
            <w:r>
              <w:rPr>
                <w:rFonts w:ascii="宋体" w:hAnsi="宋体" w:eastAsia="宋体" w:cs="宋体"/>
                <w:color w:val="000000" w:themeColor="text1"/>
                <w:spacing w:val="0"/>
                <w:sz w:val="18"/>
                <w:szCs w:val="18"/>
                <w14:textFill>
                  <w14:solidFill>
                    <w14:schemeClr w14:val="tx1"/>
                  </w14:solidFill>
                </w14:textFill>
              </w:rPr>
              <w:t>其他资金</w:t>
            </w:r>
          </w:p>
        </w:tc>
        <w:tc>
          <w:tcPr>
            <w:tcW w:w="2040" w:type="dxa"/>
            <w:noWrap w:val="0"/>
            <w:vAlign w:val="center"/>
          </w:tcPr>
          <w:p w14:paraId="0DC6C76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810" w:type="dxa"/>
            <w:noWrap w:val="0"/>
            <w:vAlign w:val="center"/>
          </w:tcPr>
          <w:p w14:paraId="17CEED1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065" w:type="dxa"/>
            <w:noWrap w:val="0"/>
            <w:vAlign w:val="center"/>
          </w:tcPr>
          <w:p w14:paraId="705F4CB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450" w:type="dxa"/>
            <w:noWrap w:val="0"/>
            <w:vAlign w:val="center"/>
          </w:tcPr>
          <w:p w14:paraId="64F42CD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825" w:type="dxa"/>
            <w:noWrap w:val="0"/>
            <w:vAlign w:val="center"/>
          </w:tcPr>
          <w:p w14:paraId="3226C14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171" w:type="dxa"/>
            <w:noWrap w:val="0"/>
            <w:vAlign w:val="center"/>
          </w:tcPr>
          <w:p w14:paraId="04C9B27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r>
      <w:tr w14:paraId="7EC717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298FD94D">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年度总体</w:t>
            </w:r>
          </w:p>
          <w:p w14:paraId="010120E2">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目标</w:t>
            </w:r>
          </w:p>
        </w:tc>
        <w:tc>
          <w:tcPr>
            <w:tcW w:w="4994" w:type="dxa"/>
            <w:gridSpan w:val="4"/>
            <w:noWrap w:val="0"/>
            <w:vAlign w:val="center"/>
          </w:tcPr>
          <w:p w14:paraId="545805BC">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预期目标</w:t>
            </w:r>
          </w:p>
        </w:tc>
        <w:tc>
          <w:tcPr>
            <w:tcW w:w="3511" w:type="dxa"/>
            <w:gridSpan w:val="4"/>
            <w:noWrap w:val="0"/>
            <w:vAlign w:val="center"/>
          </w:tcPr>
          <w:p w14:paraId="0B1D242F">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实际完成情况</w:t>
            </w:r>
          </w:p>
        </w:tc>
      </w:tr>
      <w:tr w14:paraId="1BDF5B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98" w:hRule="atLeast"/>
        </w:trPr>
        <w:tc>
          <w:tcPr>
            <w:tcW w:w="1075" w:type="dxa"/>
            <w:vMerge w:val="continue"/>
            <w:tcBorders>
              <w:top w:val="nil"/>
            </w:tcBorders>
            <w:noWrap w:val="0"/>
            <w:vAlign w:val="center"/>
          </w:tcPr>
          <w:p w14:paraId="74A0014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4994" w:type="dxa"/>
            <w:gridSpan w:val="4"/>
            <w:noWrap w:val="0"/>
            <w:vAlign w:val="center"/>
          </w:tcPr>
          <w:p w14:paraId="1FE9309D">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360" w:firstLineChars="200"/>
              <w:jc w:val="both"/>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根据区防指工作指令，监督检查组坚持开展日常巡查，督促区内宾馆、文娱、网吧经营场所落实各项疫情防控措施。督促完成文旅行业中风险从业人员完成核酸检测。开展集中隔离宾馆房费签约清算工作。</w:t>
            </w:r>
          </w:p>
          <w:p w14:paraId="43361D2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18"/>
                <w:szCs w:val="18"/>
                <w14:textFill>
                  <w14:solidFill>
                    <w14:schemeClr w14:val="tx1"/>
                  </w14:solidFill>
                </w14:textFill>
              </w:rPr>
            </w:pPr>
          </w:p>
        </w:tc>
        <w:tc>
          <w:tcPr>
            <w:tcW w:w="3511" w:type="dxa"/>
            <w:gridSpan w:val="4"/>
            <w:noWrap w:val="0"/>
            <w:vAlign w:val="center"/>
          </w:tcPr>
          <w:p w14:paraId="6D91D47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18"/>
                <w:szCs w:val="18"/>
                <w:lang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圆满完成各项任务</w:t>
            </w:r>
          </w:p>
        </w:tc>
      </w:tr>
      <w:tr w14:paraId="5F2C7A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0D270084">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绩</w:t>
            </w:r>
            <w:r>
              <w:rPr>
                <w:rFonts w:hint="eastAsia" w:ascii="宋体" w:hAnsi="宋体" w:eastAsia="宋体" w:cs="宋体"/>
                <w:color w:val="000000" w:themeColor="text1"/>
                <w:spacing w:val="0"/>
                <w:sz w:val="18"/>
                <w:szCs w:val="18"/>
                <w:lang w:val="en-US" w:eastAsia="zh-CN"/>
                <w14:textFill>
                  <w14:solidFill>
                    <w14:schemeClr w14:val="tx1"/>
                  </w14:solidFill>
                </w14:textFill>
              </w:rPr>
              <w:t xml:space="preserve">  </w:t>
            </w:r>
            <w:r>
              <w:rPr>
                <w:rFonts w:ascii="宋体" w:hAnsi="宋体" w:eastAsia="宋体" w:cs="宋体"/>
                <w:color w:val="000000" w:themeColor="text1"/>
                <w:spacing w:val="0"/>
                <w:sz w:val="18"/>
                <w:szCs w:val="18"/>
                <w14:textFill>
                  <w14:solidFill>
                    <w14:schemeClr w14:val="tx1"/>
                  </w14:solidFill>
                </w14:textFill>
              </w:rPr>
              <w:t>效</w:t>
            </w:r>
            <w:r>
              <w:rPr>
                <w:rFonts w:hint="eastAsia" w:ascii="宋体" w:hAnsi="宋体" w:eastAsia="宋体" w:cs="宋体"/>
                <w:color w:val="000000" w:themeColor="text1"/>
                <w:spacing w:val="0"/>
                <w:sz w:val="18"/>
                <w:szCs w:val="18"/>
                <w:lang w:val="en-US" w:eastAsia="zh-CN"/>
                <w14:textFill>
                  <w14:solidFill>
                    <w14:schemeClr w14:val="tx1"/>
                  </w14:solidFill>
                </w14:textFill>
              </w:rPr>
              <w:t xml:space="preserve">  </w:t>
            </w:r>
            <w:r>
              <w:rPr>
                <w:rFonts w:ascii="宋体" w:hAnsi="宋体" w:eastAsia="宋体" w:cs="宋体"/>
                <w:color w:val="000000" w:themeColor="text1"/>
                <w:spacing w:val="0"/>
                <w:sz w:val="18"/>
                <w:szCs w:val="18"/>
                <w14:textFill>
                  <w14:solidFill>
                    <w14:schemeClr w14:val="tx1"/>
                  </w14:solidFill>
                </w14:textFill>
              </w:rPr>
              <w:t>指</w:t>
            </w:r>
            <w:r>
              <w:rPr>
                <w:rFonts w:hint="eastAsia" w:ascii="宋体" w:hAnsi="宋体" w:eastAsia="宋体" w:cs="宋体"/>
                <w:color w:val="000000" w:themeColor="text1"/>
                <w:spacing w:val="0"/>
                <w:sz w:val="18"/>
                <w:szCs w:val="18"/>
                <w:lang w:val="en-US" w:eastAsia="zh-CN"/>
                <w14:textFill>
                  <w14:solidFill>
                    <w14:schemeClr w14:val="tx1"/>
                  </w14:solidFill>
                </w14:textFill>
              </w:rPr>
              <w:t xml:space="preserve">  </w:t>
            </w:r>
            <w:r>
              <w:rPr>
                <w:rFonts w:ascii="宋体" w:hAnsi="宋体" w:eastAsia="宋体" w:cs="宋体"/>
                <w:color w:val="000000" w:themeColor="text1"/>
                <w:spacing w:val="0"/>
                <w:sz w:val="18"/>
                <w:szCs w:val="18"/>
                <w14:textFill>
                  <w14:solidFill>
                    <w14:schemeClr w14:val="tx1"/>
                  </w14:solidFill>
                </w14:textFill>
              </w:rPr>
              <w:t>标</w:t>
            </w:r>
          </w:p>
        </w:tc>
        <w:tc>
          <w:tcPr>
            <w:tcW w:w="1004" w:type="dxa"/>
            <w:noWrap w:val="0"/>
            <w:vAlign w:val="center"/>
          </w:tcPr>
          <w:p w14:paraId="628B847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一级指标</w:t>
            </w:r>
          </w:p>
        </w:tc>
        <w:tc>
          <w:tcPr>
            <w:tcW w:w="1140" w:type="dxa"/>
            <w:noWrap w:val="0"/>
            <w:vAlign w:val="center"/>
          </w:tcPr>
          <w:p w14:paraId="182C53C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二级指标</w:t>
            </w:r>
          </w:p>
        </w:tc>
        <w:tc>
          <w:tcPr>
            <w:tcW w:w="2040" w:type="dxa"/>
            <w:noWrap w:val="0"/>
            <w:vAlign w:val="center"/>
          </w:tcPr>
          <w:p w14:paraId="09B796D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三级指标</w:t>
            </w:r>
          </w:p>
        </w:tc>
        <w:tc>
          <w:tcPr>
            <w:tcW w:w="810" w:type="dxa"/>
            <w:noWrap w:val="0"/>
            <w:vAlign w:val="center"/>
          </w:tcPr>
          <w:p w14:paraId="434C595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年度</w:t>
            </w:r>
          </w:p>
          <w:p w14:paraId="3AADDD0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指标值</w:t>
            </w:r>
          </w:p>
        </w:tc>
        <w:tc>
          <w:tcPr>
            <w:tcW w:w="1065" w:type="dxa"/>
            <w:noWrap w:val="0"/>
            <w:vAlign w:val="center"/>
          </w:tcPr>
          <w:p w14:paraId="1C15BD3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实际</w:t>
            </w:r>
          </w:p>
          <w:p w14:paraId="0C2A6F6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完成值</w:t>
            </w:r>
          </w:p>
        </w:tc>
        <w:tc>
          <w:tcPr>
            <w:tcW w:w="450" w:type="dxa"/>
            <w:noWrap w:val="0"/>
            <w:vAlign w:val="center"/>
          </w:tcPr>
          <w:p w14:paraId="5DF37FD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分值</w:t>
            </w:r>
          </w:p>
        </w:tc>
        <w:tc>
          <w:tcPr>
            <w:tcW w:w="825" w:type="dxa"/>
            <w:noWrap w:val="0"/>
            <w:vAlign w:val="center"/>
          </w:tcPr>
          <w:p w14:paraId="2EEFDBB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得分</w:t>
            </w:r>
          </w:p>
        </w:tc>
        <w:tc>
          <w:tcPr>
            <w:tcW w:w="1171" w:type="dxa"/>
            <w:noWrap w:val="0"/>
            <w:vAlign w:val="center"/>
          </w:tcPr>
          <w:p w14:paraId="622BDD8F">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18"/>
                <w:szCs w:val="18"/>
                <w14:textFill>
                  <w14:solidFill>
                    <w14:schemeClr w14:val="tx1"/>
                  </w14:solidFill>
                </w14:textFill>
              </w:rPr>
            </w:pPr>
            <w:r>
              <w:rPr>
                <w:rFonts w:hint="eastAsia" w:ascii="宋体" w:hAnsi="宋体" w:eastAsia="宋体" w:cs="宋体"/>
                <w:color w:val="000000" w:themeColor="text1"/>
                <w:spacing w:val="0"/>
                <w:sz w:val="18"/>
                <w:szCs w:val="18"/>
                <w:lang w:val="en-US" w:eastAsia="zh-CN"/>
                <w14:textFill>
                  <w14:solidFill>
                    <w14:schemeClr w14:val="tx1"/>
                  </w14:solidFill>
                </w14:textFill>
              </w:rPr>
              <w:t xml:space="preserve"> </w:t>
            </w:r>
            <w:r>
              <w:rPr>
                <w:rFonts w:ascii="宋体" w:hAnsi="宋体" w:eastAsia="宋体" w:cs="宋体"/>
                <w:color w:val="000000" w:themeColor="text1"/>
                <w:spacing w:val="0"/>
                <w:sz w:val="18"/>
                <w:szCs w:val="18"/>
                <w14:textFill>
                  <w14:solidFill>
                    <w14:schemeClr w14:val="tx1"/>
                  </w14:solidFill>
                </w14:textFill>
              </w:rPr>
              <w:t>偏差原因分析 及改进措施</w:t>
            </w:r>
          </w:p>
        </w:tc>
      </w:tr>
      <w:tr w14:paraId="1F911F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0D9A9D3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004" w:type="dxa"/>
            <w:vMerge w:val="restart"/>
            <w:tcBorders>
              <w:bottom w:val="nil"/>
            </w:tcBorders>
            <w:noWrap w:val="0"/>
            <w:vAlign w:val="center"/>
          </w:tcPr>
          <w:p w14:paraId="6B053ED1">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18"/>
                <w:szCs w:val="18"/>
                <w14:textFill>
                  <w14:solidFill>
                    <w14:schemeClr w14:val="tx1"/>
                  </w14:solidFill>
                </w14:textFill>
              </w:rPr>
            </w:pPr>
          </w:p>
          <w:p w14:paraId="4F3DE267">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18"/>
                <w:szCs w:val="18"/>
                <w14:textFill>
                  <w14:solidFill>
                    <w14:schemeClr w14:val="tx1"/>
                  </w14:solidFill>
                </w14:textFill>
              </w:rPr>
            </w:pPr>
          </w:p>
          <w:p w14:paraId="64E3DB4C">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18"/>
                <w:szCs w:val="18"/>
                <w14:textFill>
                  <w14:solidFill>
                    <w14:schemeClr w14:val="tx1"/>
                  </w14:solidFill>
                </w14:textFill>
              </w:rPr>
            </w:pPr>
          </w:p>
          <w:p w14:paraId="6147C404">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18"/>
                <w:szCs w:val="18"/>
                <w14:textFill>
                  <w14:solidFill>
                    <w14:schemeClr w14:val="tx1"/>
                  </w14:solidFill>
                </w14:textFill>
              </w:rPr>
            </w:pPr>
          </w:p>
          <w:p w14:paraId="64A0F25E">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position w:val="22"/>
                <w:sz w:val="18"/>
                <w:szCs w:val="18"/>
                <w14:textFill>
                  <w14:solidFill>
                    <w14:schemeClr w14:val="tx1"/>
                  </w14:solidFill>
                </w14:textFill>
              </w:rPr>
              <w:t>产出指标</w:t>
            </w:r>
          </w:p>
          <w:p w14:paraId="45F3B9A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(50分)</w:t>
            </w:r>
          </w:p>
        </w:tc>
        <w:tc>
          <w:tcPr>
            <w:tcW w:w="1140" w:type="dxa"/>
            <w:vMerge w:val="restart"/>
            <w:noWrap w:val="0"/>
            <w:vAlign w:val="center"/>
          </w:tcPr>
          <w:p w14:paraId="240CCAFE">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数量指标</w:t>
            </w:r>
          </w:p>
        </w:tc>
        <w:tc>
          <w:tcPr>
            <w:tcW w:w="2040" w:type="dxa"/>
            <w:noWrap w:val="0"/>
            <w:vAlign w:val="center"/>
          </w:tcPr>
          <w:p w14:paraId="5DCA192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核酸检测覆盖率</w:t>
            </w:r>
          </w:p>
        </w:tc>
        <w:tc>
          <w:tcPr>
            <w:tcW w:w="810" w:type="dxa"/>
            <w:noWrap w:val="0"/>
            <w:vAlign w:val="center"/>
          </w:tcPr>
          <w:p w14:paraId="1193BDC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r>
              <w:rPr>
                <w:rFonts w:hint="eastAsia" w:ascii="Arial"/>
                <w:color w:val="000000" w:themeColor="text1"/>
                <w:spacing w:val="0"/>
                <w:sz w:val="18"/>
                <w:szCs w:val="18"/>
                <w:lang w:val="en-US" w:eastAsia="zh-CN"/>
                <w14:textFill>
                  <w14:solidFill>
                    <w14:schemeClr w14:val="tx1"/>
                  </w14:solidFill>
                </w14:textFill>
              </w:rPr>
              <w:t>%</w:t>
            </w:r>
          </w:p>
        </w:tc>
        <w:tc>
          <w:tcPr>
            <w:tcW w:w="1065" w:type="dxa"/>
            <w:noWrap w:val="0"/>
            <w:vAlign w:val="center"/>
          </w:tcPr>
          <w:p w14:paraId="54C0EF1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r>
              <w:rPr>
                <w:rFonts w:hint="eastAsia" w:ascii="Arial"/>
                <w:color w:val="000000" w:themeColor="text1"/>
                <w:spacing w:val="0"/>
                <w:sz w:val="18"/>
                <w:szCs w:val="18"/>
                <w:lang w:val="en-US" w:eastAsia="zh-CN"/>
                <w14:textFill>
                  <w14:solidFill>
                    <w14:schemeClr w14:val="tx1"/>
                  </w14:solidFill>
                </w14:textFill>
              </w:rPr>
              <w:t>%</w:t>
            </w:r>
          </w:p>
        </w:tc>
        <w:tc>
          <w:tcPr>
            <w:tcW w:w="450" w:type="dxa"/>
            <w:noWrap w:val="0"/>
            <w:vAlign w:val="center"/>
          </w:tcPr>
          <w:p w14:paraId="2E5832F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w:t>
            </w:r>
          </w:p>
        </w:tc>
        <w:tc>
          <w:tcPr>
            <w:tcW w:w="825" w:type="dxa"/>
            <w:noWrap w:val="0"/>
            <w:vAlign w:val="center"/>
          </w:tcPr>
          <w:p w14:paraId="72CCC26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w:t>
            </w:r>
          </w:p>
        </w:tc>
        <w:tc>
          <w:tcPr>
            <w:tcW w:w="1171" w:type="dxa"/>
            <w:noWrap w:val="0"/>
            <w:vAlign w:val="center"/>
          </w:tcPr>
          <w:p w14:paraId="72FDB6AE">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FF0000"/>
                <w:spacing w:val="0"/>
                <w:sz w:val="18"/>
                <w:szCs w:val="18"/>
              </w:rPr>
            </w:pPr>
          </w:p>
        </w:tc>
      </w:tr>
      <w:tr w14:paraId="7C43DA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0DD561C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004" w:type="dxa"/>
            <w:vMerge w:val="continue"/>
            <w:noWrap w:val="0"/>
            <w:vAlign w:val="center"/>
          </w:tcPr>
          <w:p w14:paraId="6F4FA08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p>
        </w:tc>
        <w:tc>
          <w:tcPr>
            <w:tcW w:w="1140" w:type="dxa"/>
            <w:vMerge w:val="continue"/>
            <w:noWrap w:val="0"/>
            <w:vAlign w:val="center"/>
          </w:tcPr>
          <w:p w14:paraId="3B022AE6">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p>
        </w:tc>
        <w:tc>
          <w:tcPr>
            <w:tcW w:w="2040" w:type="dxa"/>
            <w:noWrap w:val="0"/>
            <w:vAlign w:val="center"/>
          </w:tcPr>
          <w:p w14:paraId="4ADE3B2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房费签约清算率</w:t>
            </w:r>
          </w:p>
        </w:tc>
        <w:tc>
          <w:tcPr>
            <w:tcW w:w="810" w:type="dxa"/>
            <w:noWrap w:val="0"/>
            <w:vAlign w:val="center"/>
          </w:tcPr>
          <w:p w14:paraId="472CB94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r>
              <w:rPr>
                <w:rFonts w:hint="eastAsia" w:ascii="Arial"/>
                <w:color w:val="000000" w:themeColor="text1"/>
                <w:spacing w:val="0"/>
                <w:sz w:val="18"/>
                <w:szCs w:val="18"/>
                <w:lang w:val="en-US" w:eastAsia="zh-CN"/>
                <w14:textFill>
                  <w14:solidFill>
                    <w14:schemeClr w14:val="tx1"/>
                  </w14:solidFill>
                </w14:textFill>
              </w:rPr>
              <w:t>%</w:t>
            </w:r>
          </w:p>
        </w:tc>
        <w:tc>
          <w:tcPr>
            <w:tcW w:w="1065" w:type="dxa"/>
            <w:noWrap w:val="0"/>
            <w:vAlign w:val="center"/>
          </w:tcPr>
          <w:p w14:paraId="201B30B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r>
              <w:rPr>
                <w:rFonts w:hint="eastAsia" w:ascii="Arial"/>
                <w:color w:val="000000" w:themeColor="text1"/>
                <w:spacing w:val="0"/>
                <w:sz w:val="18"/>
                <w:szCs w:val="18"/>
                <w:lang w:val="en-US" w:eastAsia="zh-CN"/>
                <w14:textFill>
                  <w14:solidFill>
                    <w14:schemeClr w14:val="tx1"/>
                  </w14:solidFill>
                </w14:textFill>
              </w:rPr>
              <w:t>%</w:t>
            </w:r>
          </w:p>
        </w:tc>
        <w:tc>
          <w:tcPr>
            <w:tcW w:w="450" w:type="dxa"/>
            <w:noWrap w:val="0"/>
            <w:vAlign w:val="center"/>
          </w:tcPr>
          <w:p w14:paraId="323FAD8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w:t>
            </w:r>
          </w:p>
        </w:tc>
        <w:tc>
          <w:tcPr>
            <w:tcW w:w="825" w:type="dxa"/>
            <w:noWrap w:val="0"/>
            <w:vAlign w:val="center"/>
          </w:tcPr>
          <w:p w14:paraId="043721E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w:t>
            </w:r>
          </w:p>
        </w:tc>
        <w:tc>
          <w:tcPr>
            <w:tcW w:w="1171" w:type="dxa"/>
            <w:noWrap w:val="0"/>
            <w:vAlign w:val="center"/>
          </w:tcPr>
          <w:p w14:paraId="0A654A3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FF0000"/>
                <w:spacing w:val="0"/>
                <w:sz w:val="18"/>
                <w:szCs w:val="18"/>
              </w:rPr>
            </w:pPr>
          </w:p>
        </w:tc>
      </w:tr>
      <w:tr w14:paraId="26F90A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369CCF6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004" w:type="dxa"/>
            <w:vMerge w:val="continue"/>
            <w:noWrap w:val="0"/>
            <w:vAlign w:val="center"/>
          </w:tcPr>
          <w:p w14:paraId="0A37A86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p>
        </w:tc>
        <w:tc>
          <w:tcPr>
            <w:tcW w:w="1140" w:type="dxa"/>
            <w:vMerge w:val="continue"/>
            <w:tcBorders>
              <w:bottom w:val="nil"/>
            </w:tcBorders>
            <w:noWrap w:val="0"/>
            <w:vAlign w:val="center"/>
          </w:tcPr>
          <w:p w14:paraId="2C5C1A20">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p>
        </w:tc>
        <w:tc>
          <w:tcPr>
            <w:tcW w:w="2040" w:type="dxa"/>
            <w:noWrap w:val="0"/>
            <w:vAlign w:val="center"/>
          </w:tcPr>
          <w:p w14:paraId="332C1C4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810" w:type="dxa"/>
            <w:noWrap w:val="0"/>
            <w:vAlign w:val="center"/>
          </w:tcPr>
          <w:p w14:paraId="5678DDB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1065" w:type="dxa"/>
            <w:noWrap w:val="0"/>
            <w:vAlign w:val="center"/>
          </w:tcPr>
          <w:p w14:paraId="78EF260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450" w:type="dxa"/>
            <w:noWrap w:val="0"/>
            <w:vAlign w:val="center"/>
          </w:tcPr>
          <w:p w14:paraId="31C4268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825" w:type="dxa"/>
            <w:noWrap w:val="0"/>
            <w:vAlign w:val="center"/>
          </w:tcPr>
          <w:p w14:paraId="09257E4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1171" w:type="dxa"/>
            <w:noWrap w:val="0"/>
            <w:vAlign w:val="center"/>
          </w:tcPr>
          <w:p w14:paraId="68EF4F28">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FF0000"/>
                <w:spacing w:val="0"/>
                <w:sz w:val="18"/>
                <w:szCs w:val="18"/>
              </w:rPr>
            </w:pPr>
          </w:p>
        </w:tc>
      </w:tr>
      <w:tr w14:paraId="55032F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C61841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004" w:type="dxa"/>
            <w:vMerge w:val="continue"/>
            <w:tcBorders>
              <w:top w:val="nil"/>
              <w:bottom w:val="nil"/>
            </w:tcBorders>
            <w:noWrap w:val="0"/>
            <w:vAlign w:val="center"/>
          </w:tcPr>
          <w:p w14:paraId="15A4170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140" w:type="dxa"/>
            <w:tcBorders>
              <w:bottom w:val="nil"/>
            </w:tcBorders>
            <w:noWrap w:val="0"/>
            <w:vAlign w:val="center"/>
          </w:tcPr>
          <w:p w14:paraId="0CC27735">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质量指标</w:t>
            </w:r>
          </w:p>
        </w:tc>
        <w:tc>
          <w:tcPr>
            <w:tcW w:w="2040" w:type="dxa"/>
            <w:noWrap w:val="0"/>
            <w:vAlign w:val="center"/>
          </w:tcPr>
          <w:p w14:paraId="58E19B8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高标准完成各项工作</w:t>
            </w:r>
          </w:p>
        </w:tc>
        <w:tc>
          <w:tcPr>
            <w:tcW w:w="810" w:type="dxa"/>
            <w:noWrap w:val="0"/>
            <w:vAlign w:val="center"/>
          </w:tcPr>
          <w:p w14:paraId="6882DBE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≥95</w:t>
            </w:r>
            <w:r>
              <w:rPr>
                <w:rFonts w:hint="eastAsia" w:ascii="Arial"/>
                <w:color w:val="000000" w:themeColor="text1"/>
                <w:spacing w:val="0"/>
                <w:sz w:val="18"/>
                <w:szCs w:val="18"/>
                <w:lang w:val="en-US" w:eastAsia="zh-CN"/>
                <w14:textFill>
                  <w14:solidFill>
                    <w14:schemeClr w14:val="tx1"/>
                  </w14:solidFill>
                </w14:textFill>
              </w:rPr>
              <w:t>%</w:t>
            </w:r>
          </w:p>
        </w:tc>
        <w:tc>
          <w:tcPr>
            <w:tcW w:w="1065" w:type="dxa"/>
            <w:noWrap w:val="0"/>
            <w:vAlign w:val="center"/>
          </w:tcPr>
          <w:p w14:paraId="6A75F24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95</w:t>
            </w:r>
            <w:r>
              <w:rPr>
                <w:rFonts w:hint="eastAsia" w:ascii="Arial"/>
                <w:color w:val="000000" w:themeColor="text1"/>
                <w:spacing w:val="0"/>
                <w:sz w:val="18"/>
                <w:szCs w:val="18"/>
                <w:lang w:val="en-US" w:eastAsia="zh-CN"/>
                <w14:textFill>
                  <w14:solidFill>
                    <w14:schemeClr w14:val="tx1"/>
                  </w14:solidFill>
                </w14:textFill>
              </w:rPr>
              <w:t>%</w:t>
            </w:r>
          </w:p>
        </w:tc>
        <w:tc>
          <w:tcPr>
            <w:tcW w:w="450" w:type="dxa"/>
            <w:noWrap w:val="0"/>
            <w:vAlign w:val="center"/>
          </w:tcPr>
          <w:p w14:paraId="2B7217A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w:t>
            </w:r>
          </w:p>
        </w:tc>
        <w:tc>
          <w:tcPr>
            <w:tcW w:w="825" w:type="dxa"/>
            <w:noWrap w:val="0"/>
            <w:vAlign w:val="center"/>
          </w:tcPr>
          <w:p w14:paraId="40DCC49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w:t>
            </w:r>
          </w:p>
        </w:tc>
        <w:tc>
          <w:tcPr>
            <w:tcW w:w="1171" w:type="dxa"/>
            <w:noWrap w:val="0"/>
            <w:vAlign w:val="center"/>
          </w:tcPr>
          <w:p w14:paraId="2179466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FF0000"/>
                <w:spacing w:val="0"/>
                <w:sz w:val="18"/>
                <w:szCs w:val="18"/>
                <w:lang w:val="en-US" w:eastAsia="zh-CN"/>
              </w:rPr>
            </w:pPr>
          </w:p>
        </w:tc>
      </w:tr>
      <w:tr w14:paraId="0D27C9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717AF89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004" w:type="dxa"/>
            <w:vMerge w:val="continue"/>
            <w:tcBorders>
              <w:top w:val="nil"/>
              <w:bottom w:val="nil"/>
            </w:tcBorders>
            <w:noWrap w:val="0"/>
            <w:vAlign w:val="center"/>
          </w:tcPr>
          <w:p w14:paraId="06EB7B6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140" w:type="dxa"/>
            <w:tcBorders>
              <w:bottom w:val="nil"/>
            </w:tcBorders>
            <w:noWrap w:val="0"/>
            <w:vAlign w:val="center"/>
          </w:tcPr>
          <w:p w14:paraId="55DB58F5">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时效指标</w:t>
            </w:r>
          </w:p>
        </w:tc>
        <w:tc>
          <w:tcPr>
            <w:tcW w:w="2040" w:type="dxa"/>
            <w:noWrap w:val="0"/>
            <w:vAlign w:val="center"/>
          </w:tcPr>
          <w:p w14:paraId="40A1E78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完成年度工作任务</w:t>
            </w:r>
          </w:p>
        </w:tc>
        <w:tc>
          <w:tcPr>
            <w:tcW w:w="810" w:type="dxa"/>
            <w:noWrap w:val="0"/>
            <w:vAlign w:val="center"/>
          </w:tcPr>
          <w:p w14:paraId="5C335BE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2022年12月</w:t>
            </w:r>
          </w:p>
        </w:tc>
        <w:tc>
          <w:tcPr>
            <w:tcW w:w="1065" w:type="dxa"/>
            <w:noWrap w:val="0"/>
            <w:vAlign w:val="center"/>
          </w:tcPr>
          <w:p w14:paraId="22B2E7F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按时完成</w:t>
            </w:r>
          </w:p>
        </w:tc>
        <w:tc>
          <w:tcPr>
            <w:tcW w:w="450" w:type="dxa"/>
            <w:noWrap w:val="0"/>
            <w:vAlign w:val="center"/>
          </w:tcPr>
          <w:p w14:paraId="3920FF4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w:t>
            </w:r>
          </w:p>
        </w:tc>
        <w:tc>
          <w:tcPr>
            <w:tcW w:w="825" w:type="dxa"/>
            <w:noWrap w:val="0"/>
            <w:vAlign w:val="center"/>
          </w:tcPr>
          <w:p w14:paraId="53BC3E7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w:t>
            </w:r>
          </w:p>
        </w:tc>
        <w:tc>
          <w:tcPr>
            <w:tcW w:w="1171" w:type="dxa"/>
            <w:noWrap w:val="0"/>
            <w:vAlign w:val="center"/>
          </w:tcPr>
          <w:p w14:paraId="5C8EBF5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FF0000"/>
                <w:spacing w:val="0"/>
                <w:sz w:val="18"/>
                <w:szCs w:val="18"/>
                <w:lang w:val="en-US" w:eastAsia="zh-CN"/>
              </w:rPr>
            </w:pPr>
          </w:p>
        </w:tc>
      </w:tr>
      <w:tr w14:paraId="2213C4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30C359E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004" w:type="dxa"/>
            <w:vMerge w:val="continue"/>
            <w:tcBorders>
              <w:top w:val="nil"/>
              <w:bottom w:val="nil"/>
            </w:tcBorders>
            <w:noWrap w:val="0"/>
            <w:vAlign w:val="center"/>
          </w:tcPr>
          <w:p w14:paraId="30AE63D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140" w:type="dxa"/>
            <w:tcBorders>
              <w:bottom w:val="nil"/>
            </w:tcBorders>
            <w:noWrap w:val="0"/>
            <w:vAlign w:val="center"/>
          </w:tcPr>
          <w:p w14:paraId="61DAB5C1">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成本指标</w:t>
            </w:r>
          </w:p>
        </w:tc>
        <w:tc>
          <w:tcPr>
            <w:tcW w:w="2040" w:type="dxa"/>
            <w:noWrap w:val="0"/>
            <w:vAlign w:val="center"/>
          </w:tcPr>
          <w:p w14:paraId="117BD4D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成本节约率</w:t>
            </w:r>
          </w:p>
        </w:tc>
        <w:tc>
          <w:tcPr>
            <w:tcW w:w="810" w:type="dxa"/>
            <w:noWrap w:val="0"/>
            <w:vAlign w:val="center"/>
          </w:tcPr>
          <w:p w14:paraId="3B2D78C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w:t>
            </w:r>
          </w:p>
        </w:tc>
        <w:tc>
          <w:tcPr>
            <w:tcW w:w="1065" w:type="dxa"/>
            <w:noWrap w:val="0"/>
            <w:vAlign w:val="center"/>
          </w:tcPr>
          <w:p w14:paraId="1F0078C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w:t>
            </w:r>
          </w:p>
        </w:tc>
        <w:tc>
          <w:tcPr>
            <w:tcW w:w="450" w:type="dxa"/>
            <w:noWrap w:val="0"/>
            <w:vAlign w:val="center"/>
          </w:tcPr>
          <w:p w14:paraId="4E08454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w:t>
            </w:r>
          </w:p>
        </w:tc>
        <w:tc>
          <w:tcPr>
            <w:tcW w:w="825" w:type="dxa"/>
            <w:noWrap w:val="0"/>
            <w:vAlign w:val="center"/>
          </w:tcPr>
          <w:p w14:paraId="21DCF91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w:t>
            </w:r>
          </w:p>
        </w:tc>
        <w:tc>
          <w:tcPr>
            <w:tcW w:w="1171" w:type="dxa"/>
            <w:noWrap w:val="0"/>
            <w:vAlign w:val="center"/>
          </w:tcPr>
          <w:p w14:paraId="2D68D957">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FF0000"/>
                <w:spacing w:val="0"/>
                <w:sz w:val="18"/>
                <w:szCs w:val="18"/>
              </w:rPr>
            </w:pPr>
          </w:p>
        </w:tc>
      </w:tr>
      <w:tr w14:paraId="0B7119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3E51410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004" w:type="dxa"/>
            <w:vMerge w:val="restart"/>
            <w:tcBorders>
              <w:bottom w:val="nil"/>
            </w:tcBorders>
            <w:noWrap w:val="0"/>
            <w:vAlign w:val="center"/>
          </w:tcPr>
          <w:p w14:paraId="1E97AE60">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18"/>
                <w:szCs w:val="18"/>
                <w14:textFill>
                  <w14:solidFill>
                    <w14:schemeClr w14:val="tx1"/>
                  </w14:solidFill>
                </w14:textFill>
              </w:rPr>
            </w:pPr>
          </w:p>
          <w:p w14:paraId="4A461776">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18"/>
                <w:szCs w:val="18"/>
                <w14:textFill>
                  <w14:solidFill>
                    <w14:schemeClr w14:val="tx1"/>
                  </w14:solidFill>
                </w14:textFill>
              </w:rPr>
            </w:pPr>
          </w:p>
          <w:p w14:paraId="7B97A419">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18"/>
                <w:szCs w:val="18"/>
                <w14:textFill>
                  <w14:solidFill>
                    <w14:schemeClr w14:val="tx1"/>
                  </w14:solidFill>
                </w14:textFill>
              </w:rPr>
            </w:pPr>
          </w:p>
          <w:p w14:paraId="02197461">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position w:val="21"/>
                <w:sz w:val="18"/>
                <w:szCs w:val="18"/>
                <w14:textFill>
                  <w14:solidFill>
                    <w14:schemeClr w14:val="tx1"/>
                  </w14:solidFill>
                </w14:textFill>
              </w:rPr>
              <w:t>效益指标</w:t>
            </w:r>
          </w:p>
          <w:p w14:paraId="63BE135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(30分)</w:t>
            </w:r>
          </w:p>
        </w:tc>
        <w:tc>
          <w:tcPr>
            <w:tcW w:w="1140" w:type="dxa"/>
            <w:tcBorders>
              <w:bottom w:val="nil"/>
            </w:tcBorders>
            <w:noWrap w:val="0"/>
            <w:vAlign w:val="center"/>
          </w:tcPr>
          <w:p w14:paraId="38747C9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position w:val="4"/>
                <w:sz w:val="18"/>
                <w:szCs w:val="18"/>
                <w14:textFill>
                  <w14:solidFill>
                    <w14:schemeClr w14:val="tx1"/>
                  </w14:solidFill>
                </w14:textFill>
              </w:rPr>
              <w:t>经济效</w:t>
            </w:r>
          </w:p>
          <w:p w14:paraId="4B41F9C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益指标</w:t>
            </w:r>
          </w:p>
        </w:tc>
        <w:tc>
          <w:tcPr>
            <w:tcW w:w="2040" w:type="dxa"/>
            <w:noWrap w:val="0"/>
            <w:vAlign w:val="center"/>
          </w:tcPr>
          <w:p w14:paraId="5F601A7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810" w:type="dxa"/>
            <w:noWrap w:val="0"/>
            <w:vAlign w:val="center"/>
          </w:tcPr>
          <w:p w14:paraId="7C72B69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1065" w:type="dxa"/>
            <w:noWrap w:val="0"/>
            <w:vAlign w:val="center"/>
          </w:tcPr>
          <w:p w14:paraId="7E122CB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450" w:type="dxa"/>
            <w:noWrap w:val="0"/>
            <w:vAlign w:val="center"/>
          </w:tcPr>
          <w:p w14:paraId="2BD84CB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825" w:type="dxa"/>
            <w:noWrap w:val="0"/>
            <w:vAlign w:val="center"/>
          </w:tcPr>
          <w:p w14:paraId="0163BDE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1171" w:type="dxa"/>
            <w:noWrap w:val="0"/>
            <w:vAlign w:val="center"/>
          </w:tcPr>
          <w:p w14:paraId="7B7A7354">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FF0000"/>
                <w:spacing w:val="0"/>
                <w:sz w:val="18"/>
                <w:szCs w:val="18"/>
              </w:rPr>
            </w:pPr>
          </w:p>
        </w:tc>
      </w:tr>
      <w:tr w14:paraId="65B39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1" w:hRule="atLeast"/>
        </w:trPr>
        <w:tc>
          <w:tcPr>
            <w:tcW w:w="1075" w:type="dxa"/>
            <w:vMerge w:val="continue"/>
            <w:tcBorders>
              <w:top w:val="nil"/>
              <w:bottom w:val="nil"/>
            </w:tcBorders>
            <w:noWrap w:val="0"/>
            <w:textDirection w:val="tbRlV"/>
            <w:vAlign w:val="center"/>
          </w:tcPr>
          <w:p w14:paraId="34C5607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004" w:type="dxa"/>
            <w:vMerge w:val="continue"/>
            <w:tcBorders>
              <w:top w:val="nil"/>
              <w:bottom w:val="nil"/>
            </w:tcBorders>
            <w:noWrap w:val="0"/>
            <w:vAlign w:val="center"/>
          </w:tcPr>
          <w:p w14:paraId="61785F5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140" w:type="dxa"/>
            <w:tcBorders>
              <w:bottom w:val="nil"/>
            </w:tcBorders>
            <w:noWrap w:val="0"/>
            <w:vAlign w:val="center"/>
          </w:tcPr>
          <w:p w14:paraId="37796E8A">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社会效</w:t>
            </w:r>
          </w:p>
          <w:p w14:paraId="7D6FEB7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益指标</w:t>
            </w:r>
          </w:p>
        </w:tc>
        <w:tc>
          <w:tcPr>
            <w:tcW w:w="2040" w:type="dxa"/>
            <w:noWrap w:val="0"/>
            <w:vAlign w:val="center"/>
          </w:tcPr>
          <w:p w14:paraId="3902538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保障人民群众健康安全率</w:t>
            </w:r>
          </w:p>
        </w:tc>
        <w:tc>
          <w:tcPr>
            <w:tcW w:w="810" w:type="dxa"/>
            <w:noWrap w:val="0"/>
            <w:vAlign w:val="center"/>
          </w:tcPr>
          <w:p w14:paraId="486C92E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≥95</w:t>
            </w:r>
            <w:r>
              <w:rPr>
                <w:rFonts w:hint="eastAsia" w:ascii="Arial"/>
                <w:color w:val="000000" w:themeColor="text1"/>
                <w:spacing w:val="0"/>
                <w:sz w:val="18"/>
                <w:szCs w:val="18"/>
                <w:lang w:val="en-US" w:eastAsia="zh-CN"/>
                <w14:textFill>
                  <w14:solidFill>
                    <w14:schemeClr w14:val="tx1"/>
                  </w14:solidFill>
                </w14:textFill>
              </w:rPr>
              <w:t>%</w:t>
            </w:r>
          </w:p>
        </w:tc>
        <w:tc>
          <w:tcPr>
            <w:tcW w:w="1065" w:type="dxa"/>
            <w:noWrap w:val="0"/>
            <w:vAlign w:val="center"/>
          </w:tcPr>
          <w:p w14:paraId="50ECC36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95</w:t>
            </w:r>
            <w:r>
              <w:rPr>
                <w:rFonts w:hint="eastAsia" w:ascii="Arial"/>
                <w:color w:val="000000" w:themeColor="text1"/>
                <w:spacing w:val="0"/>
                <w:sz w:val="18"/>
                <w:szCs w:val="18"/>
                <w:lang w:val="en-US" w:eastAsia="zh-CN"/>
                <w14:textFill>
                  <w14:solidFill>
                    <w14:schemeClr w14:val="tx1"/>
                  </w14:solidFill>
                </w14:textFill>
              </w:rPr>
              <w:t>%</w:t>
            </w:r>
          </w:p>
        </w:tc>
        <w:tc>
          <w:tcPr>
            <w:tcW w:w="450" w:type="dxa"/>
            <w:noWrap w:val="0"/>
            <w:vAlign w:val="center"/>
          </w:tcPr>
          <w:p w14:paraId="5AC7B8C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30</w:t>
            </w:r>
          </w:p>
        </w:tc>
        <w:tc>
          <w:tcPr>
            <w:tcW w:w="825" w:type="dxa"/>
            <w:noWrap w:val="0"/>
            <w:vAlign w:val="center"/>
          </w:tcPr>
          <w:p w14:paraId="1CE1AE4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28</w:t>
            </w:r>
          </w:p>
        </w:tc>
        <w:tc>
          <w:tcPr>
            <w:tcW w:w="1171" w:type="dxa"/>
            <w:noWrap w:val="0"/>
            <w:vAlign w:val="center"/>
          </w:tcPr>
          <w:p w14:paraId="276823A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FF0000"/>
                <w:spacing w:val="0"/>
                <w:sz w:val="18"/>
                <w:szCs w:val="18"/>
              </w:rPr>
            </w:pPr>
          </w:p>
        </w:tc>
      </w:tr>
      <w:tr w14:paraId="5AF2E0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569D493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004" w:type="dxa"/>
            <w:vMerge w:val="continue"/>
            <w:tcBorders>
              <w:top w:val="nil"/>
              <w:bottom w:val="nil"/>
            </w:tcBorders>
            <w:noWrap w:val="0"/>
            <w:vAlign w:val="center"/>
          </w:tcPr>
          <w:p w14:paraId="144BD47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140" w:type="dxa"/>
            <w:tcBorders>
              <w:bottom w:val="nil"/>
            </w:tcBorders>
            <w:noWrap w:val="0"/>
            <w:vAlign w:val="center"/>
          </w:tcPr>
          <w:p w14:paraId="3100C620">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生态效</w:t>
            </w:r>
          </w:p>
          <w:p w14:paraId="2C5D12C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益指标</w:t>
            </w:r>
          </w:p>
        </w:tc>
        <w:tc>
          <w:tcPr>
            <w:tcW w:w="2040" w:type="dxa"/>
            <w:noWrap w:val="0"/>
            <w:vAlign w:val="center"/>
          </w:tcPr>
          <w:p w14:paraId="5A5FC48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810" w:type="dxa"/>
            <w:noWrap w:val="0"/>
            <w:vAlign w:val="center"/>
          </w:tcPr>
          <w:p w14:paraId="034C9D8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1065" w:type="dxa"/>
            <w:noWrap w:val="0"/>
            <w:vAlign w:val="center"/>
          </w:tcPr>
          <w:p w14:paraId="557B92D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450" w:type="dxa"/>
            <w:noWrap w:val="0"/>
            <w:vAlign w:val="center"/>
          </w:tcPr>
          <w:p w14:paraId="54937D1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825" w:type="dxa"/>
            <w:noWrap w:val="0"/>
            <w:vAlign w:val="center"/>
          </w:tcPr>
          <w:p w14:paraId="741D3FF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1171" w:type="dxa"/>
            <w:noWrap w:val="0"/>
            <w:vAlign w:val="center"/>
          </w:tcPr>
          <w:p w14:paraId="5DB5751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FF0000"/>
                <w:spacing w:val="0"/>
                <w:sz w:val="18"/>
                <w:szCs w:val="18"/>
              </w:rPr>
            </w:pPr>
          </w:p>
        </w:tc>
      </w:tr>
      <w:tr w14:paraId="2A7BDA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398A163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004" w:type="dxa"/>
            <w:vMerge w:val="continue"/>
            <w:tcBorders>
              <w:top w:val="nil"/>
              <w:bottom w:val="nil"/>
            </w:tcBorders>
            <w:noWrap w:val="0"/>
            <w:vAlign w:val="center"/>
          </w:tcPr>
          <w:p w14:paraId="3482FBD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140" w:type="dxa"/>
            <w:tcBorders>
              <w:bottom w:val="nil"/>
            </w:tcBorders>
            <w:noWrap w:val="0"/>
            <w:vAlign w:val="center"/>
          </w:tcPr>
          <w:p w14:paraId="19154679">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可持续</w:t>
            </w:r>
          </w:p>
          <w:p w14:paraId="53799EC8">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影响指标</w:t>
            </w:r>
          </w:p>
        </w:tc>
        <w:tc>
          <w:tcPr>
            <w:tcW w:w="2040" w:type="dxa"/>
            <w:noWrap w:val="0"/>
            <w:vAlign w:val="center"/>
          </w:tcPr>
          <w:p w14:paraId="4F3774D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810" w:type="dxa"/>
            <w:noWrap w:val="0"/>
            <w:vAlign w:val="center"/>
          </w:tcPr>
          <w:p w14:paraId="57FC09A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1065" w:type="dxa"/>
            <w:noWrap w:val="0"/>
            <w:vAlign w:val="center"/>
          </w:tcPr>
          <w:p w14:paraId="290F4A2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p>
        </w:tc>
        <w:tc>
          <w:tcPr>
            <w:tcW w:w="450" w:type="dxa"/>
            <w:noWrap w:val="0"/>
            <w:vAlign w:val="center"/>
          </w:tcPr>
          <w:p w14:paraId="648DF80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p>
        </w:tc>
        <w:tc>
          <w:tcPr>
            <w:tcW w:w="825" w:type="dxa"/>
            <w:noWrap w:val="0"/>
            <w:vAlign w:val="center"/>
          </w:tcPr>
          <w:p w14:paraId="2DE3099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p>
        </w:tc>
        <w:tc>
          <w:tcPr>
            <w:tcW w:w="1171" w:type="dxa"/>
            <w:noWrap w:val="0"/>
            <w:vAlign w:val="center"/>
          </w:tcPr>
          <w:p w14:paraId="6AF9762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FF0000"/>
                <w:spacing w:val="0"/>
                <w:sz w:val="18"/>
                <w:szCs w:val="18"/>
              </w:rPr>
            </w:pPr>
          </w:p>
        </w:tc>
      </w:tr>
      <w:tr w14:paraId="3A66B3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71DAF1C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18"/>
                <w:szCs w:val="18"/>
                <w14:textFill>
                  <w14:solidFill>
                    <w14:schemeClr w14:val="tx1"/>
                  </w14:solidFill>
                </w14:textFill>
              </w:rPr>
            </w:pPr>
          </w:p>
        </w:tc>
        <w:tc>
          <w:tcPr>
            <w:tcW w:w="1004" w:type="dxa"/>
            <w:tcBorders>
              <w:bottom w:val="nil"/>
            </w:tcBorders>
            <w:noWrap w:val="0"/>
            <w:vAlign w:val="center"/>
          </w:tcPr>
          <w:p w14:paraId="29E9708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满意度</w:t>
            </w:r>
          </w:p>
          <w:p w14:paraId="0B19B9B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指标</w:t>
            </w:r>
          </w:p>
          <w:p w14:paraId="69D48110">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(10分)</w:t>
            </w:r>
          </w:p>
        </w:tc>
        <w:tc>
          <w:tcPr>
            <w:tcW w:w="1140" w:type="dxa"/>
            <w:tcBorders>
              <w:bottom w:val="nil"/>
            </w:tcBorders>
            <w:noWrap w:val="0"/>
            <w:vAlign w:val="center"/>
          </w:tcPr>
          <w:p w14:paraId="28723F3D">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服务对象</w:t>
            </w:r>
          </w:p>
          <w:p w14:paraId="2D873FF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满意度</w:t>
            </w:r>
          </w:p>
          <w:p w14:paraId="06931658">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指标</w:t>
            </w:r>
          </w:p>
        </w:tc>
        <w:tc>
          <w:tcPr>
            <w:tcW w:w="2040" w:type="dxa"/>
            <w:noWrap w:val="0"/>
            <w:vAlign w:val="center"/>
          </w:tcPr>
          <w:p w14:paraId="2514438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社会公众满意度</w:t>
            </w:r>
          </w:p>
        </w:tc>
        <w:tc>
          <w:tcPr>
            <w:tcW w:w="810" w:type="dxa"/>
            <w:noWrap w:val="0"/>
            <w:vAlign w:val="center"/>
          </w:tcPr>
          <w:p w14:paraId="4EDBA2B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r>
              <w:rPr>
                <w:rFonts w:hint="default" w:ascii="宋体" w:hAnsi="宋体" w:eastAsia="宋体" w:cs="宋体"/>
                <w:i w:val="0"/>
                <w:iCs w:val="0"/>
                <w:color w:val="000000"/>
                <w:kern w:val="0"/>
                <w:sz w:val="18"/>
                <w:szCs w:val="18"/>
                <w:u w:val="none"/>
                <w:lang w:val="en-US" w:eastAsia="zh-CN" w:bidi="ar"/>
              </w:rPr>
              <w:t>95</w:t>
            </w:r>
            <w:r>
              <w:rPr>
                <w:rFonts w:hint="eastAsia" w:ascii="Arial"/>
                <w:color w:val="000000" w:themeColor="text1"/>
                <w:spacing w:val="0"/>
                <w:sz w:val="18"/>
                <w:szCs w:val="18"/>
                <w:lang w:val="en-US" w:eastAsia="zh-CN"/>
                <w14:textFill>
                  <w14:solidFill>
                    <w14:schemeClr w14:val="tx1"/>
                  </w14:solidFill>
                </w14:textFill>
              </w:rPr>
              <w:t>%</w:t>
            </w:r>
          </w:p>
        </w:tc>
        <w:tc>
          <w:tcPr>
            <w:tcW w:w="1065" w:type="dxa"/>
            <w:noWrap w:val="0"/>
            <w:vAlign w:val="center"/>
          </w:tcPr>
          <w:p w14:paraId="094F22F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95</w:t>
            </w:r>
            <w:r>
              <w:rPr>
                <w:rFonts w:hint="eastAsia" w:ascii="Arial"/>
                <w:color w:val="000000" w:themeColor="text1"/>
                <w:spacing w:val="0"/>
                <w:sz w:val="18"/>
                <w:szCs w:val="18"/>
                <w:lang w:val="en-US" w:eastAsia="zh-CN"/>
                <w14:textFill>
                  <w14:solidFill>
                    <w14:schemeClr w14:val="tx1"/>
                  </w14:solidFill>
                </w14:textFill>
              </w:rPr>
              <w:t>%</w:t>
            </w:r>
          </w:p>
        </w:tc>
        <w:tc>
          <w:tcPr>
            <w:tcW w:w="450" w:type="dxa"/>
            <w:noWrap w:val="0"/>
            <w:vAlign w:val="center"/>
          </w:tcPr>
          <w:p w14:paraId="029BC9D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w:t>
            </w:r>
          </w:p>
        </w:tc>
        <w:tc>
          <w:tcPr>
            <w:tcW w:w="825" w:type="dxa"/>
            <w:noWrap w:val="0"/>
            <w:vAlign w:val="center"/>
          </w:tcPr>
          <w:p w14:paraId="2B31447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w:t>
            </w:r>
          </w:p>
        </w:tc>
        <w:tc>
          <w:tcPr>
            <w:tcW w:w="1171" w:type="dxa"/>
            <w:noWrap w:val="0"/>
            <w:vAlign w:val="center"/>
          </w:tcPr>
          <w:p w14:paraId="0263CA0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FF0000"/>
                <w:spacing w:val="0"/>
                <w:sz w:val="18"/>
                <w:szCs w:val="18"/>
              </w:rPr>
            </w:pPr>
          </w:p>
        </w:tc>
      </w:tr>
      <w:tr w14:paraId="682532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7134" w:type="dxa"/>
            <w:gridSpan w:val="6"/>
            <w:noWrap w:val="0"/>
            <w:vAlign w:val="center"/>
          </w:tcPr>
          <w:p w14:paraId="0BBE6B0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总分</w:t>
            </w:r>
          </w:p>
        </w:tc>
        <w:tc>
          <w:tcPr>
            <w:tcW w:w="450" w:type="dxa"/>
            <w:noWrap w:val="0"/>
            <w:vAlign w:val="center"/>
          </w:tcPr>
          <w:p w14:paraId="4ADB697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p>
        </w:tc>
        <w:tc>
          <w:tcPr>
            <w:tcW w:w="825" w:type="dxa"/>
            <w:noWrap w:val="0"/>
            <w:vAlign w:val="center"/>
          </w:tcPr>
          <w:p w14:paraId="358B1A2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98</w:t>
            </w:r>
          </w:p>
        </w:tc>
        <w:tc>
          <w:tcPr>
            <w:tcW w:w="1171" w:type="dxa"/>
            <w:noWrap w:val="0"/>
            <w:vAlign w:val="center"/>
          </w:tcPr>
          <w:p w14:paraId="568EE13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FF0000"/>
                <w:spacing w:val="0"/>
                <w:sz w:val="18"/>
                <w:szCs w:val="18"/>
              </w:rPr>
            </w:pPr>
          </w:p>
        </w:tc>
      </w:tr>
    </w:tbl>
    <w:p w14:paraId="50BFCDE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18"/>
          <w:szCs w:val="18"/>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18"/>
          <w:szCs w:val="18"/>
          <w:lang w:eastAsia="zh-CN"/>
          <w14:textFill>
            <w14:solidFill>
              <w14:schemeClr w14:val="tx1"/>
            </w14:solidFill>
          </w14:textFill>
        </w:rPr>
        <w:t>任雨鸿</w:t>
      </w:r>
      <w:r>
        <w:rPr>
          <w:rFonts w:hint="eastAsia" w:asciiTheme="majorEastAsia" w:hAnsiTheme="majorEastAsia" w:eastAsiaTheme="majorEastAsia" w:cstheme="majorEastAsia"/>
          <w:color w:val="000000" w:themeColor="text1"/>
          <w:spacing w:val="0"/>
          <w:position w:val="0"/>
          <w:sz w:val="18"/>
          <w:szCs w:val="18"/>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18"/>
          <w:szCs w:val="18"/>
          <w:lang w:val="en-US" w:eastAsia="zh-CN"/>
          <w14:textFill>
            <w14:solidFill>
              <w14:schemeClr w14:val="tx1"/>
            </w14:solidFill>
          </w14:textFill>
        </w:rPr>
        <w:t>13873081203</w:t>
      </w:r>
      <w:r>
        <w:rPr>
          <w:rFonts w:hint="eastAsia" w:asciiTheme="majorEastAsia" w:hAnsiTheme="majorEastAsia" w:eastAsiaTheme="majorEastAsia" w:cstheme="majorEastAsia"/>
          <w:color w:val="000000" w:themeColor="text1"/>
          <w:spacing w:val="0"/>
          <w:position w:val="0"/>
          <w:sz w:val="18"/>
          <w:szCs w:val="18"/>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18"/>
          <w:szCs w:val="18"/>
          <w:lang w:val="en-US" w:eastAsia="zh-CN"/>
          <w14:textFill>
            <w14:solidFill>
              <w14:schemeClr w14:val="tx1"/>
            </w14:solidFill>
          </w14:textFill>
        </w:rPr>
        <w:t xml:space="preserve">刘英 </w:t>
      </w:r>
      <w:r>
        <w:rPr>
          <w:rFonts w:hint="eastAsia" w:asciiTheme="majorEastAsia" w:hAnsiTheme="majorEastAsia" w:eastAsiaTheme="majorEastAsia" w:cstheme="majorEastAsia"/>
          <w:color w:val="000000" w:themeColor="text1"/>
          <w:spacing w:val="0"/>
          <w:position w:val="0"/>
          <w:sz w:val="18"/>
          <w:szCs w:val="18"/>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18"/>
          <w:szCs w:val="18"/>
          <w:lang w:val="en-US" w:eastAsia="zh-CN"/>
          <w14:textFill>
            <w14:solidFill>
              <w14:schemeClr w14:val="tx1"/>
            </w14:solidFill>
          </w14:textFill>
        </w:rPr>
        <w:t>2023-6-2</w:t>
      </w:r>
    </w:p>
    <w:p w14:paraId="60FE6949">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both"/>
        <w:textAlignment w:val="auto"/>
        <w:rPr>
          <w:rFonts w:hint="eastAsia" w:ascii="宋体" w:hAnsi="宋体" w:eastAsia="宋体" w:cs="宋体"/>
          <w:b/>
          <w:bCs/>
          <w:kern w:val="2"/>
          <w:sz w:val="44"/>
          <w:szCs w:val="44"/>
        </w:rPr>
      </w:pPr>
      <w:r>
        <w:rPr>
          <w:rFonts w:hint="eastAsia" w:ascii="宋体" w:hAnsi="宋体" w:cs="宋体"/>
          <w:b/>
          <w:bCs/>
          <w:kern w:val="2"/>
          <w:sz w:val="44"/>
          <w:szCs w:val="44"/>
          <w:lang w:val="en-US" w:eastAsia="zh-CN"/>
        </w:rPr>
        <w:t>疫情防控项目</w:t>
      </w:r>
      <w:r>
        <w:rPr>
          <w:rFonts w:hint="eastAsia" w:ascii="宋体" w:hAnsi="宋体" w:cs="宋体"/>
          <w:b/>
          <w:bCs/>
          <w:kern w:val="2"/>
          <w:sz w:val="44"/>
          <w:szCs w:val="44"/>
          <w:lang w:eastAsia="zh-CN"/>
        </w:rPr>
        <w:t>资金</w:t>
      </w:r>
      <w:r>
        <w:rPr>
          <w:rFonts w:hint="eastAsia" w:ascii="宋体" w:hAnsi="宋体" w:eastAsia="宋体" w:cs="宋体"/>
          <w:b/>
          <w:bCs/>
          <w:kern w:val="2"/>
          <w:sz w:val="44"/>
          <w:szCs w:val="44"/>
        </w:rPr>
        <w:t>2022年度绩效自评报告</w:t>
      </w:r>
    </w:p>
    <w:p w14:paraId="6A97684F">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240" w:lineRule="auto"/>
        <w:ind w:firstLine="602" w:firstLineChars="200"/>
        <w:jc w:val="both"/>
        <w:textAlignment w:val="auto"/>
        <w:rPr>
          <w:rFonts w:hint="eastAsia" w:ascii="仿宋" w:hAnsi="仿宋" w:eastAsia="仿宋" w:cs="仿宋"/>
          <w:b/>
          <w:bCs/>
          <w:kern w:val="2"/>
          <w:sz w:val="30"/>
          <w:szCs w:val="30"/>
          <w:lang w:val="en-US" w:eastAsia="zh-CN" w:bidi="ar-SA"/>
        </w:rPr>
      </w:pPr>
      <w:r>
        <w:rPr>
          <w:rFonts w:hint="eastAsia" w:ascii="仿宋" w:hAnsi="仿宋" w:eastAsia="仿宋" w:cs="仿宋"/>
          <w:b/>
          <w:bCs/>
          <w:kern w:val="2"/>
          <w:sz w:val="30"/>
          <w:szCs w:val="30"/>
          <w:lang w:val="en-US" w:eastAsia="zh-CN" w:bidi="ar-SA"/>
        </w:rPr>
        <w:t>一、绩效目标分解下达情况</w:t>
      </w:r>
    </w:p>
    <w:p w14:paraId="05489EE0">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00" w:firstLineChars="200"/>
        <w:jc w:val="both"/>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疫情防控项目资金1348.82万元。</w:t>
      </w:r>
      <w:r>
        <w:rPr>
          <w:rFonts w:hint="eastAsia" w:ascii="仿宋" w:hAnsi="仿宋" w:eastAsia="仿宋" w:cs="仿宋"/>
          <w:b w:val="0"/>
          <w:bCs w:val="0"/>
          <w:sz w:val="30"/>
          <w:szCs w:val="30"/>
          <w:lang w:val="en-US" w:eastAsia="zh-CN"/>
        </w:rPr>
        <w:t>由</w:t>
      </w:r>
      <w:r>
        <w:rPr>
          <w:rFonts w:hint="eastAsia" w:ascii="仿宋" w:hAnsi="仿宋" w:eastAsia="仿宋" w:cs="仿宋"/>
          <w:sz w:val="30"/>
          <w:szCs w:val="30"/>
          <w:lang w:val="en-US" w:eastAsia="zh-CN"/>
        </w:rPr>
        <w:t>本级安排疫情防控项目资金1348.82万元。</w:t>
      </w: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按照疫情防控行业部门责任，全年征用隔离宾馆11家，全局15个市场监督检查组坚持开展日常巡查，督促区内宾馆、文娱、网吧经营场所落实各项疫情防控措施。</w:t>
      </w:r>
    </w:p>
    <w:p w14:paraId="0AE19602">
      <w:pPr>
        <w:pStyle w:val="6"/>
        <w:widowControl/>
        <w:shd w:val="clear" w:color="auto" w:fill="FFFFFF"/>
        <w:spacing w:beforeAutospacing="0" w:after="225" w:afterAutospacing="0" w:line="400" w:lineRule="exact"/>
        <w:ind w:firstLine="630"/>
        <w:jc w:val="both"/>
        <w:rPr>
          <w:rFonts w:hint="eastAsia" w:ascii="仿宋" w:hAnsi="仿宋" w:eastAsia="仿宋" w:cs="仿宋"/>
          <w:b/>
          <w:bCs/>
          <w:color w:val="3D3D3D"/>
          <w:sz w:val="30"/>
          <w:szCs w:val="30"/>
        </w:rPr>
      </w:pPr>
      <w:r>
        <w:rPr>
          <w:rFonts w:hint="eastAsia" w:ascii="黑体" w:hAnsi="黑体" w:eastAsia="黑体" w:cs="黑体"/>
          <w:b w:val="0"/>
          <w:bCs w:val="0"/>
          <w:color w:val="3D3D3D"/>
          <w:sz w:val="30"/>
          <w:szCs w:val="30"/>
          <w:shd w:val="clear" w:color="auto" w:fill="FFFFFF"/>
        </w:rPr>
        <w:t>二、绩效目标完成情况分析</w:t>
      </w:r>
    </w:p>
    <w:p w14:paraId="3BE1B2BA">
      <w:pPr>
        <w:pStyle w:val="6"/>
        <w:widowControl/>
        <w:shd w:val="clear" w:color="auto" w:fill="FFFFFF"/>
        <w:spacing w:beforeAutospacing="0" w:after="225" w:afterAutospacing="0" w:line="400" w:lineRule="exact"/>
        <w:ind w:firstLine="630"/>
        <w:jc w:val="both"/>
        <w:rPr>
          <w:rFonts w:hint="eastAsia" w:ascii="仿宋" w:hAnsi="仿宋" w:eastAsia="仿宋" w:cs="仿宋"/>
          <w:color w:val="auto"/>
          <w:sz w:val="30"/>
          <w:szCs w:val="30"/>
          <w:shd w:val="clear" w:color="auto" w:fill="FFFFFF"/>
        </w:rPr>
      </w:pPr>
      <w:r>
        <w:rPr>
          <w:rFonts w:hint="eastAsia" w:ascii="仿宋" w:hAnsi="仿宋" w:eastAsia="仿宋" w:cs="仿宋"/>
          <w:color w:val="auto"/>
          <w:sz w:val="30"/>
          <w:szCs w:val="30"/>
          <w:shd w:val="clear" w:color="auto" w:fill="FFFFFF"/>
        </w:rPr>
        <w:t>（一）资金投入情况分析</w:t>
      </w:r>
    </w:p>
    <w:p w14:paraId="651F1D62">
      <w:pPr>
        <w:pStyle w:val="6"/>
        <w:widowControl/>
        <w:shd w:val="clear" w:color="auto" w:fill="FFFFFF"/>
        <w:spacing w:beforeAutospacing="0" w:after="225" w:afterAutospacing="0" w:line="400" w:lineRule="exact"/>
        <w:ind w:firstLine="630"/>
        <w:jc w:val="both"/>
        <w:rPr>
          <w:rFonts w:hint="eastAsia" w:ascii="仿宋" w:hAnsi="仿宋" w:eastAsia="仿宋" w:cs="仿宋"/>
          <w:b w:val="0"/>
          <w:bCs w:val="0"/>
          <w:sz w:val="30"/>
          <w:szCs w:val="30"/>
        </w:rPr>
      </w:pPr>
      <w:r>
        <w:rPr>
          <w:rFonts w:hint="eastAsia" w:ascii="仿宋" w:hAnsi="仿宋" w:eastAsia="仿宋" w:cs="仿宋"/>
          <w:b w:val="0"/>
          <w:bCs w:val="0"/>
          <w:sz w:val="30"/>
          <w:szCs w:val="30"/>
          <w:lang w:val="en-US" w:eastAsia="zh-CN"/>
        </w:rPr>
        <w:t>1.</w:t>
      </w:r>
      <w:r>
        <w:rPr>
          <w:rFonts w:hint="eastAsia" w:ascii="仿宋" w:hAnsi="仿宋" w:eastAsia="仿宋" w:cs="仿宋"/>
          <w:b w:val="0"/>
          <w:bCs w:val="0"/>
          <w:sz w:val="30"/>
          <w:szCs w:val="30"/>
        </w:rPr>
        <w:t>项目资金实际使用情况分析</w:t>
      </w:r>
    </w:p>
    <w:p w14:paraId="3C73787C">
      <w:pPr>
        <w:keepNext w:val="0"/>
        <w:keepLines w:val="0"/>
        <w:pageBreakBefore w:val="0"/>
        <w:widowControl w:val="0"/>
        <w:kinsoku/>
        <w:wordWrap/>
        <w:overflowPunct/>
        <w:topLinePunct w:val="0"/>
        <w:autoSpaceDE/>
        <w:autoSpaceDN/>
        <w:bidi w:val="0"/>
        <w:adjustRightInd/>
        <w:snapToGrid/>
        <w:ind w:firstLine="600" w:firstLineChars="200"/>
        <w:rPr>
          <w:rFonts w:hint="eastAsia" w:ascii="仿宋" w:hAnsi="仿宋" w:eastAsia="仿宋" w:cs="仿宋"/>
          <w:color w:val="0000FF"/>
          <w:sz w:val="30"/>
          <w:szCs w:val="30"/>
          <w:lang w:val="en-US" w:eastAsia="zh-CN"/>
        </w:rPr>
      </w:pPr>
      <w:r>
        <w:rPr>
          <w:rFonts w:hint="eastAsia" w:ascii="仿宋" w:hAnsi="仿宋" w:eastAsia="仿宋" w:cs="仿宋"/>
          <w:sz w:val="30"/>
          <w:szCs w:val="30"/>
          <w:lang w:val="en-US" w:eastAsia="zh-CN"/>
        </w:rPr>
        <w:t>该项目资金使用严格按审批程序办理，操作规范、会计核审结果真实、准确，主要是用于：疫情防控隔离宾馆房费支出1276.05万元；</w:t>
      </w: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核酸检测和集中隔离点管理支出72.77万元</w:t>
      </w:r>
      <w:r>
        <w:rPr>
          <w:rFonts w:hint="eastAsia" w:ascii="仿宋" w:hAnsi="仿宋" w:eastAsia="仿宋" w:cs="仿宋"/>
          <w:color w:val="000000" w:themeColor="text1"/>
          <w:sz w:val="30"/>
          <w:szCs w:val="30"/>
          <w:lang w:val="en-US" w:eastAsia="zh-CN"/>
          <w14:textFill>
            <w14:solidFill>
              <w14:schemeClr w14:val="tx1"/>
            </w14:solidFill>
          </w14:textFill>
        </w:rPr>
        <w:t>。</w:t>
      </w:r>
    </w:p>
    <w:p w14:paraId="01E48118">
      <w:pPr>
        <w:keepNext w:val="0"/>
        <w:keepLines w:val="0"/>
        <w:pageBreakBefore w:val="0"/>
        <w:widowControl w:val="0"/>
        <w:kinsoku/>
        <w:wordWrap/>
        <w:overflowPunct/>
        <w:topLinePunct w:val="0"/>
        <w:autoSpaceDE/>
        <w:autoSpaceDN/>
        <w:bidi w:val="0"/>
        <w:adjustRightInd/>
        <w:snapToGrid/>
        <w:ind w:firstLine="600" w:firstLineChars="200"/>
        <w:rPr>
          <w:rFonts w:hint="eastAsia" w:ascii="仿宋" w:hAnsi="仿宋" w:eastAsia="仿宋" w:cs="仿宋"/>
          <w:b w:val="0"/>
          <w:bCs w:val="0"/>
          <w:sz w:val="30"/>
          <w:szCs w:val="30"/>
        </w:rPr>
      </w:pPr>
      <w:r>
        <w:rPr>
          <w:rFonts w:hint="eastAsia" w:ascii="仿宋" w:hAnsi="仿宋" w:eastAsia="仿宋" w:cs="仿宋"/>
          <w:b w:val="0"/>
          <w:bCs w:val="0"/>
          <w:sz w:val="30"/>
          <w:szCs w:val="30"/>
          <w:lang w:val="en-US" w:eastAsia="zh-CN"/>
        </w:rPr>
        <w:t>2.</w:t>
      </w:r>
      <w:r>
        <w:rPr>
          <w:rFonts w:hint="eastAsia" w:ascii="仿宋" w:hAnsi="仿宋" w:eastAsia="仿宋" w:cs="仿宋"/>
          <w:b w:val="0"/>
          <w:bCs w:val="0"/>
          <w:sz w:val="30"/>
          <w:szCs w:val="30"/>
        </w:rPr>
        <w:t>项目资金管理情况分析</w:t>
      </w:r>
    </w:p>
    <w:p w14:paraId="5594A617">
      <w:pPr>
        <w:keepNext w:val="0"/>
        <w:keepLines w:val="0"/>
        <w:pageBreakBefore w:val="0"/>
        <w:widowControl w:val="0"/>
        <w:kinsoku/>
        <w:wordWrap/>
        <w:overflowPunct/>
        <w:topLinePunct w:val="0"/>
        <w:autoSpaceDE/>
        <w:autoSpaceDN/>
        <w:bidi w:val="0"/>
        <w:adjustRightInd/>
        <w:snapToGrid/>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此</w:t>
      </w:r>
      <w:r>
        <w:rPr>
          <w:rFonts w:hint="eastAsia" w:ascii="仿宋" w:hAnsi="仿宋" w:eastAsia="仿宋" w:cs="仿宋"/>
          <w:sz w:val="30"/>
          <w:szCs w:val="30"/>
        </w:rPr>
        <w:t>项目严格按照专项资金的用途和范围，专款专用，</w:t>
      </w:r>
      <w:r>
        <w:rPr>
          <w:rFonts w:hint="eastAsia" w:ascii="仿宋" w:hAnsi="仿宋" w:eastAsia="仿宋" w:cs="仿宋"/>
          <w:sz w:val="30"/>
          <w:szCs w:val="30"/>
          <w:lang w:val="en-US" w:eastAsia="zh-CN"/>
        </w:rPr>
        <w:t>真实、有效、合法的</w:t>
      </w:r>
      <w:r>
        <w:rPr>
          <w:rFonts w:hint="eastAsia" w:ascii="仿宋" w:hAnsi="仿宋" w:eastAsia="仿宋" w:cs="仿宋"/>
          <w:sz w:val="30"/>
          <w:szCs w:val="30"/>
        </w:rPr>
        <w:t>实际开支</w:t>
      </w:r>
      <w:r>
        <w:rPr>
          <w:rFonts w:hint="eastAsia" w:ascii="仿宋" w:hAnsi="仿宋" w:eastAsia="仿宋" w:cs="仿宋"/>
          <w:sz w:val="30"/>
          <w:szCs w:val="30"/>
          <w:lang w:val="en-US" w:eastAsia="zh-CN"/>
        </w:rPr>
        <w:t>凭证，严格审批</w:t>
      </w:r>
      <w:r>
        <w:rPr>
          <w:rFonts w:hint="eastAsia" w:ascii="仿宋" w:hAnsi="仿宋" w:eastAsia="仿宋" w:cs="仿宋"/>
          <w:sz w:val="30"/>
          <w:szCs w:val="30"/>
        </w:rPr>
        <w:t>予以支付报销</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充分保障资金安全运行，发挥资金的使用效益。</w:t>
      </w:r>
    </w:p>
    <w:p w14:paraId="464D412B">
      <w:pPr>
        <w:numPr>
          <w:ilvl w:val="0"/>
          <w:numId w:val="1"/>
        </w:numPr>
        <w:ind w:left="30" w:leftChars="0" w:firstLine="600" w:firstLineChars="0"/>
        <w:jc w:val="both"/>
        <w:rPr>
          <w:rFonts w:hint="eastAsia" w:ascii="仿宋" w:hAnsi="仿宋" w:eastAsia="仿宋" w:cs="仿宋"/>
          <w:color w:val="auto"/>
          <w:sz w:val="30"/>
          <w:szCs w:val="30"/>
          <w:shd w:val="clear" w:color="auto" w:fill="FFFFFF"/>
        </w:rPr>
      </w:pPr>
      <w:r>
        <w:rPr>
          <w:rFonts w:hint="eastAsia" w:ascii="仿宋" w:hAnsi="仿宋" w:eastAsia="仿宋" w:cs="仿宋"/>
          <w:color w:val="auto"/>
          <w:sz w:val="30"/>
          <w:szCs w:val="30"/>
          <w:shd w:val="clear" w:color="auto" w:fill="FFFFFF"/>
        </w:rPr>
        <w:t>总体绩效目标完成情况分析</w:t>
      </w:r>
    </w:p>
    <w:p w14:paraId="1F57A61A">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40" w:firstLineChars="2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按照疫情防控行业部门责任，全局15个市场监督检查组坚持开展日常巡查，督促区内宾馆、文娱、网吧经营场所落实各项疫情防控措施。截至9月28日，共检查经营门店3200余家次，现场整改132家次，配合执法部门停业整改13家次，督促文旅行业中风险从业人员完成核酸检测17000余人次（一周两检）。根据区防指工作指令，3月26日至5月5日，抽调9人到铂臣酒店开展集中隔离点管理工作。全年配合区防控指挥部征用隔离宾馆11家，并开展隔离宾馆房费签约清算工作，积极将疫情防控措施落实到文化旅游体育行业的各领域、各环节，做到了“守土有责、守土负责、守土尽责”。</w:t>
      </w:r>
    </w:p>
    <w:p w14:paraId="17526E6F">
      <w:pPr>
        <w:pStyle w:val="6"/>
        <w:keepNext w:val="0"/>
        <w:keepLines w:val="0"/>
        <w:pageBreakBefore w:val="0"/>
        <w:widowControl/>
        <w:shd w:val="clear" w:color="auto" w:fill="FFFFFF"/>
        <w:kinsoku/>
        <w:wordWrap/>
        <w:overflowPunct/>
        <w:topLinePunct w:val="0"/>
        <w:autoSpaceDE/>
        <w:autoSpaceDN/>
        <w:bidi w:val="0"/>
        <w:adjustRightInd/>
        <w:spacing w:beforeAutospacing="0" w:afterAutospacing="0" w:line="240" w:lineRule="auto"/>
        <w:ind w:firstLine="630"/>
        <w:jc w:val="both"/>
        <w:textAlignment w:val="auto"/>
        <w:rPr>
          <w:rFonts w:hint="eastAsia" w:ascii="黑体" w:hAnsi="黑体" w:eastAsia="黑体" w:cs="黑体"/>
          <w:b w:val="0"/>
          <w:bCs w:val="0"/>
          <w:color w:val="3D3D3D"/>
          <w:kern w:val="0"/>
          <w:sz w:val="30"/>
          <w:szCs w:val="30"/>
          <w:shd w:val="clear" w:color="auto" w:fill="FFFFFF"/>
          <w:lang w:val="en-US" w:eastAsia="zh-CN" w:bidi="ar-SA"/>
        </w:rPr>
      </w:pPr>
      <w:r>
        <w:rPr>
          <w:rFonts w:hint="eastAsia" w:ascii="仿宋" w:hAnsi="仿宋" w:eastAsia="仿宋" w:cs="仿宋"/>
          <w:b/>
          <w:bCs/>
          <w:color w:val="auto"/>
          <w:sz w:val="30"/>
          <w:szCs w:val="30"/>
          <w:shd w:val="clear" w:color="auto" w:fill="FFFFFF"/>
        </w:rPr>
        <w:t>三</w:t>
      </w:r>
      <w:r>
        <w:rPr>
          <w:rFonts w:hint="eastAsia" w:ascii="仿宋" w:hAnsi="仿宋" w:eastAsia="仿宋" w:cs="仿宋"/>
          <w:b/>
          <w:bCs/>
          <w:color w:val="auto"/>
          <w:sz w:val="30"/>
          <w:szCs w:val="30"/>
          <w:shd w:val="clear" w:color="auto" w:fill="FFFFFF"/>
          <w:lang w:eastAsia="zh-CN"/>
        </w:rPr>
        <w:t>、</w:t>
      </w:r>
      <w:r>
        <w:rPr>
          <w:rFonts w:hint="eastAsia" w:ascii="黑体" w:hAnsi="黑体" w:eastAsia="黑体" w:cs="黑体"/>
          <w:b w:val="0"/>
          <w:bCs w:val="0"/>
          <w:color w:val="3D3D3D"/>
          <w:kern w:val="0"/>
          <w:sz w:val="30"/>
          <w:szCs w:val="30"/>
          <w:shd w:val="clear" w:color="auto" w:fill="FFFFFF"/>
          <w:lang w:val="en-US" w:eastAsia="zh-CN" w:bidi="ar-SA"/>
        </w:rPr>
        <w:t>评价结果</w:t>
      </w:r>
    </w:p>
    <w:p w14:paraId="636F6BA0">
      <w:pPr>
        <w:keepNext w:val="0"/>
        <w:keepLines w:val="0"/>
        <w:pageBreakBefore w:val="0"/>
        <w:widowControl w:val="0"/>
        <w:kinsoku/>
        <w:wordWrap/>
        <w:overflowPunct/>
        <w:topLinePunct w:val="0"/>
        <w:autoSpaceDE/>
        <w:autoSpaceDN/>
        <w:bidi w:val="0"/>
        <w:adjustRightInd/>
        <w:snapToGrid/>
        <w:spacing w:line="240" w:lineRule="auto"/>
        <w:ind w:firstLine="612" w:firstLineChars="200"/>
        <w:textAlignment w:val="auto"/>
        <w:rPr>
          <w:rStyle w:val="12"/>
          <w:rFonts w:hint="eastAsia" w:ascii="仿宋" w:hAnsi="仿宋" w:eastAsia="仿宋" w:cs="仿宋"/>
          <w:b w:val="0"/>
          <w:bCs w:val="0"/>
          <w:color w:val="auto"/>
          <w:spacing w:val="3"/>
          <w:sz w:val="30"/>
          <w:szCs w:val="30"/>
          <w:lang w:eastAsia="zh-CN"/>
        </w:rPr>
      </w:pPr>
      <w:r>
        <w:rPr>
          <w:rStyle w:val="12"/>
          <w:rFonts w:hint="eastAsia" w:ascii="仿宋" w:hAnsi="仿宋" w:eastAsia="仿宋" w:cs="仿宋"/>
          <w:b w:val="0"/>
          <w:bCs w:val="0"/>
          <w:color w:val="auto"/>
          <w:spacing w:val="3"/>
          <w:sz w:val="30"/>
          <w:szCs w:val="30"/>
        </w:rPr>
        <w:t>本项目</w:t>
      </w:r>
      <w:r>
        <w:rPr>
          <w:rStyle w:val="12"/>
          <w:rFonts w:hint="eastAsia" w:ascii="仿宋" w:hAnsi="仿宋" w:eastAsia="仿宋" w:cs="仿宋"/>
          <w:b w:val="0"/>
          <w:bCs w:val="0"/>
          <w:color w:val="auto"/>
          <w:spacing w:val="3"/>
          <w:sz w:val="30"/>
          <w:szCs w:val="30"/>
          <w:lang w:val="en-US" w:eastAsia="zh-CN"/>
        </w:rPr>
        <w:t>我局</w:t>
      </w:r>
      <w:r>
        <w:rPr>
          <w:rStyle w:val="12"/>
          <w:rFonts w:hint="eastAsia" w:ascii="仿宋" w:hAnsi="仿宋" w:eastAsia="仿宋" w:cs="仿宋"/>
          <w:b w:val="0"/>
          <w:bCs w:val="0"/>
          <w:color w:val="auto"/>
          <w:spacing w:val="3"/>
          <w:sz w:val="30"/>
          <w:szCs w:val="30"/>
        </w:rPr>
        <w:t>严格按照规定的程序申请设立，符合国家相关法律法规、国民经济发展规划和党委政府决策，在项目使用管理过程中严格按照</w:t>
      </w:r>
      <w:r>
        <w:rPr>
          <w:rStyle w:val="12"/>
          <w:rFonts w:hint="eastAsia" w:ascii="仿宋" w:hAnsi="仿宋" w:eastAsia="仿宋" w:cs="仿宋"/>
          <w:b w:val="0"/>
          <w:bCs w:val="0"/>
          <w:color w:val="auto"/>
          <w:spacing w:val="3"/>
          <w:sz w:val="30"/>
          <w:szCs w:val="30"/>
          <w:lang w:eastAsia="zh-CN"/>
        </w:rPr>
        <w:t>有关</w:t>
      </w:r>
      <w:r>
        <w:rPr>
          <w:rStyle w:val="12"/>
          <w:rFonts w:hint="eastAsia" w:ascii="仿宋" w:hAnsi="仿宋" w:eastAsia="仿宋" w:cs="仿宋"/>
          <w:b w:val="0"/>
          <w:bCs w:val="0"/>
          <w:color w:val="auto"/>
          <w:spacing w:val="3"/>
          <w:sz w:val="30"/>
          <w:szCs w:val="30"/>
          <w:lang w:val="en-US" w:eastAsia="zh-CN"/>
        </w:rPr>
        <w:t>的规定</w:t>
      </w:r>
      <w:r>
        <w:rPr>
          <w:rStyle w:val="12"/>
          <w:rFonts w:hint="eastAsia" w:ascii="仿宋" w:hAnsi="仿宋" w:eastAsia="仿宋" w:cs="仿宋"/>
          <w:b w:val="0"/>
          <w:bCs w:val="0"/>
          <w:color w:val="auto"/>
          <w:spacing w:val="3"/>
          <w:sz w:val="30"/>
          <w:szCs w:val="30"/>
        </w:rPr>
        <w:t>使用要求，专款专用，</w:t>
      </w:r>
      <w:r>
        <w:rPr>
          <w:rStyle w:val="12"/>
          <w:rFonts w:hint="eastAsia" w:ascii="仿宋" w:hAnsi="仿宋" w:eastAsia="仿宋" w:cs="仿宋"/>
          <w:b w:val="0"/>
          <w:bCs w:val="0"/>
          <w:color w:val="auto"/>
          <w:spacing w:val="3"/>
          <w:sz w:val="30"/>
          <w:szCs w:val="30"/>
          <w:lang w:val="en-US" w:eastAsia="zh-CN"/>
        </w:rPr>
        <w:t>没有截留、挤占、挪用现象，</w:t>
      </w:r>
      <w:r>
        <w:rPr>
          <w:rStyle w:val="12"/>
          <w:rFonts w:hint="eastAsia" w:ascii="仿宋" w:hAnsi="仿宋" w:eastAsia="仿宋" w:cs="仿宋"/>
          <w:b w:val="0"/>
          <w:bCs w:val="0"/>
          <w:color w:val="auto"/>
          <w:spacing w:val="3"/>
          <w:sz w:val="30"/>
          <w:szCs w:val="30"/>
        </w:rPr>
        <w:t>确保资金落实到位，</w:t>
      </w:r>
      <w:r>
        <w:rPr>
          <w:rStyle w:val="12"/>
          <w:rFonts w:hint="eastAsia" w:ascii="仿宋" w:hAnsi="仿宋" w:eastAsia="仿宋" w:cs="仿宋"/>
          <w:b w:val="0"/>
          <w:bCs w:val="0"/>
          <w:color w:val="auto"/>
          <w:spacing w:val="3"/>
          <w:sz w:val="30"/>
          <w:szCs w:val="30"/>
          <w:lang w:val="en-US" w:eastAsia="zh-CN"/>
        </w:rPr>
        <w:t>切实提高了资金的使用效益，对</w:t>
      </w:r>
      <w:r>
        <w:rPr>
          <w:rStyle w:val="12"/>
          <w:rFonts w:hint="eastAsia" w:ascii="仿宋" w:hAnsi="仿宋" w:eastAsia="仿宋" w:cs="仿宋"/>
          <w:b w:val="0"/>
          <w:bCs w:val="0"/>
          <w:color w:val="auto"/>
          <w:spacing w:val="3"/>
          <w:sz w:val="30"/>
          <w:szCs w:val="30"/>
        </w:rPr>
        <w:t>项目完成进度、阶段性目标完成情况、项目效益与预期目标偏差情况等进行阶段性跟踪和控制</w:t>
      </w:r>
      <w:r>
        <w:rPr>
          <w:rStyle w:val="12"/>
          <w:rFonts w:hint="eastAsia" w:ascii="仿宋" w:hAnsi="仿宋" w:eastAsia="仿宋" w:cs="仿宋"/>
          <w:b w:val="0"/>
          <w:bCs w:val="0"/>
          <w:color w:val="auto"/>
          <w:spacing w:val="3"/>
          <w:sz w:val="30"/>
          <w:szCs w:val="30"/>
          <w:lang w:eastAsia="zh-CN"/>
        </w:rPr>
        <w:t>，</w:t>
      </w:r>
      <w:r>
        <w:rPr>
          <w:rStyle w:val="12"/>
          <w:rFonts w:hint="eastAsia" w:ascii="仿宋" w:hAnsi="仿宋" w:eastAsia="仿宋" w:cs="仿宋"/>
          <w:b w:val="0"/>
          <w:bCs w:val="0"/>
          <w:color w:val="auto"/>
          <w:spacing w:val="3"/>
          <w:sz w:val="30"/>
          <w:szCs w:val="30"/>
          <w:lang w:val="en-US" w:eastAsia="zh-CN"/>
        </w:rPr>
        <w:t>有效的</w:t>
      </w:r>
      <w:r>
        <w:rPr>
          <w:rStyle w:val="12"/>
          <w:rFonts w:hint="eastAsia" w:ascii="仿宋" w:hAnsi="仿宋" w:eastAsia="仿宋" w:cs="仿宋"/>
          <w:b w:val="0"/>
          <w:bCs w:val="0"/>
          <w:color w:val="auto"/>
          <w:spacing w:val="3"/>
          <w:sz w:val="30"/>
          <w:szCs w:val="30"/>
        </w:rPr>
        <w:t>推动全区文</w:t>
      </w:r>
      <w:r>
        <w:rPr>
          <w:rStyle w:val="12"/>
          <w:rFonts w:hint="eastAsia" w:ascii="仿宋" w:hAnsi="仿宋" w:eastAsia="仿宋" w:cs="仿宋"/>
          <w:b w:val="0"/>
          <w:bCs w:val="0"/>
          <w:color w:val="auto"/>
          <w:spacing w:val="3"/>
          <w:sz w:val="30"/>
          <w:szCs w:val="30"/>
          <w:lang w:val="en-US" w:eastAsia="zh-CN"/>
        </w:rPr>
        <w:t>体</w:t>
      </w:r>
      <w:r>
        <w:rPr>
          <w:rStyle w:val="12"/>
          <w:rFonts w:hint="eastAsia" w:ascii="仿宋" w:hAnsi="仿宋" w:eastAsia="仿宋" w:cs="仿宋"/>
          <w:b w:val="0"/>
          <w:bCs w:val="0"/>
          <w:color w:val="auto"/>
          <w:spacing w:val="3"/>
          <w:sz w:val="30"/>
          <w:szCs w:val="30"/>
        </w:rPr>
        <w:t>工作的开展</w:t>
      </w:r>
      <w:r>
        <w:rPr>
          <w:rStyle w:val="12"/>
          <w:rFonts w:hint="eastAsia" w:ascii="仿宋" w:hAnsi="仿宋" w:eastAsia="仿宋" w:cs="仿宋"/>
          <w:b w:val="0"/>
          <w:bCs w:val="0"/>
          <w:color w:val="auto"/>
          <w:spacing w:val="3"/>
          <w:sz w:val="30"/>
          <w:szCs w:val="30"/>
          <w:lang w:eastAsia="zh-CN"/>
        </w:rPr>
        <w:t>，</w:t>
      </w:r>
      <w:r>
        <w:rPr>
          <w:rStyle w:val="12"/>
          <w:rFonts w:hint="eastAsia" w:ascii="仿宋" w:hAnsi="仿宋" w:eastAsia="仿宋" w:cs="仿宋"/>
          <w:b w:val="0"/>
          <w:bCs w:val="0"/>
          <w:color w:val="auto"/>
          <w:spacing w:val="3"/>
          <w:sz w:val="30"/>
          <w:szCs w:val="30"/>
        </w:rPr>
        <w:t>自评分9</w:t>
      </w:r>
      <w:r>
        <w:rPr>
          <w:rStyle w:val="12"/>
          <w:rFonts w:hint="eastAsia" w:ascii="仿宋" w:hAnsi="仿宋" w:eastAsia="仿宋" w:cs="仿宋"/>
          <w:b w:val="0"/>
          <w:bCs w:val="0"/>
          <w:color w:val="auto"/>
          <w:spacing w:val="3"/>
          <w:sz w:val="30"/>
          <w:szCs w:val="30"/>
          <w:lang w:val="en-US"/>
        </w:rPr>
        <w:t>8</w:t>
      </w:r>
      <w:r>
        <w:rPr>
          <w:rStyle w:val="12"/>
          <w:rFonts w:hint="eastAsia" w:ascii="仿宋" w:hAnsi="仿宋" w:eastAsia="仿宋" w:cs="仿宋"/>
          <w:b w:val="0"/>
          <w:bCs w:val="0"/>
          <w:color w:val="auto"/>
          <w:spacing w:val="3"/>
          <w:sz w:val="30"/>
          <w:szCs w:val="30"/>
        </w:rPr>
        <w:t>分</w:t>
      </w:r>
      <w:r>
        <w:rPr>
          <w:rStyle w:val="12"/>
          <w:rFonts w:hint="eastAsia" w:ascii="仿宋" w:hAnsi="仿宋" w:eastAsia="仿宋" w:cs="仿宋"/>
          <w:b w:val="0"/>
          <w:bCs w:val="0"/>
          <w:color w:val="auto"/>
          <w:spacing w:val="3"/>
          <w:sz w:val="30"/>
          <w:szCs w:val="30"/>
          <w:lang w:eastAsia="zh-CN"/>
        </w:rPr>
        <w:t>。</w:t>
      </w:r>
    </w:p>
    <w:p w14:paraId="3CF2DD8D">
      <w:pPr>
        <w:keepNext w:val="0"/>
        <w:keepLines w:val="0"/>
        <w:pageBreakBefore w:val="0"/>
        <w:widowControl w:val="0"/>
        <w:kinsoku/>
        <w:wordWrap/>
        <w:overflowPunct/>
        <w:topLinePunct w:val="0"/>
        <w:autoSpaceDE/>
        <w:autoSpaceDN/>
        <w:bidi w:val="0"/>
        <w:adjustRightInd/>
        <w:snapToGrid/>
        <w:spacing w:line="240" w:lineRule="auto"/>
        <w:ind w:firstLine="600" w:firstLineChars="200"/>
        <w:textAlignment w:val="auto"/>
        <w:rPr>
          <w:rFonts w:hint="eastAsia" w:ascii="方正黑体简体" w:hAnsi="方正黑体简体" w:eastAsia="方正黑体简体" w:cs="方正黑体简体"/>
          <w:sz w:val="28"/>
          <w:szCs w:val="28"/>
        </w:rPr>
      </w:pPr>
      <w:r>
        <w:rPr>
          <w:rFonts w:hint="eastAsia" w:ascii="黑体" w:hAnsi="黑体" w:eastAsia="黑体" w:cs="黑体"/>
          <w:b w:val="0"/>
          <w:bCs w:val="0"/>
          <w:color w:val="3D3D3D"/>
          <w:kern w:val="0"/>
          <w:sz w:val="30"/>
          <w:szCs w:val="30"/>
          <w:shd w:val="clear" w:color="auto" w:fill="FFFFFF"/>
          <w:lang w:val="en-US" w:eastAsia="zh-CN" w:bidi="ar-SA"/>
        </w:rPr>
        <w:t>四、存在的问题和建议</w:t>
      </w:r>
    </w:p>
    <w:p w14:paraId="1EB483FE">
      <w:pPr>
        <w:keepNext w:val="0"/>
        <w:keepLines w:val="0"/>
        <w:pageBreakBefore w:val="0"/>
        <w:widowControl w:val="0"/>
        <w:tabs>
          <w:tab w:val="left" w:pos="673"/>
        </w:tabs>
        <w:kinsoku/>
        <w:wordWrap/>
        <w:overflowPunct/>
        <w:topLinePunct w:val="0"/>
        <w:autoSpaceDE/>
        <w:autoSpaceDN/>
        <w:bidi w:val="0"/>
        <w:adjustRightInd/>
        <w:snapToGrid/>
        <w:spacing w:line="240" w:lineRule="auto"/>
        <w:ind w:firstLine="612" w:firstLineChars="200"/>
        <w:jc w:val="left"/>
        <w:textAlignment w:val="auto"/>
        <w:rPr>
          <w:rStyle w:val="12"/>
          <w:rFonts w:hint="eastAsia" w:ascii="仿宋" w:hAnsi="仿宋" w:eastAsia="仿宋" w:cs="仿宋"/>
          <w:b w:val="0"/>
          <w:bCs w:val="0"/>
          <w:color w:val="auto"/>
          <w:spacing w:val="3"/>
          <w:sz w:val="30"/>
          <w:szCs w:val="30"/>
          <w:lang w:val="en-US" w:eastAsia="zh-CN"/>
        </w:rPr>
      </w:pPr>
      <w:r>
        <w:rPr>
          <w:rStyle w:val="12"/>
          <w:rFonts w:hint="eastAsia" w:ascii="仿宋" w:hAnsi="仿宋" w:eastAsia="仿宋" w:cs="仿宋"/>
          <w:b w:val="0"/>
          <w:bCs w:val="0"/>
          <w:color w:val="auto"/>
          <w:spacing w:val="3"/>
          <w:sz w:val="30"/>
          <w:szCs w:val="30"/>
          <w:lang w:val="en-US" w:eastAsia="zh-CN"/>
        </w:rPr>
        <w:t>一是专项资金使用的监管力度不够。二是监管制度不具体。针对存在的问题，要认真分析原因，加强各项制度建设和工作力度，做好资金的专项检查，做到事前评估、事中监督、事后检查验收，继续加大绩效评价工作力度，健全绩效评价结果反馈和应用机制确保资金不折不扣的用到实处。</w:t>
      </w:r>
    </w:p>
    <w:p w14:paraId="7B7598F0">
      <w:pPr>
        <w:keepNext w:val="0"/>
        <w:keepLines w:val="0"/>
        <w:pageBreakBefore w:val="0"/>
        <w:widowControl w:val="0"/>
        <w:tabs>
          <w:tab w:val="left" w:pos="673"/>
        </w:tabs>
        <w:kinsoku/>
        <w:wordWrap/>
        <w:overflowPunct/>
        <w:topLinePunct w:val="0"/>
        <w:autoSpaceDE/>
        <w:autoSpaceDN/>
        <w:bidi w:val="0"/>
        <w:adjustRightInd/>
        <w:snapToGrid/>
        <w:spacing w:line="240" w:lineRule="auto"/>
        <w:ind w:firstLine="4896" w:firstLineChars="1600"/>
        <w:jc w:val="left"/>
        <w:textAlignment w:val="auto"/>
        <w:rPr>
          <w:rStyle w:val="12"/>
          <w:rFonts w:hint="eastAsia" w:ascii="仿宋" w:hAnsi="仿宋" w:eastAsia="仿宋" w:cs="仿宋"/>
          <w:b w:val="0"/>
          <w:bCs w:val="0"/>
          <w:color w:val="auto"/>
          <w:spacing w:val="3"/>
          <w:sz w:val="30"/>
          <w:szCs w:val="30"/>
          <w:lang w:val="en-US" w:eastAsia="zh-CN"/>
        </w:rPr>
      </w:pPr>
    </w:p>
    <w:p w14:paraId="7E04470D">
      <w:pPr>
        <w:pStyle w:val="2"/>
        <w:rPr>
          <w:rFonts w:hint="eastAsia"/>
          <w:lang w:val="en-US" w:eastAsia="zh-CN"/>
        </w:rPr>
      </w:pPr>
    </w:p>
    <w:p w14:paraId="1AAA6CB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0D5A7C4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58B8E0C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334661B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36A85F5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4C64D5A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2AB5856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2B53D91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583950C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6422576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07CB1AA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6C8B7B9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19075D9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4CBEA6D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08C5C61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2EA08BC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25A4E15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4C8DB84F">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179E5DE9">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0"/>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04"/>
        <w:gridCol w:w="1140"/>
        <w:gridCol w:w="2040"/>
        <w:gridCol w:w="810"/>
        <w:gridCol w:w="1065"/>
        <w:gridCol w:w="450"/>
        <w:gridCol w:w="825"/>
        <w:gridCol w:w="1171"/>
      </w:tblGrid>
      <w:tr w14:paraId="390D00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1075" w:type="dxa"/>
            <w:noWrap w:val="0"/>
            <w:vAlign w:val="center"/>
          </w:tcPr>
          <w:p w14:paraId="3259BDDA">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59259D24">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522F221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岳阳粤汉铁路英国专家楼修缮工程</w:t>
            </w:r>
            <w:r>
              <w:rPr>
                <w:rFonts w:hint="eastAsia" w:ascii="仿宋" w:hAnsi="仿宋" w:eastAsia="仿宋" w:cs="仿宋"/>
                <w:kern w:val="0"/>
                <w:sz w:val="18"/>
                <w:szCs w:val="18"/>
              </w:rPr>
              <w:t>　</w:t>
            </w:r>
          </w:p>
        </w:tc>
      </w:tr>
      <w:tr w14:paraId="240193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1075" w:type="dxa"/>
            <w:noWrap w:val="0"/>
            <w:vAlign w:val="center"/>
          </w:tcPr>
          <w:p w14:paraId="75544DCA">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994" w:type="dxa"/>
            <w:gridSpan w:val="4"/>
            <w:noWrap w:val="0"/>
            <w:vAlign w:val="center"/>
          </w:tcPr>
          <w:p w14:paraId="3709BE7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岳阳楼区人民政府</w:t>
            </w:r>
          </w:p>
        </w:tc>
        <w:tc>
          <w:tcPr>
            <w:tcW w:w="1065" w:type="dxa"/>
            <w:noWrap w:val="0"/>
            <w:vAlign w:val="center"/>
          </w:tcPr>
          <w:p w14:paraId="33CEED29">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446" w:type="dxa"/>
            <w:gridSpan w:val="3"/>
            <w:noWrap w:val="0"/>
            <w:vAlign w:val="center"/>
          </w:tcPr>
          <w:p w14:paraId="76175D7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岳阳楼区文化旅游广电体育局</w:t>
            </w:r>
          </w:p>
        </w:tc>
      </w:tr>
      <w:tr w14:paraId="70A261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1" w:hRule="atLeast"/>
        </w:trPr>
        <w:tc>
          <w:tcPr>
            <w:tcW w:w="1075" w:type="dxa"/>
            <w:vMerge w:val="restart"/>
            <w:tcBorders>
              <w:bottom w:val="nil"/>
            </w:tcBorders>
            <w:noWrap w:val="0"/>
            <w:vAlign w:val="center"/>
          </w:tcPr>
          <w:p w14:paraId="2BCECE65">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01F71707">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342F74A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607C3D8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44" w:type="dxa"/>
            <w:gridSpan w:val="2"/>
            <w:noWrap w:val="0"/>
            <w:vAlign w:val="center"/>
          </w:tcPr>
          <w:p w14:paraId="36C53BE7">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2040" w:type="dxa"/>
            <w:noWrap w:val="0"/>
            <w:vAlign w:val="center"/>
          </w:tcPr>
          <w:p w14:paraId="63B63DC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7F4E3F8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810" w:type="dxa"/>
            <w:noWrap w:val="0"/>
            <w:vAlign w:val="center"/>
          </w:tcPr>
          <w:p w14:paraId="46EDB76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2BAEEB7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065" w:type="dxa"/>
            <w:noWrap w:val="0"/>
            <w:vAlign w:val="center"/>
          </w:tcPr>
          <w:p w14:paraId="044E771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2E148EE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450" w:type="dxa"/>
            <w:noWrap w:val="0"/>
            <w:vAlign w:val="center"/>
          </w:tcPr>
          <w:p w14:paraId="7FEF127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25" w:type="dxa"/>
            <w:noWrap w:val="0"/>
            <w:vAlign w:val="center"/>
          </w:tcPr>
          <w:p w14:paraId="5281721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171" w:type="dxa"/>
            <w:noWrap w:val="0"/>
            <w:vAlign w:val="center"/>
          </w:tcPr>
          <w:p w14:paraId="17BC0B9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3C26DA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 w:hRule="atLeast"/>
        </w:trPr>
        <w:tc>
          <w:tcPr>
            <w:tcW w:w="1075" w:type="dxa"/>
            <w:vMerge w:val="continue"/>
            <w:tcBorders>
              <w:top w:val="nil"/>
              <w:bottom w:val="nil"/>
            </w:tcBorders>
            <w:noWrap w:val="0"/>
            <w:vAlign w:val="center"/>
          </w:tcPr>
          <w:p w14:paraId="151B0CB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44" w:type="dxa"/>
            <w:gridSpan w:val="2"/>
            <w:noWrap w:val="0"/>
            <w:vAlign w:val="center"/>
          </w:tcPr>
          <w:p w14:paraId="00373F1B">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2040" w:type="dxa"/>
            <w:noWrap w:val="0"/>
            <w:vAlign w:val="center"/>
          </w:tcPr>
          <w:p w14:paraId="699B116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810" w:type="dxa"/>
            <w:noWrap w:val="0"/>
            <w:vAlign w:val="center"/>
          </w:tcPr>
          <w:p w14:paraId="640327B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203.72</w:t>
            </w:r>
          </w:p>
        </w:tc>
        <w:tc>
          <w:tcPr>
            <w:tcW w:w="1065" w:type="dxa"/>
            <w:noWrap w:val="0"/>
            <w:vAlign w:val="center"/>
          </w:tcPr>
          <w:p w14:paraId="1F678572">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203.72</w:t>
            </w:r>
          </w:p>
        </w:tc>
        <w:tc>
          <w:tcPr>
            <w:tcW w:w="450" w:type="dxa"/>
            <w:noWrap w:val="0"/>
            <w:vAlign w:val="center"/>
          </w:tcPr>
          <w:p w14:paraId="32E509E6">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825" w:type="dxa"/>
            <w:noWrap w:val="0"/>
            <w:vAlign w:val="center"/>
          </w:tcPr>
          <w:p w14:paraId="417000A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71" w:type="dxa"/>
            <w:noWrap w:val="0"/>
            <w:vAlign w:val="center"/>
          </w:tcPr>
          <w:p w14:paraId="3726C32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6D636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075" w:type="dxa"/>
            <w:vMerge w:val="continue"/>
            <w:tcBorders>
              <w:top w:val="nil"/>
              <w:bottom w:val="nil"/>
            </w:tcBorders>
            <w:noWrap w:val="0"/>
            <w:vAlign w:val="center"/>
          </w:tcPr>
          <w:p w14:paraId="47D4CE2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44" w:type="dxa"/>
            <w:gridSpan w:val="2"/>
            <w:noWrap w:val="0"/>
            <w:vAlign w:val="center"/>
          </w:tcPr>
          <w:p w14:paraId="67415E92">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2040" w:type="dxa"/>
            <w:noWrap w:val="0"/>
            <w:vAlign w:val="center"/>
          </w:tcPr>
          <w:p w14:paraId="2CE0ED68">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810" w:type="dxa"/>
            <w:noWrap w:val="0"/>
            <w:vAlign w:val="center"/>
          </w:tcPr>
          <w:p w14:paraId="673504BB">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11</w:t>
            </w:r>
          </w:p>
        </w:tc>
        <w:tc>
          <w:tcPr>
            <w:tcW w:w="1065" w:type="dxa"/>
            <w:noWrap w:val="0"/>
            <w:vAlign w:val="center"/>
          </w:tcPr>
          <w:p w14:paraId="34D26CB7">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11</w:t>
            </w:r>
          </w:p>
        </w:tc>
        <w:tc>
          <w:tcPr>
            <w:tcW w:w="450" w:type="dxa"/>
            <w:noWrap w:val="0"/>
            <w:vAlign w:val="center"/>
          </w:tcPr>
          <w:p w14:paraId="5D3923B1">
            <w:pPr>
              <w:keepNext w:val="0"/>
              <w:keepLines w:val="0"/>
              <w:pageBreakBefore w:val="0"/>
              <w:widowControl w:val="0"/>
              <w:kinsoku/>
              <w:wordWrap/>
              <w:overflowPunct/>
              <w:topLinePunct w:val="0"/>
              <w:autoSpaceDE/>
              <w:autoSpaceDN/>
              <w:bidi w:val="0"/>
              <w:adjustRightInd/>
              <w:snapToGrid/>
              <w:spacing w:line="165" w:lineRule="exact"/>
              <w:ind w:left="0" w:leftChars="0" w:right="0" w:rightChars="0"/>
              <w:jc w:val="center"/>
              <w:textAlignment w:val="auto"/>
              <w:rPr>
                <w:rFonts w:ascii="Arial"/>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825" w:type="dxa"/>
            <w:noWrap w:val="0"/>
            <w:vAlign w:val="center"/>
          </w:tcPr>
          <w:p w14:paraId="0C69E64F">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71" w:type="dxa"/>
            <w:noWrap w:val="0"/>
            <w:vAlign w:val="center"/>
          </w:tcPr>
          <w:p w14:paraId="4B65C607">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296F9B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2" w:hRule="atLeast"/>
        </w:trPr>
        <w:tc>
          <w:tcPr>
            <w:tcW w:w="1075" w:type="dxa"/>
            <w:vMerge w:val="continue"/>
            <w:tcBorders>
              <w:top w:val="nil"/>
              <w:bottom w:val="nil"/>
            </w:tcBorders>
            <w:noWrap w:val="0"/>
            <w:vAlign w:val="center"/>
          </w:tcPr>
          <w:p w14:paraId="744B972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44" w:type="dxa"/>
            <w:gridSpan w:val="2"/>
            <w:noWrap w:val="0"/>
            <w:vAlign w:val="center"/>
          </w:tcPr>
          <w:p w14:paraId="31E6FA55">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2040" w:type="dxa"/>
            <w:noWrap w:val="0"/>
            <w:vAlign w:val="center"/>
          </w:tcPr>
          <w:p w14:paraId="49636CD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10" w:type="dxa"/>
            <w:noWrap w:val="0"/>
            <w:vAlign w:val="center"/>
          </w:tcPr>
          <w:p w14:paraId="30777FA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192.72</w:t>
            </w:r>
          </w:p>
        </w:tc>
        <w:tc>
          <w:tcPr>
            <w:tcW w:w="1065" w:type="dxa"/>
            <w:noWrap w:val="0"/>
            <w:vAlign w:val="center"/>
          </w:tcPr>
          <w:p w14:paraId="25830C4F">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192.72</w:t>
            </w:r>
          </w:p>
        </w:tc>
        <w:tc>
          <w:tcPr>
            <w:tcW w:w="450" w:type="dxa"/>
            <w:noWrap w:val="0"/>
            <w:vAlign w:val="center"/>
          </w:tcPr>
          <w:p w14:paraId="2134312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25" w:type="dxa"/>
            <w:noWrap w:val="0"/>
            <w:vAlign w:val="center"/>
          </w:tcPr>
          <w:p w14:paraId="1BBB18F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71" w:type="dxa"/>
            <w:noWrap w:val="0"/>
            <w:vAlign w:val="center"/>
          </w:tcPr>
          <w:p w14:paraId="43D8C7E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3C566C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1075" w:type="dxa"/>
            <w:vMerge w:val="continue"/>
            <w:tcBorders>
              <w:top w:val="nil"/>
            </w:tcBorders>
            <w:noWrap w:val="0"/>
            <w:vAlign w:val="center"/>
          </w:tcPr>
          <w:p w14:paraId="54D5B84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44" w:type="dxa"/>
            <w:gridSpan w:val="2"/>
            <w:noWrap w:val="0"/>
            <w:vAlign w:val="center"/>
          </w:tcPr>
          <w:p w14:paraId="283102B0">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2040" w:type="dxa"/>
            <w:noWrap w:val="0"/>
            <w:vAlign w:val="center"/>
          </w:tcPr>
          <w:p w14:paraId="1CDF373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810" w:type="dxa"/>
            <w:noWrap w:val="0"/>
            <w:vAlign w:val="center"/>
          </w:tcPr>
          <w:p w14:paraId="20984C1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065" w:type="dxa"/>
            <w:noWrap w:val="0"/>
            <w:vAlign w:val="center"/>
          </w:tcPr>
          <w:p w14:paraId="606E18E5">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ascii="Arial"/>
                <w:color w:val="000000" w:themeColor="text1"/>
                <w:spacing w:val="0"/>
                <w:sz w:val="21"/>
                <w:szCs w:val="21"/>
                <w14:textFill>
                  <w14:solidFill>
                    <w14:schemeClr w14:val="tx1"/>
                  </w14:solidFill>
                </w14:textFill>
              </w:rPr>
            </w:pPr>
          </w:p>
        </w:tc>
        <w:tc>
          <w:tcPr>
            <w:tcW w:w="450" w:type="dxa"/>
            <w:noWrap w:val="0"/>
            <w:vAlign w:val="center"/>
          </w:tcPr>
          <w:p w14:paraId="6C712A9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25" w:type="dxa"/>
            <w:noWrap w:val="0"/>
            <w:vAlign w:val="center"/>
          </w:tcPr>
          <w:p w14:paraId="50010CA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171" w:type="dxa"/>
            <w:noWrap w:val="0"/>
            <w:vAlign w:val="center"/>
          </w:tcPr>
          <w:p w14:paraId="59D9AA5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75AF40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4355DEEC">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65E35EBB">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994" w:type="dxa"/>
            <w:gridSpan w:val="4"/>
            <w:noWrap w:val="0"/>
            <w:vAlign w:val="center"/>
          </w:tcPr>
          <w:p w14:paraId="6DDEEC98">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511" w:type="dxa"/>
            <w:gridSpan w:val="4"/>
            <w:noWrap w:val="0"/>
            <w:vAlign w:val="center"/>
          </w:tcPr>
          <w:p w14:paraId="7D06E639">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3BAFD7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619A3E1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994" w:type="dxa"/>
            <w:gridSpan w:val="4"/>
            <w:noWrap w:val="0"/>
            <w:vAlign w:val="center"/>
          </w:tcPr>
          <w:p w14:paraId="54E9F96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本修缮工程以岳阳粤汉铁路英国专家楼、南津港铁路桥守卫部队3 栋营房及5栋岗亭文物本体为核心展开修缮，通过以上修缮项目，使岳阳粤汉铁路英国专家楼现存的历史信息得到更有效的保护，且修缮后的原始面貌更加完整和清晰。</w:t>
            </w:r>
          </w:p>
          <w:p w14:paraId="0026F3D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511" w:type="dxa"/>
            <w:gridSpan w:val="4"/>
            <w:noWrap w:val="0"/>
            <w:vAlign w:val="center"/>
          </w:tcPr>
          <w:p w14:paraId="6BD0D0F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圆满完成各项任务</w:t>
            </w:r>
          </w:p>
        </w:tc>
      </w:tr>
      <w:tr w14:paraId="5ACCB2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62DE67AB">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04" w:type="dxa"/>
            <w:noWrap w:val="0"/>
            <w:vAlign w:val="center"/>
          </w:tcPr>
          <w:p w14:paraId="5D0932C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140" w:type="dxa"/>
            <w:noWrap w:val="0"/>
            <w:vAlign w:val="center"/>
          </w:tcPr>
          <w:p w14:paraId="148D3DC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2040" w:type="dxa"/>
            <w:noWrap w:val="0"/>
            <w:vAlign w:val="center"/>
          </w:tcPr>
          <w:p w14:paraId="1F92B47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810" w:type="dxa"/>
            <w:noWrap w:val="0"/>
            <w:vAlign w:val="center"/>
          </w:tcPr>
          <w:p w14:paraId="5A25ED6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70F5993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065" w:type="dxa"/>
            <w:noWrap w:val="0"/>
            <w:vAlign w:val="center"/>
          </w:tcPr>
          <w:p w14:paraId="60575DF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1FB453C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450" w:type="dxa"/>
            <w:noWrap w:val="0"/>
            <w:vAlign w:val="center"/>
          </w:tcPr>
          <w:p w14:paraId="20F41E0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25" w:type="dxa"/>
            <w:noWrap w:val="0"/>
            <w:vAlign w:val="center"/>
          </w:tcPr>
          <w:p w14:paraId="33AB960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171" w:type="dxa"/>
            <w:noWrap w:val="0"/>
            <w:vAlign w:val="center"/>
          </w:tcPr>
          <w:p w14:paraId="6D73D164">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0C9C29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4" w:hRule="atLeast"/>
        </w:trPr>
        <w:tc>
          <w:tcPr>
            <w:tcW w:w="1075" w:type="dxa"/>
            <w:vMerge w:val="continue"/>
            <w:tcBorders>
              <w:top w:val="nil"/>
              <w:bottom w:val="nil"/>
            </w:tcBorders>
            <w:noWrap w:val="0"/>
            <w:textDirection w:val="tbRlV"/>
            <w:vAlign w:val="center"/>
          </w:tcPr>
          <w:p w14:paraId="2DA20C5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restart"/>
            <w:tcBorders>
              <w:bottom w:val="nil"/>
            </w:tcBorders>
            <w:noWrap w:val="0"/>
            <w:vAlign w:val="center"/>
          </w:tcPr>
          <w:p w14:paraId="59E72965">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3074E9BD">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73370575">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1137B2EB">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34BE9359">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6E2BCD5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140" w:type="dxa"/>
            <w:vMerge w:val="restart"/>
            <w:noWrap w:val="0"/>
            <w:vAlign w:val="center"/>
          </w:tcPr>
          <w:p w14:paraId="247382C7">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2040" w:type="dxa"/>
            <w:noWrap w:val="0"/>
            <w:vAlign w:val="center"/>
          </w:tcPr>
          <w:p w14:paraId="46A80CC3">
            <w:pPr>
              <w:keepNext w:val="0"/>
              <w:keepLines w:val="0"/>
              <w:widowControl/>
              <w:suppressLineNumbers w:val="0"/>
              <w:jc w:val="left"/>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 xml:space="preserve">重点修缮：文物建筑本体修缮以文物本体为重点修缮。采用原做法和不 改变文物原状的修缮原则，修缮剔补加固单元局部工程应遵循原做法、原工艺、原材料。 </w:t>
            </w:r>
          </w:p>
          <w:p w14:paraId="4431483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810" w:type="dxa"/>
            <w:noWrap w:val="0"/>
            <w:vAlign w:val="center"/>
          </w:tcPr>
          <w:p w14:paraId="68FEE42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仿宋" w:hAnsi="仿宋" w:eastAsia="仿宋" w:cs="仿宋"/>
                <w:i w:val="0"/>
                <w:color w:val="000000"/>
                <w:kern w:val="0"/>
                <w:sz w:val="18"/>
                <w:szCs w:val="18"/>
                <w:u w:val="none"/>
                <w:lang w:val="en-US" w:eastAsia="zh-CN" w:bidi="ar"/>
              </w:rPr>
              <w:t>100%</w:t>
            </w:r>
          </w:p>
        </w:tc>
        <w:tc>
          <w:tcPr>
            <w:tcW w:w="1065" w:type="dxa"/>
            <w:noWrap w:val="0"/>
            <w:vAlign w:val="center"/>
          </w:tcPr>
          <w:p w14:paraId="678CAAF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仿宋" w:hAnsi="仿宋" w:eastAsia="仿宋" w:cs="仿宋"/>
                <w:i w:val="0"/>
                <w:color w:val="000000"/>
                <w:kern w:val="0"/>
                <w:sz w:val="18"/>
                <w:szCs w:val="18"/>
                <w:u w:val="none"/>
                <w:lang w:val="en-US" w:eastAsia="zh-CN" w:bidi="ar"/>
              </w:rPr>
              <w:t>100%</w:t>
            </w:r>
          </w:p>
        </w:tc>
        <w:tc>
          <w:tcPr>
            <w:tcW w:w="450" w:type="dxa"/>
            <w:noWrap w:val="0"/>
            <w:vAlign w:val="center"/>
          </w:tcPr>
          <w:p w14:paraId="3D9AA2D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521FC69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71" w:type="dxa"/>
            <w:noWrap w:val="0"/>
            <w:vAlign w:val="center"/>
          </w:tcPr>
          <w:p w14:paraId="694F7EF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FF0000"/>
                <w:spacing w:val="0"/>
                <w:sz w:val="21"/>
                <w:szCs w:val="21"/>
                <w:lang w:val="en-US" w:eastAsia="zh-CN"/>
              </w:rPr>
            </w:pPr>
          </w:p>
        </w:tc>
      </w:tr>
      <w:tr w14:paraId="0E11D1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4A13B12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noWrap w:val="0"/>
            <w:vAlign w:val="center"/>
          </w:tcPr>
          <w:p w14:paraId="16C78F25">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40" w:type="dxa"/>
            <w:vMerge w:val="continue"/>
            <w:tcBorders>
              <w:bottom w:val="nil"/>
            </w:tcBorders>
            <w:noWrap w:val="0"/>
            <w:vAlign w:val="center"/>
          </w:tcPr>
          <w:p w14:paraId="39C78F0F">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2040" w:type="dxa"/>
            <w:noWrap w:val="0"/>
            <w:vAlign w:val="center"/>
          </w:tcPr>
          <w:p w14:paraId="34A1BB0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一般修缮：除重点修缮中的分部工程外，其余分部工程均为一般修缮。带有抢险性质，修复加固单元局部构件及构件保护处理。加固措施应优先采取建筑本身的做法和地方传统做法。</w:t>
            </w:r>
          </w:p>
        </w:tc>
        <w:tc>
          <w:tcPr>
            <w:tcW w:w="810" w:type="dxa"/>
            <w:noWrap w:val="0"/>
            <w:vAlign w:val="center"/>
          </w:tcPr>
          <w:p w14:paraId="029BCEB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仿宋" w:hAnsi="仿宋" w:eastAsia="仿宋" w:cs="仿宋"/>
                <w:i w:val="0"/>
                <w:color w:val="000000"/>
                <w:kern w:val="0"/>
                <w:sz w:val="18"/>
                <w:szCs w:val="18"/>
                <w:u w:val="none"/>
                <w:lang w:val="en-US" w:eastAsia="zh-CN" w:bidi="ar"/>
              </w:rPr>
              <w:t>100%</w:t>
            </w:r>
          </w:p>
        </w:tc>
        <w:tc>
          <w:tcPr>
            <w:tcW w:w="1065" w:type="dxa"/>
            <w:noWrap w:val="0"/>
            <w:vAlign w:val="center"/>
          </w:tcPr>
          <w:p w14:paraId="0271180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仿宋" w:hAnsi="仿宋" w:eastAsia="仿宋" w:cs="仿宋"/>
                <w:i w:val="0"/>
                <w:color w:val="000000"/>
                <w:kern w:val="0"/>
                <w:sz w:val="18"/>
                <w:szCs w:val="18"/>
                <w:u w:val="none"/>
                <w:lang w:val="en-US" w:eastAsia="zh-CN" w:bidi="ar"/>
              </w:rPr>
              <w:t>100%</w:t>
            </w:r>
          </w:p>
        </w:tc>
        <w:tc>
          <w:tcPr>
            <w:tcW w:w="450" w:type="dxa"/>
            <w:noWrap w:val="0"/>
            <w:vAlign w:val="center"/>
          </w:tcPr>
          <w:p w14:paraId="0A5E79B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3F21027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71" w:type="dxa"/>
            <w:noWrap w:val="0"/>
            <w:vAlign w:val="center"/>
          </w:tcPr>
          <w:p w14:paraId="04B0C934">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FF0000"/>
                <w:spacing w:val="0"/>
                <w:sz w:val="21"/>
                <w:szCs w:val="21"/>
              </w:rPr>
            </w:pPr>
          </w:p>
        </w:tc>
      </w:tr>
      <w:tr w14:paraId="02A989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6D1B9E6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top w:val="nil"/>
              <w:bottom w:val="nil"/>
            </w:tcBorders>
            <w:noWrap w:val="0"/>
            <w:vAlign w:val="center"/>
          </w:tcPr>
          <w:p w14:paraId="4F26754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4EE3D9E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2040" w:type="dxa"/>
            <w:noWrap w:val="0"/>
            <w:vAlign w:val="center"/>
          </w:tcPr>
          <w:p w14:paraId="76A49E7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仿宋" w:hAnsi="仿宋" w:eastAsia="仿宋" w:cs="仿宋"/>
                <w:i w:val="0"/>
                <w:color w:val="000000"/>
                <w:sz w:val="18"/>
                <w:szCs w:val="18"/>
                <w:u w:val="none"/>
                <w:lang w:eastAsia="zh-CN"/>
              </w:rPr>
              <w:t>对专家楼进行结构安全性评估，达到《近现代历史建筑结构安全性评估导则》（</w:t>
            </w:r>
            <w:r>
              <w:rPr>
                <w:rFonts w:hint="eastAsia" w:ascii="仿宋" w:hAnsi="仿宋" w:eastAsia="仿宋" w:cs="仿宋"/>
                <w:i w:val="0"/>
                <w:color w:val="000000"/>
                <w:sz w:val="18"/>
                <w:szCs w:val="18"/>
                <w:u w:val="none"/>
                <w:lang w:val="en-US" w:eastAsia="zh-CN"/>
              </w:rPr>
              <w:t>WW/T0048-2014</w:t>
            </w:r>
            <w:r>
              <w:rPr>
                <w:rFonts w:hint="eastAsia" w:ascii="仿宋" w:hAnsi="仿宋" w:eastAsia="仿宋" w:cs="仿宋"/>
                <w:i w:val="0"/>
                <w:color w:val="000000"/>
                <w:sz w:val="18"/>
                <w:szCs w:val="18"/>
                <w:u w:val="none"/>
                <w:lang w:eastAsia="zh-CN"/>
              </w:rPr>
              <w:t>）等国家相关标准。</w:t>
            </w:r>
          </w:p>
        </w:tc>
        <w:tc>
          <w:tcPr>
            <w:tcW w:w="810" w:type="dxa"/>
            <w:noWrap w:val="0"/>
            <w:vAlign w:val="center"/>
          </w:tcPr>
          <w:p w14:paraId="3CBB6CC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仿宋" w:hAnsi="仿宋" w:eastAsia="仿宋" w:cs="仿宋"/>
                <w:i w:val="0"/>
                <w:color w:val="000000"/>
                <w:kern w:val="0"/>
                <w:sz w:val="18"/>
                <w:szCs w:val="18"/>
                <w:u w:val="none"/>
                <w:lang w:val="en-US" w:eastAsia="zh-CN" w:bidi="ar"/>
              </w:rPr>
              <w:t>100%</w:t>
            </w:r>
          </w:p>
        </w:tc>
        <w:tc>
          <w:tcPr>
            <w:tcW w:w="1065" w:type="dxa"/>
            <w:noWrap w:val="0"/>
            <w:vAlign w:val="center"/>
          </w:tcPr>
          <w:p w14:paraId="7697D2E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仿宋" w:hAnsi="仿宋" w:eastAsia="仿宋" w:cs="仿宋"/>
                <w:i w:val="0"/>
                <w:color w:val="000000"/>
                <w:kern w:val="0"/>
                <w:sz w:val="18"/>
                <w:szCs w:val="18"/>
                <w:u w:val="none"/>
                <w:lang w:val="en-US" w:eastAsia="zh-CN" w:bidi="ar"/>
              </w:rPr>
              <w:t>97%</w:t>
            </w:r>
          </w:p>
        </w:tc>
        <w:tc>
          <w:tcPr>
            <w:tcW w:w="450" w:type="dxa"/>
            <w:noWrap w:val="0"/>
            <w:vAlign w:val="center"/>
          </w:tcPr>
          <w:p w14:paraId="1694D46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2031076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18</w:t>
            </w:r>
          </w:p>
        </w:tc>
        <w:tc>
          <w:tcPr>
            <w:tcW w:w="1171" w:type="dxa"/>
            <w:noWrap w:val="0"/>
            <w:vAlign w:val="center"/>
          </w:tcPr>
          <w:p w14:paraId="00AD261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FF0000"/>
                <w:spacing w:val="0"/>
                <w:sz w:val="21"/>
                <w:szCs w:val="21"/>
              </w:rPr>
            </w:pPr>
          </w:p>
        </w:tc>
      </w:tr>
      <w:tr w14:paraId="3862E3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056D0B2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top w:val="nil"/>
              <w:bottom w:val="nil"/>
            </w:tcBorders>
            <w:noWrap w:val="0"/>
            <w:vAlign w:val="center"/>
          </w:tcPr>
          <w:p w14:paraId="0B00EC4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6DE06F89">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2040" w:type="dxa"/>
            <w:noWrap w:val="0"/>
            <w:vAlign w:val="center"/>
          </w:tcPr>
          <w:p w14:paraId="177D24D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资金到位时间</w:t>
            </w:r>
          </w:p>
        </w:tc>
        <w:tc>
          <w:tcPr>
            <w:tcW w:w="810" w:type="dxa"/>
            <w:noWrap w:val="0"/>
            <w:vAlign w:val="center"/>
          </w:tcPr>
          <w:p w14:paraId="17F3410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2022年12月</w:t>
            </w:r>
          </w:p>
        </w:tc>
        <w:tc>
          <w:tcPr>
            <w:tcW w:w="1065" w:type="dxa"/>
            <w:noWrap w:val="0"/>
            <w:vAlign w:val="center"/>
          </w:tcPr>
          <w:p w14:paraId="7DEEA49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按时完成</w:t>
            </w:r>
          </w:p>
        </w:tc>
        <w:tc>
          <w:tcPr>
            <w:tcW w:w="450" w:type="dxa"/>
            <w:noWrap w:val="0"/>
            <w:vAlign w:val="center"/>
          </w:tcPr>
          <w:p w14:paraId="473A26E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5346569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71" w:type="dxa"/>
            <w:noWrap w:val="0"/>
            <w:vAlign w:val="center"/>
          </w:tcPr>
          <w:p w14:paraId="78414F5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FF0000"/>
                <w:spacing w:val="0"/>
                <w:sz w:val="21"/>
                <w:szCs w:val="21"/>
                <w:lang w:val="en-US" w:eastAsia="zh-CN"/>
              </w:rPr>
            </w:pPr>
          </w:p>
        </w:tc>
      </w:tr>
      <w:tr w14:paraId="64151E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762EC2C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top w:val="nil"/>
              <w:bottom w:val="nil"/>
            </w:tcBorders>
            <w:noWrap w:val="0"/>
            <w:vAlign w:val="center"/>
          </w:tcPr>
          <w:p w14:paraId="4187AEA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37B50F99">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2040" w:type="dxa"/>
            <w:noWrap w:val="0"/>
            <w:vAlign w:val="center"/>
          </w:tcPr>
          <w:p w14:paraId="21F5AB2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节约成本率</w:t>
            </w:r>
          </w:p>
        </w:tc>
        <w:tc>
          <w:tcPr>
            <w:tcW w:w="810" w:type="dxa"/>
            <w:noWrap w:val="0"/>
            <w:vAlign w:val="center"/>
          </w:tcPr>
          <w:p w14:paraId="045F7DA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w:t>
            </w:r>
          </w:p>
        </w:tc>
        <w:tc>
          <w:tcPr>
            <w:tcW w:w="1065" w:type="dxa"/>
            <w:noWrap w:val="0"/>
            <w:vAlign w:val="center"/>
          </w:tcPr>
          <w:p w14:paraId="0B3E0F3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w:t>
            </w:r>
          </w:p>
        </w:tc>
        <w:tc>
          <w:tcPr>
            <w:tcW w:w="450" w:type="dxa"/>
            <w:noWrap w:val="0"/>
            <w:vAlign w:val="center"/>
          </w:tcPr>
          <w:p w14:paraId="64DA9C4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05612FC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71" w:type="dxa"/>
            <w:noWrap w:val="0"/>
            <w:vAlign w:val="center"/>
          </w:tcPr>
          <w:p w14:paraId="2FBAC40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FF0000"/>
                <w:spacing w:val="0"/>
                <w:sz w:val="21"/>
                <w:szCs w:val="21"/>
              </w:rPr>
            </w:pPr>
          </w:p>
        </w:tc>
      </w:tr>
      <w:tr w14:paraId="3D7DDD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3F936B6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restart"/>
            <w:tcBorders>
              <w:bottom w:val="nil"/>
            </w:tcBorders>
            <w:noWrap w:val="0"/>
            <w:vAlign w:val="center"/>
          </w:tcPr>
          <w:p w14:paraId="3D981542">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591987FE">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7A38F142">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08050EB3">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25FC8A5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140" w:type="dxa"/>
            <w:tcBorders>
              <w:bottom w:val="nil"/>
            </w:tcBorders>
            <w:noWrap w:val="0"/>
            <w:vAlign w:val="center"/>
          </w:tcPr>
          <w:p w14:paraId="5E74779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2C408DC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2040" w:type="dxa"/>
            <w:noWrap w:val="0"/>
            <w:vAlign w:val="center"/>
          </w:tcPr>
          <w:p w14:paraId="5D1F606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810" w:type="dxa"/>
            <w:noWrap w:val="0"/>
            <w:vAlign w:val="center"/>
          </w:tcPr>
          <w:p w14:paraId="5C85914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1065" w:type="dxa"/>
            <w:noWrap w:val="0"/>
            <w:vAlign w:val="center"/>
          </w:tcPr>
          <w:p w14:paraId="6E8B44A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450" w:type="dxa"/>
            <w:noWrap w:val="0"/>
            <w:vAlign w:val="center"/>
          </w:tcPr>
          <w:p w14:paraId="0F3E803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825" w:type="dxa"/>
            <w:noWrap w:val="0"/>
            <w:vAlign w:val="center"/>
          </w:tcPr>
          <w:p w14:paraId="53230A0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1171" w:type="dxa"/>
            <w:noWrap w:val="0"/>
            <w:vAlign w:val="center"/>
          </w:tcPr>
          <w:p w14:paraId="6831446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FF0000"/>
                <w:spacing w:val="0"/>
                <w:sz w:val="21"/>
                <w:szCs w:val="21"/>
              </w:rPr>
            </w:pPr>
          </w:p>
        </w:tc>
      </w:tr>
      <w:tr w14:paraId="0401A5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1" w:hRule="atLeast"/>
        </w:trPr>
        <w:tc>
          <w:tcPr>
            <w:tcW w:w="1075" w:type="dxa"/>
            <w:vMerge w:val="continue"/>
            <w:tcBorders>
              <w:top w:val="nil"/>
              <w:bottom w:val="nil"/>
            </w:tcBorders>
            <w:noWrap w:val="0"/>
            <w:textDirection w:val="tbRlV"/>
            <w:vAlign w:val="center"/>
          </w:tcPr>
          <w:p w14:paraId="1E410AD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top w:val="nil"/>
              <w:bottom w:val="nil"/>
            </w:tcBorders>
            <w:noWrap w:val="0"/>
            <w:vAlign w:val="center"/>
          </w:tcPr>
          <w:p w14:paraId="4B8C4A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0BC6F197">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6DF4E62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2040" w:type="dxa"/>
            <w:noWrap w:val="0"/>
            <w:vAlign w:val="center"/>
          </w:tcPr>
          <w:p w14:paraId="7C7E2DAD">
            <w:pPr>
              <w:keepNext w:val="0"/>
              <w:keepLines w:val="0"/>
              <w:widowControl/>
              <w:suppressLineNumbers w:val="0"/>
              <w:jc w:val="left"/>
              <w:rPr>
                <w:rFonts w:hint="eastAsia" w:ascii="宋体" w:hAnsi="宋体" w:eastAsia="宋体" w:cs="宋体"/>
                <w:sz w:val="20"/>
                <w:szCs w:val="20"/>
              </w:rPr>
            </w:pPr>
            <w:r>
              <w:rPr>
                <w:rFonts w:hint="eastAsia" w:ascii="宋体" w:hAnsi="宋体" w:eastAsia="宋体" w:cs="宋体"/>
                <w:color w:val="000000"/>
                <w:kern w:val="0"/>
                <w:sz w:val="20"/>
                <w:szCs w:val="20"/>
                <w:lang w:val="en-US" w:eastAsia="zh-CN" w:bidi="ar"/>
              </w:rPr>
              <w:t xml:space="preserve">岳阳粤汉铁路英国专家楼所在地，岳阳市为国家级历史文化名城， </w:t>
            </w:r>
          </w:p>
          <w:p w14:paraId="3B26085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color w:val="000000"/>
                <w:kern w:val="0"/>
                <w:sz w:val="20"/>
                <w:szCs w:val="20"/>
                <w:lang w:val="en-US" w:eastAsia="zh-CN" w:bidi="ar"/>
              </w:rPr>
              <w:t>专家楼是历史文化名城文物古迹中重要的组成部分，对城市的历史保护及城市风貌改善均产生积极的促进作用。</w:t>
            </w:r>
          </w:p>
        </w:tc>
        <w:tc>
          <w:tcPr>
            <w:tcW w:w="810" w:type="dxa"/>
            <w:noWrap w:val="0"/>
            <w:vAlign w:val="center"/>
          </w:tcPr>
          <w:p w14:paraId="1972DB9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仿宋" w:hAnsi="仿宋" w:eastAsia="仿宋" w:cs="仿宋"/>
                <w:i w:val="0"/>
                <w:color w:val="000000"/>
                <w:kern w:val="0"/>
                <w:sz w:val="18"/>
                <w:szCs w:val="18"/>
                <w:u w:val="none"/>
                <w:lang w:val="en-US" w:eastAsia="zh-CN" w:bidi="ar"/>
              </w:rPr>
              <w:t>%</w:t>
            </w:r>
          </w:p>
        </w:tc>
        <w:tc>
          <w:tcPr>
            <w:tcW w:w="1065" w:type="dxa"/>
            <w:noWrap w:val="0"/>
            <w:vAlign w:val="center"/>
          </w:tcPr>
          <w:p w14:paraId="1D042F4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仿宋" w:hAnsi="仿宋" w:eastAsia="仿宋" w:cs="仿宋"/>
                <w:i w:val="0"/>
                <w:color w:val="000000"/>
                <w:kern w:val="0"/>
                <w:sz w:val="18"/>
                <w:szCs w:val="18"/>
                <w:u w:val="none"/>
                <w:lang w:val="en-US" w:eastAsia="zh-CN" w:bidi="ar"/>
              </w:rPr>
              <w:t>%</w:t>
            </w:r>
          </w:p>
        </w:tc>
        <w:tc>
          <w:tcPr>
            <w:tcW w:w="450" w:type="dxa"/>
            <w:noWrap w:val="0"/>
            <w:vAlign w:val="center"/>
          </w:tcPr>
          <w:p w14:paraId="2743A2C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15</w:t>
            </w:r>
          </w:p>
        </w:tc>
        <w:tc>
          <w:tcPr>
            <w:tcW w:w="825" w:type="dxa"/>
            <w:noWrap w:val="0"/>
            <w:vAlign w:val="center"/>
          </w:tcPr>
          <w:p w14:paraId="7C4F6D3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14</w:t>
            </w:r>
          </w:p>
        </w:tc>
        <w:tc>
          <w:tcPr>
            <w:tcW w:w="1171" w:type="dxa"/>
            <w:noWrap w:val="0"/>
            <w:vAlign w:val="center"/>
          </w:tcPr>
          <w:p w14:paraId="1BBE9B5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FF0000"/>
                <w:spacing w:val="0"/>
                <w:sz w:val="21"/>
                <w:szCs w:val="21"/>
              </w:rPr>
            </w:pPr>
          </w:p>
        </w:tc>
      </w:tr>
      <w:tr w14:paraId="37235A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31F88B3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top w:val="nil"/>
              <w:bottom w:val="nil"/>
            </w:tcBorders>
            <w:noWrap w:val="0"/>
            <w:vAlign w:val="center"/>
          </w:tcPr>
          <w:p w14:paraId="4D338CA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6A327D33">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14:paraId="116EB79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2040" w:type="dxa"/>
            <w:noWrap w:val="0"/>
            <w:vAlign w:val="center"/>
          </w:tcPr>
          <w:p w14:paraId="4F9C743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810" w:type="dxa"/>
            <w:noWrap w:val="0"/>
            <w:vAlign w:val="center"/>
          </w:tcPr>
          <w:p w14:paraId="5FD672C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1065" w:type="dxa"/>
            <w:noWrap w:val="0"/>
            <w:vAlign w:val="center"/>
          </w:tcPr>
          <w:p w14:paraId="34D262F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450" w:type="dxa"/>
            <w:noWrap w:val="0"/>
            <w:vAlign w:val="center"/>
          </w:tcPr>
          <w:p w14:paraId="0584A80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825" w:type="dxa"/>
            <w:noWrap w:val="0"/>
            <w:vAlign w:val="center"/>
          </w:tcPr>
          <w:p w14:paraId="46CD375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p>
        </w:tc>
        <w:tc>
          <w:tcPr>
            <w:tcW w:w="1171" w:type="dxa"/>
            <w:noWrap w:val="0"/>
            <w:vAlign w:val="center"/>
          </w:tcPr>
          <w:p w14:paraId="192F09C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FF0000"/>
                <w:spacing w:val="0"/>
                <w:sz w:val="21"/>
                <w:szCs w:val="21"/>
              </w:rPr>
            </w:pPr>
          </w:p>
        </w:tc>
      </w:tr>
      <w:tr w14:paraId="2EEB70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510BF06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vMerge w:val="continue"/>
            <w:tcBorders>
              <w:top w:val="nil"/>
              <w:bottom w:val="nil"/>
            </w:tcBorders>
            <w:noWrap w:val="0"/>
            <w:vAlign w:val="center"/>
          </w:tcPr>
          <w:p w14:paraId="6FA973C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tcBorders>
              <w:bottom w:val="nil"/>
            </w:tcBorders>
            <w:noWrap w:val="0"/>
            <w:vAlign w:val="center"/>
          </w:tcPr>
          <w:p w14:paraId="6429B946">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4BE3B6D7">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2040" w:type="dxa"/>
            <w:noWrap w:val="0"/>
            <w:vAlign w:val="center"/>
          </w:tcPr>
          <w:p w14:paraId="6CDC72E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color w:val="000000"/>
                <w:kern w:val="0"/>
                <w:sz w:val="20"/>
                <w:szCs w:val="20"/>
                <w:lang w:val="en-US" w:eastAsia="zh-CN" w:bidi="ar"/>
              </w:rPr>
              <w:t>岳阳粤汉铁路英国专家楼是我们对青少年进行爱国主义教育的最好课堂，其教育功能具有深远的历史意义.</w:t>
            </w:r>
          </w:p>
        </w:tc>
        <w:tc>
          <w:tcPr>
            <w:tcW w:w="810" w:type="dxa"/>
            <w:noWrap w:val="0"/>
            <w:vAlign w:val="center"/>
          </w:tcPr>
          <w:p w14:paraId="6DFCC5A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可持续</w:t>
            </w:r>
          </w:p>
          <w:p w14:paraId="27A6D23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影响</w:t>
            </w:r>
          </w:p>
        </w:tc>
        <w:tc>
          <w:tcPr>
            <w:tcW w:w="1065" w:type="dxa"/>
            <w:noWrap w:val="0"/>
            <w:vAlign w:val="center"/>
          </w:tcPr>
          <w:p w14:paraId="7420A12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可持续</w:t>
            </w:r>
          </w:p>
          <w:p w14:paraId="757FFEF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影响</w:t>
            </w:r>
          </w:p>
        </w:tc>
        <w:tc>
          <w:tcPr>
            <w:tcW w:w="450" w:type="dxa"/>
            <w:noWrap w:val="0"/>
            <w:vAlign w:val="center"/>
          </w:tcPr>
          <w:p w14:paraId="4601174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15</w:t>
            </w:r>
          </w:p>
        </w:tc>
        <w:tc>
          <w:tcPr>
            <w:tcW w:w="825" w:type="dxa"/>
            <w:noWrap w:val="0"/>
            <w:vAlign w:val="center"/>
          </w:tcPr>
          <w:p w14:paraId="5AA6ACB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15</w:t>
            </w:r>
          </w:p>
        </w:tc>
        <w:tc>
          <w:tcPr>
            <w:tcW w:w="1171" w:type="dxa"/>
            <w:noWrap w:val="0"/>
            <w:vAlign w:val="center"/>
          </w:tcPr>
          <w:p w14:paraId="303F42C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FF0000"/>
                <w:spacing w:val="0"/>
                <w:sz w:val="21"/>
                <w:szCs w:val="21"/>
              </w:rPr>
            </w:pPr>
          </w:p>
        </w:tc>
      </w:tr>
      <w:tr w14:paraId="526797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5438738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04" w:type="dxa"/>
            <w:tcBorders>
              <w:bottom w:val="nil"/>
            </w:tcBorders>
            <w:noWrap w:val="0"/>
            <w:vAlign w:val="center"/>
          </w:tcPr>
          <w:p w14:paraId="51CD39A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363C901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484DC0BE">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140" w:type="dxa"/>
            <w:tcBorders>
              <w:bottom w:val="nil"/>
            </w:tcBorders>
            <w:noWrap w:val="0"/>
            <w:vAlign w:val="center"/>
          </w:tcPr>
          <w:p w14:paraId="1691811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1CC4F66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59CF35C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2040" w:type="dxa"/>
            <w:noWrap w:val="0"/>
            <w:vAlign w:val="center"/>
          </w:tcPr>
          <w:p w14:paraId="747BED8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社会公众满意度</w:t>
            </w:r>
          </w:p>
        </w:tc>
        <w:tc>
          <w:tcPr>
            <w:tcW w:w="810" w:type="dxa"/>
            <w:noWrap w:val="0"/>
            <w:vAlign w:val="center"/>
          </w:tcPr>
          <w:p w14:paraId="25376B4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w:t>
            </w:r>
            <w:r>
              <w:rPr>
                <w:rFonts w:hint="default" w:ascii="宋体" w:hAnsi="宋体" w:eastAsia="宋体" w:cs="宋体"/>
                <w:i w:val="0"/>
                <w:iCs w:val="0"/>
                <w:color w:val="000000"/>
                <w:kern w:val="0"/>
                <w:sz w:val="20"/>
                <w:szCs w:val="20"/>
                <w:u w:val="none"/>
                <w:lang w:val="en-US" w:eastAsia="zh-CN" w:bidi="ar"/>
              </w:rPr>
              <w:t>95</w:t>
            </w:r>
            <w:r>
              <w:rPr>
                <w:rFonts w:hint="eastAsia" w:ascii="仿宋" w:hAnsi="仿宋" w:eastAsia="仿宋" w:cs="仿宋"/>
                <w:i w:val="0"/>
                <w:color w:val="000000"/>
                <w:kern w:val="0"/>
                <w:sz w:val="18"/>
                <w:szCs w:val="18"/>
                <w:u w:val="none"/>
                <w:lang w:val="en-US" w:eastAsia="zh-CN" w:bidi="ar"/>
              </w:rPr>
              <w:t>%</w:t>
            </w:r>
          </w:p>
        </w:tc>
        <w:tc>
          <w:tcPr>
            <w:tcW w:w="1065" w:type="dxa"/>
            <w:noWrap w:val="0"/>
            <w:vAlign w:val="center"/>
          </w:tcPr>
          <w:p w14:paraId="60D9346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95</w:t>
            </w:r>
            <w:r>
              <w:rPr>
                <w:rFonts w:hint="eastAsia" w:ascii="仿宋" w:hAnsi="仿宋" w:eastAsia="仿宋" w:cs="仿宋"/>
                <w:i w:val="0"/>
                <w:color w:val="000000"/>
                <w:kern w:val="0"/>
                <w:sz w:val="18"/>
                <w:szCs w:val="18"/>
                <w:u w:val="none"/>
                <w:lang w:val="en-US" w:eastAsia="zh-CN" w:bidi="ar"/>
              </w:rPr>
              <w:t>%</w:t>
            </w:r>
          </w:p>
        </w:tc>
        <w:tc>
          <w:tcPr>
            <w:tcW w:w="450" w:type="dxa"/>
            <w:noWrap w:val="0"/>
            <w:vAlign w:val="center"/>
          </w:tcPr>
          <w:p w14:paraId="0B6768A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825" w:type="dxa"/>
            <w:noWrap w:val="0"/>
            <w:vAlign w:val="center"/>
          </w:tcPr>
          <w:p w14:paraId="5033689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71" w:type="dxa"/>
            <w:noWrap w:val="0"/>
            <w:vAlign w:val="center"/>
          </w:tcPr>
          <w:p w14:paraId="05D7B2B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FF0000"/>
                <w:spacing w:val="0"/>
                <w:sz w:val="21"/>
                <w:szCs w:val="21"/>
              </w:rPr>
            </w:pPr>
          </w:p>
        </w:tc>
      </w:tr>
      <w:tr w14:paraId="0B6F0C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7134" w:type="dxa"/>
            <w:gridSpan w:val="6"/>
            <w:noWrap w:val="0"/>
            <w:vAlign w:val="center"/>
          </w:tcPr>
          <w:p w14:paraId="4D982E4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总分</w:t>
            </w:r>
          </w:p>
        </w:tc>
        <w:tc>
          <w:tcPr>
            <w:tcW w:w="450" w:type="dxa"/>
            <w:noWrap w:val="0"/>
            <w:vAlign w:val="center"/>
          </w:tcPr>
          <w:p w14:paraId="45E830C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100</w:t>
            </w:r>
          </w:p>
        </w:tc>
        <w:tc>
          <w:tcPr>
            <w:tcW w:w="825" w:type="dxa"/>
            <w:noWrap w:val="0"/>
            <w:vAlign w:val="center"/>
          </w:tcPr>
          <w:p w14:paraId="299A7C1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97</w:t>
            </w:r>
          </w:p>
        </w:tc>
        <w:tc>
          <w:tcPr>
            <w:tcW w:w="1171" w:type="dxa"/>
            <w:noWrap w:val="0"/>
            <w:vAlign w:val="center"/>
          </w:tcPr>
          <w:p w14:paraId="0C97533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7E4EDA67">
      <w:pPr>
        <w:spacing w:line="252" w:lineRule="auto"/>
        <w:rPr>
          <w:rFonts w:ascii="Arial"/>
          <w:color w:val="000000" w:themeColor="text1"/>
          <w:sz w:val="21"/>
          <w14:textFill>
            <w14:solidFill>
              <w14:schemeClr w14:val="tx1"/>
            </w14:solidFill>
          </w14:textFill>
        </w:rPr>
      </w:pPr>
    </w:p>
    <w:p w14:paraId="258A78A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任雨鸿</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13873081203</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刘英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2023-6-2</w:t>
      </w:r>
    </w:p>
    <w:p w14:paraId="0A190557">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0DF78776">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120FF7C6">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30232F05">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26C6C7A6">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5191722C">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5FB6598C">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jc w:val="center"/>
        <w:textAlignment w:val="auto"/>
        <w:rPr>
          <w:rFonts w:hint="eastAsia" w:ascii="宋体" w:hAnsi="宋体" w:cs="宋体"/>
          <w:b/>
          <w:bCs/>
          <w:kern w:val="2"/>
          <w:sz w:val="44"/>
          <w:szCs w:val="44"/>
          <w:lang w:val="en-US" w:eastAsia="zh-CN"/>
        </w:rPr>
      </w:pPr>
    </w:p>
    <w:p w14:paraId="730100CB">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225" w:afterAutospacing="0" w:line="240" w:lineRule="auto"/>
        <w:ind w:left="1767" w:hanging="1767" w:hangingChars="400"/>
        <w:jc w:val="both"/>
        <w:textAlignment w:val="auto"/>
        <w:rPr>
          <w:rFonts w:hint="eastAsia" w:ascii="宋体" w:hAnsi="宋体" w:eastAsia="宋体" w:cs="宋体"/>
          <w:b/>
          <w:bCs/>
          <w:kern w:val="2"/>
          <w:sz w:val="44"/>
          <w:szCs w:val="44"/>
        </w:rPr>
      </w:pPr>
      <w:r>
        <w:rPr>
          <w:rFonts w:hint="eastAsia" w:ascii="宋体" w:hAnsi="宋体" w:cs="宋体"/>
          <w:b/>
          <w:bCs/>
          <w:kern w:val="2"/>
          <w:sz w:val="44"/>
          <w:szCs w:val="44"/>
          <w:lang w:val="en-US" w:eastAsia="zh-CN"/>
        </w:rPr>
        <w:t>岳阳粤汉铁路英国专家楼修缮工程项目</w:t>
      </w:r>
      <w:r>
        <w:rPr>
          <w:rFonts w:hint="eastAsia" w:ascii="宋体" w:hAnsi="宋体" w:cs="宋体"/>
          <w:b/>
          <w:bCs/>
          <w:kern w:val="2"/>
          <w:sz w:val="44"/>
          <w:szCs w:val="44"/>
          <w:lang w:eastAsia="zh-CN"/>
        </w:rPr>
        <w:t>资金</w:t>
      </w:r>
      <w:r>
        <w:rPr>
          <w:rFonts w:hint="eastAsia" w:ascii="宋体" w:hAnsi="宋体" w:eastAsia="宋体" w:cs="宋体"/>
          <w:b/>
          <w:bCs/>
          <w:kern w:val="2"/>
          <w:sz w:val="44"/>
          <w:szCs w:val="44"/>
        </w:rPr>
        <w:t>2022年度绩效自评报告</w:t>
      </w:r>
    </w:p>
    <w:p w14:paraId="5080A0D1">
      <w:pPr>
        <w:pStyle w:val="6"/>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240" w:lineRule="auto"/>
        <w:ind w:firstLine="602" w:firstLineChars="200"/>
        <w:jc w:val="both"/>
        <w:textAlignment w:val="auto"/>
        <w:rPr>
          <w:rFonts w:hint="eastAsia" w:ascii="仿宋" w:hAnsi="仿宋" w:eastAsia="仿宋" w:cs="仿宋"/>
          <w:b/>
          <w:bCs/>
          <w:kern w:val="2"/>
          <w:sz w:val="30"/>
          <w:szCs w:val="30"/>
          <w:lang w:val="en-US" w:eastAsia="zh-CN" w:bidi="ar-SA"/>
        </w:rPr>
      </w:pPr>
      <w:r>
        <w:rPr>
          <w:rFonts w:hint="eastAsia" w:ascii="仿宋" w:hAnsi="仿宋" w:eastAsia="仿宋" w:cs="仿宋"/>
          <w:b/>
          <w:bCs/>
          <w:kern w:val="2"/>
          <w:sz w:val="30"/>
          <w:szCs w:val="30"/>
          <w:lang w:val="en-US" w:eastAsia="zh-CN" w:bidi="ar-SA"/>
        </w:rPr>
        <w:t>一、绩效目标分解下达情况</w:t>
      </w:r>
    </w:p>
    <w:p w14:paraId="50C661FB">
      <w:pPr>
        <w:pStyle w:val="6"/>
        <w:widowControl/>
        <w:numPr>
          <w:ilvl w:val="0"/>
          <w:numId w:val="0"/>
        </w:numPr>
        <w:pBdr>
          <w:top w:val="none" w:color="auto" w:sz="0" w:space="1"/>
          <w:left w:val="none" w:color="auto" w:sz="0" w:space="4"/>
          <w:bottom w:val="none" w:color="auto" w:sz="0" w:space="1"/>
          <w:right w:val="none" w:color="auto" w:sz="0" w:space="4"/>
        </w:pBdr>
        <w:spacing w:beforeAutospacing="0" w:afterAutospacing="0" w:line="33" w:lineRule="atLeast"/>
        <w:ind w:left="420" w:leftChars="0" w:right="0" w:rightChars="0" w:firstLine="600" w:firstLineChars="200"/>
        <w:jc w:val="both"/>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岳阳粤汉铁路英国专家楼修缮工程项目资金203.72万元。1.本级安排岳阳粤汉铁路英国专家楼修缮配套建设工作经费资金11万元；2.</w:t>
      </w: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上年结转资金192.72万元</w:t>
      </w:r>
      <w:r>
        <w:rPr>
          <w:rFonts w:hint="eastAsia" w:ascii="仿宋" w:hAnsi="仿宋" w:eastAsia="仿宋" w:cs="仿宋"/>
          <w:sz w:val="30"/>
          <w:szCs w:val="30"/>
          <w:lang w:val="en-US" w:eastAsia="zh-CN"/>
        </w:rPr>
        <w:t>。积极对接省级文物保护点“粤汉铁路英国专家楼”产权单位，启动文物建筑维护修缮工程。</w:t>
      </w:r>
    </w:p>
    <w:p w14:paraId="12C93A0A">
      <w:pPr>
        <w:pStyle w:val="6"/>
        <w:widowControl/>
        <w:shd w:val="clear" w:color="auto" w:fill="FFFFFF"/>
        <w:spacing w:beforeAutospacing="0" w:after="225" w:afterAutospacing="0" w:line="400" w:lineRule="exact"/>
        <w:ind w:firstLine="630"/>
        <w:jc w:val="both"/>
        <w:rPr>
          <w:rFonts w:hint="eastAsia" w:ascii="仿宋" w:hAnsi="仿宋" w:eastAsia="仿宋" w:cs="仿宋"/>
          <w:b/>
          <w:bCs/>
          <w:color w:val="3D3D3D"/>
          <w:sz w:val="30"/>
          <w:szCs w:val="30"/>
        </w:rPr>
      </w:pPr>
      <w:r>
        <w:rPr>
          <w:rFonts w:hint="eastAsia" w:ascii="黑体" w:hAnsi="黑体" w:eastAsia="黑体" w:cs="黑体"/>
          <w:b w:val="0"/>
          <w:bCs w:val="0"/>
          <w:color w:val="3D3D3D"/>
          <w:sz w:val="30"/>
          <w:szCs w:val="30"/>
          <w:shd w:val="clear" w:color="auto" w:fill="FFFFFF"/>
        </w:rPr>
        <w:t>二、绩效目标完成情况分析</w:t>
      </w:r>
    </w:p>
    <w:p w14:paraId="2781A744">
      <w:pPr>
        <w:pStyle w:val="6"/>
        <w:widowControl/>
        <w:shd w:val="clear" w:color="auto" w:fill="FFFFFF"/>
        <w:spacing w:beforeAutospacing="0" w:after="225" w:afterAutospacing="0" w:line="400" w:lineRule="exact"/>
        <w:ind w:firstLine="630"/>
        <w:jc w:val="both"/>
        <w:rPr>
          <w:rFonts w:hint="eastAsia" w:ascii="仿宋" w:hAnsi="仿宋" w:eastAsia="仿宋" w:cs="仿宋"/>
          <w:color w:val="auto"/>
          <w:sz w:val="30"/>
          <w:szCs w:val="30"/>
          <w:shd w:val="clear" w:color="auto" w:fill="FFFFFF"/>
        </w:rPr>
      </w:pPr>
      <w:r>
        <w:rPr>
          <w:rFonts w:hint="eastAsia" w:ascii="仿宋" w:hAnsi="仿宋" w:eastAsia="仿宋" w:cs="仿宋"/>
          <w:color w:val="auto"/>
          <w:sz w:val="30"/>
          <w:szCs w:val="30"/>
          <w:shd w:val="clear" w:color="auto" w:fill="FFFFFF"/>
        </w:rPr>
        <w:t>（一）资金投入情况分析</w:t>
      </w:r>
    </w:p>
    <w:p w14:paraId="7A5FC34D">
      <w:pPr>
        <w:pStyle w:val="6"/>
        <w:widowControl/>
        <w:shd w:val="clear" w:color="auto" w:fill="FFFFFF"/>
        <w:spacing w:beforeAutospacing="0" w:after="225" w:afterAutospacing="0" w:line="400" w:lineRule="exact"/>
        <w:ind w:firstLine="630"/>
        <w:jc w:val="both"/>
        <w:rPr>
          <w:rFonts w:hint="eastAsia" w:ascii="仿宋" w:hAnsi="仿宋" w:eastAsia="仿宋" w:cs="仿宋"/>
          <w:b w:val="0"/>
          <w:bCs w:val="0"/>
          <w:sz w:val="30"/>
          <w:szCs w:val="30"/>
        </w:rPr>
      </w:pPr>
      <w:r>
        <w:rPr>
          <w:rFonts w:hint="eastAsia" w:ascii="仿宋" w:hAnsi="仿宋" w:eastAsia="仿宋" w:cs="仿宋"/>
          <w:b w:val="0"/>
          <w:bCs w:val="0"/>
          <w:sz w:val="30"/>
          <w:szCs w:val="30"/>
          <w:lang w:val="en-US" w:eastAsia="zh-CN"/>
        </w:rPr>
        <w:t>1.</w:t>
      </w:r>
      <w:r>
        <w:rPr>
          <w:rFonts w:hint="eastAsia" w:ascii="仿宋" w:hAnsi="仿宋" w:eastAsia="仿宋" w:cs="仿宋"/>
          <w:b w:val="0"/>
          <w:bCs w:val="0"/>
          <w:sz w:val="30"/>
          <w:szCs w:val="30"/>
        </w:rPr>
        <w:t>项目资金实际使用情况分析</w:t>
      </w:r>
    </w:p>
    <w:p w14:paraId="64BB5A05">
      <w:pPr>
        <w:keepNext w:val="0"/>
        <w:keepLines w:val="0"/>
        <w:pageBreakBefore w:val="0"/>
        <w:widowControl w:val="0"/>
        <w:kinsoku/>
        <w:wordWrap/>
        <w:overflowPunct/>
        <w:topLinePunct w:val="0"/>
        <w:autoSpaceDE/>
        <w:autoSpaceDN/>
        <w:bidi w:val="0"/>
        <w:adjustRightInd/>
        <w:snapToGrid/>
        <w:ind w:firstLine="600" w:firstLineChars="200"/>
        <w:rPr>
          <w:rFonts w:hint="eastAsia" w:ascii="仿宋" w:hAnsi="仿宋" w:eastAsia="仿宋" w:cs="仿宋"/>
          <w:color w:val="0000FF"/>
          <w:sz w:val="30"/>
          <w:szCs w:val="30"/>
          <w:lang w:val="en-US" w:eastAsia="zh-CN"/>
        </w:rPr>
      </w:pPr>
      <w:r>
        <w:rPr>
          <w:rFonts w:hint="eastAsia" w:ascii="仿宋" w:hAnsi="仿宋" w:eastAsia="仿宋" w:cs="仿宋"/>
          <w:sz w:val="30"/>
          <w:szCs w:val="30"/>
          <w:lang w:val="en-US" w:eastAsia="zh-CN"/>
        </w:rPr>
        <w:t>该项目资金使用严格按审批程序办理，操作规范、会计核审结果真实、准确，主要是用于：岳阳粤汉铁路英国专家楼修缮配套建设经费支出11万元；岳阳粤汉铁路英国专家楼修缮支出192.72</w:t>
      </w: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万元</w:t>
      </w:r>
      <w:r>
        <w:rPr>
          <w:rFonts w:hint="eastAsia" w:ascii="仿宋" w:hAnsi="仿宋" w:eastAsia="仿宋" w:cs="仿宋"/>
          <w:color w:val="000000" w:themeColor="text1"/>
          <w:sz w:val="30"/>
          <w:szCs w:val="30"/>
          <w:lang w:val="en-US" w:eastAsia="zh-CN"/>
          <w14:textFill>
            <w14:solidFill>
              <w14:schemeClr w14:val="tx1"/>
            </w14:solidFill>
          </w14:textFill>
        </w:rPr>
        <w:t>。</w:t>
      </w:r>
    </w:p>
    <w:p w14:paraId="28B5A4E3">
      <w:pPr>
        <w:keepNext w:val="0"/>
        <w:keepLines w:val="0"/>
        <w:pageBreakBefore w:val="0"/>
        <w:widowControl w:val="0"/>
        <w:kinsoku/>
        <w:wordWrap/>
        <w:overflowPunct/>
        <w:topLinePunct w:val="0"/>
        <w:autoSpaceDE/>
        <w:autoSpaceDN/>
        <w:bidi w:val="0"/>
        <w:adjustRightInd/>
        <w:snapToGrid/>
        <w:ind w:firstLine="600" w:firstLineChars="200"/>
        <w:rPr>
          <w:rFonts w:hint="eastAsia" w:ascii="仿宋" w:hAnsi="仿宋" w:eastAsia="仿宋" w:cs="仿宋"/>
          <w:b w:val="0"/>
          <w:bCs w:val="0"/>
          <w:sz w:val="30"/>
          <w:szCs w:val="30"/>
        </w:rPr>
      </w:pPr>
      <w:r>
        <w:rPr>
          <w:rFonts w:hint="eastAsia" w:ascii="仿宋" w:hAnsi="仿宋" w:eastAsia="仿宋" w:cs="仿宋"/>
          <w:b w:val="0"/>
          <w:bCs w:val="0"/>
          <w:sz w:val="30"/>
          <w:szCs w:val="30"/>
          <w:lang w:val="en-US" w:eastAsia="zh-CN"/>
        </w:rPr>
        <w:t>2.</w:t>
      </w:r>
      <w:r>
        <w:rPr>
          <w:rFonts w:hint="eastAsia" w:ascii="仿宋" w:hAnsi="仿宋" w:eastAsia="仿宋" w:cs="仿宋"/>
          <w:b w:val="0"/>
          <w:bCs w:val="0"/>
          <w:sz w:val="30"/>
          <w:szCs w:val="30"/>
        </w:rPr>
        <w:t>项目资金管理情况分析</w:t>
      </w:r>
    </w:p>
    <w:p w14:paraId="0232D24B">
      <w:pPr>
        <w:keepNext w:val="0"/>
        <w:keepLines w:val="0"/>
        <w:pageBreakBefore w:val="0"/>
        <w:widowControl w:val="0"/>
        <w:kinsoku/>
        <w:wordWrap/>
        <w:overflowPunct/>
        <w:topLinePunct w:val="0"/>
        <w:autoSpaceDE/>
        <w:autoSpaceDN/>
        <w:bidi w:val="0"/>
        <w:adjustRightInd/>
        <w:snapToGrid/>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此</w:t>
      </w:r>
      <w:r>
        <w:rPr>
          <w:rFonts w:hint="eastAsia" w:ascii="仿宋" w:hAnsi="仿宋" w:eastAsia="仿宋" w:cs="仿宋"/>
          <w:sz w:val="30"/>
          <w:szCs w:val="30"/>
        </w:rPr>
        <w:t>项目严格按照专项资金的用途和范围，专款专用，</w:t>
      </w:r>
      <w:r>
        <w:rPr>
          <w:rFonts w:hint="eastAsia" w:ascii="仿宋" w:hAnsi="仿宋" w:eastAsia="仿宋" w:cs="仿宋"/>
          <w:sz w:val="30"/>
          <w:szCs w:val="30"/>
          <w:lang w:val="en-US" w:eastAsia="zh-CN"/>
        </w:rPr>
        <w:t>真实、有效、合法的</w:t>
      </w:r>
      <w:r>
        <w:rPr>
          <w:rFonts w:hint="eastAsia" w:ascii="仿宋" w:hAnsi="仿宋" w:eastAsia="仿宋" w:cs="仿宋"/>
          <w:sz w:val="30"/>
          <w:szCs w:val="30"/>
        </w:rPr>
        <w:t>实际开支</w:t>
      </w:r>
      <w:r>
        <w:rPr>
          <w:rFonts w:hint="eastAsia" w:ascii="仿宋" w:hAnsi="仿宋" w:eastAsia="仿宋" w:cs="仿宋"/>
          <w:sz w:val="30"/>
          <w:szCs w:val="30"/>
          <w:lang w:val="en-US" w:eastAsia="zh-CN"/>
        </w:rPr>
        <w:t>凭证，严格审批</w:t>
      </w:r>
      <w:r>
        <w:rPr>
          <w:rFonts w:hint="eastAsia" w:ascii="仿宋" w:hAnsi="仿宋" w:eastAsia="仿宋" w:cs="仿宋"/>
          <w:sz w:val="30"/>
          <w:szCs w:val="30"/>
        </w:rPr>
        <w:t>予以支付报销</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充分保障资金安全运行，发挥资金的使用效益。</w:t>
      </w:r>
    </w:p>
    <w:p w14:paraId="3DF7B580">
      <w:pPr>
        <w:numPr>
          <w:ilvl w:val="0"/>
          <w:numId w:val="1"/>
        </w:numPr>
        <w:ind w:left="30" w:leftChars="0" w:firstLine="600" w:firstLineChars="0"/>
        <w:jc w:val="both"/>
        <w:rPr>
          <w:rFonts w:hint="eastAsia" w:ascii="仿宋" w:hAnsi="仿宋" w:eastAsia="仿宋" w:cs="仿宋"/>
          <w:color w:val="auto"/>
          <w:sz w:val="30"/>
          <w:szCs w:val="30"/>
          <w:shd w:val="clear" w:color="auto" w:fill="FFFFFF"/>
        </w:rPr>
      </w:pPr>
      <w:r>
        <w:rPr>
          <w:rFonts w:hint="eastAsia" w:ascii="仿宋" w:hAnsi="仿宋" w:eastAsia="仿宋" w:cs="仿宋"/>
          <w:color w:val="auto"/>
          <w:sz w:val="30"/>
          <w:szCs w:val="30"/>
          <w:shd w:val="clear" w:color="auto" w:fill="FFFFFF"/>
        </w:rPr>
        <w:t>总体绩效目标完成情况分析</w:t>
      </w:r>
    </w:p>
    <w:p w14:paraId="09A16288">
      <w:pPr>
        <w:keepNext w:val="0"/>
        <w:keepLines w:val="0"/>
        <w:pageBreakBefore w:val="0"/>
        <w:widowControl w:val="0"/>
        <w:kinsoku/>
        <w:wordWrap/>
        <w:overflowPunct/>
        <w:topLinePunct w:val="0"/>
        <w:autoSpaceDE/>
        <w:autoSpaceDN/>
        <w:bidi w:val="0"/>
        <w:adjustRightInd/>
        <w:snapToGrid/>
        <w:ind w:firstLine="600" w:firstLineChars="2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积极对接省级文物保护点“粤汉铁路英国专家楼”产权单位，启动文物建筑维护修缮工程。按《中华人民共和国文物保护法》“不改变文物原状”的原则，遵循“最135 小干予”原则，遵守不改变原来的建筑形制、结构、材料和工艺技术的原则。 保护文物建筑的真实性和完整性为指导思想。保持原有的形式、空间、结构、 材料的真实性。 对于残缺的建筑装饰部分，视情况而定。若残存部分能体现出较高的艺 术价值，且不影响结构和安全则保留或只做简单的加固，尽可能地保存建筑 的古色古香的韵味，以见证建筑饱经风霜的历史。若装饰部分的缺失影响到建筑的整体效果，且根据现状可以复原，则对其进行修复。重点修缮：文物建筑本体修缮以文物本体为重点修缮。采用原做法和不 改变文物原状的修缮原则，修缮剔补加固单元局部工程应遵循原做法、原工艺、原材料。 一般修缮：除重点修缮中的分部工程外，其余分部工程均为一般修缮。带有抢险性质，修复加固单元局部构件及构件保护处理。加固措施应优先采取建筑本身的做法和地方传统做法。</w:t>
      </w:r>
    </w:p>
    <w:p w14:paraId="2901DFCC">
      <w:pPr>
        <w:pStyle w:val="6"/>
        <w:keepNext w:val="0"/>
        <w:keepLines w:val="0"/>
        <w:pageBreakBefore w:val="0"/>
        <w:widowControl/>
        <w:shd w:val="clear" w:color="auto" w:fill="FFFFFF"/>
        <w:kinsoku/>
        <w:wordWrap/>
        <w:overflowPunct/>
        <w:topLinePunct w:val="0"/>
        <w:autoSpaceDE/>
        <w:autoSpaceDN/>
        <w:bidi w:val="0"/>
        <w:adjustRightInd/>
        <w:spacing w:beforeAutospacing="0" w:afterAutospacing="0" w:line="240" w:lineRule="auto"/>
        <w:ind w:firstLine="630"/>
        <w:jc w:val="both"/>
        <w:textAlignment w:val="auto"/>
        <w:rPr>
          <w:rFonts w:hint="eastAsia" w:ascii="黑体" w:hAnsi="黑体" w:eastAsia="黑体" w:cs="黑体"/>
          <w:b w:val="0"/>
          <w:bCs w:val="0"/>
          <w:color w:val="3D3D3D"/>
          <w:kern w:val="0"/>
          <w:sz w:val="30"/>
          <w:szCs w:val="30"/>
          <w:shd w:val="clear" w:color="auto" w:fill="FFFFFF"/>
          <w:lang w:val="en-US" w:eastAsia="zh-CN" w:bidi="ar-SA"/>
        </w:rPr>
      </w:pPr>
      <w:r>
        <w:rPr>
          <w:rFonts w:hint="eastAsia" w:ascii="仿宋" w:hAnsi="仿宋" w:eastAsia="仿宋" w:cs="仿宋"/>
          <w:b/>
          <w:bCs/>
          <w:color w:val="auto"/>
          <w:sz w:val="30"/>
          <w:szCs w:val="30"/>
          <w:shd w:val="clear" w:color="auto" w:fill="FFFFFF"/>
        </w:rPr>
        <w:t>三</w:t>
      </w:r>
      <w:r>
        <w:rPr>
          <w:rFonts w:hint="eastAsia" w:ascii="仿宋" w:hAnsi="仿宋" w:eastAsia="仿宋" w:cs="仿宋"/>
          <w:b/>
          <w:bCs/>
          <w:color w:val="auto"/>
          <w:sz w:val="30"/>
          <w:szCs w:val="30"/>
          <w:shd w:val="clear" w:color="auto" w:fill="FFFFFF"/>
          <w:lang w:eastAsia="zh-CN"/>
        </w:rPr>
        <w:t>、</w:t>
      </w:r>
      <w:r>
        <w:rPr>
          <w:rFonts w:hint="eastAsia" w:ascii="黑体" w:hAnsi="黑体" w:eastAsia="黑体" w:cs="黑体"/>
          <w:b w:val="0"/>
          <w:bCs w:val="0"/>
          <w:color w:val="3D3D3D"/>
          <w:kern w:val="0"/>
          <w:sz w:val="30"/>
          <w:szCs w:val="30"/>
          <w:shd w:val="clear" w:color="auto" w:fill="FFFFFF"/>
          <w:lang w:val="en-US" w:eastAsia="zh-CN" w:bidi="ar-SA"/>
        </w:rPr>
        <w:t>评价结果</w:t>
      </w:r>
    </w:p>
    <w:p w14:paraId="0859CB0E">
      <w:pPr>
        <w:keepNext w:val="0"/>
        <w:keepLines w:val="0"/>
        <w:pageBreakBefore w:val="0"/>
        <w:widowControl w:val="0"/>
        <w:kinsoku/>
        <w:wordWrap/>
        <w:overflowPunct/>
        <w:topLinePunct w:val="0"/>
        <w:autoSpaceDE/>
        <w:autoSpaceDN/>
        <w:bidi w:val="0"/>
        <w:adjustRightInd/>
        <w:snapToGrid/>
        <w:spacing w:line="240" w:lineRule="auto"/>
        <w:ind w:firstLine="612" w:firstLineChars="200"/>
        <w:textAlignment w:val="auto"/>
        <w:rPr>
          <w:rStyle w:val="12"/>
          <w:rFonts w:hint="eastAsia" w:ascii="仿宋" w:hAnsi="仿宋" w:eastAsia="仿宋" w:cs="仿宋"/>
          <w:b w:val="0"/>
          <w:bCs w:val="0"/>
          <w:color w:val="auto"/>
          <w:spacing w:val="3"/>
          <w:sz w:val="30"/>
          <w:szCs w:val="30"/>
          <w:lang w:eastAsia="zh-CN"/>
        </w:rPr>
      </w:pPr>
      <w:r>
        <w:rPr>
          <w:rStyle w:val="12"/>
          <w:rFonts w:hint="eastAsia" w:ascii="仿宋" w:hAnsi="仿宋" w:eastAsia="仿宋" w:cs="仿宋"/>
          <w:b w:val="0"/>
          <w:bCs w:val="0"/>
          <w:color w:val="auto"/>
          <w:spacing w:val="3"/>
          <w:sz w:val="30"/>
          <w:szCs w:val="30"/>
        </w:rPr>
        <w:t>本项目</w:t>
      </w:r>
      <w:r>
        <w:rPr>
          <w:rStyle w:val="12"/>
          <w:rFonts w:hint="eastAsia" w:ascii="仿宋" w:hAnsi="仿宋" w:eastAsia="仿宋" w:cs="仿宋"/>
          <w:b w:val="0"/>
          <w:bCs w:val="0"/>
          <w:color w:val="auto"/>
          <w:spacing w:val="3"/>
          <w:sz w:val="30"/>
          <w:szCs w:val="30"/>
          <w:lang w:val="en-US" w:eastAsia="zh-CN"/>
        </w:rPr>
        <w:t>我局</w:t>
      </w:r>
      <w:r>
        <w:rPr>
          <w:rStyle w:val="12"/>
          <w:rFonts w:hint="eastAsia" w:ascii="仿宋" w:hAnsi="仿宋" w:eastAsia="仿宋" w:cs="仿宋"/>
          <w:b w:val="0"/>
          <w:bCs w:val="0"/>
          <w:color w:val="auto"/>
          <w:spacing w:val="3"/>
          <w:sz w:val="30"/>
          <w:szCs w:val="30"/>
        </w:rPr>
        <w:t>严格按照规定的程序申请设立，符合国家相关法律法规、国民经济发展规划和党委政府决策，在项目使用管理过程中严格按照</w:t>
      </w:r>
      <w:r>
        <w:rPr>
          <w:rStyle w:val="12"/>
          <w:rFonts w:hint="eastAsia" w:ascii="仿宋" w:hAnsi="仿宋" w:eastAsia="仿宋" w:cs="仿宋"/>
          <w:b w:val="0"/>
          <w:bCs w:val="0"/>
          <w:color w:val="auto"/>
          <w:spacing w:val="3"/>
          <w:sz w:val="30"/>
          <w:szCs w:val="30"/>
          <w:lang w:eastAsia="zh-CN"/>
        </w:rPr>
        <w:t>有关</w:t>
      </w:r>
      <w:r>
        <w:rPr>
          <w:rStyle w:val="12"/>
          <w:rFonts w:hint="eastAsia" w:ascii="仿宋" w:hAnsi="仿宋" w:eastAsia="仿宋" w:cs="仿宋"/>
          <w:b w:val="0"/>
          <w:bCs w:val="0"/>
          <w:color w:val="auto"/>
          <w:spacing w:val="3"/>
          <w:sz w:val="30"/>
          <w:szCs w:val="30"/>
          <w:lang w:val="en-US" w:eastAsia="zh-CN"/>
        </w:rPr>
        <w:t>的规定</w:t>
      </w:r>
      <w:r>
        <w:rPr>
          <w:rStyle w:val="12"/>
          <w:rFonts w:hint="eastAsia" w:ascii="仿宋" w:hAnsi="仿宋" w:eastAsia="仿宋" w:cs="仿宋"/>
          <w:b w:val="0"/>
          <w:bCs w:val="0"/>
          <w:color w:val="auto"/>
          <w:spacing w:val="3"/>
          <w:sz w:val="30"/>
          <w:szCs w:val="30"/>
        </w:rPr>
        <w:t>使用要求，专款专用，</w:t>
      </w:r>
      <w:r>
        <w:rPr>
          <w:rStyle w:val="12"/>
          <w:rFonts w:hint="eastAsia" w:ascii="仿宋" w:hAnsi="仿宋" w:eastAsia="仿宋" w:cs="仿宋"/>
          <w:b w:val="0"/>
          <w:bCs w:val="0"/>
          <w:color w:val="auto"/>
          <w:spacing w:val="3"/>
          <w:sz w:val="30"/>
          <w:szCs w:val="30"/>
          <w:lang w:val="en-US" w:eastAsia="zh-CN"/>
        </w:rPr>
        <w:t>没有截留、挤占、挪用现象，</w:t>
      </w:r>
      <w:r>
        <w:rPr>
          <w:rStyle w:val="12"/>
          <w:rFonts w:hint="eastAsia" w:ascii="仿宋" w:hAnsi="仿宋" w:eastAsia="仿宋" w:cs="仿宋"/>
          <w:b w:val="0"/>
          <w:bCs w:val="0"/>
          <w:color w:val="auto"/>
          <w:spacing w:val="3"/>
          <w:sz w:val="30"/>
          <w:szCs w:val="30"/>
        </w:rPr>
        <w:t>确保资金落实到位，</w:t>
      </w:r>
      <w:r>
        <w:rPr>
          <w:rStyle w:val="12"/>
          <w:rFonts w:hint="eastAsia" w:ascii="仿宋" w:hAnsi="仿宋" w:eastAsia="仿宋" w:cs="仿宋"/>
          <w:b w:val="0"/>
          <w:bCs w:val="0"/>
          <w:color w:val="auto"/>
          <w:spacing w:val="3"/>
          <w:sz w:val="30"/>
          <w:szCs w:val="30"/>
          <w:lang w:val="en-US" w:eastAsia="zh-CN"/>
        </w:rPr>
        <w:t>切实提高了资金的使用效益，对</w:t>
      </w:r>
      <w:r>
        <w:rPr>
          <w:rStyle w:val="12"/>
          <w:rFonts w:hint="eastAsia" w:ascii="仿宋" w:hAnsi="仿宋" w:eastAsia="仿宋" w:cs="仿宋"/>
          <w:b w:val="0"/>
          <w:bCs w:val="0"/>
          <w:color w:val="auto"/>
          <w:spacing w:val="3"/>
          <w:sz w:val="30"/>
          <w:szCs w:val="30"/>
        </w:rPr>
        <w:t>项目完成进度、阶段性目标完成情况、项目效益与预期目标偏差情况等进行阶段性跟踪和控制</w:t>
      </w:r>
      <w:r>
        <w:rPr>
          <w:rStyle w:val="12"/>
          <w:rFonts w:hint="eastAsia" w:ascii="仿宋" w:hAnsi="仿宋" w:eastAsia="仿宋" w:cs="仿宋"/>
          <w:b w:val="0"/>
          <w:bCs w:val="0"/>
          <w:color w:val="auto"/>
          <w:spacing w:val="3"/>
          <w:sz w:val="30"/>
          <w:szCs w:val="30"/>
          <w:lang w:eastAsia="zh-CN"/>
        </w:rPr>
        <w:t>，</w:t>
      </w:r>
      <w:r>
        <w:rPr>
          <w:rStyle w:val="12"/>
          <w:rFonts w:hint="eastAsia" w:ascii="仿宋" w:hAnsi="仿宋" w:eastAsia="仿宋" w:cs="仿宋"/>
          <w:b w:val="0"/>
          <w:bCs w:val="0"/>
          <w:color w:val="auto"/>
          <w:spacing w:val="3"/>
          <w:sz w:val="30"/>
          <w:szCs w:val="30"/>
          <w:lang w:val="en-US" w:eastAsia="zh-CN"/>
        </w:rPr>
        <w:t>有效的</w:t>
      </w:r>
      <w:r>
        <w:rPr>
          <w:rStyle w:val="12"/>
          <w:rFonts w:hint="eastAsia" w:ascii="仿宋" w:hAnsi="仿宋" w:eastAsia="仿宋" w:cs="仿宋"/>
          <w:b w:val="0"/>
          <w:bCs w:val="0"/>
          <w:color w:val="auto"/>
          <w:spacing w:val="3"/>
          <w:sz w:val="30"/>
          <w:szCs w:val="30"/>
        </w:rPr>
        <w:t>推动全区文</w:t>
      </w:r>
      <w:r>
        <w:rPr>
          <w:rStyle w:val="12"/>
          <w:rFonts w:hint="eastAsia" w:ascii="仿宋" w:hAnsi="仿宋" w:eastAsia="仿宋" w:cs="仿宋"/>
          <w:b w:val="0"/>
          <w:bCs w:val="0"/>
          <w:color w:val="auto"/>
          <w:spacing w:val="3"/>
          <w:sz w:val="30"/>
          <w:szCs w:val="30"/>
          <w:lang w:val="en-US" w:eastAsia="zh-CN"/>
        </w:rPr>
        <w:t>体</w:t>
      </w:r>
      <w:r>
        <w:rPr>
          <w:rStyle w:val="12"/>
          <w:rFonts w:hint="eastAsia" w:ascii="仿宋" w:hAnsi="仿宋" w:eastAsia="仿宋" w:cs="仿宋"/>
          <w:b w:val="0"/>
          <w:bCs w:val="0"/>
          <w:color w:val="auto"/>
          <w:spacing w:val="3"/>
          <w:sz w:val="30"/>
          <w:szCs w:val="30"/>
        </w:rPr>
        <w:t>工作的开展</w:t>
      </w:r>
      <w:r>
        <w:rPr>
          <w:rStyle w:val="12"/>
          <w:rFonts w:hint="eastAsia" w:ascii="仿宋" w:hAnsi="仿宋" w:eastAsia="仿宋" w:cs="仿宋"/>
          <w:b w:val="0"/>
          <w:bCs w:val="0"/>
          <w:color w:val="auto"/>
          <w:spacing w:val="3"/>
          <w:sz w:val="30"/>
          <w:szCs w:val="30"/>
          <w:lang w:eastAsia="zh-CN"/>
        </w:rPr>
        <w:t>，</w:t>
      </w:r>
      <w:r>
        <w:rPr>
          <w:rStyle w:val="12"/>
          <w:rFonts w:hint="eastAsia" w:ascii="仿宋" w:hAnsi="仿宋" w:eastAsia="仿宋" w:cs="仿宋"/>
          <w:b w:val="0"/>
          <w:bCs w:val="0"/>
          <w:color w:val="auto"/>
          <w:spacing w:val="3"/>
          <w:sz w:val="30"/>
          <w:szCs w:val="30"/>
        </w:rPr>
        <w:t>自评分9</w:t>
      </w:r>
      <w:r>
        <w:rPr>
          <w:rStyle w:val="12"/>
          <w:rFonts w:hint="eastAsia" w:ascii="仿宋" w:hAnsi="仿宋" w:eastAsia="仿宋" w:cs="仿宋"/>
          <w:b w:val="0"/>
          <w:bCs w:val="0"/>
          <w:color w:val="auto"/>
          <w:spacing w:val="3"/>
          <w:sz w:val="30"/>
          <w:szCs w:val="30"/>
          <w:lang w:val="en-US"/>
        </w:rPr>
        <w:t>7</w:t>
      </w:r>
      <w:r>
        <w:rPr>
          <w:rStyle w:val="12"/>
          <w:rFonts w:hint="eastAsia" w:ascii="仿宋" w:hAnsi="仿宋" w:eastAsia="仿宋" w:cs="仿宋"/>
          <w:b w:val="0"/>
          <w:bCs w:val="0"/>
          <w:color w:val="auto"/>
          <w:spacing w:val="3"/>
          <w:sz w:val="30"/>
          <w:szCs w:val="30"/>
        </w:rPr>
        <w:t>分</w:t>
      </w:r>
      <w:r>
        <w:rPr>
          <w:rStyle w:val="12"/>
          <w:rFonts w:hint="eastAsia" w:ascii="仿宋" w:hAnsi="仿宋" w:eastAsia="仿宋" w:cs="仿宋"/>
          <w:b w:val="0"/>
          <w:bCs w:val="0"/>
          <w:color w:val="auto"/>
          <w:spacing w:val="3"/>
          <w:sz w:val="30"/>
          <w:szCs w:val="30"/>
          <w:lang w:eastAsia="zh-CN"/>
        </w:rPr>
        <w:t>。</w:t>
      </w:r>
    </w:p>
    <w:p w14:paraId="302956F4">
      <w:pPr>
        <w:keepNext w:val="0"/>
        <w:keepLines w:val="0"/>
        <w:pageBreakBefore w:val="0"/>
        <w:widowControl w:val="0"/>
        <w:kinsoku/>
        <w:wordWrap/>
        <w:overflowPunct/>
        <w:topLinePunct w:val="0"/>
        <w:autoSpaceDE/>
        <w:autoSpaceDN/>
        <w:bidi w:val="0"/>
        <w:adjustRightInd/>
        <w:snapToGrid/>
        <w:spacing w:line="240" w:lineRule="auto"/>
        <w:ind w:firstLine="600" w:firstLineChars="200"/>
        <w:textAlignment w:val="auto"/>
        <w:rPr>
          <w:rFonts w:hint="eastAsia" w:ascii="方正黑体简体" w:hAnsi="方正黑体简体" w:eastAsia="方正黑体简体" w:cs="方正黑体简体"/>
          <w:sz w:val="28"/>
          <w:szCs w:val="28"/>
        </w:rPr>
      </w:pPr>
      <w:r>
        <w:rPr>
          <w:rFonts w:hint="eastAsia" w:ascii="黑体" w:hAnsi="黑体" w:eastAsia="黑体" w:cs="黑体"/>
          <w:b w:val="0"/>
          <w:bCs w:val="0"/>
          <w:color w:val="3D3D3D"/>
          <w:kern w:val="0"/>
          <w:sz w:val="30"/>
          <w:szCs w:val="30"/>
          <w:shd w:val="clear" w:color="auto" w:fill="FFFFFF"/>
          <w:lang w:val="en-US" w:eastAsia="zh-CN" w:bidi="ar-SA"/>
        </w:rPr>
        <w:t>四、存在的问题和建议</w:t>
      </w:r>
    </w:p>
    <w:p w14:paraId="599657F8">
      <w:pPr>
        <w:keepNext w:val="0"/>
        <w:keepLines w:val="0"/>
        <w:pageBreakBefore w:val="0"/>
        <w:widowControl w:val="0"/>
        <w:tabs>
          <w:tab w:val="left" w:pos="673"/>
        </w:tabs>
        <w:kinsoku/>
        <w:wordWrap/>
        <w:overflowPunct/>
        <w:topLinePunct w:val="0"/>
        <w:autoSpaceDE/>
        <w:autoSpaceDN/>
        <w:bidi w:val="0"/>
        <w:adjustRightInd/>
        <w:snapToGrid/>
        <w:spacing w:line="240" w:lineRule="auto"/>
        <w:ind w:firstLine="612" w:firstLineChars="200"/>
        <w:jc w:val="left"/>
        <w:textAlignment w:val="auto"/>
        <w:rPr>
          <w:rStyle w:val="12"/>
          <w:rFonts w:hint="eastAsia" w:ascii="仿宋" w:hAnsi="仿宋" w:eastAsia="仿宋" w:cs="仿宋"/>
          <w:b w:val="0"/>
          <w:bCs w:val="0"/>
          <w:color w:val="auto"/>
          <w:spacing w:val="3"/>
          <w:sz w:val="30"/>
          <w:szCs w:val="30"/>
          <w:lang w:val="en-US" w:eastAsia="zh-CN"/>
        </w:rPr>
      </w:pPr>
      <w:r>
        <w:rPr>
          <w:rStyle w:val="12"/>
          <w:rFonts w:hint="eastAsia" w:ascii="仿宋" w:hAnsi="仿宋" w:eastAsia="仿宋" w:cs="仿宋"/>
          <w:b w:val="0"/>
          <w:bCs w:val="0"/>
          <w:color w:val="auto"/>
          <w:spacing w:val="3"/>
          <w:sz w:val="30"/>
          <w:szCs w:val="30"/>
          <w:lang w:val="en-US" w:eastAsia="zh-CN"/>
        </w:rPr>
        <w:t>一是专项资金使用的监管力度不够。二是监管制度不具体。针对存在的问题，要认真分析原因，加强各项制度建设和工作力度，做好资金的专项检查，做到事前评估、事中监督、事后检查验收，继续加大绩效评价工作力度，健全绩效评价结果反馈和应用机制确保资金不折不扣的用到实处。</w:t>
      </w:r>
    </w:p>
    <w:p w14:paraId="317788C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027CC08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4A8B80B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7D62F6F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612F6BC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4C772B0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05B6C08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78B98FD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1A70AE9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4695502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74E8C24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0BC9D93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1B2D8C6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36EAFD3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40FB2A61">
      <w:pPr>
        <w:ind w:firstLine="1440" w:firstLineChars="400"/>
        <w:jc w:val="both"/>
        <w:rPr>
          <w:rFonts w:hint="eastAsia" w:eastAsia="方正小标宋简体"/>
          <w:sz w:val="36"/>
          <w:szCs w:val="36"/>
          <w:lang w:eastAsia="zh-CN"/>
        </w:rPr>
      </w:pPr>
    </w:p>
    <w:p w14:paraId="74743FCA">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7"/>
        <w:tblW w:w="9510" w:type="dxa"/>
        <w:jc w:val="center"/>
        <w:tblLayout w:type="fixed"/>
        <w:tblCellMar>
          <w:top w:w="0" w:type="dxa"/>
          <w:left w:w="108" w:type="dxa"/>
          <w:bottom w:w="0" w:type="dxa"/>
          <w:right w:w="108" w:type="dxa"/>
        </w:tblCellMar>
      </w:tblPr>
      <w:tblGrid>
        <w:gridCol w:w="774"/>
        <w:gridCol w:w="1501"/>
        <w:gridCol w:w="6482"/>
        <w:gridCol w:w="753"/>
      </w:tblGrid>
      <w:tr w14:paraId="48A8C682">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5B502B2B">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1A54E884">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0EBFAAD2">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4B6BE7D7">
            <w:pPr>
              <w:spacing w:line="240" w:lineRule="exact"/>
              <w:jc w:val="center"/>
              <w:rPr>
                <w:rFonts w:eastAsia="黑体"/>
                <w:szCs w:val="21"/>
              </w:rPr>
            </w:pPr>
            <w:r>
              <w:rPr>
                <w:rFonts w:eastAsia="黑体"/>
                <w:szCs w:val="21"/>
              </w:rPr>
              <w:t>评分</w:t>
            </w:r>
          </w:p>
        </w:tc>
      </w:tr>
      <w:tr w14:paraId="13D7C856">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55001EC4">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047E9435">
            <w:pPr>
              <w:spacing w:line="320" w:lineRule="exact"/>
              <w:jc w:val="center"/>
              <w:rPr>
                <w:rFonts w:hint="eastAsia" w:asciiTheme="majorEastAsia" w:hAnsiTheme="majorEastAsia" w:eastAsiaTheme="majorEastAsia" w:cstheme="majorEastAsia"/>
                <w:szCs w:val="21"/>
              </w:rPr>
            </w:pPr>
          </w:p>
          <w:p w14:paraId="3767F08D">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7935473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5A0A8AB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31F880E2">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06C63686">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p>
        </w:tc>
      </w:tr>
      <w:tr w14:paraId="3743502C">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0C402252">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707D7874">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0676728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55F6E459">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4A7CE2CC">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14:paraId="70252033">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3E11B1EC">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6C11E675">
            <w:pPr>
              <w:spacing w:line="240" w:lineRule="exact"/>
              <w:jc w:val="center"/>
              <w:rPr>
                <w:rFonts w:hint="eastAsia" w:asciiTheme="majorEastAsia" w:hAnsiTheme="majorEastAsia" w:eastAsiaTheme="majorEastAsia" w:cstheme="majorEastAsia"/>
                <w:szCs w:val="21"/>
              </w:rPr>
            </w:pPr>
          </w:p>
          <w:p w14:paraId="622DAABA">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16314C78">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1499DA7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39316A9E">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6FF981B9">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0551E267">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643EE33B">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14:paraId="61AC2407">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689E1484">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2B07F085">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1F92E5DE">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0EA94870">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3A994CEB">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699D9571">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05D41B81">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18</w:t>
            </w:r>
          </w:p>
        </w:tc>
      </w:tr>
      <w:tr w14:paraId="2D68B2EC">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0E065B02">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0544779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758D449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2EA1FCE8">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6A919F38">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5CDE13C1">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68DD2366">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18</w:t>
            </w:r>
            <w:r>
              <w:rPr>
                <w:rFonts w:hint="eastAsia" w:asciiTheme="majorEastAsia" w:hAnsiTheme="majorEastAsia" w:eastAsiaTheme="majorEastAsia" w:cstheme="majorEastAsia"/>
                <w:szCs w:val="21"/>
              </w:rPr>
              <w:t>　</w:t>
            </w:r>
          </w:p>
        </w:tc>
      </w:tr>
      <w:tr w14:paraId="3C68D020">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8ACF08E">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03BA087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7EB6698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57CB431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15829149">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58436969">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14:paraId="51855F19">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436E6B0D">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200F104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6E0A8559">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621A00C6">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96</w:t>
            </w:r>
          </w:p>
        </w:tc>
      </w:tr>
    </w:tbl>
    <w:p w14:paraId="14E7EC87">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简体">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27C7C0">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2DFC19">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F2DFC19">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D0D50D"/>
    <w:multiLevelType w:val="singleLevel"/>
    <w:tmpl w:val="B1D0D50D"/>
    <w:lvl w:ilvl="0" w:tentative="0">
      <w:start w:val="2"/>
      <w:numFmt w:val="chineseCounting"/>
      <w:suff w:val="nothing"/>
      <w:lvlText w:val="（%1）"/>
      <w:lvlJc w:val="left"/>
      <w:pPr>
        <w:ind w:left="30"/>
      </w:pPr>
      <w:rPr>
        <w:rFonts w:hint="eastAsia"/>
      </w:rPr>
    </w:lvl>
  </w:abstractNum>
  <w:abstractNum w:abstractNumId="1">
    <w:nsid w:val="7A70B555"/>
    <w:multiLevelType w:val="singleLevel"/>
    <w:tmpl w:val="7A70B555"/>
    <w:lvl w:ilvl="0" w:tentative="0">
      <w:start w:val="2"/>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s>
  <w:rsids>
    <w:rsidRoot w:val="53FC3987"/>
    <w:rsid w:val="000A3765"/>
    <w:rsid w:val="001642A7"/>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AF4A39"/>
    <w:rsid w:val="07B913B4"/>
    <w:rsid w:val="07BA1C6A"/>
    <w:rsid w:val="07BD44A3"/>
    <w:rsid w:val="07CE6155"/>
    <w:rsid w:val="07E11DA2"/>
    <w:rsid w:val="07E40515"/>
    <w:rsid w:val="07EE6091"/>
    <w:rsid w:val="08017E70"/>
    <w:rsid w:val="0805190B"/>
    <w:rsid w:val="082A5F7E"/>
    <w:rsid w:val="08391F38"/>
    <w:rsid w:val="083A18D9"/>
    <w:rsid w:val="083D1AB4"/>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56084A"/>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1F18E5"/>
    <w:rsid w:val="163E3AB2"/>
    <w:rsid w:val="165E3F72"/>
    <w:rsid w:val="166D0110"/>
    <w:rsid w:val="167050F1"/>
    <w:rsid w:val="16713DA7"/>
    <w:rsid w:val="16797776"/>
    <w:rsid w:val="16952546"/>
    <w:rsid w:val="16AB3FBF"/>
    <w:rsid w:val="16AC1654"/>
    <w:rsid w:val="16B12C6E"/>
    <w:rsid w:val="16BF0789"/>
    <w:rsid w:val="16CC20F1"/>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6922B9"/>
    <w:rsid w:val="1A8006B2"/>
    <w:rsid w:val="1A8D640E"/>
    <w:rsid w:val="1A974192"/>
    <w:rsid w:val="1AA43824"/>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B97E4F"/>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266BD"/>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556143"/>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31784"/>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16CB5"/>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9A28E1"/>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272AB9"/>
    <w:rsid w:val="342D2A1E"/>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B35B3"/>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27364"/>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DB69D2"/>
    <w:rsid w:val="45EE3358"/>
    <w:rsid w:val="46066722"/>
    <w:rsid w:val="461976C3"/>
    <w:rsid w:val="461C0664"/>
    <w:rsid w:val="46296550"/>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594920"/>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5489C"/>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122D6"/>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DD078F"/>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0414F"/>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0F30D6"/>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A6878"/>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92063"/>
    <w:rsid w:val="5A8A2B4B"/>
    <w:rsid w:val="5A9F5080"/>
    <w:rsid w:val="5AAB6618"/>
    <w:rsid w:val="5AC52E1B"/>
    <w:rsid w:val="5AE91049"/>
    <w:rsid w:val="5AEF582B"/>
    <w:rsid w:val="5B0B5334"/>
    <w:rsid w:val="5B1B7ACD"/>
    <w:rsid w:val="5B1F6D37"/>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A6C5B"/>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D875B8"/>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E343BE"/>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BFF087E"/>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1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customStyle="1" w:styleId="2">
    <w:name w:val="BodyText1I"/>
    <w:basedOn w:val="1"/>
    <w:qFormat/>
    <w:uiPriority w:val="99"/>
    <w:pPr>
      <w:snapToGrid w:val="0"/>
      <w:spacing w:line="360" w:lineRule="auto"/>
      <w:ind w:firstLine="420" w:firstLineChars="100"/>
    </w:pPr>
    <w:rPr>
      <w:sz w:val="28"/>
      <w:szCs w:val="20"/>
    </w:rPr>
  </w:style>
  <w:style w:type="paragraph" w:styleId="3">
    <w:name w:val="Salutation"/>
    <w:basedOn w:val="1"/>
    <w:next w:val="1"/>
    <w:qFormat/>
    <w:uiPriority w:val="0"/>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
    <w:name w:val="Table Normal"/>
    <w:unhideWhenUsed/>
    <w:qFormat/>
    <w:uiPriority w:val="0"/>
    <w:tblPr>
      <w:tblCellMar>
        <w:top w:w="0" w:type="dxa"/>
        <w:left w:w="0" w:type="dxa"/>
        <w:bottom w:w="0" w:type="dxa"/>
        <w:right w:w="0" w:type="dxa"/>
      </w:tblCellMar>
    </w:tblPr>
  </w:style>
  <w:style w:type="paragraph" w:styleId="11">
    <w:name w:val="No Spacing"/>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2">
    <w:name w:val="NormalCharacter"/>
    <w:link w:val="1"/>
    <w:qFormat/>
    <w:uiPriority w:val="0"/>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36</Pages>
  <Words>14629</Words>
  <Characters>15827</Characters>
  <Lines>0</Lines>
  <Paragraphs>0</Paragraphs>
  <TotalTime>43</TotalTime>
  <ScaleCrop>false</ScaleCrop>
  <LinksUpToDate>false</LinksUpToDate>
  <CharactersWithSpaces>15961</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Hedy</cp:lastModifiedBy>
  <cp:lastPrinted>2023-08-23T08:06:00Z</cp:lastPrinted>
  <dcterms:modified xsi:type="dcterms:W3CDTF">2024-10-14T04:26:58Z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50306CC149C84F98BF850919EA3E5AFB_13</vt:lpwstr>
  </property>
</Properties>
</file>