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岳阳市岳阳楼区民族宗教事务局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25.41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25.41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民族宗教工作经费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追加项目经费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17.71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江俊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13873068070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岳阳市岳阳楼区民族宗教事务局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坚持理论学习，加强政策宣传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健全三级网络，落实二级责任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开展创建活动，促进民族团结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编印了民族团结进步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相关资料读本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。坚持从实际出发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开展宣传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，推动党的民族理论、民族政策和国家民族法律法规进机关、进课堂、进社区、进网格。开展宗教政策法规学习宣传月活动。健全三级网络，落实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级责任。大力推进民族团结进步创建进社区活动。主动为少数民族排忧解难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巩固民族团结进步示范创建成果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4"/>
                <w:sz w:val="22"/>
                <w:szCs w:val="22"/>
              </w:rPr>
              <w:t>个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≥1个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"/>
                <w:sz w:val="22"/>
                <w:szCs w:val="22"/>
              </w:rPr>
              <w:t>宗教工作宣传资料印制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  <w:t>份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  <w:t>份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"/>
                <w:sz w:val="22"/>
                <w:szCs w:val="22"/>
              </w:rPr>
              <w:t>多形式开展宣传，共同营造创建良好氛围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2"/>
                <w:sz w:val="22"/>
                <w:szCs w:val="22"/>
              </w:rPr>
              <w:t>宗教业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"/>
                <w:sz w:val="22"/>
                <w:szCs w:val="22"/>
              </w:rPr>
              <w:t>务费完成情况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资金给付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及时性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天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天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控制在预算内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资金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使用效率目标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惠及少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数民族人口数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200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保障宗教宗教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团体稳定个数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个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2"/>
                <w:sz w:val="20"/>
                <w:szCs w:val="20"/>
              </w:rPr>
              <w:t>经费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  <w:t>保障；制度完善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少数民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族群众满意度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宗教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界人士满意度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江俊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13873068070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岳阳市岳阳楼区民族宗教事务局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2022年度岳阳楼区民族宗教事务局整体支出绩效自评报告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Calibri"/>
          <w:color w:val="000000"/>
          <w:sz w:val="32"/>
          <w:szCs w:val="32"/>
        </w:rPr>
        <w:t>贯彻落实中央关于</w:t>
      </w:r>
      <w:r>
        <w:rPr>
          <w:rFonts w:hint="eastAsia" w:ascii="仿宋_GB2312" w:eastAsia="仿宋_GB2312" w:cs="Calibri"/>
          <w:color w:val="000000"/>
          <w:sz w:val="32"/>
          <w:szCs w:val="32"/>
          <w:lang w:eastAsia="zh-CN"/>
        </w:rPr>
        <w:t>民族宗教</w:t>
      </w:r>
      <w:r>
        <w:rPr>
          <w:rFonts w:hint="eastAsia" w:ascii="仿宋_GB2312" w:eastAsia="仿宋_GB2312" w:cs="Calibri"/>
          <w:color w:val="000000"/>
          <w:sz w:val="32"/>
          <w:szCs w:val="32"/>
        </w:rPr>
        <w:t>工作的方针政策和决策部署，全面落实省委、市委和区委、区政府关于</w:t>
      </w:r>
      <w:r>
        <w:rPr>
          <w:rFonts w:hint="eastAsia" w:ascii="仿宋_GB2312" w:eastAsia="仿宋_GB2312" w:cs="Calibri"/>
          <w:color w:val="000000"/>
          <w:sz w:val="32"/>
          <w:szCs w:val="32"/>
          <w:lang w:eastAsia="zh-CN"/>
        </w:rPr>
        <w:t>民族宗教</w:t>
      </w:r>
      <w:r>
        <w:rPr>
          <w:rFonts w:hint="eastAsia" w:ascii="仿宋_GB2312" w:eastAsia="仿宋_GB2312" w:cs="Calibri"/>
          <w:color w:val="000000"/>
          <w:sz w:val="32"/>
          <w:szCs w:val="32"/>
        </w:rPr>
        <w:t>工作的部署要求。编制人数</w:t>
      </w:r>
      <w:r>
        <w:rPr>
          <w:rFonts w:hint="eastAsia" w:ascii="仿宋_GB2312" w:eastAsia="仿宋_GB2312" w:cs="Calibri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Calibri"/>
          <w:color w:val="000000"/>
          <w:sz w:val="32"/>
          <w:szCs w:val="32"/>
        </w:rPr>
        <w:t>人，实际人数</w:t>
      </w:r>
      <w:r>
        <w:rPr>
          <w:rFonts w:hint="eastAsia" w:ascii="仿宋_GB2312" w:eastAsia="仿宋_GB2312" w:cs="Calibri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Calibri"/>
          <w:color w:val="000000"/>
          <w:sz w:val="32"/>
          <w:szCs w:val="32"/>
        </w:rPr>
        <w:t>人，其中机关本级</w:t>
      </w:r>
      <w:r>
        <w:rPr>
          <w:rFonts w:hint="eastAsia" w:ascii="仿宋_GB2312" w:eastAsia="仿宋_GB2312" w:cs="Calibri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Calibri"/>
          <w:color w:val="00000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480" w:firstLineChars="15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2022年基本支出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49.5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万元，其中：人员经费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、其他对个人和家庭的补助；商品和服务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3.9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万元，主要包括：办公费、印刷费、水费、电费、差旅费、公务接待费、工会经费、其他商品和服务支出。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(二)项目支出情况.</w:t>
      </w:r>
    </w:p>
    <w:p>
      <w:pPr>
        <w:ind w:firstLine="480" w:firstLineChars="150"/>
        <w:rPr>
          <w:rFonts w:hint="default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2022年项目支出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万元，主要用于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民族宗教等相关工作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2022年度本单位无政府性基金预算支出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2022年度本单位无国有资本经营预算支出。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ind w:firstLine="480" w:firstLineChars="150"/>
        <w:jc w:val="left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2022年一般公共预算拨款支出预算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万元，其中，一般公共服务支出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65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万元；社会保障和就业支出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2.54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万元；卫生健康支出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1.29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万元；住房保障支出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2.17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360" w:lineRule="auto"/>
        <w:ind w:firstLine="640" w:firstLineChars="200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本单位所有支出实行绩效目标管理。纳入2022年单位整体支出绩效目标的金额为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49.5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21.5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，“四本预算”支出的绩效目标基本完成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财务制度学习有待进一步加强。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进一步落实有关文件精神，抓好财务管理工作。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岳阳市岳阳楼区民族宗教事务局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21.57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21.57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21.57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21.57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坚持理论学习，加强政策宣传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健全三级网络，落实二级责任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开展创建活动，促进民族团结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编印了民族团结进步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相关资料读本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。坚持从实际出发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开展宣传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，推动党的民族理论、民族政策和国家民族法律法规进机关、进课堂、进社区、进网格。开展宗教政策法规学习宣传月活动。健全三级网络，落实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级责任。大力推进民族团结进步创建进社区活动。主动为少数民族排忧解难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22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巩固民族团结进步示范创建成果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1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≥1个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1"/>
                <w:sz w:val="22"/>
                <w:szCs w:val="22"/>
              </w:rPr>
              <w:t>宗教工作宣传资料印制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</w:rPr>
              <w:t>份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3"/>
                <w:sz w:val="22"/>
                <w:szCs w:val="22"/>
              </w:rPr>
              <w:t>份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</w:rPr>
              <w:t>宗教业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1"/>
                <w:sz w:val="22"/>
                <w:szCs w:val="22"/>
              </w:rPr>
              <w:t>务费完成情况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资金给付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及时性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天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控制在预算内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21.57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b w:val="0"/>
                <w:bCs w:val="0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要严格控制业务经费在预算内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21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4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1"/>
                <w:sz w:val="22"/>
                <w:szCs w:val="22"/>
              </w:rPr>
              <w:t>多形式开展宣传，共同营造创建良好氛围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保障稳定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保障稳定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惠及少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数民族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保障稳定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保障稳定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保障宗教宗教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团体稳定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保障稳定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保障稳定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少数民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族群众满意度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宗教</w:t>
            </w:r>
            <w:r>
              <w:rPr>
                <w:rFonts w:ascii="宋体" w:hAnsi="宋体" w:eastAsia="宋体" w:cs="宋体"/>
                <w:color w:val="000000"/>
                <w:spacing w:val="-1"/>
                <w:sz w:val="22"/>
                <w:szCs w:val="22"/>
              </w:rPr>
              <w:t>界人士满意度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宋体" w:hAnsi="宋体" w:eastAsia="宋体" w:cs="宋体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 w:hAnsi="Calibri" w:eastAsia="宋体" w:cs="Times New Roman"/>
          <w:color w:val="000000"/>
          <w:sz w:val="21"/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color w:val="000000"/>
          <w:spacing w:val="3"/>
          <w:sz w:val="23"/>
          <w:szCs w:val="23"/>
        </w:rPr>
        <w:t xml:space="preserve">       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 xml:space="preserve">            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  <w:t>2023年6月18</w:t>
      </w: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66B35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6C6A12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AE21B6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3292C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046CF7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52D06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97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9179BF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57F1F4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BC7885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AFB6188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35413"/>
    <w:rsid w:val="3FFF6DBF"/>
    <w:rsid w:val="3FFF98D0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B4A23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3D2AA8"/>
    <w:rsid w:val="4A4260CB"/>
    <w:rsid w:val="4A611E1A"/>
    <w:rsid w:val="4A7055A6"/>
    <w:rsid w:val="4A9C47ED"/>
    <w:rsid w:val="4AA71D5E"/>
    <w:rsid w:val="4AAA6CA9"/>
    <w:rsid w:val="4AB4479A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6E36B7"/>
    <w:rsid w:val="57802A35"/>
    <w:rsid w:val="578C3658"/>
    <w:rsid w:val="57B66918"/>
    <w:rsid w:val="57BD6FCE"/>
    <w:rsid w:val="57D214D2"/>
    <w:rsid w:val="57DA1A42"/>
    <w:rsid w:val="57DDD160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E766AC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7B5D60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EED97F9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1A02B8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07947B"/>
    <w:rsid w:val="6E160E52"/>
    <w:rsid w:val="6E2E569B"/>
    <w:rsid w:val="6E4064F1"/>
    <w:rsid w:val="6E4E39FC"/>
    <w:rsid w:val="6E5545BD"/>
    <w:rsid w:val="6E5D1964"/>
    <w:rsid w:val="6E5E5A0D"/>
    <w:rsid w:val="6E614B19"/>
    <w:rsid w:val="6E616F13"/>
    <w:rsid w:val="6E7369B5"/>
    <w:rsid w:val="6E7B5CAB"/>
    <w:rsid w:val="6E7F349E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86D762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71BC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3FE28C1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1B163F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6F74B4F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7FE5568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10E72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DA68EC"/>
    <w:rsid w:val="7BDC4D21"/>
    <w:rsid w:val="7BE96DEC"/>
    <w:rsid w:val="7BFCF0DB"/>
    <w:rsid w:val="7C021A51"/>
    <w:rsid w:val="7C033C13"/>
    <w:rsid w:val="7C041A0F"/>
    <w:rsid w:val="7C066719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DE61218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EFF2EDB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DF59C0"/>
    <w:rsid w:val="7FE076F1"/>
    <w:rsid w:val="7FEE5EDC"/>
    <w:rsid w:val="7FFFEB76"/>
    <w:rsid w:val="92BFE6F4"/>
    <w:rsid w:val="9F9F1CF7"/>
    <w:rsid w:val="B37367C2"/>
    <w:rsid w:val="B9EF401C"/>
    <w:rsid w:val="BFBF8F94"/>
    <w:rsid w:val="C27F94A3"/>
    <w:rsid w:val="C33F2F9F"/>
    <w:rsid w:val="CFE7C826"/>
    <w:rsid w:val="D6BC6101"/>
    <w:rsid w:val="E757343A"/>
    <w:rsid w:val="E7ADB699"/>
    <w:rsid w:val="E97AACAF"/>
    <w:rsid w:val="EA8FC92D"/>
    <w:rsid w:val="EDDF3873"/>
    <w:rsid w:val="F24D1654"/>
    <w:rsid w:val="FB7707A6"/>
    <w:rsid w:val="FDF4449E"/>
    <w:rsid w:val="FFB9399B"/>
    <w:rsid w:val="FFE77390"/>
    <w:rsid w:val="FFEF85B8"/>
    <w:rsid w:val="FFF9E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3404</Words>
  <Characters>3791</Characters>
  <Lines>0</Lines>
  <Paragraphs>0</Paragraphs>
  <TotalTime>0</TotalTime>
  <ScaleCrop>false</ScaleCrop>
  <LinksUpToDate>false</LinksUpToDate>
  <CharactersWithSpaces>3931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2023-04-24T16:56:00Z</dcterms:created>
  <dc:creator>新一天</dc:creator>
  <cp:lastModifiedBy>Gat</cp:lastModifiedBy>
  <cp:lastPrinted>2023-06-02T07:55:00Z</cp:lastPrinted>
  <dcterms:modified xsi:type="dcterms:W3CDTF">2024-06-03T06:54:49Z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