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5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岳阳楼区禁违拆违治违督查办公室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13.98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34.46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13.98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23.79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54.8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101.99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ind w:firstLine="480" w:firstLineChars="200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3、包干人员经费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5.8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800.00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668.84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86.40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200.22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94.70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31.87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0.27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1.39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429.76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135.40 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210.87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181.71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胡浩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联系电话：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15200229396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2023年5月31日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5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jc w:val="center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岳阳楼区禁违拆违治违督查办公室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701.74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930.64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930.64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930.64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828.65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101.99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目标1：区禁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违办，各乡办通过加大巡查和拆违力度，实现新增违法建设零增长，存量违法建设负增长工作目标。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目标2：重点村、社区加强禁违宣传、巡查、协助开展拆违行动，降低违法建设发生率、提升违法建设发现率。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目标3：通过加大民生建房管理和服务力度，有效疏导村居民合法合理建房需求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今年以来在区委、区政府的坚强领导下，区禁违办上下齐心协力、攻坚克难，以“服务旧改、拆违先行”为突破口，开展违建治理安全隐患大排查大管控大整治专项和房屋楼顶“扫雷”整治行动，重点围绕居民自建房安全隐患排查整治工作，全面推进违法建设常态化治理工作。截至目前，共拆除违法建设3186处18.6万平方米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加大拆违行动力度频次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加强禁违宣传，业务培训，建立禁违手机信息平台</w:t>
            </w:r>
          </w:p>
        </w:tc>
        <w:tc>
          <w:tcPr>
            <w:tcW w:w="13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开展拆违300次,宣传报道100次</w:t>
            </w:r>
          </w:p>
        </w:tc>
        <w:tc>
          <w:tcPr>
            <w:tcW w:w="125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>开展拆违行动358次湖南日报、岳阳新闻等省市区级媒体专题报道117次,</w:t>
            </w:r>
          </w:p>
        </w:tc>
        <w:tc>
          <w:tcPr>
            <w:tcW w:w="7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80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exact"/>
              <w:ind w:left="0" w:right="0" w:firstLine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新增违建彻底拆除</w:t>
            </w:r>
          </w:p>
          <w:p>
            <w:pPr>
              <w:keepNext w:val="0"/>
              <w:keepLines w:val="0"/>
              <w:pageBreakBefore w:val="0"/>
              <w:widowControl w:val="0"/>
              <w:tabs>
                <w:tab w:val="left" w:pos="39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存量违建逐步消减</w:t>
            </w:r>
          </w:p>
        </w:tc>
        <w:tc>
          <w:tcPr>
            <w:tcW w:w="13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2000处10万平方米</w:t>
            </w:r>
          </w:p>
        </w:tc>
        <w:tc>
          <w:tcPr>
            <w:tcW w:w="125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shd w:val="clear" w:fill="FFFFFF"/>
              </w:rPr>
              <w:t>拆除违法建设3186处18.6万平方米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8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9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按时完成市区拆违任务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exact"/>
              <w:ind w:left="0" w:right="0" w:firstLine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按时完成业务培训任务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宣传、巡查、装备成本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执法行动成本控制</w:t>
            </w:r>
          </w:p>
        </w:tc>
        <w:tc>
          <w:tcPr>
            <w:tcW w:w="13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.控制违建数量，强化土地供应2. 拆除存量违建，为城市建设节约成本</w:t>
            </w:r>
          </w:p>
        </w:tc>
        <w:tc>
          <w:tcPr>
            <w:tcW w:w="13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降低</w:t>
            </w:r>
          </w:p>
        </w:tc>
        <w:tc>
          <w:tcPr>
            <w:tcW w:w="125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46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1.形成有违必查、违建必究高压氛围2.形成依法报建、有序建设的良好社会效益</w:t>
            </w:r>
          </w:p>
        </w:tc>
        <w:tc>
          <w:tcPr>
            <w:tcW w:w="13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.保护农田、山林、水面不被新的违建侵占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8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57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拆除存量违建，拆除一处，美化一处，优化环境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3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tabs>
                <w:tab w:val="left" w:pos="54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违建侵害自身权益的居民满意度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before="75" w:line="230" w:lineRule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胡浩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3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15200229396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2023年5月31日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岳阳楼区禁违拆违治违督查办公室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2023年5月31日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default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2022年度岳阳楼区禁违拆违治违督查办公室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一、单位基本情况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（一）主要负责全区禁违拆违治违工作的业务指导、日常督查、考核督办等工作。2022年干部职工人数44人，其中：在职全额编制43人，包干人员1人。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（二）2022年区禁违办整体支出为930.64万元，主要用于工资福利支出、一般商品和服务支出、专项支出、对个人和家庭的补助、其他资本性支出。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1.工资福利支出599.90万元，占总支出的64.46%。主要用于基本工资、津补贴、13个月工资、绩效考核奖金、医保社保、工伤生育失业保险、职工医疗互助等方面。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一般商品和服务支出199.60万元，占总支出的21.45%。其中办公费10.29万元，印刷费1.40万元，邮电费1.70万元，维护费7.38万元，培训费1.17万元，公务接待费1万元，工会经费17.86万元，公务用车运行维护费1.63万元，其他商品和服务支出支出157.17万元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3.对个人和家庭的补助28.53万元，占总支出的3.07%。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(二)项目支出情况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1.区财政拨付我办专项经费54.8万元，其中包干人员经费5.8万元，巡查考核宣传40万元，三台执法车经费9万元。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2.专项资金实际使用情况为54.8万元，包干人员经费5.8万元，巡查考核宣传40万元，三台执法车经费9万元。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  <w:bookmarkStart w:id="0" w:name="_GoBack"/>
      <w:bookmarkEnd w:id="0"/>
    </w:p>
    <w:p>
      <w:pPr>
        <w:spacing w:before="0" w:after="0" w:line="300" w:lineRule="auto"/>
        <w:ind w:left="0" w:right="0" w:firstLine="548"/>
        <w:jc w:val="both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本单位无政府性基金预算支出情况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四、国有资本经营预算支出情况</w:t>
      </w:r>
    </w:p>
    <w:p>
      <w:pPr>
        <w:spacing w:before="0" w:after="0" w:line="300" w:lineRule="auto"/>
        <w:ind w:left="0" w:right="0" w:firstLine="548"/>
        <w:jc w:val="both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本单位无国有资本经营预算支出情况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spacing w:before="0" w:after="0" w:line="300" w:lineRule="auto"/>
        <w:ind w:left="0" w:right="0" w:firstLine="548"/>
        <w:jc w:val="both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本单位无社会保险基金预算支出情况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2022年，我办通过加强预算收支管理，不断健全内部管理制度，梳理内部管理流程，部门整体支出管理情况得到了提升。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562" w:firstLineChars="200"/>
        <w:jc w:val="left"/>
        <w:textAlignment w:val="auto"/>
        <w:rPr>
          <w:rFonts w:ascii="黑体" w:hAnsi="黑体" w:eastAsia="黑体" w:cs="黑体"/>
          <w:b/>
          <w:color w:val="auto"/>
          <w:spacing w:val="0"/>
          <w:position w:val="0"/>
          <w:sz w:val="28"/>
          <w:shd w:val="clear" w:fill="auto"/>
        </w:rPr>
      </w:pPr>
      <w:r>
        <w:rPr>
          <w:rFonts w:ascii="黑体" w:hAnsi="黑体" w:eastAsia="黑体" w:cs="黑体"/>
          <w:b/>
          <w:color w:val="auto"/>
          <w:spacing w:val="0"/>
          <w:position w:val="0"/>
          <w:sz w:val="28"/>
          <w:shd w:val="clear" w:fill="auto"/>
        </w:rPr>
        <w:t>（一）效率性评价和有效性评价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以来在区委、区政府的坚强领导下，区禁违办上下齐心协力、攻坚克难，以“服务旧改、拆违先行”为突破口，开展违建治理安全隐患大排查大管控大整治专项和房屋楼顶“扫雷”整治行动，重点围绕居民自建房安全隐患排查整治工作，全面推进违法建设常态化治理工作。截至目前，共拆除违法建设3186处18.6万平方米。</w:t>
      </w:r>
    </w:p>
    <w:p>
      <w:pPr>
        <w:spacing w:before="0" w:after="0" w:line="300" w:lineRule="auto"/>
        <w:ind w:right="0"/>
        <w:jc w:val="center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2022年工作总结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（一）系统谋划，下好部署调度“先手棋”。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始终把违法建设常态化整治作为担当城市建管主职主责的重要抓手,深化“书记抓、抓书记”工作责任制，确保整治工作高效推进，责任落实闭环运行。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高位推动，制度保障到位。岳阳楼区高度重视禁违治违工作，先后制定出台了《岳阳楼区违法建设常态化治理工作实施方案》《岳阳楼区楼顶“扫雷”专项整治行动实施方案》《岳阳楼区禁违拆违治违工作考核办法》《岳阳楼区违法违规居民自建房安全隐患排查整治专项行动实施方案》，提前谋划、明确任务，确保政策制度有章可循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高度重视，思想认识到位。区委、区政府主要领导高度重视，成立了高规格的领导小组，区委书记曾平原，区委副书记、区长白再兴先后召开13次区委（扩大）会议、常务（扩大）会议、调度会,部署违法建设常态化治理和安全隐患排查整治工作，要求牢固树立“人民至上、生命至上”的理念，牢固树立党政同责、一岗双责、齐抓共管、失职追责的责任意识，全面开展安全隐患大排查大整治大管控，全面开展居民自建房整治百日攻坚行动和房屋楼顶“扫雷”专项整治行动，全面开展违法建设整治常态化专项行动，确保社会大局安全稳定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是高频调度，工作落实到位。区委书记曾平原，区委副书记、区长白再兴先后15次深入一线调度安全隐患排查工作，紧盯重点领域，多次深入奇家岭、梅溪、洛王、王家河等街道一线调度，解难题、抓进度、强保障，各街道（乡）迅速加快违法违规自建房安全隐患专项整治工作进度，开展自查自纠，确保违建常态化治理工作高效推进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（二）党建引领，打好宣传引导“主动仗”。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做实“党建+网格微治理”工作，创新采用“群英断是非”办法，解锁违法建设治理新模式。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坚持禁违宣传“一个声音”。通过组建流动车队、制作知识手册、张贴公开信、张贴宣传横幅和海报、发放宣传单，将禁违标语、禁违政策“送入”全区15个街道（乡）的大街小巷、房前屋后；在“五一”、“国庆”等重要时间节点，开展“四亮”主题活动暨“禁违”宣传月活动，在拆违现场、巡查途中亮旗帜、亮身份，营造铺天盖地的宣传攻势，做到拆违政策家喻户晓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坚持人民初心“一个方向”。坚持“隐患就是事故”理念，把维护安全稳定作为首要任务和底线工作，全区所有禁违干部打桩定位到联点街道、社区，在攻坚存量违建的同时，充分听取群众诉求，做到“拆违不拆心”，从切实解决群众“急难愁盼”问题入手，以联点拆违服务老旧小区改造、安全隐患排查、提升城市管理水平、推动美丽乡村建设等中心工作区，以提升群众幸福感、满意度，促进拆违工作顺利推进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 三是坚持以心换新“一个步调”。通过“自拆+助拆”的模式，党员率先垂范，在违建涉改范围内劲吹违建“自拆风”，逐步形成了“拆违势在必行，迟拆不如早拆、强拆不如自拆”的社会氛围，引导群众自觉抵制违建，带动群众主动拆除违建，全区197名党员群众自拆助拆1.6万平方米存量违建，解决了部分涉改地区行路难、停车难、休闲难、消防通道不畅等顽疾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（三）持续发力，打好违建整治“组合拳”。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以“服务旧改、拆违先行”为突破口，多措并举推进民生实事落地落实。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围绕旧改抓拆违，集中拆除三眼桥街道金水园小区、金鹗山街道恒立家属区、岳阳楼街道东湖等旧改片区内违建2569处10.5万平方米，为旧改扫清“障碍”，实现老旧小区违建整治“零容忍、零事故、零补偿、零上访”“四零”目标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围绕城市“六治”抓拆违，严格工作规程，联合市交投集团集中整治存在安全隐患的违法建设，拆除汽配市场、交通驾校及云梦茶楼周边存量违建8000余平方米，不断提高城市管理水平，提升中心城区首位度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三是围绕自建房整治抓拆违，拆除洛王社区知青组、五里牌街道五里小学周边等存在安全隐患的自建房违建2.9万平方米。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四是围绕“扫雷”行动抓拆违，召开房屋楼顶“扫雷”工作业务培训会，依托全区675个大网格、1819个微网格，“零补偿”拆除梅溪街道万豪宾馆、吕仙亭街道轻工大厦、城陵矶街道三宅区等地楼顶违法建设超1.3万平方米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五是围绕高校周边安全隐患和水域环境整治抓拆违，拆除奇家岭街道湖南理工学院、民族学院和南港河沿线存在安全隐患违建超1.2万平方米。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（四）创新机制，出好长效治理“连环招”。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坚持“控新增、减存量、建机制”的目标，多举措推进违建治理工作常态长效。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做到新增违建为“零”。充分运用网格微治理，探索引入无人机航拍等现代科技手段，建立“社区（村）步巡、街道（乡）车巡、区级空巡”的立体巡查机制，建立“早研判、早预警、早发现、早处置”的防控机制，采取“错时巡查、即查即拆”有力措施，提前预判、盯住苗头、抓早抓小，全面提升违建常态化治理水平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是推动存量违建清“零”。对国有土地违建采取限制交易、买卖、过户、贷款等措施，冻结34个小区200余户，并深入推进“无违建”创建活动，并成立创建工作领导小组，制定《考核细则》，对新增违建防控有力、安全隐患处置到位、信访矛盾调解和谐的3个社区、11个小区，颁发“无违建社区”和“无违建小区”光荣牌，充分调动禁违工作积极性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是推进督查督导“零”偏差。坚持把督查督导作为检验落实效果的重要方法，领导小组不定时开展专题督查、巡回督导，编发工作简报，做到区级每日有部署，部门每日报进度，乡街每日有拆违，进度滞后单位有通报，形成扬优惩劣、你追我赶的浓厚氛围。</w:t>
      </w:r>
    </w:p>
    <w:p>
      <w:pPr>
        <w:spacing w:before="0" w:after="0" w:line="400" w:lineRule="auto"/>
        <w:ind w:left="0" w:right="0" w:firstLine="548"/>
        <w:jc w:val="both"/>
        <w:rPr>
          <w:rFonts w:hint="eastAsia" w:ascii="黑体" w:hAnsi="黑体" w:eastAsia="黑体" w:cs="黑体"/>
          <w:b/>
          <w:color w:val="auto"/>
          <w:spacing w:val="0"/>
          <w:kern w:val="0"/>
          <w:position w:val="0"/>
          <w:sz w:val="28"/>
          <w:szCs w:val="22"/>
          <w:shd w:val="clear" w:fill="auto"/>
        </w:rPr>
      </w:pPr>
      <w:r>
        <w:rPr>
          <w:rFonts w:hint="eastAsia" w:ascii="黑体" w:hAnsi="黑体" w:eastAsia="黑体" w:cs="黑体"/>
          <w:b/>
          <w:color w:val="auto"/>
          <w:spacing w:val="0"/>
          <w:kern w:val="0"/>
          <w:position w:val="0"/>
          <w:sz w:val="28"/>
          <w:szCs w:val="22"/>
          <w:shd w:val="clear" w:fill="auto"/>
        </w:rPr>
        <w:t>（二）社会公众满意度评价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通过上述工作的开展，我区禁拆治违工作环境逐步优化，社会公众的规划法律意识得到加强，违法建设发生率明显降低，查处率显著提升，社会公众满意度得到了提高。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562" w:firstLineChars="200"/>
        <w:jc w:val="left"/>
        <w:textAlignment w:val="auto"/>
        <w:rPr>
          <w:rFonts w:hint="eastAsia" w:ascii="黑体" w:hAnsi="黑体" w:eastAsia="黑体" w:cs="黑体"/>
          <w:b/>
          <w:color w:val="auto"/>
          <w:spacing w:val="0"/>
          <w:position w:val="0"/>
          <w:sz w:val="28"/>
          <w:shd w:val="clear" w:fill="auto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通过对我办整体支出情况的分析，反映出目前在整体支出的预算编制、执行和管理过程中，仍存在一些问题和不足：一是车辆运行和维护费用预算安排偏低，二是个别预算项目安排和开支不够合理。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下一步改进措施</w:t>
      </w:r>
    </w:p>
    <w:p>
      <w:pPr>
        <w:spacing w:before="0" w:after="0" w:line="300" w:lineRule="auto"/>
        <w:ind w:left="0" w:right="0" w:firstLine="548"/>
        <w:jc w:val="both"/>
        <w:rPr>
          <w:rFonts w:ascii="仿宋_GB2312" w:hAnsi="仿宋_GB2312" w:eastAsia="仿宋_GB2312" w:cs="仿宋_GB2312"/>
          <w:color w:val="auto"/>
          <w:spacing w:val="0"/>
          <w:kern w:val="0"/>
          <w:position w:val="0"/>
          <w:sz w:val="28"/>
          <w:szCs w:val="22"/>
          <w:shd w:val="clear" w:fill="auto"/>
        </w:rPr>
      </w:pPr>
      <w:r>
        <w:rPr>
          <w:rFonts w:ascii="楷体_GB2312" w:hAnsi="楷体_GB2312" w:eastAsia="楷体_GB2312" w:cs="楷体_GB2312"/>
          <w:b/>
          <w:color w:val="auto"/>
          <w:spacing w:val="0"/>
          <w:kern w:val="0"/>
          <w:position w:val="0"/>
          <w:sz w:val="28"/>
          <w:szCs w:val="22"/>
          <w:shd w:val="clear" w:fill="auto"/>
        </w:rPr>
        <w:t>1.</w:t>
      </w:r>
      <w:r>
        <w:rPr>
          <w:rFonts w:ascii="宋体" w:hAnsi="宋体" w:eastAsia="宋体" w:cs="宋体"/>
          <w:b/>
          <w:color w:val="auto"/>
          <w:spacing w:val="0"/>
          <w:kern w:val="0"/>
          <w:position w:val="0"/>
          <w:sz w:val="28"/>
          <w:szCs w:val="22"/>
          <w:shd w:val="clear" w:fill="auto"/>
        </w:rPr>
        <w:t>细化预算编制工作。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进一步加强预算编制和管理意识，严格按照预算编制的相关制度和要求，本着“勤俭节约、保障运转”的原则进行预算编制；编制范围尽可能的全面、不漏项，进一步提高预算编制的科学性、合理性和可控性。</w:t>
      </w:r>
    </w:p>
    <w:p>
      <w:pPr>
        <w:spacing w:before="0" w:after="0" w:line="300" w:lineRule="auto"/>
        <w:ind w:left="0" w:right="0" w:firstLine="548"/>
        <w:jc w:val="both"/>
        <w:rPr>
          <w:rFonts w:ascii="仿宋_GB2312" w:hAnsi="仿宋_GB2312" w:eastAsia="仿宋_GB2312" w:cs="仿宋_GB2312"/>
          <w:color w:val="auto"/>
          <w:spacing w:val="0"/>
          <w:kern w:val="0"/>
          <w:position w:val="0"/>
          <w:sz w:val="28"/>
          <w:szCs w:val="22"/>
          <w:shd w:val="clear" w:fill="auto"/>
        </w:rPr>
      </w:pPr>
      <w:r>
        <w:rPr>
          <w:rFonts w:ascii="楷体_GB2312" w:hAnsi="楷体_GB2312" w:eastAsia="楷体_GB2312" w:cs="楷体_GB2312"/>
          <w:b/>
          <w:color w:val="auto"/>
          <w:spacing w:val="0"/>
          <w:kern w:val="0"/>
          <w:position w:val="0"/>
          <w:sz w:val="28"/>
          <w:szCs w:val="22"/>
          <w:shd w:val="clear" w:fill="auto"/>
        </w:rPr>
        <w:t>2.</w:t>
      </w:r>
      <w:r>
        <w:rPr>
          <w:rFonts w:ascii="宋体" w:hAnsi="宋体" w:eastAsia="宋体" w:cs="宋体"/>
          <w:b/>
          <w:color w:val="auto"/>
          <w:spacing w:val="0"/>
          <w:kern w:val="0"/>
          <w:position w:val="0"/>
          <w:sz w:val="28"/>
          <w:szCs w:val="22"/>
          <w:shd w:val="clear" w:fill="auto"/>
        </w:rPr>
        <w:t>加强财务管理工作。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在费用报账支付时，按照预算规定的费用项目和用途进行资金的审核，严格按照费用的实际使用用途进行资金支付项目的列报，严格按照实际的费用支出内容进行财务核算，严格控制超支现象发生。</w:t>
      </w:r>
    </w:p>
    <w:p>
      <w:pPr>
        <w:spacing w:before="0" w:after="0" w:line="300" w:lineRule="auto"/>
        <w:ind w:left="0" w:right="0" w:firstLine="548"/>
        <w:jc w:val="both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楷体_GB2312" w:hAnsi="楷体_GB2312" w:eastAsia="楷体_GB2312" w:cs="楷体_GB2312"/>
          <w:b/>
          <w:color w:val="auto"/>
          <w:spacing w:val="0"/>
          <w:kern w:val="0"/>
          <w:position w:val="0"/>
          <w:sz w:val="28"/>
          <w:szCs w:val="22"/>
          <w:shd w:val="clear" w:fill="auto"/>
        </w:rPr>
        <w:t>3.</w:t>
      </w:r>
      <w:r>
        <w:rPr>
          <w:rFonts w:ascii="宋体" w:hAnsi="宋体" w:eastAsia="宋体" w:cs="宋体"/>
          <w:b/>
          <w:color w:val="auto"/>
          <w:spacing w:val="0"/>
          <w:kern w:val="0"/>
          <w:position w:val="0"/>
          <w:sz w:val="28"/>
          <w:szCs w:val="22"/>
          <w:shd w:val="clear" w:fill="auto"/>
        </w:rPr>
        <w:t>加强三公经费管理。</w:t>
      </w: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进一步严控三公经费，严格控制三公经费的规模和比例，严格三公经费支出的审核流程，杜绝挪用和挤占其他预算资金行为。抓好公车的节能减排工作，进一步压缩公务用车运行和维护费用。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15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362"/>
        <w:gridCol w:w="998"/>
        <w:gridCol w:w="1515"/>
        <w:gridCol w:w="557"/>
        <w:gridCol w:w="729"/>
        <w:gridCol w:w="11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岳阳楼区禁违拆违治违督查办公室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岳阳楼区禁违拆违治违督查办公室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47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岳阳楼区禁违拆违治违督查办公室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54.8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101.99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101.99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54.8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101.99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101.99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spacing w:before="0" w:after="0" w:line="400" w:lineRule="auto"/>
              <w:ind w:left="0" w:right="0" w:firstLine="0"/>
              <w:jc w:val="left"/>
              <w:rPr>
                <w:rFonts w:ascii="仿宋_GB2312" w:hAnsi="仿宋_GB2312" w:eastAsia="仿宋_GB2312" w:cs="仿宋_GB2312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目标</w:t>
            </w:r>
            <w:r>
              <w:rPr>
                <w:rFonts w:ascii="仿宋_GB2312" w:hAnsi="仿宋_GB2312" w:eastAsia="仿宋_GB2312" w:cs="仿宋_GB2312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1</w:t>
            </w:r>
            <w:r>
              <w:rPr>
                <w:rFonts w:ascii="宋体" w:hAnsi="宋体" w:eastAsia="宋体" w:cs="宋体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：区禁违办，各乡办通过加大巡查和拆违力度，实现新增违法建设零增长，存量违法建设负增长工作目标。</w:t>
            </w:r>
          </w:p>
          <w:p>
            <w:pPr>
              <w:spacing w:before="0" w:after="0" w:line="400" w:lineRule="auto"/>
              <w:ind w:left="0" w:right="0" w:firstLine="0"/>
              <w:jc w:val="left"/>
              <w:rPr>
                <w:rFonts w:ascii="仿宋_GB2312" w:hAnsi="仿宋_GB2312" w:eastAsia="仿宋_GB2312" w:cs="仿宋_GB2312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</w:pPr>
            <w:r>
              <w:rPr>
                <w:rFonts w:ascii="宋体" w:hAnsi="宋体" w:eastAsia="宋体" w:cs="宋体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目标</w:t>
            </w:r>
            <w:r>
              <w:rPr>
                <w:rFonts w:ascii="仿宋_GB2312" w:hAnsi="仿宋_GB2312" w:eastAsia="仿宋_GB2312" w:cs="仿宋_GB2312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2</w:t>
            </w:r>
            <w:r>
              <w:rPr>
                <w:rFonts w:ascii="宋体" w:hAnsi="宋体" w:eastAsia="宋体" w:cs="宋体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：重点村、社区加强禁违宣传、巡查、协助开展拆违行动，降低违法建设发生率、提升违法建设发现率。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目标</w:t>
            </w:r>
            <w:r>
              <w:rPr>
                <w:rFonts w:ascii="仿宋_GB2312" w:hAnsi="仿宋_GB2312" w:eastAsia="仿宋_GB2312" w:cs="仿宋_GB2312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3</w:t>
            </w:r>
            <w:r>
              <w:rPr>
                <w:rFonts w:ascii="宋体" w:hAnsi="宋体" w:eastAsia="宋体" w:cs="宋体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：通过加大民生建房管理和服务力度，有效疏导村居民合法合理建房需求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/>
                <w:spacing w:val="-20"/>
                <w:kern w:val="0"/>
                <w:position w:val="0"/>
                <w:sz w:val="24"/>
                <w:szCs w:val="22"/>
                <w:shd w:val="clear" w:fill="auto"/>
              </w:rPr>
              <w:t>今年以来在区委、区政府的坚强领导下，区禁违办上下齐心协力、攻坚克难，以“服务旧改、拆违先行”为突破口，开展违建治理安全隐患大排查大管控大整治专项和房屋楼顶“扫雷”整治行动，重点围绕居民自建房安全隐患排查整治工作，全面推进违法建设常态化治理工作。截至目前，共拆除违法建设3186处18.6万平方米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加大拆违行动力度频次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加强禁违宣传，业务培训，建立禁违手机信息平台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开展拆违300次,宣传报道100次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开展拆违行动358次湖南日报、岳阳新闻等省市区级媒体专题报道117次,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9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新增违建彻底拆除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存量违建逐步消减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2000处10万平方米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拆除违法建设3186处18.6万平方米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按时完成市区拆违任务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按时完成业务培训任务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</w:trPr>
        <w:tc>
          <w:tcPr>
            <w:tcW w:w="1075" w:type="dxa"/>
            <w:vMerge w:val="continue"/>
            <w:tcBorders>
              <w:top w:val="nil"/>
              <w:bottom w:val="single" w:color="auto" w:sz="4" w:space="0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宣传、巡查、装备成本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执法行动成本控制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50" w:hRule="atLeast"/>
        </w:trPr>
        <w:tc>
          <w:tcPr>
            <w:tcW w:w="1075" w:type="dxa"/>
            <w:vMerge w:val="continue"/>
            <w:tcBorders>
              <w:top w:val="single" w:color="auto" w:sz="4" w:space="0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top w:val="single" w:color="auto" w:sz="4" w:space="0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.控制违建数量，强化土地供应2. 拆除存量违建，为城市建设节约成本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降低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1.形成有违必查、违建必究高压氛围2.形成依法报建、有序建设的良好社会效益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.保护农田、山林、水面不被新的违建侵占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拆除存量违建，拆除一处，美化一处，优化环境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3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position w:val="0"/>
                <w:sz w:val="24"/>
                <w:shd w:val="clear" w:fill="auto"/>
              </w:rPr>
              <w:t>违建侵害自身权益的居民满意度</w:t>
            </w:r>
          </w:p>
        </w:tc>
        <w:tc>
          <w:tcPr>
            <w:tcW w:w="9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7110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5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118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胡浩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3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15200229396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2023年5月31日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95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nsolas">
    <w:panose1 w:val="020B0609020204030204"/>
    <w:charset w:val="00"/>
    <w:family w:val="auto"/>
    <w:pitch w:val="default"/>
    <w:sig w:usb0="E10002FF" w:usb1="4000FCFF" w:usb2="00000009" w:usb3="00000000" w:csb0="6000019F" w:csb1="DFD7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3C2FA4"/>
    <w:multiLevelType w:val="singleLevel"/>
    <w:tmpl w:val="5D3C2FA4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8BAC4F7"/>
    <w:multiLevelType w:val="singleLevel"/>
    <w:tmpl w:val="68BAC4F7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VhM2RiODNhYzYwODk5ZTg2MTVmODIyMGIzNjA1OGY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303CA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1647E8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DFE5419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01B02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A025E7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00D56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4C2FF0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06206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8518B8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06690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9C5828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DFF03C5"/>
    <w:rsid w:val="3E0519AD"/>
    <w:rsid w:val="3E1D4268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73DEF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913A55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43F6F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EFF02C3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265C8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220DA3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054C64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BA48D1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487C05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76C8B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7A730E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C33D3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80E9B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  <w:bCs/>
    </w:rPr>
  </w:style>
  <w:style w:type="character" w:styleId="9">
    <w:name w:val="FollowedHyperlink"/>
    <w:basedOn w:val="7"/>
    <w:qFormat/>
    <w:uiPriority w:val="0"/>
    <w:rPr>
      <w:color w:val="333333"/>
      <w:u w:val="none"/>
    </w:rPr>
  </w:style>
  <w:style w:type="character" w:styleId="10">
    <w:name w:val="Emphasis"/>
    <w:basedOn w:val="7"/>
    <w:qFormat/>
    <w:uiPriority w:val="0"/>
  </w:style>
  <w:style w:type="character" w:styleId="11">
    <w:name w:val="Hyperlink"/>
    <w:basedOn w:val="7"/>
    <w:qFormat/>
    <w:uiPriority w:val="0"/>
    <w:rPr>
      <w:color w:val="333333"/>
      <w:u w:val="none"/>
    </w:rPr>
  </w:style>
  <w:style w:type="character" w:styleId="12">
    <w:name w:val="HTML Code"/>
    <w:basedOn w:val="7"/>
    <w:qFormat/>
    <w:uiPriority w:val="0"/>
    <w:rPr>
      <w:rFonts w:hint="default" w:ascii="Consolas" w:hAnsi="Consolas" w:eastAsia="Consolas" w:cs="Consolas"/>
      <w:color w:val="E83E8C"/>
      <w:sz w:val="21"/>
      <w:szCs w:val="21"/>
    </w:rPr>
  </w:style>
  <w:style w:type="character" w:styleId="13">
    <w:name w:val="HTML Keyboard"/>
    <w:basedOn w:val="7"/>
    <w:qFormat/>
    <w:uiPriority w:val="0"/>
    <w:rPr>
      <w:rFonts w:hint="default" w:ascii="Consolas" w:hAnsi="Consolas" w:eastAsia="Consolas" w:cs="Consolas"/>
      <w:color w:val="FFFFFF"/>
      <w:sz w:val="21"/>
      <w:szCs w:val="21"/>
      <w:shd w:val="clear" w:fill="212529"/>
    </w:rPr>
  </w:style>
  <w:style w:type="character" w:styleId="14">
    <w:name w:val="HTML Sample"/>
    <w:basedOn w:val="7"/>
    <w:qFormat/>
    <w:uiPriority w:val="0"/>
    <w:rPr>
      <w:rFonts w:ascii="Consolas" w:hAnsi="Consolas" w:eastAsia="Consolas" w:cs="Consolas"/>
      <w:sz w:val="21"/>
      <w:szCs w:val="21"/>
    </w:rPr>
  </w:style>
  <w:style w:type="table" w:customStyle="1" w:styleId="15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6">
    <w:name w:val="wx-space"/>
    <w:basedOn w:val="7"/>
    <w:qFormat/>
    <w:uiPriority w:val="0"/>
  </w:style>
  <w:style w:type="character" w:customStyle="1" w:styleId="17">
    <w:name w:val="wx-space1"/>
    <w:basedOn w:val="7"/>
    <w:qFormat/>
    <w:uiPriority w:val="0"/>
  </w:style>
  <w:style w:type="character" w:customStyle="1" w:styleId="18">
    <w:name w:val="hover7"/>
    <w:basedOn w:val="7"/>
    <w:qFormat/>
    <w:uiPriority w:val="0"/>
    <w:rPr>
      <w:color w:val="000000"/>
      <w:shd w:val="clear" w:fill="FFFFFF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6586</Words>
  <Characters>7197</Characters>
  <Lines>0</Lines>
  <Paragraphs>0</Paragraphs>
  <TotalTime>3</TotalTime>
  <ScaleCrop>false</ScaleCrop>
  <LinksUpToDate>false</LinksUpToDate>
  <CharactersWithSpaces>7311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Gat</cp:lastModifiedBy>
  <cp:lastPrinted>2023-08-30T07:12:00Z</cp:lastPrinted>
  <dcterms:modified xsi:type="dcterms:W3CDTF">2024-06-04T09:47:20Z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50306CC149C84F98BF850919EA3E5AFB_13</vt:lpwstr>
  </property>
</Properties>
</file>