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pPr>
        <w:spacing w:line="115" w:lineRule="exact"/>
        <w:rPr>
          <w:color w:val="000000" w:themeColor="text1"/>
          <w14:textFill>
            <w14:solidFill>
              <w14:schemeClr w14:val="tx1"/>
            </w14:solidFill>
          </w14:textFill>
        </w:rPr>
      </w:pPr>
    </w:p>
    <w:tbl>
      <w:tblPr>
        <w:tblStyle w:val="13"/>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6" w:hRule="atLeast"/>
        </w:trPr>
        <w:tc>
          <w:tcPr>
            <w:tcW w:w="3850" w:type="dxa"/>
            <w:tcBorders>
              <w:bottom w:val="nil"/>
            </w:tcBorders>
            <w:noWrap w:val="0"/>
            <w:vAlign w:val="center"/>
          </w:tcPr>
          <w:p>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center"/>
          </w:tcPr>
          <w:p>
            <w:pPr>
              <w:spacing w:before="262" w:line="219" w:lineRule="auto"/>
              <w:ind w:left="575"/>
              <w:jc w:val="center"/>
              <w:rPr>
                <w:rFonts w:hint="default"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岳阳楼区应急管理局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6" w:hRule="atLeast"/>
        </w:trPr>
        <w:tc>
          <w:tcPr>
            <w:tcW w:w="3850" w:type="dxa"/>
            <w:vMerge w:val="restart"/>
            <w:tcBorders>
              <w:bottom w:val="nil"/>
            </w:tcBorders>
            <w:noWrap w:val="0"/>
            <w:vAlign w:val="center"/>
          </w:tcPr>
          <w:p>
            <w:pPr>
              <w:spacing w:before="262" w:line="219" w:lineRule="auto"/>
              <w:ind w:left="575"/>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pPr>
              <w:spacing w:before="262" w:line="219" w:lineRule="auto"/>
              <w:ind w:left="575"/>
              <w:jc w:val="left"/>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pPr>
              <w:spacing w:before="262" w:line="219" w:lineRule="auto"/>
              <w:ind w:left="575"/>
              <w:jc w:val="left"/>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2022年实际在职人数</w:t>
            </w:r>
          </w:p>
        </w:tc>
        <w:tc>
          <w:tcPr>
            <w:tcW w:w="1679" w:type="dxa"/>
            <w:gridSpan w:val="2"/>
            <w:noWrap w:val="0"/>
            <w:vAlign w:val="top"/>
          </w:tcPr>
          <w:p>
            <w:pPr>
              <w:spacing w:before="262" w:line="219" w:lineRule="auto"/>
              <w:ind w:left="575"/>
              <w:jc w:val="left"/>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49</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45</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91%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center"/>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noWrap w:val="0"/>
            <w:vAlign w:val="center"/>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679" w:type="dxa"/>
            <w:gridSpan w:val="2"/>
            <w:noWrap w:val="0"/>
            <w:vAlign w:val="center"/>
          </w:tcPr>
          <w:p>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3850" w:type="dxa"/>
            <w:noWrap w:val="0"/>
            <w:vAlign w:val="top"/>
          </w:tcPr>
          <w:p>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4.53</w:t>
            </w: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5</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4.43</w:t>
            </w: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4.43</w:t>
            </w: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0.1</w:t>
            </w: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w:t>
            </w: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1207.74</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73</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923.8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38.47</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70</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83.97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143" w:line="20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4.43</w:t>
            </w: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3、</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安全隐患整治</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593</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196.41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仓田消防站</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503.25</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263.41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全国自然灾害风险普查</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68.59</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60.67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防疫隔离点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56.75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消防装备</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58.98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防汛抗旱</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12.22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应急仓库</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100.32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应急救援经费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86.27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189.43</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88.2</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84.78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12.29</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20</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14.24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11.32</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15.5</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11.81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2.8</w:t>
            </w: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1.56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1335.12</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161.21</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960.33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7" w:hRule="atLeast"/>
        </w:trPr>
        <w:tc>
          <w:tcPr>
            <w:tcW w:w="3850" w:type="dxa"/>
            <w:noWrap w:val="0"/>
            <w:vAlign w:val="top"/>
          </w:tcPr>
          <w:p>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990" w:type="dxa"/>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140" w:type="dxa"/>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185" w:type="dxa"/>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810" w:type="dxa"/>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869" w:type="dxa"/>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节约型机关制度措施</w:t>
            </w: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蒋艳</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3068889</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2023.06.05</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pPr>
        <w:spacing w:line="168" w:lineRule="exact"/>
        <w:rPr>
          <w:color w:val="000000" w:themeColor="text1"/>
          <w14:textFill>
            <w14:solidFill>
              <w14:schemeClr w14:val="tx1"/>
            </w14:solidFill>
          </w14:textFill>
        </w:rPr>
      </w:pPr>
    </w:p>
    <w:tbl>
      <w:tblPr>
        <w:tblStyle w:val="13"/>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0" w:hRule="atLeast"/>
        </w:trPr>
        <w:tc>
          <w:tcPr>
            <w:tcW w:w="1084" w:type="dxa"/>
            <w:noWrap w:val="0"/>
            <w:vAlign w:val="top"/>
          </w:tcPr>
          <w:p>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center"/>
          </w:tcPr>
          <w:p>
            <w:pPr>
              <w:jc w:val="center"/>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岳阳楼区应急管理局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821.39</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1747.68</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1747.68</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1747.64</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823.95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923.83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6"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jc w:val="left"/>
              <w:textAlignment w:val="auto"/>
              <w:rPr>
                <w:rFonts w:ascii="Arial"/>
                <w:color w:val="000000" w:themeColor="text1"/>
                <w:spacing w:val="0"/>
                <w:sz w:val="20"/>
                <w14:textFill>
                  <w14:solidFill>
                    <w14:schemeClr w14:val="tx1"/>
                  </w14:solidFill>
                </w14:textFill>
              </w:rPr>
            </w:pPr>
            <w:r>
              <w:rPr>
                <w:rFonts w:hint="eastAsia" w:ascii="Arial"/>
                <w:color w:val="000000" w:themeColor="text1"/>
                <w:spacing w:val="0"/>
                <w:sz w:val="20"/>
                <w14:textFill>
                  <w14:solidFill>
                    <w14:schemeClr w14:val="tx1"/>
                  </w14:solidFill>
                </w14:textFill>
              </w:rPr>
              <w:t>1</w:t>
            </w:r>
            <w:r>
              <w:rPr>
                <w:rFonts w:hint="eastAsia" w:ascii="宋体" w:hAnsi="宋体" w:eastAsia="宋体" w:cs="宋体"/>
                <w:color w:val="000000" w:themeColor="text1"/>
                <w:spacing w:val="0"/>
                <w:sz w:val="21"/>
                <w:szCs w:val="21"/>
                <w14:textFill>
                  <w14:solidFill>
                    <w14:schemeClr w14:val="tx1"/>
                  </w14:solidFill>
                </w14:textFill>
              </w:rPr>
              <w:t>、完成计划执法；2严格控制事故指标；3加强应急能力建设；4、加强宣传教育。</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宋体" w:hAnsi="宋体" w:eastAsia="宋体" w:cs="宋体"/>
                <w:color w:val="000000" w:themeColor="text1"/>
                <w:spacing w:val="7"/>
                <w:sz w:val="21"/>
                <w:szCs w:val="21"/>
                <w:lang w:val="en-US" w:eastAsia="zh-CN"/>
                <w14:textFill>
                  <w14:solidFill>
                    <w14:schemeClr w14:val="tx1"/>
                  </w14:solidFill>
                </w14:textFill>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val="0"/>
            <w:textDirection w:val="tbRlV"/>
            <w:vAlign w:val="top"/>
          </w:tcPr>
          <w:p>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0"/>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(50分)</w:t>
            </w: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数量指标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安全生产执法率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≥1642起</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=1642起</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较大及以上事发生起数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0起</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0起</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20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20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行政执法质量</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≥260.96分</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260.96分</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行政执法排名</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=第9名</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=第9名</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ascii="Arial"/>
                <w:color w:val="000000" w:themeColor="text1"/>
                <w:sz w:val="19"/>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2022年计划执法</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2022年</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完成</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严格预算支出控制</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lang w:val="en-US" w:eastAsia="zh-CN"/>
                <w14:textFill>
                  <w14:solidFill>
                    <w14:schemeClr w14:val="tx1"/>
                  </w14:solidFill>
                </w14:textFill>
              </w:rPr>
            </w:pPr>
            <w:r>
              <w:rPr>
                <w:rFonts w:hint="default" w:ascii="宋体" w:hAnsi="宋体" w:eastAsia="宋体" w:cs="宋体"/>
                <w:color w:val="000000" w:themeColor="text1"/>
                <w:spacing w:val="0"/>
                <w:sz w:val="21"/>
                <w:szCs w:val="21"/>
                <w:lang w:val="en-US" w:eastAsia="zh-CN"/>
                <w14:textFill>
                  <w14:solidFill>
                    <w14:schemeClr w14:val="tx1"/>
                  </w14:solidFill>
                </w14:textFill>
              </w:rPr>
              <w:t>≤</w:t>
            </w:r>
            <w:r>
              <w:rPr>
                <w:rFonts w:ascii="宋体" w:hAnsi="宋体" w:eastAsia="宋体" w:cs="宋体"/>
                <w:color w:val="000000" w:themeColor="text1"/>
                <w:spacing w:val="0"/>
                <w:sz w:val="21"/>
                <w:szCs w:val="21"/>
                <w:lang w:val="en-US" w:eastAsia="zh-CN"/>
                <w14:textFill>
                  <w14:solidFill>
                    <w14:schemeClr w14:val="tx1"/>
                  </w14:solidFill>
                </w14:textFill>
              </w:rPr>
              <w:t>1747.64万元</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lang w:val="en-US" w:eastAsia="zh-CN"/>
                <w14:textFill>
                  <w14:solidFill>
                    <w14:schemeClr w14:val="tx1"/>
                  </w14:solidFill>
                </w14:textFill>
              </w:rPr>
            </w:pPr>
            <w:r>
              <w:rPr>
                <w:rFonts w:hint="default" w:ascii="宋体" w:hAnsi="宋体" w:eastAsia="宋体" w:cs="宋体"/>
                <w:color w:val="000000" w:themeColor="text1"/>
                <w:spacing w:val="0"/>
                <w:sz w:val="21"/>
                <w:szCs w:val="21"/>
                <w:lang w:val="en-US" w:eastAsia="zh-CN"/>
                <w14:textFill>
                  <w14:solidFill>
                    <w14:schemeClr w14:val="tx1"/>
                  </w14:solidFill>
                </w14:textFill>
              </w:rPr>
              <w:t>≤</w:t>
            </w:r>
            <w:r>
              <w:rPr>
                <w:rFonts w:ascii="宋体" w:hAnsi="宋体" w:eastAsia="宋体" w:cs="宋体"/>
                <w:color w:val="000000" w:themeColor="text1"/>
                <w:spacing w:val="0"/>
                <w:sz w:val="21"/>
                <w:szCs w:val="21"/>
                <w:lang w:val="en-US" w:eastAsia="zh-CN"/>
                <w14:textFill>
                  <w14:solidFill>
                    <w14:schemeClr w14:val="tx1"/>
                  </w14:solidFill>
                </w14:textFill>
              </w:rPr>
              <w:t>1747.64万元</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(30分)</w:t>
            </w: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减少控制事故发生起数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=0起</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0起</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安全生产宣传知晓率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=90%</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=90%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减少烟花鞭炮燃放</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建立长效管理机制</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开展相关活动</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2"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企业及广大居民满意度</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90%</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90%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7"/>
                          <a:stretch>
                            <a:fillRect/>
                          </a:stretch>
                        </pic:blipFill>
                        <pic:spPr>
                          <a:xfrm>
                            <a:off x="0" y="0"/>
                            <a:ext cx="297815" cy="158750"/>
                          </a:xfrm>
                          <a:prstGeom prst="rect">
                            <a:avLst/>
                          </a:prstGeom>
                          <a:noFill/>
                          <a:ln>
                            <a:noFill/>
                          </a:ln>
                        </pic:spPr>
                      </pic:pic>
                    </a:graphicData>
                  </a:graphic>
                </wp:inline>
              </w:drawing>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w:t>
            </w:r>
            <w:r>
              <w:rPr>
                <w:rFonts w:hint="eastAsia" w:ascii="宋体" w:hAnsi="宋体" w:eastAsia="宋体" w:cs="宋体"/>
                <w:color w:val="000000" w:themeColor="text1"/>
                <w:spacing w:val="-6"/>
                <w:sz w:val="21"/>
                <w:szCs w:val="21"/>
                <w:lang w:val="en-US" w:eastAsia="zh-CN"/>
                <w14:textFill>
                  <w14:solidFill>
                    <w14:schemeClr w14:val="tx1"/>
                  </w14:solidFill>
                </w14:textFill>
              </w:rPr>
              <w:t>00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22"/>
          <w:position w:val="-1"/>
          <w:sz w:val="22"/>
          <w:szCs w:val="22"/>
          <w:lang w:val="en-US" w:eastAsia="zh-CN"/>
          <w14:textFill>
            <w14:solidFill>
              <w14:schemeClr w14:val="tx1"/>
            </w14:solidFill>
          </w14:textFill>
        </w:rPr>
      </w:pPr>
      <w:r>
        <w:rPr>
          <w:rFonts w:ascii="仿宋" w:hAnsi="仿宋" w:eastAsia="仿宋" w:cs="仿宋"/>
          <w:color w:val="000000" w:themeColor="text1"/>
          <w:spacing w:val="-22"/>
          <w:sz w:val="22"/>
          <w:szCs w:val="22"/>
          <w14:textFill>
            <w14:solidFill>
              <w14:schemeClr w14:val="tx1"/>
            </w14:solidFill>
          </w14:textFill>
        </w:rPr>
        <w:t>填表人：</w:t>
      </w:r>
      <w:r>
        <w:rPr>
          <w:rFonts w:ascii="仿宋" w:hAnsi="仿宋" w:eastAsia="仿宋" w:cs="仿宋"/>
          <w:color w:val="000000" w:themeColor="text1"/>
          <w:spacing w:val="9"/>
          <w:sz w:val="22"/>
          <w:szCs w:val="22"/>
          <w14:textFill>
            <w14:solidFill>
              <w14:schemeClr w14:val="tx1"/>
            </w14:solidFill>
          </w14:textFill>
        </w:rPr>
        <w:t xml:space="preserve"> </w:t>
      </w:r>
      <w:r>
        <w:rPr>
          <w:rFonts w:hint="eastAsia" w:ascii="仿宋" w:hAnsi="仿宋" w:eastAsia="仿宋" w:cs="仿宋"/>
          <w:color w:val="000000" w:themeColor="text1"/>
          <w:spacing w:val="9"/>
          <w:sz w:val="22"/>
          <w:szCs w:val="22"/>
          <w:lang w:val="en-US" w:eastAsia="zh-CN"/>
          <w14:textFill>
            <w14:solidFill>
              <w14:schemeClr w14:val="tx1"/>
            </w14:solidFill>
          </w14:textFill>
        </w:rPr>
        <w:t>蒋艳</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3"/>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联系电话：</w:t>
      </w:r>
      <w:r>
        <w:rPr>
          <w:rFonts w:hint="eastAsia" w:ascii="仿宋" w:hAnsi="仿宋" w:eastAsia="仿宋" w:cs="仿宋"/>
          <w:color w:val="000000" w:themeColor="text1"/>
          <w:spacing w:val="-22"/>
          <w:sz w:val="22"/>
          <w:szCs w:val="22"/>
          <w:lang w:val="en-US" w:eastAsia="zh-CN"/>
          <w14:textFill>
            <w14:solidFill>
              <w14:schemeClr w14:val="tx1"/>
            </w14:solidFill>
          </w14:textFill>
        </w:rPr>
        <w:t>3068889</w:t>
      </w:r>
      <w:r>
        <w:rPr>
          <w:rFonts w:ascii="仿宋" w:hAnsi="仿宋" w:eastAsia="仿宋" w:cs="仿宋"/>
          <w:color w:val="000000" w:themeColor="text1"/>
          <w:spacing w:val="2"/>
          <w:sz w:val="22"/>
          <w:szCs w:val="22"/>
          <w14:textFill>
            <w14:solidFill>
              <w14:schemeClr w14:val="tx1"/>
            </w14:solidFill>
          </w14:textFill>
        </w:rPr>
        <w:t xml:space="preserve">           </w:t>
      </w:r>
      <w:r>
        <w:rPr>
          <w:rFonts w:ascii="仿宋" w:hAnsi="仿宋" w:eastAsia="仿宋" w:cs="仿宋"/>
          <w:color w:val="000000" w:themeColor="text1"/>
          <w:spacing w:val="-22"/>
          <w:position w:val="-1"/>
          <w:sz w:val="22"/>
          <w:szCs w:val="22"/>
          <w14:textFill>
            <w14:solidFill>
              <w14:schemeClr w14:val="tx1"/>
            </w14:solidFill>
          </w14:textFill>
        </w:rPr>
        <w:t>单位负责人签字：</w:t>
      </w:r>
      <w:r>
        <w:rPr>
          <w:rFonts w:hint="eastAsia" w:ascii="仿宋" w:hAnsi="仿宋" w:eastAsia="仿宋" w:cs="仿宋"/>
          <w:color w:val="000000" w:themeColor="text1"/>
          <w:spacing w:val="-22"/>
          <w:position w:val="-1"/>
          <w:sz w:val="22"/>
          <w:szCs w:val="22"/>
          <w:lang w:val="en-US" w:eastAsia="zh-CN"/>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填报日期：</w:t>
      </w:r>
      <w:r>
        <w:rPr>
          <w:rFonts w:hint="eastAsia" w:ascii="仿宋" w:hAnsi="仿宋" w:eastAsia="仿宋" w:cs="仿宋"/>
          <w:color w:val="000000" w:themeColor="text1"/>
          <w:spacing w:val="-22"/>
          <w:sz w:val="22"/>
          <w:szCs w:val="22"/>
          <w:lang w:val="en-US" w:eastAsia="zh-CN"/>
          <w14:textFill>
            <w14:solidFill>
              <w14:schemeClr w14:val="tx1"/>
            </w14:solidFill>
          </w14:textFill>
        </w:rPr>
        <w:t>2023.06.06</w:t>
      </w:r>
      <w:r>
        <w:rPr>
          <w:rFonts w:ascii="仿宋" w:hAnsi="仿宋" w:eastAsia="仿宋" w:cs="仿宋"/>
          <w:color w:val="000000" w:themeColor="text1"/>
          <w:spacing w:val="3"/>
          <w:sz w:val="22"/>
          <w:szCs w:val="22"/>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仿宋" w:hAnsi="仿宋" w:eastAsia="仿宋" w:cs="仿宋"/>
          <w:color w:val="000000" w:themeColor="text1"/>
          <w:spacing w:val="0"/>
          <w:position w:val="0"/>
          <w:sz w:val="22"/>
          <w:szCs w:val="22"/>
          <w:lang w:val="en-US" w:eastAsia="zh-CN"/>
          <w14:textFill>
            <w14:solidFill>
              <w14:schemeClr w14:val="tx1"/>
            </w14:solidFill>
          </w14:textFill>
        </w:rPr>
        <w:sectPr>
          <w:pgSz w:w="11906" w:h="16838"/>
          <w:pgMar w:top="1134" w:right="1417" w:bottom="1134" w:left="1134"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岳阳楼区应急管局</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整体支出</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2023年 6 月 5日</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footerReference r:id="rId4" w:type="default"/>
          <w:pgSz w:w="11906" w:h="16838"/>
          <w:pgMar w:top="1134" w:right="1417" w:bottom="1134" w:left="1134"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2022年度岳阳楼区应急管理局单位整体支出绩效自评报告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numPr>
          <w:ilvl w:val="0"/>
          <w:numId w:val="1"/>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pPr>
        <w:keepNext w:val="0"/>
        <w:keepLines w:val="0"/>
        <w:pageBreakBefore w:val="0"/>
        <w:widowControl/>
        <w:kinsoku/>
        <w:wordWrap/>
        <w:overflowPunct/>
        <w:topLinePunct w:val="0"/>
        <w:autoSpaceDE/>
        <w:autoSpaceDN/>
        <w:bidi w:val="0"/>
        <w:adjustRightInd/>
        <w:snapToGrid/>
        <w:spacing w:after="1" w:line="600" w:lineRule="exact"/>
        <w:ind w:firstLine="628"/>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b/>
          <w:bCs/>
          <w:sz w:val="32"/>
          <w:szCs w:val="32"/>
        </w:rPr>
        <w:t>（一）职能职责</w:t>
      </w:r>
      <w:r>
        <w:rPr>
          <w:rFonts w:hint="eastAsia" w:asciiTheme="minorEastAsia" w:hAnsiTheme="minorEastAsia" w:eastAsiaTheme="minorEastAsia" w:cstheme="minorEastAsia"/>
          <w:sz w:val="32"/>
          <w:szCs w:val="32"/>
        </w:rPr>
        <w:t xml:space="preserve"> </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xml:space="preserve">1、承担区人民政府安全生产委员会的日常工作。 </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xml:space="preserve">2、对本部门监督的高危和行业生产经营单位的生产安全事故应急救援进行审查。 </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xml:space="preserve">3、拟定全区安全生产发展规划和科技规划，组织、指导安全生产科研成果鉴定和先进技术推广、示范工作。 </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xml:space="preserve">4、依法国家法律、法规，综合监督管理八大行业生产经营单位的安全生产工作。 </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xml:space="preserve">5、依法组织一般生产安全事故的调查处理和结案办理工作，协助上级做好较大以上事故的调查处理工作。 </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xml:space="preserve">6、负责指导、协调全区安全生产监测检验工作。 </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xml:space="preserve">7、负责组织、指导全区安全生产宣传、教育工作；负责安全生产监督管理人员的培训组织、考核工作。 </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xml:space="preserve">8、依照法律对危险化学品、非煤矿山、烟花爆竹、有毒有害作业场所等需要审查批准或验收的事故，进行审查、验收和发证。 </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xml:space="preserve">9、全区防汛抗旱、地质灾害、森林防火、救灾救援等工作。 </w:t>
      </w:r>
    </w:p>
    <w:p>
      <w:pPr>
        <w:keepNext w:val="0"/>
        <w:keepLines w:val="0"/>
        <w:pageBreakBefore w:val="0"/>
        <w:widowControl/>
        <w:kinsoku/>
        <w:wordWrap/>
        <w:overflowPunct/>
        <w:topLinePunct w:val="0"/>
        <w:autoSpaceDE/>
        <w:autoSpaceDN/>
        <w:bidi w:val="0"/>
        <w:adjustRightInd/>
        <w:snapToGrid/>
        <w:spacing w:after="1" w:line="600" w:lineRule="exact"/>
        <w:ind w:firstLine="628"/>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b/>
          <w:bCs/>
          <w:sz w:val="32"/>
          <w:szCs w:val="32"/>
        </w:rPr>
        <w:t>（二）机构设置</w:t>
      </w:r>
      <w:r>
        <w:rPr>
          <w:rFonts w:hint="eastAsia" w:asciiTheme="minorEastAsia" w:hAnsiTheme="minorEastAsia" w:eastAsiaTheme="minorEastAsia" w:cstheme="minorEastAsia"/>
          <w:sz w:val="32"/>
          <w:szCs w:val="32"/>
        </w:rPr>
        <w:t xml:space="preserve"> </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1、人员构成：应急局总编制数49人，行政编制13人，参公事业编制12人，事业编制24人。 2、内设股室：根据编办核定，我局内设7个职能股室，2个二级机构，（办公室、协调股、危化股、法规股、行业监管股、烟花爆竹股与非煤矿山股、统计事故调查股，其中二级机构有应急管理综合行政执法大队、安全生产应急救援中心加挂“防震减灾事务中心）。 3、下属事业单位：无。</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(一)基本支出情况</w:t>
      </w:r>
    </w:p>
    <w:p>
      <w:pPr>
        <w:keepNext w:val="0"/>
        <w:keepLines w:val="0"/>
        <w:pageBreakBefore w:val="0"/>
        <w:widowControl/>
        <w:kinsoku/>
        <w:wordWrap/>
        <w:overflowPunct/>
        <w:topLinePunct w:val="0"/>
        <w:autoSpaceDE/>
        <w:autoSpaceDN/>
        <w:bidi w:val="0"/>
        <w:adjustRightInd/>
        <w:snapToGrid/>
        <w:spacing w:after="1" w:line="600" w:lineRule="exact"/>
        <w:ind w:firstLine="660"/>
        <w:textAlignment w:val="auto"/>
        <w:rPr>
          <w:rFonts w:hint="eastAsia" w:asciiTheme="minorEastAsia" w:hAnsiTheme="minorEastAsia" w:eastAsiaTheme="minorEastAsia" w:cstheme="minorEastAsia"/>
          <w:sz w:val="32"/>
          <w:szCs w:val="32"/>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2022年基本支出为823.85</w:t>
      </w:r>
      <w:bookmarkStart w:id="0" w:name="_GoBack"/>
      <w:bookmarkEnd w:id="0"/>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万元，其中：人员经费739.06万元，主要包括：基本工资、津贴补贴、奖金、绩效工资、机关事业单位基本养老保险缴费、职业年金缴费、职工基本医疗保险缴费、其他社会保障缴费、住房公积金、退休费、其他对个人和家庭的补助；商品和服务支出84.78万元，主要包括：办公费、印刷费、咨询费、水费、电费、邮电费、物业管理费、差旅费、维修(护)费、会议费、培训费、公务接待费、工会经费、其他商品和服务支出。</w:t>
      </w:r>
    </w:p>
    <w:p>
      <w:pPr>
        <w:pStyle w:val="3"/>
        <w:rPr>
          <w:rFonts w:hint="eastAsia"/>
          <w:lang w:val="en-US" w:eastAsia="zh-CN"/>
        </w:rPr>
      </w:pPr>
    </w:p>
    <w:p>
      <w:pPr>
        <w:keepNext w:val="0"/>
        <w:keepLines w:val="0"/>
        <w:pageBreakBefore w:val="0"/>
        <w:widowControl w:val="0"/>
        <w:numPr>
          <w:ilvl w:val="0"/>
          <w:numId w:val="2"/>
        </w:numPr>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项目支出情况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2022年项目支出为923.8万元，其中：</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业务工作经费88.77万元，主要用于完成特定行政工作任务或事业发展目标、全区生产各行业举报线索奖励、公务车运行及维护。</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安全隐患整治196.41万元，主要用于全区安全隐患整治。仓田消防站263.41万元，主要用于消防站的整体建设。</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全国自然灾害风险普查60.67万元，主要用于自然灾害风险普查的宣传。</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防疫隔离点 56.75万元，主要用于2022年奇家岭隔离点的防疫工作人员及隔离人员支出。</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消防装备58.98万元，主要用于区消防救援救援大队消防装备采购。</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防汛抗旱12.22万元，主要用于防汛抗旱值班值守及物资采购。</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应急仓库100.32万元，主要用于救援物资采购及仓库管理费用。</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应急救援86.27万元，主要用于应急救灾、民兵物资等方面。</w:t>
      </w:r>
    </w:p>
    <w:p>
      <w:pPr>
        <w:pStyle w:val="3"/>
        <w:numPr>
          <w:ilvl w:val="0"/>
          <w:numId w:val="0"/>
        </w:numPr>
        <w:ind w:firstLine="640" w:firstLineChars="200"/>
        <w:rPr>
          <w:rFonts w:hint="eastAsia" w:eastAsiaTheme="minorEastAsia"/>
          <w:lang w:val="en-US" w:eastAsia="zh-CN"/>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二、政府性基金预算支出情况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eastAsiaTheme="minorEastAsia"/>
          <w:lang w:val="en-US" w:eastAsia="zh-CN"/>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2022年度本单位无政府性基金安排的支出。</w:t>
      </w:r>
    </w:p>
    <w:p>
      <w:pPr>
        <w:keepNext w:val="0"/>
        <w:keepLines w:val="0"/>
        <w:pageBreakBefore w:val="0"/>
        <w:widowControl w:val="0"/>
        <w:numPr>
          <w:ilvl w:val="0"/>
          <w:numId w:val="1"/>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国有资本经营预算支出情况</w:t>
      </w:r>
    </w:p>
    <w:p>
      <w:pPr>
        <w:pStyle w:val="3"/>
        <w:numPr>
          <w:ilvl w:val="0"/>
          <w:numId w:val="0"/>
        </w:numPr>
        <w:ind w:firstLine="640" w:firstLineChars="200"/>
        <w:rPr>
          <w:rFonts w:hint="default" w:eastAsiaTheme="minorEastAsia"/>
          <w:lang w:val="en-US" w:eastAsia="zh-CN"/>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2022年度本单位无国有资本经营预算支出</w:t>
      </w:r>
      <w:r>
        <w:rPr>
          <w:rFonts w:hint="eastAsia" w:asciiTheme="minorEastAsia" w:hAnsiTheme="minorEastAsia" w:cstheme="minorEastAsia"/>
          <w:sz w:val="32"/>
          <w:szCs w:val="32"/>
          <w:lang w:val="en-US" w:eastAsia="zh-CN"/>
        </w:rPr>
        <w:t>。</w:t>
      </w:r>
    </w:p>
    <w:p>
      <w:pPr>
        <w:keepNext w:val="0"/>
        <w:keepLines w:val="0"/>
        <w:pageBreakBefore w:val="0"/>
        <w:widowControl w:val="0"/>
        <w:numPr>
          <w:ilvl w:val="0"/>
          <w:numId w:val="1"/>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社会保险基金预算支出情况</w:t>
      </w:r>
    </w:p>
    <w:p>
      <w:pPr>
        <w:pStyle w:val="3"/>
        <w:ind w:firstLine="640" w:firstLineChars="200"/>
        <w:rPr>
          <w:rFonts w:hint="default"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2022年度本单位无社会保险基金预算支出。</w:t>
      </w:r>
    </w:p>
    <w:p>
      <w:pPr>
        <w:keepNext w:val="0"/>
        <w:keepLines w:val="0"/>
        <w:pageBreakBefore w:val="0"/>
        <w:widowControl w:val="0"/>
        <w:numPr>
          <w:ilvl w:val="0"/>
          <w:numId w:val="1"/>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部门整体支出绩效情况</w:t>
      </w:r>
    </w:p>
    <w:p>
      <w:pPr>
        <w:pStyle w:val="3"/>
        <w:ind w:firstLine="640" w:firstLineChars="200"/>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2022年在区委、区政府的坚强领导下，区应急管理局紧紧围绕“三坚决两确保一争创”（坚决杜绝较大及以上事故，坚决遏制一般事故，坚决防范自然灾害导致重大人员伤亡;确保安全事故总量持续下降，确保防灾减灾形势稳定向好；争创全省安全生产和消防工作优秀单位）工作目标，强化责任落实、突出风险管控、着力隐患整治，2022年岳阳楼区被评为湖南省安全生产优秀县市区，岳阳楼区应急管理局被评为岳阳楼区综合绩效先进单位。</w:t>
      </w:r>
    </w:p>
    <w:p>
      <w:pPr>
        <w:pStyle w:val="14"/>
        <w:ind w:firstLine="643" w:firstLineChars="200"/>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一、单位职责</w:t>
      </w:r>
    </w:p>
    <w:p>
      <w:pPr>
        <w:pStyle w:val="14"/>
        <w:ind w:firstLine="640" w:firstLineChars="200"/>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（一）承担区安全生产委员会办公室的日常工作。</w:t>
      </w:r>
    </w:p>
    <w:p>
      <w:pPr>
        <w:pStyle w:val="14"/>
        <w:ind w:firstLine="640" w:firstLineChars="200"/>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（二）综合监督管理本区安全生产和消防安全工作，依法行使区人民政府安全生产综合监管职能。</w:t>
      </w:r>
    </w:p>
    <w:p>
      <w:pPr>
        <w:pStyle w:val="14"/>
        <w:ind w:firstLine="640" w:firstLineChars="200"/>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（三）组织、指导、协调安全生产和消防安全宣传教育工作。</w:t>
      </w:r>
    </w:p>
    <w:p>
      <w:pPr>
        <w:pStyle w:val="14"/>
        <w:ind w:firstLine="640" w:firstLineChars="200"/>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（四）危险化学品和烟花爆竹行业安全生产监督管理工作；负责冶金、有色金属、机械等八大行业安全生产和消防安全监督管理工作。</w:t>
      </w:r>
    </w:p>
    <w:p>
      <w:pPr>
        <w:pStyle w:val="14"/>
        <w:ind w:firstLine="640" w:firstLineChars="200"/>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（五）组织协调全区救灾工作。</w:t>
      </w:r>
    </w:p>
    <w:p>
      <w:pPr>
        <w:pStyle w:val="14"/>
        <w:ind w:firstLine="643" w:firstLineChars="200"/>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二、行业发展规划</w:t>
      </w:r>
    </w:p>
    <w:p>
      <w:pPr>
        <w:pStyle w:val="14"/>
        <w:ind w:firstLine="640" w:firstLineChars="200"/>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（一）加强应急管理队伍建设。区级组建30-50人的综合应急救援队伍，协助消防救援队伍承担辖区全灾种、大应急专业救援处置工作。</w:t>
      </w:r>
    </w:p>
    <w:p>
      <w:pPr>
        <w:pStyle w:val="14"/>
        <w:ind w:firstLine="640" w:firstLineChars="200"/>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二）加强基层应急能力建设。按照街道（乡）“六有”（有班子、有机制、有预案、有队伍、有物资、有培训演练）和社区（村）“四有”（有场地设施、有装备物资、有工作制度、有志愿队伍）的标准要求建设到位。</w:t>
      </w:r>
    </w:p>
    <w:p>
      <w:pPr>
        <w:pStyle w:val="14"/>
        <w:ind w:firstLine="640" w:firstLineChars="200"/>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（三）提升应急指挥调度能力。按照“战时能指挥、急时能预警、平时能宣教、随时能组织”应急指挥系统建设要求，推进省、市、区、街道（乡）、社区（村）五级联动“智慧应急”指挥平台建设。</w:t>
      </w:r>
    </w:p>
    <w:p>
      <w:pPr>
        <w:pStyle w:val="14"/>
        <w:ind w:firstLine="643" w:firstLineChars="200"/>
        <w:rPr>
          <w:rFonts w:hint="default"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三、履职效能</w:t>
      </w:r>
    </w:p>
    <w:p>
      <w:pPr>
        <w:pStyle w:val="14"/>
        <w:ind w:firstLine="643" w:firstLineChars="200"/>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楷体_GB2312" w:hAnsi="楷体_GB2312" w:eastAsia="楷体_GB2312" w:cs="楷体_GB2312"/>
          <w:b/>
          <w:bCs/>
          <w:color w:val="000000"/>
          <w:kern w:val="2"/>
          <w:sz w:val="32"/>
          <w:szCs w:val="32"/>
          <w:lang w:val="en-US" w:eastAsia="zh-CN" w:bidi="ar-SA"/>
        </w:rPr>
        <w:t>（一）是事故指标稳定下降。</w:t>
      </w: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我区发生生产经营性事故7起、死亡7人(工商贸其他3起3人、道路交通事故4起死亡4人)，分别占全市6.73%、6.86%，事故起数、死亡人数同比分别下降12.5%、12.5%，直管行业领域保持生产安全事故零发生。</w:t>
      </w:r>
    </w:p>
    <w:p>
      <w:pPr>
        <w:pStyle w:val="14"/>
        <w:ind w:firstLine="643" w:firstLineChars="200"/>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楷体_GB2312" w:hAnsi="楷体_GB2312" w:eastAsia="楷体_GB2312" w:cs="楷体_GB2312"/>
          <w:b/>
          <w:bCs/>
          <w:color w:val="000000"/>
          <w:sz w:val="32"/>
          <w:szCs w:val="32"/>
          <w:lang w:val="en-US" w:eastAsia="zh-CN"/>
        </w:rPr>
        <w:t>（二）是打非治违较真碰硬。</w:t>
      </w:r>
      <w:r>
        <w:rPr>
          <w:rFonts w:hint="eastAsia" w:asciiTheme="minorEastAsia" w:hAnsiTheme="minorEastAsia" w:eastAsiaTheme="minorEastAsia" w:cstheme="minorEastAsia"/>
          <w:kern w:val="2"/>
          <w:sz w:val="32"/>
          <w:szCs w:val="32"/>
          <w:lang w:val="en-US" w:eastAsia="zh-CN" w:bidi="ar-SA"/>
        </w:rPr>
        <w:t>1</w:t>
      </w: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-10月，直管行业共检查企业1425家次，排查整治隐患768处，行政处罚28次，罚款17.71万元，依法办理3起“行刑衔接”案，移送司法机关3人。</w:t>
      </w:r>
    </w:p>
    <w:p>
      <w:pPr>
        <w:pStyle w:val="14"/>
        <w:ind w:firstLine="643" w:firstLineChars="200"/>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 xml:space="preserve">四、社会效应  </w:t>
      </w:r>
    </w:p>
    <w:p>
      <w:pPr>
        <w:pStyle w:val="14"/>
        <w:ind w:firstLine="643" w:firstLineChars="200"/>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楷体_GB2312" w:hAnsi="楷体_GB2312" w:eastAsia="楷体_GB2312" w:cs="楷体_GB2312"/>
          <w:b/>
          <w:bCs/>
          <w:color w:val="000000"/>
          <w:sz w:val="32"/>
          <w:szCs w:val="32"/>
          <w:lang w:val="en-US" w:eastAsia="zh-CN"/>
        </w:rPr>
        <w:t>（一）是</w:t>
      </w:r>
      <w:r>
        <w:rPr>
          <w:rFonts w:hint="default" w:ascii="楷体_GB2312" w:hAnsi="楷体_GB2312" w:eastAsia="楷体_GB2312" w:cs="楷体_GB2312"/>
          <w:b/>
          <w:bCs/>
          <w:color w:val="000000"/>
          <w:sz w:val="32"/>
          <w:szCs w:val="32"/>
          <w:lang w:val="en-US" w:eastAsia="zh-CN"/>
        </w:rPr>
        <w:t>防灾减灾</w:t>
      </w:r>
      <w:r>
        <w:rPr>
          <w:rFonts w:hint="eastAsia" w:ascii="楷体_GB2312" w:hAnsi="楷体_GB2312" w:eastAsia="楷体_GB2312" w:cs="楷体_GB2312"/>
          <w:b/>
          <w:bCs/>
          <w:color w:val="000000"/>
          <w:sz w:val="32"/>
          <w:szCs w:val="32"/>
          <w:lang w:val="en-US" w:eastAsia="zh-CN"/>
        </w:rPr>
        <w:t>有力有效。</w:t>
      </w: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成功迎战5轮强降雨，避让地质灾害7起、紧急转移避险733人；打赢岁末年初2次超强度低温雨雪冰冻灾害遭遇战，防汛抗旱实现全区</w:t>
      </w:r>
      <w:r>
        <w:rPr>
          <w:rFonts w:hint="default"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未垮一堤一垸、一库一坝，未发生一起因洪涝、</w:t>
      </w: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内渍、</w:t>
      </w:r>
      <w:r>
        <w:rPr>
          <w:rFonts w:hint="default"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地质灾害导致的人员伤亡事件，</w:t>
      </w: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森林防火</w:t>
      </w:r>
      <w:r>
        <w:rPr>
          <w:rFonts w:hint="default"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实现“零</w:t>
      </w: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火灾</w:t>
      </w:r>
      <w:r>
        <w:rPr>
          <w:rFonts w:hint="default"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w:t>
      </w: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w:t>
      </w:r>
    </w:p>
    <w:p>
      <w:pPr>
        <w:spacing w:line="590" w:lineRule="exact"/>
        <w:ind w:firstLine="643" w:firstLineChars="200"/>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楷体_GB2312" w:hAnsi="楷体_GB2312" w:eastAsia="楷体_GB2312" w:cs="楷体_GB2312"/>
          <w:b/>
          <w:bCs/>
          <w:color w:val="000000"/>
          <w:kern w:val="2"/>
          <w:sz w:val="32"/>
          <w:szCs w:val="32"/>
          <w:lang w:val="en-US" w:eastAsia="zh-CN" w:bidi="ar-SA"/>
        </w:rPr>
        <w:t>（二）是应急能力稳步提升。</w:t>
      </w:r>
      <w:r>
        <w:rPr>
          <w:rFonts w:hint="default"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制定完成了电排、水库大堤、山洪、内涝等四类预案，做细做实制定了主城区 1</w:t>
      </w: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1</w:t>
      </w:r>
      <w:r>
        <w:rPr>
          <w:rFonts w:hint="default"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xml:space="preserve"> 处低洼渍水点汛期应急</w:t>
      </w: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预案</w:t>
      </w:r>
      <w:r>
        <w:rPr>
          <w:rFonts w:hint="default"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和转移方案</w:t>
      </w: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，进一步完善18支应急救援队伍，完成军地联动抢险救灾预案订和兵力部署，组织、协助开展各类应急演练56场。</w:t>
      </w:r>
    </w:p>
    <w:p>
      <w:pPr>
        <w:pStyle w:val="14"/>
        <w:ind w:firstLine="643" w:firstLineChars="200"/>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楷体_GB2312" w:hAnsi="楷体_GB2312" w:eastAsia="楷体_GB2312" w:cs="楷体_GB2312"/>
          <w:b/>
          <w:bCs/>
          <w:color w:val="000000"/>
          <w:kern w:val="2"/>
          <w:sz w:val="32"/>
          <w:szCs w:val="32"/>
          <w:lang w:val="en-US" w:eastAsia="zh-CN" w:bidi="ar-SA"/>
        </w:rPr>
        <w:t>（三）是</w:t>
      </w:r>
      <w:r>
        <w:rPr>
          <w:rFonts w:hint="eastAsia" w:ascii="楷体_GB2312" w:hAnsi="楷体_GB2312" w:eastAsia="楷体_GB2312" w:cs="楷体_GB2312"/>
          <w:b/>
          <w:bCs/>
          <w:sz w:val="32"/>
          <w:szCs w:val="32"/>
          <w:lang w:eastAsia="zh-CN"/>
        </w:rPr>
        <w:t>宣传教育走深入实。</w:t>
      </w: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开展“安全生产月”“安全生产咨询日”“防灾减灾日”等多个集中宣传活动。发动各街道（乡）部门举办“安全生产月”宣传活动40余场，深入开展安全宣传“五进”活动，下发社区、公共场所、校园、家庭四个专题应急安全手册25000余份，</w:t>
      </w:r>
    </w:p>
    <w:p>
      <w:pPr>
        <w:pStyle w:val="14"/>
        <w:ind w:firstLine="643" w:firstLineChars="200"/>
        <w:rPr>
          <w:rFonts w:hint="eastAsia" w:ascii="仿宋_GB2312" w:hAnsi="仿宋_GB2312" w:eastAsia="仿宋_GB2312" w:cs="仿宋_GB2312"/>
          <w:b/>
          <w:bCs/>
          <w:color w:val="000000"/>
          <w:kern w:val="2"/>
          <w:sz w:val="32"/>
          <w:szCs w:val="32"/>
          <w:lang w:val="en-US" w:eastAsia="zh-CN" w:bidi="ar-SA"/>
        </w:rPr>
      </w:pPr>
      <w:r>
        <w:rPr>
          <w:rFonts w:hint="eastAsia" w:ascii="仿宋_GB2312" w:hAnsi="仿宋_GB2312" w:eastAsia="仿宋_GB2312" w:cs="仿宋_GB2312"/>
          <w:b/>
          <w:bCs/>
          <w:color w:val="000000"/>
          <w:kern w:val="2"/>
          <w:sz w:val="32"/>
          <w:szCs w:val="32"/>
          <w:lang w:val="en-US" w:eastAsia="zh-CN" w:bidi="ar-SA"/>
        </w:rPr>
        <w:t>五、</w:t>
      </w:r>
      <w:r>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t>管理效率</w:t>
      </w:r>
    </w:p>
    <w:p>
      <w:pPr>
        <w:pStyle w:val="14"/>
        <w:ind w:firstLine="640" w:firstLineChars="200"/>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今年，区应急管理局正式承接防汛抗旱指挥部办公室职能，承担区防指日常工作，积极负责防汛组织指挥、会商调度、参谋协调、督导考核等工作。7月区应急管理综合行政执法局正式挂牌成立，划转28名精干力量充实监管队伍，以准军事化要求，高标准建设一支“政治强、业务精、作风实、纪律严”的执法队伍。</w:t>
      </w:r>
    </w:p>
    <w:p>
      <w:pPr>
        <w:pStyle w:val="14"/>
        <w:ind w:firstLine="640" w:firstLineChars="200"/>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我局按照财政部门的要求，每年完成资产信息录入，每月对资产情况进行上报。按照资产清理的各项结果，分门别类录入资产管理信息系统，建立健全了本单位的固定资产台账、卡片。资产的购置按照财政规定先报财政国有资产管理部门资产资源股进行资产配置申请，各相关股室审批后再进行购买。</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七、存在的问题及原因分析</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b w:val="0"/>
          <w:bCs w:val="0"/>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b w:val="0"/>
          <w:bCs w:val="0"/>
          <w:color w:val="000000" w:themeColor="text1"/>
          <w:spacing w:val="0"/>
          <w:position w:val="0"/>
          <w:sz w:val="32"/>
          <w:szCs w:val="32"/>
          <w:lang w:val="en-US" w:eastAsia="zh-CN"/>
          <w14:textFill>
            <w14:solidFill>
              <w14:schemeClr w14:val="tx1"/>
            </w14:solidFill>
          </w14:textFill>
        </w:rPr>
        <w:t>（一）、预算编制合理性需要提高，预算执行力度还要进一步加强。</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b w:val="0"/>
          <w:bCs w:val="0"/>
          <w:color w:val="000000" w:themeColor="text1"/>
          <w:spacing w:val="0"/>
          <w:position w:val="0"/>
          <w:sz w:val="32"/>
          <w:szCs w:val="32"/>
          <w:lang w:val="en-US" w:eastAsia="zh-CN"/>
          <w14:textFill>
            <w14:solidFill>
              <w14:schemeClr w14:val="tx1"/>
            </w14:solidFill>
          </w14:textFill>
        </w:rPr>
        <w:t>（二）、三公经费控制有一定难度，基本为刚性支出。</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八、下一步改进措施</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FF0000"/>
          <w:spacing w:val="0"/>
          <w:position w:val="0"/>
          <w:sz w:val="32"/>
          <w:szCs w:val="32"/>
          <w:lang w:val="en-US" w:eastAsia="zh-CN"/>
        </w:rPr>
      </w:pPr>
      <w:r>
        <w:rPr>
          <w:rFonts w:hint="eastAsia" w:ascii="仿宋_GB2312" w:hAnsi="仿宋_GB2312" w:eastAsia="仿宋_GB2312" w:cs="仿宋_GB2312"/>
          <w:b w:val="0"/>
          <w:bCs w:val="0"/>
          <w:color w:val="000000" w:themeColor="text1"/>
          <w:spacing w:val="0"/>
          <w:position w:val="0"/>
          <w:sz w:val="32"/>
          <w:szCs w:val="32"/>
          <w:lang w:val="en-US" w:eastAsia="zh-CN"/>
          <w14:textFill>
            <w14:solidFill>
              <w14:schemeClr w14:val="tx1"/>
            </w14:solidFill>
          </w14:textFill>
        </w:rPr>
        <w:t>1、认真做好预算的编制，编制范围尽可能的全面、不漏项；进一步提高预算编制的科学性、合理性、严谨性和可控性。</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2、严格执行各项制度，规范财务管理，提高资金使用效率。</w:t>
      </w:r>
    </w:p>
    <w:p>
      <w:pPr>
        <w:pStyle w:val="4"/>
        <w:ind w:firstLine="640"/>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3、实施有效的内部控制及监督制度。</w:t>
      </w:r>
    </w:p>
    <w:p>
      <w:pPr>
        <w:pStyle w:val="4"/>
        <w:ind w:firstLine="640"/>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4、加强绩效管理，完善绩效管理制度。</w:t>
      </w:r>
    </w:p>
    <w:p>
      <w:pPr>
        <w:pStyle w:val="4"/>
        <w:ind w:firstLine="640"/>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5、认真自查，及时自纠。</w:t>
      </w:r>
    </w:p>
    <w:p>
      <w:pPr>
        <w:pStyle w:val="4"/>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九、部门整体支出绩效自评结果拟应用和公开情况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本单位无其他情况说明。</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报告需要以下附件：</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1、部门整体支出绩效评价基础数据表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2、部门整体支出绩效自评表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3、项目支出绩效自评表(一个一级项目支出一张表)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4、政府性基金预算支出情况表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5、国有资本经营预算支出情况表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6、社会保险基金预算支出情况表</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3"/>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业务工作经费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8"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岳阳楼区政府</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岳阳楼区应急管理局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73</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83.97</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83.97</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73</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83.97</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83.97</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争创全省安全生产和消防工作优秀单位</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直管行业检查</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≥1642起</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=1642起</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全年未发生安全生产事故</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0起</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0起</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全年未发生自然灾害及森林火灾事故</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0起</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0起</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“行刑衔接”案移交</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及时</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及时</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5月份完成“5.12全国减灾日宣传活动”</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按时举办</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按时举办</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6月份完成“安全生产月宣传活动”</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按时举办</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按时举办</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严格按预算执行</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≥83.97万元</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=83.97万元</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避免企业损失</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减少损失</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减少损失</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生态效益指标</w:t>
            </w:r>
          </w:p>
        </w:tc>
        <w:tc>
          <w:tcPr>
            <w:tcW w:w="1229" w:type="dxa"/>
            <w:noWrap w:val="0"/>
            <w:vAlign w:val="top"/>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禁炮减少环境污染</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提高了居民对于生活中安全隐患的防范意识</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较大提高</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较大提高</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服务对象满意度指标</w:t>
            </w:r>
          </w:p>
        </w:tc>
        <w:tc>
          <w:tcPr>
            <w:tcW w:w="1229" w:type="dxa"/>
            <w:noWrap w:val="0"/>
            <w:vAlign w:val="top"/>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对于安全生产工作宣传力度、执法工作基本满意</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≥90%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=90%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eastAsia" w:ascii="仿宋" w:hAnsi="仿宋" w:eastAsia="仿宋" w:cs="仿宋"/>
          <w:color w:val="000000" w:themeColor="text1"/>
          <w:spacing w:val="4"/>
          <w:sz w:val="23"/>
          <w:szCs w:val="23"/>
          <w:lang w:val="en-US" w:eastAsia="zh-CN"/>
          <w14:textFill>
            <w14:solidFill>
              <w14:schemeClr w14:val="tx1"/>
            </w14:solidFill>
          </w14:textFill>
        </w:r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val="en-US" w:eastAsia="zh-CN"/>
          <w14:textFill>
            <w14:solidFill>
              <w14:schemeClr w14:val="tx1"/>
            </w14:solidFill>
          </w14:textFill>
        </w:rPr>
        <w:t>蒋艳</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r>
        <w:rPr>
          <w:rFonts w:hint="eastAsia" w:ascii="仿宋" w:hAnsi="仿宋" w:eastAsia="仿宋" w:cs="仿宋"/>
          <w:color w:val="000000" w:themeColor="text1"/>
          <w:spacing w:val="4"/>
          <w:sz w:val="23"/>
          <w:szCs w:val="23"/>
          <w:lang w:val="en-US" w:eastAsia="zh-CN"/>
          <w14:textFill>
            <w14:solidFill>
              <w14:schemeClr w14:val="tx1"/>
            </w14:solidFill>
          </w14:textFill>
        </w:rPr>
        <w:t>2023.06.08</w:t>
      </w: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3"/>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防疫隔离点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岳阳楼区政府</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岳阳楼区应急管理局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56.75</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56.75</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leftChars="0" w:right="0" w:rightChars="0"/>
              <w:jc w:val="center"/>
              <w:textAlignment w:val="auto"/>
              <w:rPr>
                <w:rFonts w:hint="default"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leftChars="0" w:right="0" w:rightChars="0"/>
              <w:jc w:val="center"/>
              <w:textAlignment w:val="auto"/>
              <w:rPr>
                <w:rFonts w:hint="default"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leftChars="0" w:right="0" w:rightChars="0"/>
              <w:jc w:val="center"/>
              <w:textAlignment w:val="auto"/>
              <w:rPr>
                <w:rFonts w:hint="default"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56.75</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56.75</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1"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eastAsia="zh-CN"/>
                <w14:textFill>
                  <w14:solidFill>
                    <w14:schemeClr w14:val="tx1"/>
                  </w14:solidFill>
                </w14:textFill>
              </w:rPr>
              <w:t>保障新型冠状病毒防疫工作开展</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eastAsia="zh-CN"/>
                <w14:textFill>
                  <w14:solidFill>
                    <w14:schemeClr w14:val="tx1"/>
                  </w14:solidFill>
                </w14:textFill>
              </w:rPr>
              <w:t>确保防疫工作物资及时到位，做好后勤保障工作保障防疫工作人员装备充足。</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6" w:hRule="atLeast"/>
        </w:trPr>
        <w:tc>
          <w:tcPr>
            <w:tcW w:w="1075" w:type="dxa"/>
            <w:vMerge w:val="restart"/>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生活用品和办公用品量</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按卫健部门要求购买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符合要求购买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8" w:hRule="atLeast"/>
        </w:trPr>
        <w:tc>
          <w:tcPr>
            <w:tcW w:w="1075" w:type="dxa"/>
            <w:vMerge w:val="continue"/>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医疗物资的配送率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购买物资合格率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1075" w:type="dxa"/>
            <w:vMerge w:val="continue"/>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新冠病例标本送检及时率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控制隔离点预算投入</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≤56.75</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56.75</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top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效益指标（</w:t>
            </w:r>
            <w:r>
              <w:rPr>
                <w:rFonts w:hint="eastAsia" w:ascii="宋体" w:hAnsi="宋体" w:eastAsia="宋体" w:cs="宋体"/>
                <w:color w:val="000000" w:themeColor="text1"/>
                <w:spacing w:val="0"/>
                <w:sz w:val="21"/>
                <w:szCs w:val="21"/>
                <w:lang w:val="en-US" w:eastAsia="zh-CN"/>
                <w14:textFill>
                  <w14:solidFill>
                    <w14:schemeClr w14:val="tx1"/>
                  </w14:solidFill>
                </w14:textFill>
              </w:rPr>
              <w:t>30分）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新冠疫情蔓延控制程度</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较高程度</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较高程度</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30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30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top w:val="single" w:color="auto" w:sz="4" w:space="0"/>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群众满意度</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≥90%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eastAsia" w:ascii="仿宋" w:hAnsi="仿宋" w:eastAsia="仿宋" w:cs="仿宋"/>
          <w:color w:val="000000" w:themeColor="text1"/>
          <w:spacing w:val="4"/>
          <w:sz w:val="23"/>
          <w:szCs w:val="23"/>
          <w:lang w:val="en-US" w:eastAsia="zh-CN"/>
          <w14:textFill>
            <w14:solidFill>
              <w14:schemeClr w14:val="tx1"/>
            </w14:solidFill>
          </w14:textFill>
        </w:r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4"/>
          <w:sz w:val="23"/>
          <w:szCs w:val="23"/>
          <w14:textFill>
            <w14:solidFill>
              <w14:schemeClr w14:val="tx1"/>
            </w14:solidFill>
          </w14:textFill>
        </w:rPr>
        <w:t xml:space="preserve">  </w:t>
      </w:r>
      <w:r>
        <w:rPr>
          <w:rFonts w:hint="eastAsia" w:ascii="仿宋" w:hAnsi="仿宋" w:eastAsia="仿宋" w:cs="仿宋"/>
          <w:color w:val="000000" w:themeColor="text1"/>
          <w:spacing w:val="4"/>
          <w:sz w:val="23"/>
          <w:szCs w:val="23"/>
          <w:lang w:eastAsia="zh-CN"/>
          <w14:textFill>
            <w14:solidFill>
              <w14:schemeClr w14:val="tx1"/>
            </w14:solidFill>
          </w14:textFill>
        </w:rPr>
        <w:t>汪阳</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hint="eastAsia" w:ascii="仿宋" w:hAnsi="仿宋" w:eastAsia="仿宋" w:cs="仿宋"/>
          <w:color w:val="000000" w:themeColor="text1"/>
          <w:spacing w:val="3"/>
          <w:sz w:val="23"/>
          <w:szCs w:val="23"/>
          <w:lang w:val="en-US" w:eastAsia="zh-CN"/>
          <w14:textFill>
            <w14:solidFill>
              <w14:schemeClr w14:val="tx1"/>
            </w14:solidFill>
          </w14:textFill>
        </w:rPr>
        <w:t>18573053111</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hint="eastAsia" w:ascii="仿宋" w:hAnsi="仿宋" w:eastAsia="仿宋" w:cs="仿宋"/>
          <w:color w:val="000000" w:themeColor="text1"/>
          <w:spacing w:val="4"/>
          <w:sz w:val="23"/>
          <w:szCs w:val="23"/>
          <w:lang w:val="en-US" w:eastAsia="zh-CN"/>
          <w14:textFill>
            <w14:solidFill>
              <w14:schemeClr w14:val="tx1"/>
            </w14:solidFill>
          </w14:textFill>
        </w:rPr>
        <w:t>2023.6.7</w:t>
      </w: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val="en-US" w:eastAsia="zh-CN"/>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spacing w:val="0"/>
          <w:position w:val="0"/>
          <w:sz w:val="44"/>
          <w:szCs w:val="44"/>
          <w:lang w:val="en-US" w:eastAsia="zh-CN"/>
        </w:rPr>
      </w:pPr>
      <w:r>
        <w:rPr>
          <w:rFonts w:hint="eastAsia" w:ascii="方正小标宋简体" w:hAnsi="方正小标宋简体" w:eastAsia="方正小标宋简体" w:cs="方正小标宋简体"/>
          <w:color w:val="000000"/>
          <w:spacing w:val="0"/>
          <w:position w:val="0"/>
          <w:sz w:val="44"/>
          <w:szCs w:val="44"/>
          <w:lang w:val="en-US" w:eastAsia="zh-CN"/>
        </w:rPr>
        <w:t>2022年度项目支出绩效自评表</w:t>
      </w:r>
    </w:p>
    <w:tbl>
      <w:tblPr>
        <w:tblStyle w:val="13"/>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宋体"/>
                <w:color w:val="000000"/>
                <w:spacing w:val="0"/>
                <w:sz w:val="21"/>
                <w:szCs w:val="21"/>
                <w:lang w:val="en-US" w:eastAsia="zh-CN"/>
              </w:rPr>
            </w:pPr>
            <w:r>
              <w:rPr>
                <w:rFonts w:hint="eastAsia" w:ascii="Arial"/>
                <w:color w:val="000000"/>
                <w:spacing w:val="0"/>
                <w:sz w:val="21"/>
                <w:szCs w:val="21"/>
                <w:lang w:val="en-US" w:eastAsia="zh-CN"/>
              </w:rPr>
              <w:t>消防装备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宋体"/>
                <w:color w:val="000000"/>
                <w:spacing w:val="0"/>
                <w:sz w:val="21"/>
                <w:szCs w:val="21"/>
                <w:lang w:val="en-US" w:eastAsia="zh-CN"/>
              </w:rPr>
            </w:pPr>
            <w:r>
              <w:rPr>
                <w:rFonts w:hint="eastAsia" w:ascii="Arial"/>
                <w:color w:val="000000"/>
                <w:spacing w:val="0"/>
                <w:sz w:val="21"/>
                <w:szCs w:val="21"/>
                <w:lang w:val="en-US" w:eastAsia="zh-CN"/>
              </w:rPr>
              <w:t>区财政局</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宋体"/>
                <w:color w:val="000000"/>
                <w:spacing w:val="0"/>
                <w:sz w:val="21"/>
                <w:szCs w:val="21"/>
                <w:lang w:val="en-US" w:eastAsia="zh-CN"/>
              </w:rPr>
            </w:pPr>
            <w:r>
              <w:rPr>
                <w:rFonts w:hint="eastAsia" w:ascii="Arial"/>
                <w:color w:val="000000"/>
                <w:spacing w:val="0"/>
                <w:sz w:val="21"/>
                <w:szCs w:val="21"/>
                <w:lang w:val="en-US" w:eastAsia="zh-CN"/>
              </w:rPr>
              <w:t>岳阳市岳阳楼区消防救援大队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spacing w:val="0"/>
                <w:sz w:val="21"/>
                <w:szCs w:val="21"/>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60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60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58.98</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98.3%</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60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60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58.98</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spacing w:val="0"/>
                <w:sz w:val="21"/>
                <w:szCs w:val="21"/>
              </w:rPr>
            </w:pPr>
            <w:r>
              <w:rPr>
                <w:rFonts w:hint="eastAsia" w:ascii="宋体" w:hAnsi="宋体" w:eastAsia="宋体" w:cs="宋体"/>
                <w:kern w:val="2"/>
                <w:sz w:val="21"/>
                <w:szCs w:val="21"/>
                <w:lang w:val="en-US" w:eastAsia="zh-CN" w:bidi="ar-SA"/>
              </w:rPr>
              <w:t>根据《城市消防站建设标准》消防站常规装备器材配置</w:t>
            </w:r>
            <w:r>
              <w:rPr>
                <w:rFonts w:hint="eastAsia" w:ascii="宋体" w:hAnsi="宋体" w:cs="宋体"/>
                <w:kern w:val="2"/>
                <w:sz w:val="21"/>
                <w:szCs w:val="21"/>
                <w:lang w:val="en-US" w:eastAsia="zh-CN" w:bidi="ar-SA"/>
              </w:rPr>
              <w:t>要求，有效保障</w:t>
            </w:r>
            <w:r>
              <w:rPr>
                <w:rFonts w:hint="eastAsia" w:ascii="宋体" w:hAnsi="宋体" w:eastAsia="宋体" w:cs="宋体"/>
                <w:kern w:val="2"/>
                <w:sz w:val="21"/>
                <w:szCs w:val="21"/>
                <w:lang w:val="en-US" w:eastAsia="zh-CN" w:bidi="ar-SA"/>
              </w:rPr>
              <w:t>灭火救援执勤任务中消防装备器材</w:t>
            </w:r>
            <w:r>
              <w:rPr>
                <w:rFonts w:hint="eastAsia" w:ascii="宋体" w:hAnsi="宋体" w:cs="宋体"/>
                <w:kern w:val="2"/>
                <w:sz w:val="21"/>
                <w:szCs w:val="21"/>
                <w:lang w:val="en-US" w:eastAsia="zh-CN" w:bidi="ar-SA"/>
              </w:rPr>
              <w:t>需求及</w:t>
            </w:r>
            <w:r>
              <w:rPr>
                <w:rFonts w:hint="eastAsia" w:ascii="宋体" w:hAnsi="宋体" w:eastAsia="宋体" w:cs="宋体"/>
                <w:kern w:val="2"/>
                <w:sz w:val="21"/>
                <w:szCs w:val="21"/>
                <w:lang w:val="en-US" w:eastAsia="zh-CN" w:bidi="ar-SA"/>
              </w:rPr>
              <w:t>各种耗损</w:t>
            </w:r>
            <w:r>
              <w:rPr>
                <w:rFonts w:hint="eastAsia" w:ascii="宋体" w:hAnsi="宋体" w:cs="宋体"/>
                <w:kern w:val="2"/>
                <w:sz w:val="21"/>
                <w:szCs w:val="21"/>
                <w:lang w:val="en-US" w:eastAsia="zh-CN" w:bidi="ar-SA"/>
              </w:rPr>
              <w:t>。</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color w:val="000000"/>
                <w:spacing w:val="0"/>
                <w:sz w:val="21"/>
                <w:szCs w:val="21"/>
                <w:lang w:val="en-US"/>
              </w:rPr>
            </w:pPr>
            <w:r>
              <w:rPr>
                <w:rFonts w:hint="eastAsia" w:ascii="宋体" w:hAnsi="宋体" w:eastAsia="宋体" w:cs="宋体"/>
                <w:kern w:val="2"/>
                <w:sz w:val="21"/>
                <w:szCs w:val="21"/>
                <w:lang w:val="en-US" w:eastAsia="zh-CN" w:bidi="ar-SA"/>
              </w:rPr>
              <w:t>根据《城市消防站建设标准》消防站常规装备器材配置</w:t>
            </w:r>
            <w:r>
              <w:rPr>
                <w:rFonts w:hint="eastAsia" w:ascii="宋体" w:hAnsi="宋体" w:cs="宋体"/>
                <w:kern w:val="2"/>
                <w:sz w:val="21"/>
                <w:szCs w:val="21"/>
                <w:lang w:val="en-US" w:eastAsia="zh-CN" w:bidi="ar-SA"/>
              </w:rPr>
              <w:t>要求，采购日常灭火救援执勤装备器材一批。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绩</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效</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指</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2"/>
                <w:sz w:val="21"/>
                <w:szCs w:val="21"/>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(50分)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装备验收合格率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20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20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年内完成</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2022年12月31日前</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2022年12月31日前</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15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15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9"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预算内</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≤60万</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58.98</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15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14</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1"/>
                <w:sz w:val="21"/>
                <w:szCs w:val="21"/>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(30分)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4"/>
                <w:sz w:val="21"/>
                <w:szCs w:val="21"/>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无</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益指标</w:t>
            </w:r>
          </w:p>
        </w:tc>
        <w:tc>
          <w:tcPr>
            <w:tcW w:w="1229" w:type="dxa"/>
            <w:noWrap w:val="0"/>
            <w:vAlign w:val="top"/>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保障辖区灭火救援执勤任务完成,减少火灾损失</w:t>
            </w:r>
          </w:p>
        </w:tc>
        <w:tc>
          <w:tcPr>
            <w:tcW w:w="1131" w:type="dxa"/>
            <w:noWrap w:val="0"/>
            <w:vAlign w:val="top"/>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有效保障</w:t>
            </w:r>
          </w:p>
        </w:tc>
        <w:tc>
          <w:tcPr>
            <w:tcW w:w="1140" w:type="dxa"/>
            <w:noWrap w:val="0"/>
            <w:vAlign w:val="top"/>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有效保障</w:t>
            </w:r>
          </w:p>
        </w:tc>
        <w:tc>
          <w:tcPr>
            <w:tcW w:w="685" w:type="dxa"/>
            <w:noWrap w:val="0"/>
            <w:vAlign w:val="top"/>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15</w:t>
            </w:r>
          </w:p>
        </w:tc>
        <w:tc>
          <w:tcPr>
            <w:tcW w:w="795" w:type="dxa"/>
            <w:noWrap w:val="0"/>
            <w:vAlign w:val="top"/>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15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无</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提升队伍灭火救援能力</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显著</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显著</w:t>
            </w:r>
          </w:p>
        </w:tc>
        <w:tc>
          <w:tcPr>
            <w:tcW w:w="685" w:type="dxa"/>
            <w:noWrap w:val="0"/>
            <w:vAlign w:val="top"/>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15</w:t>
            </w:r>
          </w:p>
        </w:tc>
        <w:tc>
          <w:tcPr>
            <w:tcW w:w="795" w:type="dxa"/>
            <w:noWrap w:val="0"/>
            <w:vAlign w:val="top"/>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15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(10分)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指战员满意度</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≥95%</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≥95%</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spacing w:val="0"/>
                <w:sz w:val="21"/>
                <w:szCs w:val="21"/>
                <w:lang w:eastAsia="zh-CN"/>
              </w:rPr>
            </w:pPr>
            <w:r>
              <w:rPr>
                <w:rFonts w:hint="eastAsia" w:ascii="宋体" w:hAnsi="宋体" w:eastAsia="宋体" w:cs="宋体"/>
                <w:color w:val="000000"/>
                <w:spacing w:val="0"/>
                <w:sz w:val="21"/>
                <w:szCs w:val="21"/>
                <w:lang w:eastAsia="zh-CN"/>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spacing w:val="0"/>
                <w:sz w:val="21"/>
                <w:szCs w:val="21"/>
                <w:lang w:val="en-US" w:eastAsia="zh-CN"/>
              </w:rPr>
            </w:pPr>
            <w:r>
              <w:rPr>
                <w:rFonts w:hint="eastAsia" w:ascii="宋体" w:hAnsi="宋体" w:eastAsia="宋体" w:cs="宋体"/>
                <w:color w:val="000000"/>
                <w:spacing w:val="0"/>
                <w:sz w:val="21"/>
                <w:szCs w:val="21"/>
                <w:lang w:val="en-US" w:eastAsia="zh-CN"/>
              </w:rPr>
              <w:t>98</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spacing w:val="0"/>
                <w:sz w:val="21"/>
                <w:szCs w:val="21"/>
              </w:rPr>
            </w:pPr>
          </w:p>
        </w:tc>
      </w:tr>
    </w:tbl>
    <w:p>
      <w:pPr>
        <w:spacing w:line="252" w:lineRule="auto"/>
        <w:rPr>
          <w:rFonts w:ascii="Arial"/>
          <w:color w:val="000000"/>
          <w:sz w:val="21"/>
        </w:rPr>
      </w:pPr>
    </w:p>
    <w:p>
      <w:pPr>
        <w:spacing w:before="75" w:line="230" w:lineRule="auto"/>
        <w:rPr>
          <w:rFonts w:hint="default" w:ascii="仿宋_GB2312" w:hAnsi="仿宋_GB2312" w:eastAsia="仿宋_GB2312" w:cs="仿宋_GB2312"/>
          <w:color w:val="000000"/>
          <w:spacing w:val="0"/>
          <w:position w:val="0"/>
          <w:sz w:val="32"/>
          <w:szCs w:val="32"/>
          <w:lang w:val="en-US" w:eastAsia="zh-CN"/>
        </w:rPr>
        <w:sectPr>
          <w:pgSz w:w="11906" w:h="16838"/>
          <w:pgMar w:top="1417" w:right="1417" w:bottom="1417" w:left="1417" w:header="851" w:footer="992" w:gutter="0"/>
          <w:pgNumType w:fmt="decimal"/>
          <w:cols w:space="720" w:num="1"/>
          <w:rtlGutter w:val="0"/>
          <w:docGrid w:type="lines" w:linePitch="312" w:charSpace="0"/>
        </w:sectPr>
      </w:pPr>
      <w:r>
        <w:rPr>
          <w:rFonts w:ascii="仿宋" w:hAnsi="仿宋" w:eastAsia="仿宋" w:cs="仿宋"/>
          <w:color w:val="000000"/>
          <w:spacing w:val="-26"/>
          <w:sz w:val="23"/>
          <w:szCs w:val="23"/>
        </w:rPr>
        <w:t>填表人：</w:t>
      </w:r>
      <w:r>
        <w:rPr>
          <w:rFonts w:ascii="仿宋" w:hAnsi="仿宋" w:eastAsia="仿宋" w:cs="仿宋"/>
          <w:color w:val="000000"/>
          <w:spacing w:val="15"/>
          <w:sz w:val="23"/>
          <w:szCs w:val="23"/>
        </w:rPr>
        <w:t xml:space="preserve"> </w:t>
      </w:r>
      <w:r>
        <w:rPr>
          <w:rFonts w:hint="eastAsia" w:ascii="仿宋" w:hAnsi="仿宋" w:eastAsia="仿宋" w:cs="仿宋"/>
          <w:color w:val="000000"/>
          <w:spacing w:val="15"/>
          <w:sz w:val="23"/>
          <w:szCs w:val="23"/>
          <w:lang w:val="en-US" w:eastAsia="zh-CN"/>
        </w:rPr>
        <w:t>严金玉</w:t>
      </w:r>
      <w:r>
        <w:rPr>
          <w:rFonts w:ascii="仿宋" w:hAnsi="仿宋" w:eastAsia="仿宋" w:cs="仿宋"/>
          <w:color w:val="000000"/>
          <w:spacing w:val="15"/>
          <w:sz w:val="23"/>
          <w:szCs w:val="23"/>
        </w:rPr>
        <w:t xml:space="preserve"> </w:t>
      </w:r>
      <w:r>
        <w:rPr>
          <w:rFonts w:ascii="仿宋" w:hAnsi="仿宋" w:eastAsia="仿宋" w:cs="仿宋"/>
          <w:color w:val="000000"/>
          <w:spacing w:val="4"/>
          <w:sz w:val="23"/>
          <w:szCs w:val="23"/>
        </w:rPr>
        <w:t xml:space="preserve">      </w:t>
      </w:r>
      <w:r>
        <w:rPr>
          <w:rFonts w:ascii="仿宋" w:hAnsi="仿宋" w:eastAsia="仿宋" w:cs="仿宋"/>
          <w:color w:val="000000"/>
          <w:spacing w:val="-26"/>
          <w:sz w:val="23"/>
          <w:szCs w:val="23"/>
        </w:rPr>
        <w:t>联系电话：</w:t>
      </w:r>
      <w:r>
        <w:rPr>
          <w:rFonts w:hint="eastAsia" w:ascii="仿宋" w:hAnsi="仿宋" w:eastAsia="仿宋" w:cs="仿宋"/>
          <w:color w:val="000000"/>
          <w:spacing w:val="-26"/>
          <w:sz w:val="23"/>
          <w:szCs w:val="23"/>
          <w:lang w:val="en-US" w:eastAsia="zh-CN"/>
        </w:rPr>
        <w:t>18684886069</w:t>
      </w:r>
      <w:r>
        <w:rPr>
          <w:rFonts w:ascii="仿宋" w:hAnsi="仿宋" w:eastAsia="仿宋" w:cs="仿宋"/>
          <w:color w:val="000000"/>
          <w:spacing w:val="3"/>
          <w:sz w:val="23"/>
          <w:szCs w:val="23"/>
        </w:rPr>
        <w:t xml:space="preserve">      </w:t>
      </w:r>
      <w:r>
        <w:rPr>
          <w:rFonts w:ascii="仿宋" w:hAnsi="仿宋" w:eastAsia="仿宋" w:cs="仿宋"/>
          <w:color w:val="000000"/>
          <w:spacing w:val="-26"/>
          <w:sz w:val="23"/>
          <w:szCs w:val="23"/>
        </w:rPr>
        <w:t>单位负责人签字：</w:t>
      </w:r>
      <w:r>
        <w:rPr>
          <w:rFonts w:hint="eastAsia" w:ascii="仿宋" w:hAnsi="仿宋" w:eastAsia="仿宋" w:cs="仿宋"/>
          <w:color w:val="000000"/>
          <w:spacing w:val="-26"/>
          <w:sz w:val="23"/>
          <w:szCs w:val="23"/>
          <w:lang w:val="en-US" w:eastAsia="zh-CN"/>
        </w:rPr>
        <w:t xml:space="preserve">                 </w:t>
      </w:r>
      <w:r>
        <w:rPr>
          <w:rFonts w:ascii="仿宋" w:hAnsi="仿宋" w:eastAsia="仿宋" w:cs="仿宋"/>
          <w:color w:val="000000"/>
          <w:spacing w:val="-26"/>
          <w:sz w:val="23"/>
          <w:szCs w:val="23"/>
        </w:rPr>
        <w:t>填报日期：</w:t>
      </w:r>
      <w:r>
        <w:rPr>
          <w:rFonts w:hint="eastAsia" w:ascii="仿宋" w:hAnsi="仿宋" w:eastAsia="仿宋" w:cs="仿宋"/>
          <w:color w:val="000000"/>
          <w:spacing w:val="-26"/>
          <w:sz w:val="23"/>
          <w:szCs w:val="23"/>
          <w:lang w:val="en-US" w:eastAsia="zh-CN"/>
        </w:rPr>
        <w:t>2023.06.08</w:t>
      </w:r>
      <w:r>
        <w:rPr>
          <w:rFonts w:ascii="仿宋" w:hAnsi="仿宋" w:eastAsia="仿宋" w:cs="仿宋"/>
          <w:color w:val="000000"/>
          <w:spacing w:val="4"/>
          <w:sz w:val="23"/>
          <w:szCs w:val="23"/>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3"/>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应急救援经费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岳阳楼区政府</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岳阳楼区应急管理局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100.32</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100.32</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100.32</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100.32</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指挥中心平台建设及应急救援物资采购</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left w:val="single" w:color="auto" w:sz="4" w:space="0"/>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left w:val="single" w:color="auto" w:sz="4" w:space="0"/>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内涝点监控</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9个</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9个</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left w:val="single" w:color="auto" w:sz="4" w:space="0"/>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应急物资采购</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风力灭火机 10台、抽水泵14台、皮划艇11艘等物资</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风力灭火机 10台、抽水泵14台、皮划艇11艘等物资</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left w:val="single" w:color="auto" w:sz="4" w:space="0"/>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指挥中心平台建设</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lang w:val="en-US" w:eastAsia="zh-CN"/>
                <w14:textFill>
                  <w14:solidFill>
                    <w14:schemeClr w14:val="tx1"/>
                  </w14:solidFill>
                </w14:textFill>
              </w:rPr>
              <w:t>LED显示屏6.1444㎡、拼接处理器1台等设备</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lang w:val="en-US" w:eastAsia="zh-CN"/>
                <w14:textFill>
                  <w14:solidFill>
                    <w14:schemeClr w14:val="tx1"/>
                  </w14:solidFill>
                </w14:textFill>
              </w:rPr>
              <w:t>LED显示屏6.1444㎡、拼接处理器1台等设备</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left w:val="single" w:color="auto" w:sz="4" w:space="0"/>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物资合格率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left w:val="single" w:color="auto" w:sz="4" w:space="0"/>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应急救援物资供应</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及时</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及时</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left w:val="single" w:color="auto" w:sz="4" w:space="0"/>
              <w:bottom w:val="single" w:color="auto" w:sz="4" w:space="0"/>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top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1"/>
                <w:sz w:val="21"/>
                <w:szCs w:val="21"/>
              </w:rPr>
              <w:t>效益指标</w:t>
            </w:r>
          </w:p>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ascii="宋体" w:hAnsi="宋体" w:eastAsia="宋体" w:cs="宋体"/>
                <w:color w:val="000000"/>
                <w:spacing w:val="0"/>
                <w:sz w:val="21"/>
                <w:szCs w:val="21"/>
              </w:rPr>
              <w:t>(30分)</w:t>
            </w:r>
          </w:p>
        </w:tc>
        <w:tc>
          <w:tcPr>
            <w:tcW w:w="1080" w:type="dxa"/>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保护人民财产生命安全</w:t>
            </w:r>
          </w:p>
        </w:tc>
        <w:tc>
          <w:tcPr>
            <w:tcW w:w="1131" w:type="dxa"/>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较大程度保障</w:t>
            </w:r>
          </w:p>
        </w:tc>
        <w:tc>
          <w:tcPr>
            <w:tcW w:w="1140" w:type="dxa"/>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较大程度保障</w:t>
            </w:r>
          </w:p>
        </w:tc>
        <w:tc>
          <w:tcPr>
            <w:tcW w:w="685" w:type="dxa"/>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15</w:t>
            </w:r>
          </w:p>
        </w:tc>
        <w:tc>
          <w:tcPr>
            <w:tcW w:w="795" w:type="dxa"/>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15</w:t>
            </w:r>
          </w:p>
        </w:tc>
        <w:tc>
          <w:tcPr>
            <w:tcW w:w="1365" w:type="dxa"/>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single" w:color="auto" w:sz="4" w:space="0"/>
              <w:left w:val="single" w:color="auto" w:sz="4" w:space="0"/>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top w:val="single" w:color="auto" w:sz="4" w:space="0"/>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tcBorders>
              <w:top w:val="single" w:color="auto" w:sz="4" w:space="0"/>
            </w:tcBorders>
            <w:noWrap w:val="0"/>
            <w:vAlign w:val="top"/>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应急预案编制</w:t>
            </w:r>
          </w:p>
        </w:tc>
        <w:tc>
          <w:tcPr>
            <w:tcW w:w="1131" w:type="dxa"/>
            <w:tcBorders>
              <w:top w:val="single" w:color="auto" w:sz="4" w:space="0"/>
            </w:tcBorders>
            <w:noWrap w:val="0"/>
            <w:vAlign w:val="top"/>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制定</w:t>
            </w:r>
          </w:p>
        </w:tc>
        <w:tc>
          <w:tcPr>
            <w:tcW w:w="1140" w:type="dxa"/>
            <w:tcBorders>
              <w:top w:val="single" w:color="auto" w:sz="4" w:space="0"/>
            </w:tcBorders>
            <w:noWrap w:val="0"/>
            <w:vAlign w:val="top"/>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制定</w:t>
            </w:r>
          </w:p>
        </w:tc>
        <w:tc>
          <w:tcPr>
            <w:tcW w:w="685" w:type="dxa"/>
            <w:tcBorders>
              <w:top w:val="single" w:color="auto" w:sz="4" w:space="0"/>
            </w:tcBorders>
            <w:noWrap w:val="0"/>
            <w:vAlign w:val="top"/>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15</w:t>
            </w:r>
          </w:p>
        </w:tc>
        <w:tc>
          <w:tcPr>
            <w:tcW w:w="795" w:type="dxa"/>
            <w:tcBorders>
              <w:top w:val="single" w:color="auto" w:sz="4" w:space="0"/>
            </w:tcBorders>
            <w:noWrap w:val="0"/>
            <w:vAlign w:val="top"/>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15</w:t>
            </w:r>
          </w:p>
        </w:tc>
        <w:tc>
          <w:tcPr>
            <w:tcW w:w="1365" w:type="dxa"/>
            <w:tcBorders>
              <w:top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left w:val="single" w:color="auto" w:sz="4" w:space="0"/>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top w:val="single" w:color="auto" w:sz="4" w:space="0"/>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社会大众基本满意</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基本满意</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基本满意</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val="en-US" w:eastAsia="zh-CN"/>
          <w14:textFill>
            <w14:solidFill>
              <w14:schemeClr w14:val="tx1"/>
            </w14:solidFill>
          </w14:textFill>
        </w:rPr>
        <w:t>蒋艳</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r>
        <w:rPr>
          <w:rFonts w:hint="eastAsia" w:ascii="仿宋" w:hAnsi="仿宋" w:eastAsia="仿宋" w:cs="仿宋"/>
          <w:color w:val="000000" w:themeColor="text1"/>
          <w:spacing w:val="4"/>
          <w:sz w:val="23"/>
          <w:szCs w:val="23"/>
          <w:lang w:val="en-US" w:eastAsia="zh-CN"/>
          <w14:textFill>
            <w14:solidFill>
              <w14:schemeClr w14:val="tx1"/>
            </w14:solidFill>
          </w14:textFill>
        </w:rPr>
        <w:t>2023.06.08</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3"/>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846"/>
        <w:gridCol w:w="1164"/>
        <w:gridCol w:w="1430"/>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仓田消防站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岳阳楼区政府</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岳阳楼区应急管理局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1926"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6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43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0"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926"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164"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43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263.41</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263.41</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926"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164"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43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263.41</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263.41</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926"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164"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43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926"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164"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43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完成土方挖、填土与地平整及基桩项目施工</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完成正负零以下的项目施工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84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16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43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846"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16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土方施工</w:t>
            </w:r>
          </w:p>
        </w:tc>
        <w:tc>
          <w:tcPr>
            <w:tcW w:w="143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填方8325.51挖方5473.91</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填方6660.19挖方3967.72</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9</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46"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6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基桩施工</w:t>
            </w:r>
          </w:p>
        </w:tc>
        <w:tc>
          <w:tcPr>
            <w:tcW w:w="143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43根</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43根</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46"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6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43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46"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16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工程验收合格率</w:t>
            </w:r>
          </w:p>
        </w:tc>
        <w:tc>
          <w:tcPr>
            <w:tcW w:w="143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46"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16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工程完成进度</w:t>
            </w:r>
          </w:p>
        </w:tc>
        <w:tc>
          <w:tcPr>
            <w:tcW w:w="143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土方2022年5月1日前   基桩 2022年12月30日前  </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土方2022年4年15日     基桩2022年12月17日</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single" w:color="auto" w:sz="4" w:space="0"/>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46" w:type="dxa"/>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164" w:type="dxa"/>
            <w:noWrap w:val="0"/>
            <w:vAlign w:val="top"/>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工程单位建设成本</w:t>
            </w:r>
          </w:p>
        </w:tc>
        <w:tc>
          <w:tcPr>
            <w:tcW w:w="143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263.41</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263.41</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restart"/>
            <w:tcBorders>
              <w:top w:val="single" w:color="auto" w:sz="4" w:space="0"/>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top w:val="single" w:color="auto" w:sz="4" w:space="0"/>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1"/>
                <w:sz w:val="21"/>
                <w:szCs w:val="21"/>
              </w:rPr>
              <w:t>效益指标</w:t>
            </w:r>
          </w:p>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ascii="宋体" w:hAnsi="宋体" w:eastAsia="宋体" w:cs="宋体"/>
                <w:color w:val="000000"/>
                <w:spacing w:val="0"/>
                <w:sz w:val="21"/>
                <w:szCs w:val="21"/>
              </w:rPr>
              <w:t>(30分)</w:t>
            </w:r>
          </w:p>
        </w:tc>
        <w:tc>
          <w:tcPr>
            <w:tcW w:w="846" w:type="dxa"/>
            <w:tcBorders>
              <w:top w:val="single" w:color="auto" w:sz="4" w:space="0"/>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16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业务保障能力</w:t>
            </w:r>
          </w:p>
        </w:tc>
        <w:tc>
          <w:tcPr>
            <w:tcW w:w="143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保障周边群众安全</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长期</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30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30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0"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846"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16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项目预期服务对象对项目实施的满意程度</w:t>
            </w:r>
          </w:p>
        </w:tc>
        <w:tc>
          <w:tcPr>
            <w:tcW w:w="143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90%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90%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9</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98</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hint="eastAsia" w:ascii="仿宋" w:hAnsi="仿宋" w:eastAsia="仿宋" w:cs="仿宋"/>
          <w:color w:val="000000" w:themeColor="text1"/>
          <w:spacing w:val="15"/>
          <w:sz w:val="23"/>
          <w:szCs w:val="23"/>
          <w:lang w:val="en-US" w:eastAsia="zh-CN"/>
          <w14:textFill>
            <w14:solidFill>
              <w14:schemeClr w14:val="tx1"/>
            </w14:solidFill>
          </w14:textFill>
        </w:rPr>
        <w:t>易雄</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hint="eastAsia" w:ascii="仿宋" w:hAnsi="仿宋" w:eastAsia="仿宋" w:cs="仿宋"/>
          <w:color w:val="000000" w:themeColor="text1"/>
          <w:spacing w:val="3"/>
          <w:sz w:val="23"/>
          <w:szCs w:val="23"/>
          <w:lang w:val="en-US" w:eastAsia="zh-CN"/>
          <w14:textFill>
            <w14:solidFill>
              <w14:schemeClr w14:val="tx1"/>
            </w14:solidFill>
          </w14:textFill>
        </w:rPr>
        <w:t>13762088958</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hint="eastAsia" w:ascii="仿宋" w:hAnsi="仿宋" w:eastAsia="仿宋" w:cs="仿宋"/>
          <w:color w:val="000000" w:themeColor="text1"/>
          <w:spacing w:val="-26"/>
          <w:sz w:val="23"/>
          <w:szCs w:val="23"/>
          <w:lang w:val="en-US" w:eastAsia="zh-CN"/>
          <w14:textFill>
            <w14:solidFill>
              <w14:schemeClr w14:val="tx1"/>
            </w14:solidFill>
          </w14:textFill>
        </w:rPr>
        <w:t>2023.06.08</w:t>
      </w:r>
      <w:r>
        <w:rPr>
          <w:rFonts w:ascii="仿宋" w:hAnsi="仿宋" w:eastAsia="仿宋" w:cs="仿宋"/>
          <w:color w:val="000000" w:themeColor="text1"/>
          <w:spacing w:val="4"/>
          <w:sz w:val="23"/>
          <w:szCs w:val="23"/>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3"/>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应急仓库</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岳阳楼区政府</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岳阳楼区应急管理局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100.32</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100.32</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100.32</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100.32</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仓库建成投入使用</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15"/>
                <w:szCs w:val="15"/>
                <w:lang w:val="en-US" w:eastAsia="zh-CN"/>
                <w14:textFill>
                  <w14:solidFill>
                    <w14:schemeClr w14:val="tx1"/>
                  </w14:solidFill>
                </w14:textFill>
              </w:rPr>
            </w:pPr>
            <w:r>
              <w:rPr>
                <w:rFonts w:hint="eastAsia" w:ascii="宋体" w:hAnsi="宋体" w:eastAsia="宋体" w:cs="宋体"/>
                <w:color w:val="000000" w:themeColor="text1"/>
                <w:spacing w:val="0"/>
                <w:sz w:val="15"/>
                <w:szCs w:val="15"/>
                <w:lang w:val="en-US" w:eastAsia="zh-CN"/>
                <w14:textFill>
                  <w14:solidFill>
                    <w14:schemeClr w14:val="tx1"/>
                  </w14:solidFill>
                </w14:textFill>
              </w:rPr>
              <w:t xml:space="preserve">仓库建设面积 </w:t>
            </w:r>
            <w:r>
              <w:rPr>
                <w:rFonts w:ascii="宋体" w:hAnsi="宋体" w:eastAsia="宋体" w:cs="宋体"/>
                <w:color w:val="000000" w:themeColor="text1"/>
                <w:spacing w:val="0"/>
                <w:sz w:val="15"/>
                <w:szCs w:val="15"/>
                <w:lang w:val="en-US" w:eastAsia="zh-CN"/>
                <w14:textFill>
                  <w14:solidFill>
                    <w14:schemeClr w14:val="tx1"/>
                  </w14:solidFill>
                </w14:textFill>
              </w:rPr>
              <w:t xml:space="preserve">  </w:t>
            </w:r>
            <w:r>
              <w:rPr>
                <w:rFonts w:hint="eastAsia" w:ascii="宋体" w:hAnsi="宋体" w:eastAsia="宋体" w:cs="宋体"/>
                <w:color w:val="000000" w:themeColor="text1"/>
                <w:spacing w:val="0"/>
                <w:sz w:val="15"/>
                <w:szCs w:val="15"/>
                <w:lang w:val="en-US" w:eastAsia="zh-CN"/>
                <w14:textFill>
                  <w14:solidFill>
                    <w14:schemeClr w14:val="tx1"/>
                  </w14:solidFill>
                </w14:textFill>
              </w:rPr>
              <w:t>层 高</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ascii="宋体" w:hAnsi="宋体" w:eastAsia="宋体" w:cs="宋体"/>
                <w:color w:val="000000" w:themeColor="text1"/>
                <w:spacing w:val="0"/>
                <w:sz w:val="15"/>
                <w:szCs w:val="15"/>
                <w:lang w:val="en-US" w:eastAsia="zh-CN"/>
                <w14:textFill>
                  <w14:solidFill>
                    <w14:schemeClr w14:val="tx1"/>
                  </w14:solidFill>
                </w14:textFill>
              </w:rPr>
              <w:t>750</w:t>
            </w:r>
            <w:r>
              <w:rPr>
                <w:rFonts w:hint="eastAsia" w:ascii="宋体" w:hAnsi="宋体" w:eastAsia="宋体" w:cs="宋体"/>
                <w:color w:val="000000" w:themeColor="text1"/>
                <w:spacing w:val="0"/>
                <w:sz w:val="15"/>
                <w:szCs w:val="15"/>
                <w:lang w:val="en-US" w:eastAsia="zh-CN"/>
                <w14:textFill>
                  <w14:solidFill>
                    <w14:schemeClr w14:val="tx1"/>
                  </w14:solidFill>
                </w14:textFill>
              </w:rPr>
              <w:t xml:space="preserve">平米 </w:t>
            </w:r>
            <w:r>
              <w:rPr>
                <w:rFonts w:ascii="宋体" w:hAnsi="宋体" w:eastAsia="宋体" w:cs="宋体"/>
                <w:color w:val="000000" w:themeColor="text1"/>
                <w:spacing w:val="0"/>
                <w:sz w:val="15"/>
                <w:szCs w:val="15"/>
                <w:lang w:val="en-US" w:eastAsia="zh-CN"/>
                <w14:textFill>
                  <w14:solidFill>
                    <w14:schemeClr w14:val="tx1"/>
                  </w14:solidFill>
                </w14:textFill>
              </w:rPr>
              <w:t xml:space="preserve">      6</w:t>
            </w:r>
            <w:r>
              <w:rPr>
                <w:rFonts w:hint="eastAsia" w:ascii="宋体" w:hAnsi="宋体" w:eastAsia="宋体" w:cs="宋体"/>
                <w:color w:val="000000" w:themeColor="text1"/>
                <w:spacing w:val="0"/>
                <w:sz w:val="15"/>
                <w:szCs w:val="15"/>
                <w:lang w:val="en-US" w:eastAsia="zh-CN"/>
                <w14:textFill>
                  <w14:solidFill>
                    <w14:schemeClr w14:val="tx1"/>
                  </w14:solidFill>
                </w14:textFill>
              </w:rPr>
              <w:t>米</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default" w:ascii="宋体" w:hAnsi="宋体" w:eastAsia="宋体" w:cs="宋体"/>
                <w:color w:val="000000" w:themeColor="text1"/>
                <w:spacing w:val="0"/>
                <w:sz w:val="15"/>
                <w:szCs w:val="15"/>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default" w:ascii="宋体" w:hAnsi="宋体" w:eastAsia="宋体" w:cs="宋体"/>
                <w:color w:val="000000" w:themeColor="text1"/>
                <w:spacing w:val="0"/>
                <w:sz w:val="15"/>
                <w:szCs w:val="15"/>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default" w:ascii="宋体" w:hAnsi="宋体" w:eastAsia="宋体" w:cs="宋体"/>
                <w:color w:val="000000" w:themeColor="text1"/>
                <w:spacing w:val="0"/>
                <w:sz w:val="15"/>
                <w:szCs w:val="15"/>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15"/>
                <w:szCs w:val="15"/>
                <w:lang w:val="en-US" w:eastAsia="zh-CN"/>
                <w14:textFill>
                  <w14:solidFill>
                    <w14:schemeClr w14:val="tx1"/>
                  </w14:solidFill>
                </w14:textFill>
              </w:rPr>
            </w:pPr>
            <w:r>
              <w:rPr>
                <w:rFonts w:ascii="宋体" w:hAnsi="宋体" w:eastAsia="宋体" w:cs="宋体"/>
                <w:color w:val="000000" w:themeColor="text1"/>
                <w:spacing w:val="0"/>
                <w:sz w:val="15"/>
                <w:szCs w:val="15"/>
                <w:lang w:val="en-US" w:eastAsia="zh-CN"/>
                <w14:textFill>
                  <w14:solidFill>
                    <w14:schemeClr w14:val="tx1"/>
                  </w14:solidFill>
                </w14:textFill>
              </w:rPr>
              <w:t>3个库房储备容量</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ascii="宋体" w:hAnsi="宋体" w:eastAsia="宋体" w:cs="宋体"/>
                <w:color w:val="000000" w:themeColor="text1"/>
                <w:spacing w:val="0"/>
                <w:sz w:val="15"/>
                <w:szCs w:val="15"/>
                <w:lang w:val="en-US" w:eastAsia="zh-CN"/>
                <w14:textFill>
                  <w14:solidFill>
                    <w14:schemeClr w14:val="tx1"/>
                  </w14:solidFill>
                </w14:textFill>
              </w:rPr>
              <w:t>4500</w:t>
            </w:r>
            <w:r>
              <w:rPr>
                <w:rFonts w:hint="eastAsia" w:ascii="宋体" w:hAnsi="宋体" w:eastAsia="宋体" w:cs="宋体"/>
                <w:color w:val="000000" w:themeColor="text1"/>
                <w:spacing w:val="0"/>
                <w:sz w:val="15"/>
                <w:szCs w:val="15"/>
                <w:lang w:val="en-US" w:eastAsia="zh-CN"/>
                <w14:textFill>
                  <w14:solidFill>
                    <w14:schemeClr w14:val="tx1"/>
                  </w14:solidFill>
                </w14:textFill>
              </w:rPr>
              <w:t>立方米</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default" w:ascii="宋体" w:hAnsi="宋体" w:eastAsia="宋体" w:cs="宋体"/>
                <w:color w:val="000000" w:themeColor="text1"/>
                <w:spacing w:val="0"/>
                <w:sz w:val="15"/>
                <w:szCs w:val="15"/>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default" w:ascii="宋体" w:hAnsi="宋体" w:eastAsia="宋体" w:cs="宋体"/>
                <w:color w:val="000000" w:themeColor="text1"/>
                <w:spacing w:val="0"/>
                <w:sz w:val="15"/>
                <w:szCs w:val="15"/>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default" w:ascii="宋体" w:hAnsi="宋体" w:eastAsia="宋体" w:cs="宋体"/>
                <w:color w:val="000000" w:themeColor="text1"/>
                <w:spacing w:val="0"/>
                <w:sz w:val="15"/>
                <w:szCs w:val="15"/>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15"/>
                <w:szCs w:val="15"/>
                <w:lang w:val="en-US" w:eastAsia="zh-CN"/>
                <w14:textFill>
                  <w14:solidFill>
                    <w14:schemeClr w14:val="tx1"/>
                  </w14:solidFill>
                </w14:textFill>
              </w:rPr>
            </w:pPr>
            <w:r>
              <w:rPr>
                <w:rFonts w:hint="eastAsia" w:ascii="宋体" w:hAnsi="宋体" w:eastAsia="宋体" w:cs="宋体"/>
                <w:color w:val="000000" w:themeColor="text1"/>
                <w:spacing w:val="0"/>
                <w:sz w:val="15"/>
                <w:szCs w:val="15"/>
                <w:lang w:val="en-US" w:eastAsia="zh-CN"/>
                <w14:textFill>
                  <w14:solidFill>
                    <w14:schemeClr w14:val="tx1"/>
                  </w14:solidFill>
                </w14:textFill>
              </w:rPr>
              <w:t>工程验收合格率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default" w:ascii="宋体" w:hAnsi="宋体" w:eastAsia="宋体" w:cs="宋体"/>
                <w:color w:val="000000" w:themeColor="text1"/>
                <w:spacing w:val="0"/>
                <w:sz w:val="15"/>
                <w:szCs w:val="15"/>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default" w:ascii="宋体" w:hAnsi="宋体" w:eastAsia="宋体" w:cs="宋体"/>
                <w:color w:val="000000" w:themeColor="text1"/>
                <w:spacing w:val="0"/>
                <w:sz w:val="15"/>
                <w:szCs w:val="15"/>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default" w:ascii="宋体" w:hAnsi="宋体" w:eastAsia="宋体" w:cs="宋体"/>
                <w:color w:val="000000" w:themeColor="text1"/>
                <w:spacing w:val="0"/>
                <w:sz w:val="15"/>
                <w:szCs w:val="15"/>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default" w:ascii="宋体" w:hAnsi="宋体" w:eastAsia="宋体" w:cs="宋体"/>
                <w:color w:val="000000" w:themeColor="text1"/>
                <w:spacing w:val="0"/>
                <w:sz w:val="15"/>
                <w:szCs w:val="15"/>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7"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15"/>
                <w:szCs w:val="15"/>
                <w:lang w:val="en-US" w:eastAsia="zh-CN"/>
                <w14:textFill>
                  <w14:solidFill>
                    <w14:schemeClr w14:val="tx1"/>
                  </w14:solidFill>
                </w14:textFill>
              </w:rPr>
            </w:pPr>
            <w:r>
              <w:rPr>
                <w:rFonts w:hint="eastAsia" w:ascii="宋体" w:hAnsi="宋体" w:eastAsia="宋体" w:cs="宋体"/>
                <w:color w:val="000000" w:themeColor="text1"/>
                <w:spacing w:val="0"/>
                <w:sz w:val="15"/>
                <w:szCs w:val="15"/>
                <w:lang w:val="en-US" w:eastAsia="zh-CN"/>
                <w14:textFill>
                  <w14:solidFill>
                    <w14:schemeClr w14:val="tx1"/>
                  </w14:solidFill>
                </w14:textFill>
              </w:rPr>
              <w:t>物资装备合格率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default" w:ascii="宋体" w:hAnsi="宋体" w:eastAsia="宋体" w:cs="宋体"/>
                <w:color w:val="000000" w:themeColor="text1"/>
                <w:spacing w:val="0"/>
                <w:sz w:val="15"/>
                <w:szCs w:val="15"/>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default" w:ascii="宋体" w:hAnsi="宋体" w:eastAsia="宋体" w:cs="宋体"/>
                <w:color w:val="000000" w:themeColor="text1"/>
                <w:spacing w:val="0"/>
                <w:sz w:val="15"/>
                <w:szCs w:val="15"/>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default" w:ascii="宋体" w:hAnsi="宋体" w:eastAsia="宋体" w:cs="宋体"/>
                <w:color w:val="000000" w:themeColor="text1"/>
                <w:spacing w:val="0"/>
                <w:sz w:val="15"/>
                <w:szCs w:val="15"/>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default" w:ascii="宋体" w:hAnsi="宋体" w:eastAsia="宋体" w:cs="宋体"/>
                <w:color w:val="000000" w:themeColor="text1"/>
                <w:spacing w:val="0"/>
                <w:sz w:val="15"/>
                <w:szCs w:val="15"/>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15"/>
                <w:szCs w:val="15"/>
                <w:lang w:val="en-US" w:eastAsia="zh-CN"/>
                <w14:textFill>
                  <w14:solidFill>
                    <w14:schemeClr w14:val="tx1"/>
                  </w14:solidFill>
                </w14:textFill>
              </w:rPr>
            </w:pPr>
            <w:r>
              <w:rPr>
                <w:rFonts w:hint="eastAsia" w:ascii="宋体" w:hAnsi="宋体" w:eastAsia="宋体" w:cs="宋体"/>
                <w:color w:val="000000" w:themeColor="text1"/>
                <w:spacing w:val="0"/>
                <w:sz w:val="15"/>
                <w:szCs w:val="15"/>
                <w:lang w:val="en-US" w:eastAsia="zh-CN"/>
                <w14:textFill>
                  <w14:solidFill>
                    <w14:schemeClr w14:val="tx1"/>
                  </w14:solidFill>
                </w14:textFill>
              </w:rPr>
              <w:t>规定期限内完成</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eastAsia" w:ascii="宋体" w:hAnsi="宋体" w:eastAsia="宋体" w:cs="宋体"/>
                <w:color w:val="000000" w:themeColor="text1"/>
                <w:spacing w:val="0"/>
                <w:sz w:val="15"/>
                <w:szCs w:val="15"/>
                <w:lang w:val="en-US" w:eastAsia="zh-CN"/>
                <w14:textFill>
                  <w14:solidFill>
                    <w14:schemeClr w14:val="tx1"/>
                  </w14:solidFill>
                </w14:textFill>
              </w:rPr>
              <w:t>2021年12月30日</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default" w:ascii="宋体" w:hAnsi="宋体" w:eastAsia="宋体" w:cs="宋体"/>
                <w:color w:val="000000" w:themeColor="text1"/>
                <w:spacing w:val="0"/>
                <w:sz w:val="15"/>
                <w:szCs w:val="15"/>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eastAsia" w:ascii="宋体" w:hAnsi="宋体" w:eastAsia="宋体" w:cs="宋体"/>
                <w:color w:val="000000" w:themeColor="text1"/>
                <w:spacing w:val="0"/>
                <w:sz w:val="15"/>
                <w:szCs w:val="15"/>
                <w:lang w:val="en-US" w:eastAsia="zh-CN"/>
                <w14:textFill>
                  <w14:solidFill>
                    <w14:schemeClr w14:val="tx1"/>
                  </w14:solidFill>
                </w14:textFill>
              </w:rPr>
              <w:t>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eastAsia" w:ascii="宋体" w:hAnsi="宋体" w:eastAsia="宋体" w:cs="宋体"/>
                <w:color w:val="000000" w:themeColor="text1"/>
                <w:spacing w:val="0"/>
                <w:sz w:val="15"/>
                <w:szCs w:val="15"/>
                <w:lang w:val="en-US" w:eastAsia="zh-CN"/>
                <w14:textFill>
                  <w14:solidFill>
                    <w14:schemeClr w14:val="tx1"/>
                  </w14:solidFill>
                </w14:textFill>
              </w:rPr>
              <w:t>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eastAsia" w:ascii="宋体" w:hAnsi="宋体" w:eastAsia="宋体" w:cs="宋体"/>
                <w:color w:val="000000" w:themeColor="text1"/>
                <w:spacing w:val="0"/>
                <w:sz w:val="15"/>
                <w:szCs w:val="15"/>
                <w:lang w:val="en-US" w:eastAsia="zh-CN"/>
                <w14:textFill>
                  <w14:solidFill>
                    <w14:schemeClr w14:val="tx1"/>
                  </w14:solidFill>
                </w14:textFill>
              </w:rPr>
              <w:t>预算投入</w:t>
            </w:r>
            <w:r>
              <w:rPr>
                <w:rFonts w:ascii="宋体" w:hAnsi="宋体" w:eastAsia="宋体" w:cs="宋体"/>
                <w:color w:val="000000" w:themeColor="text1"/>
                <w:spacing w:val="0"/>
                <w:sz w:val="15"/>
                <w:szCs w:val="15"/>
                <w:lang w:val="en-US" w:eastAsia="zh-CN"/>
                <w14:textFill>
                  <w14:solidFill>
                    <w14:schemeClr w14:val="tx1"/>
                  </w14:solidFill>
                </w14:textFill>
              </w:rPr>
              <w:t>100.32</w:t>
            </w:r>
            <w:r>
              <w:rPr>
                <w:rFonts w:hint="eastAsia" w:ascii="宋体" w:hAnsi="宋体" w:eastAsia="宋体" w:cs="宋体"/>
                <w:color w:val="000000" w:themeColor="text1"/>
                <w:spacing w:val="0"/>
                <w:sz w:val="15"/>
                <w:szCs w:val="15"/>
                <w:lang w:val="en-US" w:eastAsia="zh-CN"/>
                <w14:textFill>
                  <w14:solidFill>
                    <w14:schemeClr w14:val="tx1"/>
                  </w14:solidFill>
                </w14:textFill>
              </w:rPr>
              <w:t>万元</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15"/>
                <w:szCs w:val="15"/>
                <w:lang w:val="en-US" w:eastAsia="zh-CN"/>
                <w14:textFill>
                  <w14:solidFill>
                    <w14:schemeClr w14:val="tx1"/>
                  </w14:solidFill>
                </w14:textFill>
              </w:rPr>
            </w:pPr>
            <w:r>
              <w:rPr>
                <w:rFonts w:hint="eastAsia" w:ascii="宋体" w:hAnsi="宋体" w:eastAsia="宋体" w:cs="宋体"/>
                <w:color w:val="000000" w:themeColor="text1"/>
                <w:spacing w:val="0"/>
                <w:sz w:val="15"/>
                <w:szCs w:val="15"/>
                <w:lang w:val="en-US" w:eastAsia="zh-CN"/>
                <w14:textFill>
                  <w14:solidFill>
                    <w14:schemeClr w14:val="tx1"/>
                  </w14:solidFill>
                </w14:textFill>
              </w:rPr>
              <w:t>=100.32万元</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eastAsia" w:ascii="宋体" w:hAnsi="宋体" w:eastAsia="宋体" w:cs="宋体"/>
                <w:color w:val="000000" w:themeColor="text1"/>
                <w:spacing w:val="0"/>
                <w:sz w:val="15"/>
                <w:szCs w:val="15"/>
                <w:lang w:val="en-US" w:eastAsia="zh-CN"/>
                <w14:textFill>
                  <w14:solidFill>
                    <w14:schemeClr w14:val="tx1"/>
                  </w14:solidFill>
                </w14:textFill>
              </w:rPr>
              <w:t>=100.32万元</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eastAsia" w:ascii="宋体" w:hAnsi="宋体" w:eastAsia="宋体" w:cs="宋体"/>
                <w:color w:val="000000" w:themeColor="text1"/>
                <w:spacing w:val="0"/>
                <w:sz w:val="15"/>
                <w:szCs w:val="15"/>
                <w:lang w:val="en-US" w:eastAsia="zh-CN"/>
                <w14:textFill>
                  <w14:solidFill>
                    <w14:schemeClr w14:val="tx1"/>
                  </w14:solidFill>
                </w14:textFill>
              </w:rPr>
            </w:pPr>
            <w:r>
              <w:rPr>
                <w:rFonts w:hint="eastAsia" w:ascii="宋体" w:hAnsi="宋体" w:eastAsia="宋体" w:cs="宋体"/>
                <w:color w:val="000000" w:themeColor="text1"/>
                <w:spacing w:val="0"/>
                <w:sz w:val="15"/>
                <w:szCs w:val="15"/>
                <w:lang w:val="en-US" w:eastAsia="zh-CN"/>
                <w14:textFill>
                  <w14:solidFill>
                    <w14:schemeClr w14:val="tx1"/>
                  </w14:solidFill>
                </w14:textFill>
              </w:rPr>
              <w:t>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eastAsia" w:ascii="宋体" w:hAnsi="宋体" w:eastAsia="宋体" w:cs="宋体"/>
                <w:color w:val="000000" w:themeColor="text1"/>
                <w:spacing w:val="0"/>
                <w:sz w:val="15"/>
                <w:szCs w:val="15"/>
                <w:lang w:val="en-US" w:eastAsia="zh-CN"/>
                <w14:textFill>
                  <w14:solidFill>
                    <w14:schemeClr w14:val="tx1"/>
                  </w14:solidFill>
                </w14:textFill>
              </w:rPr>
            </w:pPr>
            <w:r>
              <w:rPr>
                <w:rFonts w:hint="eastAsia" w:ascii="宋体" w:hAnsi="宋体" w:eastAsia="宋体" w:cs="宋体"/>
                <w:color w:val="000000" w:themeColor="text1"/>
                <w:spacing w:val="0"/>
                <w:sz w:val="15"/>
                <w:szCs w:val="15"/>
                <w:lang w:val="en-US" w:eastAsia="zh-CN"/>
                <w14:textFill>
                  <w14:solidFill>
                    <w14:schemeClr w14:val="tx1"/>
                  </w14:solidFill>
                </w14:textFill>
              </w:rPr>
              <w:t>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15"/>
                <w:szCs w:val="15"/>
                <w:lang w:val="en-US" w:eastAsia="zh-CN"/>
                <w14:textFill>
                  <w14:solidFill>
                    <w14:schemeClr w14:val="tx1"/>
                  </w14:solidFill>
                </w14:textFill>
              </w:rPr>
            </w:pPr>
            <w:r>
              <w:rPr>
                <w:rFonts w:hint="eastAsia" w:ascii="宋体" w:hAnsi="宋体" w:eastAsia="宋体" w:cs="宋体"/>
                <w:color w:val="000000" w:themeColor="text1"/>
                <w:spacing w:val="0"/>
                <w:sz w:val="15"/>
                <w:szCs w:val="15"/>
                <w:lang w:val="en-US" w:eastAsia="zh-CN"/>
                <w14:textFill>
                  <w14:solidFill>
                    <w14:schemeClr w14:val="tx1"/>
                  </w14:solidFill>
                </w14:textFill>
              </w:rPr>
              <w:t>为全区应急救灾物资装备提供储备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eastAsia" w:ascii="宋体" w:hAnsi="宋体" w:eastAsia="宋体" w:cs="宋体"/>
                <w:color w:val="000000" w:themeColor="text1"/>
                <w:spacing w:val="0"/>
                <w:sz w:val="15"/>
                <w:szCs w:val="15"/>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eastAsia" w:ascii="宋体" w:hAnsi="宋体" w:eastAsia="宋体" w:cs="宋体"/>
                <w:color w:val="000000" w:themeColor="text1"/>
                <w:spacing w:val="0"/>
                <w:sz w:val="15"/>
                <w:szCs w:val="15"/>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eastAsia" w:ascii="宋体" w:hAnsi="宋体" w:eastAsia="宋体" w:cs="宋体"/>
                <w:color w:val="000000" w:themeColor="text1"/>
                <w:spacing w:val="0"/>
                <w:sz w:val="15"/>
                <w:szCs w:val="15"/>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eastAsia" w:ascii="宋体" w:hAnsi="宋体" w:eastAsia="宋体" w:cs="宋体"/>
                <w:color w:val="000000" w:themeColor="text1"/>
                <w:spacing w:val="0"/>
                <w:sz w:val="15"/>
                <w:szCs w:val="15"/>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15"/>
                <w:szCs w:val="15"/>
                <w:lang w:val="en-US" w:eastAsia="zh-CN"/>
                <w14:textFill>
                  <w14:solidFill>
                    <w14:schemeClr w14:val="tx1"/>
                  </w14:solidFill>
                </w14:textFill>
              </w:rPr>
            </w:pPr>
            <w:r>
              <w:rPr>
                <w:rFonts w:hint="eastAsia" w:ascii="宋体" w:hAnsi="宋体" w:eastAsia="宋体" w:cs="宋体"/>
                <w:color w:val="000000" w:themeColor="text1"/>
                <w:spacing w:val="0"/>
                <w:sz w:val="15"/>
                <w:szCs w:val="15"/>
                <w:lang w:val="en-US" w:eastAsia="zh-CN"/>
                <w14:textFill>
                  <w14:solidFill>
                    <w14:schemeClr w14:val="tx1"/>
                  </w14:solidFill>
                </w14:textFill>
              </w:rPr>
              <w:t>可为全区</w:t>
            </w:r>
            <w:r>
              <w:rPr>
                <w:rFonts w:ascii="宋体" w:hAnsi="宋体" w:eastAsia="宋体" w:cs="宋体"/>
                <w:color w:val="000000" w:themeColor="text1"/>
                <w:spacing w:val="0"/>
                <w:sz w:val="15"/>
                <w:szCs w:val="15"/>
                <w:lang w:val="en-US" w:eastAsia="zh-CN"/>
                <w14:textFill>
                  <w14:solidFill>
                    <w14:schemeClr w14:val="tx1"/>
                  </w14:solidFill>
                </w14:textFill>
              </w:rPr>
              <w:t>5000</w:t>
            </w:r>
            <w:r>
              <w:rPr>
                <w:rFonts w:hint="eastAsia" w:ascii="宋体" w:hAnsi="宋体" w:eastAsia="宋体" w:cs="宋体"/>
                <w:color w:val="000000" w:themeColor="text1"/>
                <w:spacing w:val="0"/>
                <w:sz w:val="15"/>
                <w:szCs w:val="15"/>
                <w:lang w:val="en-US" w:eastAsia="zh-CN"/>
                <w14:textFill>
                  <w14:solidFill>
                    <w14:schemeClr w14:val="tx1"/>
                  </w14:solidFill>
                </w14:textFill>
              </w:rPr>
              <w:t>人次灾民提供一周应急保障</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default" w:ascii="宋体" w:hAnsi="宋体" w:eastAsia="宋体" w:cs="宋体"/>
                <w:color w:val="000000" w:themeColor="text1"/>
                <w:spacing w:val="0"/>
                <w:sz w:val="15"/>
                <w:szCs w:val="15"/>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default" w:ascii="宋体" w:hAnsi="宋体" w:eastAsia="宋体" w:cs="宋体"/>
                <w:color w:val="000000" w:themeColor="text1"/>
                <w:spacing w:val="0"/>
                <w:sz w:val="15"/>
                <w:szCs w:val="15"/>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default" w:ascii="宋体" w:hAnsi="宋体" w:eastAsia="宋体" w:cs="宋体"/>
                <w:color w:val="000000" w:themeColor="text1"/>
                <w:spacing w:val="0"/>
                <w:sz w:val="15"/>
                <w:szCs w:val="15"/>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default" w:ascii="宋体" w:hAnsi="宋体" w:eastAsia="宋体" w:cs="宋体"/>
                <w:color w:val="000000" w:themeColor="text1"/>
                <w:spacing w:val="0"/>
                <w:sz w:val="15"/>
                <w:szCs w:val="15"/>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eastAsia" w:ascii="宋体" w:hAnsi="宋体" w:eastAsia="宋体" w:cs="宋体"/>
                <w:color w:val="000000" w:themeColor="text1"/>
                <w:spacing w:val="0"/>
                <w:sz w:val="15"/>
                <w:szCs w:val="15"/>
                <w:lang w:val="en-US" w:eastAsia="zh-CN"/>
                <w14:textFill>
                  <w14:solidFill>
                    <w14:schemeClr w14:val="tx1"/>
                  </w14:solidFill>
                </w14:textFill>
              </w:rPr>
              <w:t>使全区应急能力得到有效保障</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default" w:ascii="宋体" w:hAnsi="宋体" w:eastAsia="宋体" w:cs="宋体"/>
                <w:color w:val="000000" w:themeColor="text1"/>
                <w:spacing w:val="0"/>
                <w:sz w:val="15"/>
                <w:szCs w:val="15"/>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default" w:ascii="宋体" w:hAnsi="宋体" w:eastAsia="宋体" w:cs="宋体"/>
                <w:color w:val="000000" w:themeColor="text1"/>
                <w:spacing w:val="0"/>
                <w:sz w:val="15"/>
                <w:szCs w:val="15"/>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default" w:ascii="宋体" w:hAnsi="宋体" w:eastAsia="宋体" w:cs="宋体"/>
                <w:color w:val="000000" w:themeColor="text1"/>
                <w:spacing w:val="0"/>
                <w:sz w:val="15"/>
                <w:szCs w:val="15"/>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default" w:ascii="宋体" w:hAnsi="宋体" w:eastAsia="宋体" w:cs="宋体"/>
                <w:color w:val="000000" w:themeColor="text1"/>
                <w:spacing w:val="0"/>
                <w:sz w:val="15"/>
                <w:szCs w:val="15"/>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eastAsia" w:ascii="宋体" w:hAnsi="宋体" w:eastAsia="宋体" w:cs="宋体"/>
                <w:color w:val="000000" w:themeColor="text1"/>
                <w:spacing w:val="0"/>
                <w:sz w:val="15"/>
                <w:szCs w:val="15"/>
                <w:lang w:val="en-US" w:eastAsia="zh-CN"/>
                <w14:textFill>
                  <w14:solidFill>
                    <w14:schemeClr w14:val="tx1"/>
                  </w14:solidFill>
                </w14:textFill>
              </w:rPr>
              <w:t>受灾群众</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default" w:ascii="宋体" w:hAnsi="宋体" w:eastAsia="宋体" w:cs="宋体"/>
                <w:color w:val="000000" w:themeColor="text1"/>
                <w:spacing w:val="0"/>
                <w:sz w:val="15"/>
                <w:szCs w:val="15"/>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default" w:ascii="宋体" w:hAnsi="宋体" w:eastAsia="宋体" w:cs="宋体"/>
                <w:color w:val="000000" w:themeColor="text1"/>
                <w:spacing w:val="0"/>
                <w:sz w:val="15"/>
                <w:szCs w:val="15"/>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default" w:ascii="宋体" w:hAnsi="宋体" w:eastAsia="宋体" w:cs="宋体"/>
                <w:color w:val="000000" w:themeColor="text1"/>
                <w:spacing w:val="0"/>
                <w:sz w:val="15"/>
                <w:szCs w:val="15"/>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hint="default" w:ascii="宋体" w:hAnsi="宋体" w:eastAsia="宋体" w:cs="宋体"/>
                <w:color w:val="000000" w:themeColor="text1"/>
                <w:spacing w:val="0"/>
                <w:sz w:val="15"/>
                <w:szCs w:val="15"/>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eastAsia" w:ascii="宋体" w:hAnsi="宋体" w:eastAsia="宋体" w:cs="宋体"/>
                <w:color w:val="000000" w:themeColor="text1"/>
                <w:spacing w:val="0"/>
                <w:sz w:val="15"/>
                <w:szCs w:val="15"/>
                <w:lang w:eastAsia="zh-CN"/>
                <w14:textFill>
                  <w14:solidFill>
                    <w14:schemeClr w14:val="tx1"/>
                  </w14:solidFill>
                </w14:textFill>
              </w:rPr>
            </w:pPr>
            <w:r>
              <w:rPr>
                <w:rFonts w:hint="eastAsia" w:ascii="宋体" w:hAnsi="宋体" w:eastAsia="宋体" w:cs="宋体"/>
                <w:color w:val="000000" w:themeColor="text1"/>
                <w:spacing w:val="0"/>
                <w:sz w:val="15"/>
                <w:szCs w:val="15"/>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5"/>
                <w:szCs w:val="15"/>
                <w14:textFill>
                  <w14:solidFill>
                    <w14:schemeClr w14:val="tx1"/>
                  </w14:solidFill>
                </w14:textFill>
              </w:rPr>
            </w:pPr>
            <w:r>
              <w:rPr>
                <w:rFonts w:ascii="宋体" w:hAnsi="宋体" w:eastAsia="宋体" w:cs="宋体"/>
                <w:color w:val="000000" w:themeColor="text1"/>
                <w:spacing w:val="0"/>
                <w:sz w:val="15"/>
                <w:szCs w:val="15"/>
                <w14:textFill>
                  <w14:solidFill>
                    <w14:schemeClr w14:val="tx1"/>
                  </w14:solidFill>
                </w14:textFill>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15"/>
                <w:szCs w:val="15"/>
                <w:lang w:val="en-US" w:eastAsia="zh-CN"/>
                <w14:textFill>
                  <w14:solidFill>
                    <w14:schemeClr w14:val="tx1"/>
                  </w14:solidFill>
                </w14:textFill>
              </w:rPr>
            </w:pPr>
            <w:r>
              <w:rPr>
                <w:rFonts w:hint="eastAsia" w:ascii="宋体" w:hAnsi="宋体" w:eastAsia="宋体" w:cs="宋体"/>
                <w:color w:val="000000" w:themeColor="text1"/>
                <w:spacing w:val="0"/>
                <w:sz w:val="15"/>
                <w:szCs w:val="15"/>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val="en-US" w:eastAsia="zh-CN"/>
          <w14:textFill>
            <w14:solidFill>
              <w14:schemeClr w14:val="tx1"/>
            </w14:solidFill>
          </w14:textFill>
        </w:rPr>
        <w:t>陈超</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lang w:val="en-US" w:eastAsia="zh-CN"/>
          <w14:textFill>
            <w14:solidFill>
              <w14:schemeClr w14:val="tx1"/>
            </w14:solidFill>
          </w14:textFill>
        </w:rPr>
        <w:t>15348404119</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hint="eastAsia" w:ascii="仿宋" w:hAnsi="仿宋" w:eastAsia="仿宋" w:cs="仿宋"/>
          <w:color w:val="000000" w:themeColor="text1"/>
          <w:spacing w:val="-26"/>
          <w:sz w:val="23"/>
          <w:szCs w:val="23"/>
          <w:lang w:val="en-US" w:eastAsia="zh-CN"/>
          <w14:textFill>
            <w14:solidFill>
              <w14:schemeClr w14:val="tx1"/>
            </w14:solidFill>
          </w14:textFill>
        </w:rPr>
        <w:t>2023.06.08</w:t>
      </w:r>
      <w:r>
        <w:rPr>
          <w:rFonts w:ascii="仿宋" w:hAnsi="仿宋" w:eastAsia="仿宋" w:cs="仿宋"/>
          <w:color w:val="000000" w:themeColor="text1"/>
          <w:spacing w:val="4"/>
          <w:sz w:val="23"/>
          <w:szCs w:val="23"/>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3"/>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4"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安全隐患整治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岳阳楼区政府</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岳阳楼区应急管理局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196.41</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196.41</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196.41</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196.41</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全区整治公共安全隐患29个</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29个安全隐患已完成整治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全区公共安全隐患总数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29个</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29个</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隐患工程质量验收</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验收合格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验收合格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隐患工程按时按量完成</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按时按量 完成</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按时按量 完成</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按照财政预算结算</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按照财政预算结算</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按照财政预算结算</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消除隐患</w:t>
            </w:r>
            <w:r>
              <w:rPr>
                <w:rFonts w:hint="eastAsia" w:ascii="Arial"/>
                <w:color w:val="000000" w:themeColor="text1"/>
                <w:spacing w:val="0"/>
                <w:sz w:val="21"/>
                <w:szCs w:val="21"/>
                <w:lang w:eastAsia="zh-CN"/>
                <w14:textFill>
                  <w14:solidFill>
                    <w14:schemeClr w14:val="tx1"/>
                  </w14:solidFill>
                </w14:textFill>
              </w:rPr>
              <w:t>，</w:t>
            </w:r>
            <w:r>
              <w:rPr>
                <w:rFonts w:hint="eastAsia" w:ascii="Arial"/>
                <w:color w:val="000000" w:themeColor="text1"/>
                <w:spacing w:val="0"/>
                <w:sz w:val="21"/>
                <w:szCs w:val="21"/>
                <w:lang w:val="en-US" w:eastAsia="zh-CN"/>
                <w14:textFill>
                  <w14:solidFill>
                    <w14:schemeClr w14:val="tx1"/>
                  </w14:solidFill>
                </w14:textFill>
              </w:rPr>
              <w:t>确保人民群众生命财产安全</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按时</w:t>
            </w:r>
            <w:r>
              <w:rPr>
                <w:rFonts w:hint="eastAsia" w:ascii="Arial"/>
                <w:color w:val="000000" w:themeColor="text1"/>
                <w:spacing w:val="0"/>
                <w:sz w:val="21"/>
                <w:szCs w:val="21"/>
                <w14:textFill>
                  <w14:solidFill>
                    <w14:schemeClr w14:val="tx1"/>
                  </w14:solidFill>
                </w14:textFill>
              </w:rPr>
              <w:t>消除隐患</w:t>
            </w:r>
            <w:r>
              <w:rPr>
                <w:rFonts w:hint="eastAsia" w:ascii="Arial"/>
                <w:color w:val="000000" w:themeColor="text1"/>
                <w:spacing w:val="0"/>
                <w:sz w:val="21"/>
                <w:szCs w:val="21"/>
                <w:lang w:eastAsia="zh-CN"/>
                <w14:textFill>
                  <w14:solidFill>
                    <w14:schemeClr w14:val="tx1"/>
                  </w14:solidFill>
                </w14:textFill>
              </w:rPr>
              <w:t>，</w:t>
            </w:r>
            <w:r>
              <w:rPr>
                <w:rFonts w:hint="eastAsia" w:ascii="Arial"/>
                <w:color w:val="000000" w:themeColor="text1"/>
                <w:spacing w:val="0"/>
                <w:sz w:val="21"/>
                <w:szCs w:val="21"/>
                <w:lang w:val="en-US" w:eastAsia="zh-CN"/>
                <w14:textFill>
                  <w14:solidFill>
                    <w14:schemeClr w14:val="tx1"/>
                  </w14:solidFill>
                </w14:textFill>
              </w:rPr>
              <w:t>确保人民群众生命财产安全</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按时</w:t>
            </w:r>
            <w:r>
              <w:rPr>
                <w:rFonts w:hint="eastAsia" w:ascii="Arial"/>
                <w:color w:val="000000" w:themeColor="text1"/>
                <w:spacing w:val="0"/>
                <w:sz w:val="21"/>
                <w:szCs w:val="21"/>
                <w14:textFill>
                  <w14:solidFill>
                    <w14:schemeClr w14:val="tx1"/>
                  </w14:solidFill>
                </w14:textFill>
              </w:rPr>
              <w:t>消除隐患</w:t>
            </w:r>
            <w:r>
              <w:rPr>
                <w:rFonts w:hint="eastAsia" w:ascii="Arial"/>
                <w:color w:val="000000" w:themeColor="text1"/>
                <w:spacing w:val="0"/>
                <w:sz w:val="21"/>
                <w:szCs w:val="21"/>
                <w:lang w:eastAsia="zh-CN"/>
                <w14:textFill>
                  <w14:solidFill>
                    <w14:schemeClr w14:val="tx1"/>
                  </w14:solidFill>
                </w14:textFill>
              </w:rPr>
              <w:t>，</w:t>
            </w:r>
            <w:r>
              <w:rPr>
                <w:rFonts w:hint="eastAsia" w:ascii="Arial"/>
                <w:color w:val="000000" w:themeColor="text1"/>
                <w:spacing w:val="0"/>
                <w:sz w:val="21"/>
                <w:szCs w:val="21"/>
                <w:lang w:val="en-US" w:eastAsia="zh-CN"/>
                <w14:textFill>
                  <w14:solidFill>
                    <w14:schemeClr w14:val="tx1"/>
                  </w14:solidFill>
                </w14:textFill>
              </w:rPr>
              <w:t>确保人民群众生命财产安全</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消除隐患，周边人民群众满意</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color w:val="000000" w:themeColor="text1"/>
                <w:spacing w:val="0"/>
                <w:sz w:val="21"/>
                <w:szCs w:val="21"/>
                <w:lang w:val="en-US"/>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100%满意</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100%满意</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continue"/>
            <w:tcBorders>
              <w:top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eastAsia="仿宋"/>
          <w:lang w:val="en-US" w:eastAsia="zh-CN"/>
        </w:r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hint="eastAsia" w:ascii="仿宋" w:hAnsi="仿宋" w:eastAsia="仿宋" w:cs="仿宋"/>
          <w:color w:val="000000" w:themeColor="text1"/>
          <w:spacing w:val="15"/>
          <w:sz w:val="23"/>
          <w:szCs w:val="23"/>
          <w:lang w:val="en-US" w:eastAsia="zh-CN"/>
          <w14:textFill>
            <w14:solidFill>
              <w14:schemeClr w14:val="tx1"/>
            </w14:solidFill>
          </w14:textFill>
        </w:rPr>
        <w:t xml:space="preserve">周在尚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lang w:val="en-US" w:eastAsia="zh-CN"/>
          <w14:textFill>
            <w14:solidFill>
              <w14:schemeClr w14:val="tx1"/>
            </w14:solidFill>
          </w14:textFill>
        </w:rPr>
        <w:t>13307306625</w:t>
      </w:r>
      <w:r>
        <w:rPr>
          <w:rFonts w:ascii="仿宋" w:hAnsi="仿宋" w:eastAsia="仿宋" w:cs="仿宋"/>
          <w:color w:val="000000" w:themeColor="text1"/>
          <w:spacing w:val="3"/>
          <w:sz w:val="23"/>
          <w:szCs w:val="23"/>
          <w14:textFill>
            <w14:solidFill>
              <w14:schemeClr w14:val="tx1"/>
            </w14:solidFill>
          </w14:textFill>
        </w:rPr>
        <w:t xml:space="preserve">  </w:t>
      </w:r>
      <w:r>
        <w:rPr>
          <w:rFonts w:hint="eastAsia" w:ascii="仿宋" w:hAnsi="仿宋" w:eastAsia="仿宋" w:cs="仿宋"/>
          <w:color w:val="000000" w:themeColor="text1"/>
          <w:spacing w:val="3"/>
          <w:sz w:val="23"/>
          <w:szCs w:val="23"/>
          <w:lang w:val="en-US" w:eastAsia="zh-CN"/>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hint="eastAsia" w:ascii="仿宋" w:hAnsi="仿宋" w:eastAsia="仿宋" w:cs="仿宋"/>
          <w:color w:val="000000" w:themeColor="text1"/>
          <w:spacing w:val="-26"/>
          <w:sz w:val="23"/>
          <w:szCs w:val="23"/>
          <w:lang w:val="en-US" w:eastAsia="zh-CN"/>
          <w14:textFill>
            <w14:solidFill>
              <w14:schemeClr w14:val="tx1"/>
            </w14:solidFill>
          </w14:textFill>
        </w:rPr>
        <w:t>2023.06.08</w:t>
      </w:r>
    </w:p>
    <w:p>
      <w:pPr>
        <w:pStyle w:val="4"/>
        <w:rPr>
          <w:rFonts w:hint="default" w:ascii="仿宋" w:hAnsi="仿宋" w:eastAsia="仿宋" w:cs="仿宋"/>
          <w:color w:val="000000" w:themeColor="text1"/>
          <w:spacing w:val="4"/>
          <w:sz w:val="23"/>
          <w:szCs w:val="23"/>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3"/>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858"/>
        <w:gridCol w:w="1080"/>
        <w:gridCol w:w="1502"/>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全国自然灾害风险普查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岳阳楼区政府</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岳阳楼区应急管理局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193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5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93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502"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60.67</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60.67</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93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502"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60.67</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60.67</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93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502"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93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502"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15"/>
                <w:szCs w:val="15"/>
                <w:lang w:val="en-US" w:eastAsia="zh-CN"/>
                <w14:textFill>
                  <w14:solidFill>
                    <w14:schemeClr w14:val="tx1"/>
                  </w14:solidFill>
                </w14:textFill>
              </w:rPr>
              <w:t>规定期限内完成</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85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5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858"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080" w:type="dxa"/>
            <w:noWrap w:val="0"/>
            <w:vAlign w:val="center"/>
          </w:tcPr>
          <w:p>
            <w:pPr>
              <w:keepNext w:val="0"/>
              <w:keepLines w:val="0"/>
              <w:widowControl/>
              <w:suppressLineNumbers w:val="0"/>
              <w:jc w:val="center"/>
              <w:textAlignment w:val="center"/>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宋体" w:hAnsi="宋体" w:eastAsia="宋体" w:cs="宋体"/>
                <w:i w:val="0"/>
                <w:iCs w:val="0"/>
                <w:color w:val="000000"/>
                <w:kern w:val="0"/>
                <w:sz w:val="13"/>
                <w:szCs w:val="13"/>
                <w:u w:val="none"/>
                <w:lang w:val="en-US" w:eastAsia="zh-CN" w:bidi="ar"/>
              </w:rPr>
              <w:t>普查的直接产出成果</w:t>
            </w:r>
          </w:p>
        </w:tc>
        <w:tc>
          <w:tcPr>
            <w:tcW w:w="1502"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宋体" w:hAnsi="宋体" w:eastAsia="宋体" w:cs="宋体"/>
                <w:i w:val="0"/>
                <w:iCs w:val="0"/>
                <w:color w:val="000000"/>
                <w:kern w:val="0"/>
                <w:sz w:val="13"/>
                <w:szCs w:val="13"/>
                <w:u w:val="none"/>
                <w:lang w:val="en-US" w:eastAsia="zh-CN" w:bidi="ar"/>
              </w:rPr>
              <w:t>已完成产出成果</w:t>
            </w:r>
          </w:p>
        </w:tc>
        <w:tc>
          <w:tcPr>
            <w:tcW w:w="1140"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default" w:ascii="Arial" w:hAnsi="Arial" w:eastAsia="宋体" w:cs="Arial"/>
                <w:i w:val="0"/>
                <w:iCs w:val="0"/>
                <w:color w:val="000000"/>
                <w:kern w:val="0"/>
                <w:sz w:val="13"/>
                <w:szCs w:val="13"/>
                <w:u w:val="none"/>
                <w:lang w:val="en-US" w:eastAsia="zh-CN" w:bidi="ar"/>
              </w:rPr>
              <w:t>100%</w:t>
            </w:r>
          </w:p>
        </w:tc>
        <w:tc>
          <w:tcPr>
            <w:tcW w:w="685"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default" w:ascii="Arial" w:hAnsi="Arial" w:eastAsia="宋体" w:cs="Arial"/>
                <w:i w:val="0"/>
                <w:iCs w:val="0"/>
                <w:color w:val="000000"/>
                <w:kern w:val="0"/>
                <w:sz w:val="13"/>
                <w:szCs w:val="13"/>
                <w:u w:val="none"/>
                <w:lang w:val="en-US" w:eastAsia="zh-CN" w:bidi="ar"/>
              </w:rPr>
              <w:t>10</w:t>
            </w:r>
          </w:p>
        </w:tc>
        <w:tc>
          <w:tcPr>
            <w:tcW w:w="795" w:type="dxa"/>
            <w:noWrap w:val="0"/>
            <w:vAlign w:val="center"/>
          </w:tcPr>
          <w:p>
            <w:pPr>
              <w:keepNext w:val="0"/>
              <w:keepLines w:val="0"/>
              <w:widowControl/>
              <w:suppressLineNumbers w:val="0"/>
              <w:jc w:val="center"/>
              <w:textAlignment w:val="center"/>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hAnsi="Arial" w:eastAsia="宋体" w:cs="Arial"/>
                <w:i w:val="0"/>
                <w:iCs w:val="0"/>
                <w:color w:val="000000"/>
                <w:kern w:val="0"/>
                <w:sz w:val="13"/>
                <w:szCs w:val="13"/>
                <w:u w:val="none"/>
                <w:lang w:val="en-US" w:eastAsia="zh-CN" w:bidi="ar"/>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58"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noWrap w:val="0"/>
            <w:vAlign w:val="center"/>
          </w:tcPr>
          <w:p>
            <w:pPr>
              <w:keepNext w:val="0"/>
              <w:keepLines w:val="0"/>
              <w:widowControl/>
              <w:suppressLineNumbers w:val="0"/>
              <w:jc w:val="center"/>
              <w:textAlignment w:val="center"/>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宋体" w:hAnsi="宋体" w:eastAsia="宋体" w:cs="宋体"/>
                <w:i w:val="0"/>
                <w:iCs w:val="0"/>
                <w:color w:val="000000"/>
                <w:kern w:val="0"/>
                <w:sz w:val="13"/>
                <w:szCs w:val="13"/>
                <w:u w:val="none"/>
                <w:lang w:val="en-US" w:eastAsia="zh-CN" w:bidi="ar"/>
              </w:rPr>
              <w:t>普查业务专题培训</w:t>
            </w:r>
            <w:r>
              <w:rPr>
                <w:rFonts w:hint="default" w:ascii="Arial" w:hAnsi="Arial" w:eastAsia="宋体" w:cs="Arial"/>
                <w:i w:val="0"/>
                <w:iCs w:val="0"/>
                <w:color w:val="000000"/>
                <w:kern w:val="0"/>
                <w:sz w:val="13"/>
                <w:szCs w:val="13"/>
                <w:u w:val="none"/>
                <w:lang w:val="en-US" w:eastAsia="zh-CN" w:bidi="ar"/>
              </w:rPr>
              <w:t>6</w:t>
            </w:r>
            <w:r>
              <w:rPr>
                <w:rFonts w:hint="eastAsia" w:ascii="宋体" w:hAnsi="宋体" w:eastAsia="宋体" w:cs="宋体"/>
                <w:i w:val="0"/>
                <w:iCs w:val="0"/>
                <w:color w:val="000000"/>
                <w:kern w:val="0"/>
                <w:sz w:val="13"/>
                <w:szCs w:val="13"/>
                <w:u w:val="none"/>
                <w:lang w:val="en-US" w:eastAsia="zh-CN" w:bidi="ar"/>
              </w:rPr>
              <w:t>场</w:t>
            </w:r>
          </w:p>
        </w:tc>
        <w:tc>
          <w:tcPr>
            <w:tcW w:w="1502"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宋体" w:hAnsi="宋体" w:eastAsia="宋体" w:cs="宋体"/>
                <w:i w:val="0"/>
                <w:iCs w:val="0"/>
                <w:color w:val="000000"/>
                <w:kern w:val="0"/>
                <w:sz w:val="13"/>
                <w:szCs w:val="13"/>
                <w:u w:val="none"/>
                <w:lang w:val="en-US" w:eastAsia="zh-CN" w:bidi="ar"/>
              </w:rPr>
              <w:t>已完成培训目标</w:t>
            </w:r>
          </w:p>
        </w:tc>
        <w:tc>
          <w:tcPr>
            <w:tcW w:w="1140"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default" w:ascii="Arial" w:hAnsi="Arial" w:eastAsia="宋体" w:cs="Arial"/>
                <w:i w:val="0"/>
                <w:iCs w:val="0"/>
                <w:color w:val="000000"/>
                <w:kern w:val="0"/>
                <w:sz w:val="13"/>
                <w:szCs w:val="13"/>
                <w:u w:val="none"/>
                <w:lang w:val="en-US" w:eastAsia="zh-CN" w:bidi="ar"/>
              </w:rPr>
              <w:t>100%</w:t>
            </w:r>
          </w:p>
        </w:tc>
        <w:tc>
          <w:tcPr>
            <w:tcW w:w="685"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default" w:ascii="Arial" w:hAnsi="Arial" w:eastAsia="宋体" w:cs="Arial"/>
                <w:i w:val="0"/>
                <w:iCs w:val="0"/>
                <w:color w:val="000000"/>
                <w:kern w:val="0"/>
                <w:sz w:val="13"/>
                <w:szCs w:val="13"/>
                <w:u w:val="none"/>
                <w:lang w:val="en-US" w:eastAsia="zh-CN" w:bidi="ar"/>
              </w:rPr>
              <w:t>10</w:t>
            </w:r>
          </w:p>
        </w:tc>
        <w:tc>
          <w:tcPr>
            <w:tcW w:w="795"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default" w:ascii="Arial" w:hAnsi="Arial" w:eastAsia="宋体" w:cs="Arial"/>
                <w:i w:val="0"/>
                <w:iCs w:val="0"/>
                <w:color w:val="000000"/>
                <w:kern w:val="0"/>
                <w:sz w:val="13"/>
                <w:szCs w:val="13"/>
                <w:u w:val="none"/>
                <w:lang w:val="en-US" w:eastAsia="zh-CN" w:bidi="ar"/>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58"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noWrap w:val="0"/>
            <w:vAlign w:val="center"/>
          </w:tcPr>
          <w:p>
            <w:pPr>
              <w:keepNext w:val="0"/>
              <w:keepLines w:val="0"/>
              <w:widowControl/>
              <w:suppressLineNumbers w:val="0"/>
              <w:jc w:val="center"/>
              <w:textAlignment w:val="center"/>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宋体" w:hAnsi="宋体" w:eastAsia="宋体" w:cs="宋体"/>
                <w:i w:val="0"/>
                <w:iCs w:val="0"/>
                <w:color w:val="000000"/>
                <w:kern w:val="0"/>
                <w:sz w:val="13"/>
                <w:szCs w:val="13"/>
                <w:u w:val="none"/>
                <w:lang w:val="en-US" w:eastAsia="zh-CN" w:bidi="ar"/>
              </w:rPr>
              <w:t>数据上报完成率</w:t>
            </w:r>
          </w:p>
        </w:tc>
        <w:tc>
          <w:tcPr>
            <w:tcW w:w="1502"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default" w:ascii="Arial" w:hAnsi="Arial" w:eastAsia="宋体" w:cs="Arial"/>
                <w:i w:val="0"/>
                <w:iCs w:val="0"/>
                <w:color w:val="000000"/>
                <w:kern w:val="0"/>
                <w:sz w:val="13"/>
                <w:szCs w:val="13"/>
                <w:u w:val="none"/>
                <w:lang w:val="en-US" w:eastAsia="zh-CN" w:bidi="ar"/>
              </w:rPr>
              <w:t>100%</w:t>
            </w:r>
          </w:p>
        </w:tc>
        <w:tc>
          <w:tcPr>
            <w:tcW w:w="1140"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default" w:ascii="Arial" w:hAnsi="Arial" w:eastAsia="宋体" w:cs="Arial"/>
                <w:i w:val="0"/>
                <w:iCs w:val="0"/>
                <w:color w:val="000000"/>
                <w:kern w:val="0"/>
                <w:sz w:val="13"/>
                <w:szCs w:val="13"/>
                <w:u w:val="none"/>
                <w:lang w:val="en-US" w:eastAsia="zh-CN" w:bidi="ar"/>
              </w:rPr>
              <w:t>100%</w:t>
            </w:r>
          </w:p>
        </w:tc>
        <w:tc>
          <w:tcPr>
            <w:tcW w:w="685"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default" w:ascii="Arial" w:hAnsi="Arial" w:eastAsia="宋体" w:cs="Arial"/>
                <w:i w:val="0"/>
                <w:iCs w:val="0"/>
                <w:color w:val="000000"/>
                <w:kern w:val="0"/>
                <w:sz w:val="13"/>
                <w:szCs w:val="13"/>
                <w:u w:val="none"/>
                <w:lang w:val="en-US" w:eastAsia="zh-CN" w:bidi="ar"/>
              </w:rPr>
              <w:t>10</w:t>
            </w:r>
          </w:p>
        </w:tc>
        <w:tc>
          <w:tcPr>
            <w:tcW w:w="795"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default" w:ascii="Arial" w:hAnsi="Arial" w:eastAsia="宋体" w:cs="Arial"/>
                <w:i w:val="0"/>
                <w:iCs w:val="0"/>
                <w:color w:val="000000"/>
                <w:kern w:val="0"/>
                <w:sz w:val="13"/>
                <w:szCs w:val="13"/>
                <w:u w:val="none"/>
                <w:lang w:val="en-US" w:eastAsia="zh-CN" w:bidi="ar"/>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8"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58"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080" w:type="dxa"/>
            <w:noWrap w:val="0"/>
            <w:vAlign w:val="center"/>
          </w:tcPr>
          <w:p>
            <w:pPr>
              <w:keepNext w:val="0"/>
              <w:keepLines w:val="0"/>
              <w:widowControl/>
              <w:suppressLineNumbers w:val="0"/>
              <w:jc w:val="center"/>
              <w:textAlignment w:val="center"/>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宋体" w:hAnsi="宋体" w:eastAsia="宋体" w:cs="宋体"/>
                <w:i w:val="0"/>
                <w:iCs w:val="0"/>
                <w:color w:val="000000"/>
                <w:kern w:val="0"/>
                <w:sz w:val="13"/>
                <w:szCs w:val="13"/>
                <w:u w:val="none"/>
                <w:lang w:val="en-US" w:eastAsia="zh-CN" w:bidi="ar"/>
              </w:rPr>
              <w:t>数据合格率评价</w:t>
            </w:r>
          </w:p>
        </w:tc>
        <w:tc>
          <w:tcPr>
            <w:tcW w:w="1502"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宋体" w:hAnsi="宋体" w:eastAsia="宋体" w:cs="宋体"/>
                <w:i w:val="0"/>
                <w:iCs w:val="0"/>
                <w:color w:val="000000"/>
                <w:kern w:val="0"/>
                <w:sz w:val="13"/>
                <w:szCs w:val="13"/>
                <w:u w:val="none"/>
                <w:lang w:val="en-US" w:eastAsia="zh-CN" w:bidi="ar"/>
              </w:rPr>
              <w:t>通过省市验收</w:t>
            </w:r>
          </w:p>
        </w:tc>
        <w:tc>
          <w:tcPr>
            <w:tcW w:w="1140"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default" w:ascii="Arial" w:hAnsi="Arial" w:eastAsia="宋体" w:cs="Arial"/>
                <w:i w:val="0"/>
                <w:iCs w:val="0"/>
                <w:color w:val="000000"/>
                <w:kern w:val="0"/>
                <w:sz w:val="13"/>
                <w:szCs w:val="13"/>
                <w:u w:val="none"/>
                <w:lang w:val="en-US" w:eastAsia="zh-CN" w:bidi="ar"/>
              </w:rPr>
              <w:t>100%</w:t>
            </w:r>
          </w:p>
        </w:tc>
        <w:tc>
          <w:tcPr>
            <w:tcW w:w="685"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default" w:ascii="Arial" w:hAnsi="Arial" w:eastAsia="宋体" w:cs="Arial"/>
                <w:i w:val="0"/>
                <w:iCs w:val="0"/>
                <w:color w:val="000000"/>
                <w:kern w:val="0"/>
                <w:sz w:val="13"/>
                <w:szCs w:val="13"/>
                <w:u w:val="none"/>
                <w:lang w:val="en-US" w:eastAsia="zh-CN" w:bidi="ar"/>
              </w:rPr>
              <w:t>10</w:t>
            </w:r>
          </w:p>
        </w:tc>
        <w:tc>
          <w:tcPr>
            <w:tcW w:w="795"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default" w:ascii="Arial" w:hAnsi="Arial" w:eastAsia="宋体" w:cs="Arial"/>
                <w:i w:val="0"/>
                <w:iCs w:val="0"/>
                <w:color w:val="000000"/>
                <w:kern w:val="0"/>
                <w:sz w:val="13"/>
                <w:szCs w:val="13"/>
                <w:u w:val="none"/>
                <w:lang w:val="en-US" w:eastAsia="zh-CN" w:bidi="ar"/>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58"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080" w:type="dxa"/>
            <w:noWrap w:val="0"/>
            <w:vAlign w:val="center"/>
          </w:tcPr>
          <w:p>
            <w:pPr>
              <w:keepNext w:val="0"/>
              <w:keepLines w:val="0"/>
              <w:widowControl/>
              <w:suppressLineNumbers w:val="0"/>
              <w:jc w:val="center"/>
              <w:textAlignment w:val="center"/>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hAnsi="Arial" w:eastAsia="宋体" w:cs="Arial"/>
                <w:i w:val="0"/>
                <w:iCs w:val="0"/>
                <w:color w:val="000000"/>
                <w:kern w:val="0"/>
                <w:sz w:val="13"/>
                <w:szCs w:val="13"/>
                <w:u w:val="none"/>
                <w:lang w:val="en-US" w:eastAsia="zh-CN" w:bidi="ar"/>
              </w:rPr>
              <w:t>2021</w:t>
            </w:r>
            <w:r>
              <w:rPr>
                <w:rFonts w:hint="eastAsia" w:ascii="宋体" w:hAnsi="宋体" w:eastAsia="宋体" w:cs="宋体"/>
                <w:i w:val="0"/>
                <w:iCs w:val="0"/>
                <w:color w:val="000000"/>
                <w:kern w:val="0"/>
                <w:sz w:val="13"/>
                <w:szCs w:val="13"/>
                <w:u w:val="none"/>
                <w:lang w:val="en-US" w:eastAsia="zh-CN" w:bidi="ar"/>
              </w:rPr>
              <w:t>年</w:t>
            </w:r>
            <w:r>
              <w:rPr>
                <w:rFonts w:hint="default" w:ascii="Arial" w:hAnsi="Arial" w:eastAsia="宋体" w:cs="Arial"/>
                <w:i w:val="0"/>
                <w:iCs w:val="0"/>
                <w:color w:val="000000"/>
                <w:kern w:val="0"/>
                <w:sz w:val="13"/>
                <w:szCs w:val="13"/>
                <w:u w:val="none"/>
                <w:lang w:val="en-US" w:eastAsia="zh-CN" w:bidi="ar"/>
              </w:rPr>
              <w:t>1</w:t>
            </w:r>
            <w:r>
              <w:rPr>
                <w:rFonts w:hint="eastAsia" w:ascii="宋体" w:hAnsi="宋体" w:eastAsia="宋体" w:cs="宋体"/>
                <w:i w:val="0"/>
                <w:iCs w:val="0"/>
                <w:color w:val="000000"/>
                <w:kern w:val="0"/>
                <w:sz w:val="13"/>
                <w:szCs w:val="13"/>
                <w:u w:val="none"/>
                <w:lang w:val="en-US" w:eastAsia="zh-CN" w:bidi="ar"/>
              </w:rPr>
              <w:t>月至</w:t>
            </w:r>
            <w:r>
              <w:rPr>
                <w:rFonts w:hint="default" w:ascii="Arial" w:hAnsi="Arial" w:eastAsia="宋体" w:cs="Arial"/>
                <w:i w:val="0"/>
                <w:iCs w:val="0"/>
                <w:color w:val="000000"/>
                <w:kern w:val="0"/>
                <w:sz w:val="13"/>
                <w:szCs w:val="13"/>
                <w:u w:val="none"/>
                <w:lang w:val="en-US" w:eastAsia="zh-CN" w:bidi="ar"/>
              </w:rPr>
              <w:t>2022</w:t>
            </w:r>
            <w:r>
              <w:rPr>
                <w:rFonts w:hint="eastAsia" w:ascii="宋体" w:hAnsi="宋体" w:eastAsia="宋体" w:cs="宋体"/>
                <w:i w:val="0"/>
                <w:iCs w:val="0"/>
                <w:color w:val="000000"/>
                <w:kern w:val="0"/>
                <w:sz w:val="13"/>
                <w:szCs w:val="13"/>
                <w:u w:val="none"/>
                <w:lang w:val="en-US" w:eastAsia="zh-CN" w:bidi="ar"/>
              </w:rPr>
              <w:t>年</w:t>
            </w:r>
            <w:r>
              <w:rPr>
                <w:rFonts w:hint="default" w:ascii="Arial" w:hAnsi="Arial" w:eastAsia="宋体" w:cs="Arial"/>
                <w:i w:val="0"/>
                <w:iCs w:val="0"/>
                <w:color w:val="000000"/>
                <w:kern w:val="0"/>
                <w:sz w:val="13"/>
                <w:szCs w:val="13"/>
                <w:u w:val="none"/>
                <w:lang w:val="en-US" w:eastAsia="zh-CN" w:bidi="ar"/>
              </w:rPr>
              <w:t>12</w:t>
            </w:r>
            <w:r>
              <w:rPr>
                <w:rFonts w:hint="eastAsia" w:ascii="宋体" w:hAnsi="宋体" w:eastAsia="宋体" w:cs="宋体"/>
                <w:i w:val="0"/>
                <w:iCs w:val="0"/>
                <w:color w:val="000000"/>
                <w:kern w:val="0"/>
                <w:sz w:val="13"/>
                <w:szCs w:val="13"/>
                <w:u w:val="none"/>
                <w:lang w:val="en-US" w:eastAsia="zh-CN" w:bidi="ar"/>
              </w:rPr>
              <w:t>月内完成</w:t>
            </w:r>
          </w:p>
        </w:tc>
        <w:tc>
          <w:tcPr>
            <w:tcW w:w="1502"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宋体" w:hAnsi="宋体" w:eastAsia="宋体" w:cs="宋体"/>
                <w:i w:val="0"/>
                <w:iCs w:val="0"/>
                <w:color w:val="000000"/>
                <w:kern w:val="0"/>
                <w:sz w:val="13"/>
                <w:szCs w:val="13"/>
                <w:u w:val="none"/>
                <w:lang w:val="en-US" w:eastAsia="zh-CN" w:bidi="ar"/>
              </w:rPr>
              <w:t>已计划内完成</w:t>
            </w:r>
          </w:p>
        </w:tc>
        <w:tc>
          <w:tcPr>
            <w:tcW w:w="1140"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default" w:ascii="Arial" w:hAnsi="Arial" w:eastAsia="宋体" w:cs="Arial"/>
                <w:i w:val="0"/>
                <w:iCs w:val="0"/>
                <w:color w:val="000000"/>
                <w:kern w:val="0"/>
                <w:sz w:val="13"/>
                <w:szCs w:val="13"/>
                <w:u w:val="none"/>
                <w:lang w:val="en-US" w:eastAsia="zh-CN" w:bidi="ar"/>
              </w:rPr>
              <w:t>100%</w:t>
            </w:r>
          </w:p>
        </w:tc>
        <w:tc>
          <w:tcPr>
            <w:tcW w:w="685"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Arial" w:hAnsi="Arial" w:eastAsia="宋体" w:cs="Arial"/>
                <w:i w:val="0"/>
                <w:iCs w:val="0"/>
                <w:color w:val="000000"/>
                <w:kern w:val="0"/>
                <w:sz w:val="13"/>
                <w:szCs w:val="13"/>
                <w:u w:val="none"/>
                <w:lang w:val="en-US" w:eastAsia="zh-CN" w:bidi="ar"/>
              </w:rPr>
              <w:t>5</w:t>
            </w:r>
          </w:p>
        </w:tc>
        <w:tc>
          <w:tcPr>
            <w:tcW w:w="795"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Arial" w:hAnsi="Arial" w:eastAsia="宋体" w:cs="Arial"/>
                <w:i w:val="0"/>
                <w:iCs w:val="0"/>
                <w:color w:val="000000"/>
                <w:kern w:val="0"/>
                <w:sz w:val="13"/>
                <w:szCs w:val="13"/>
                <w:u w:val="none"/>
                <w:lang w:val="en-US" w:eastAsia="zh-CN" w:bidi="ar"/>
              </w:rPr>
              <w:t>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58"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080"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宋体" w:hAnsi="宋体" w:eastAsia="宋体" w:cs="宋体"/>
                <w:i w:val="0"/>
                <w:iCs w:val="0"/>
                <w:color w:val="000000"/>
                <w:kern w:val="0"/>
                <w:sz w:val="13"/>
                <w:szCs w:val="13"/>
                <w:u w:val="none"/>
                <w:lang w:val="en-US" w:eastAsia="zh-CN" w:bidi="ar"/>
              </w:rPr>
              <w:t>预算投入</w:t>
            </w:r>
            <w:r>
              <w:rPr>
                <w:rFonts w:ascii="Arial" w:hAnsi="Arial" w:eastAsia="宋体" w:cs="Arial"/>
                <w:i w:val="0"/>
                <w:iCs w:val="0"/>
                <w:color w:val="000000"/>
                <w:kern w:val="0"/>
                <w:sz w:val="13"/>
                <w:szCs w:val="13"/>
                <w:u w:val="none"/>
                <w:lang w:val="en-US" w:eastAsia="zh-CN" w:bidi="ar"/>
              </w:rPr>
              <w:t>60.67</w:t>
            </w:r>
            <w:r>
              <w:rPr>
                <w:rFonts w:hint="eastAsia" w:ascii="宋体" w:hAnsi="宋体" w:eastAsia="宋体" w:cs="宋体"/>
                <w:i w:val="0"/>
                <w:iCs w:val="0"/>
                <w:color w:val="000000"/>
                <w:kern w:val="0"/>
                <w:sz w:val="13"/>
                <w:szCs w:val="13"/>
                <w:u w:val="none"/>
                <w:lang w:val="en-US" w:eastAsia="zh-CN" w:bidi="ar"/>
              </w:rPr>
              <w:t>万元</w:t>
            </w:r>
          </w:p>
        </w:tc>
        <w:tc>
          <w:tcPr>
            <w:tcW w:w="1502"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宋体" w:hAnsi="宋体" w:eastAsia="宋体" w:cs="宋体"/>
                <w:i w:val="0"/>
                <w:iCs w:val="0"/>
                <w:color w:val="000000"/>
                <w:kern w:val="0"/>
                <w:sz w:val="13"/>
                <w:szCs w:val="13"/>
                <w:u w:val="none"/>
                <w:lang w:val="en-US" w:eastAsia="zh-CN" w:bidi="ar"/>
              </w:rPr>
              <w:t>实际投入</w:t>
            </w:r>
            <w:r>
              <w:rPr>
                <w:rFonts w:ascii="Arial" w:hAnsi="Arial" w:eastAsia="宋体" w:cs="Arial"/>
                <w:i w:val="0"/>
                <w:iCs w:val="0"/>
                <w:color w:val="000000"/>
                <w:kern w:val="0"/>
                <w:sz w:val="13"/>
                <w:szCs w:val="13"/>
                <w:u w:val="none"/>
                <w:lang w:val="en-US" w:eastAsia="zh-CN" w:bidi="ar"/>
              </w:rPr>
              <w:t>60.67</w:t>
            </w:r>
            <w:r>
              <w:rPr>
                <w:rFonts w:hint="eastAsia" w:ascii="宋体" w:hAnsi="宋体" w:eastAsia="宋体" w:cs="宋体"/>
                <w:i w:val="0"/>
                <w:iCs w:val="0"/>
                <w:color w:val="000000"/>
                <w:kern w:val="0"/>
                <w:sz w:val="13"/>
                <w:szCs w:val="13"/>
                <w:u w:val="none"/>
                <w:lang w:val="en-US" w:eastAsia="zh-CN" w:bidi="ar"/>
              </w:rPr>
              <w:t>万元</w:t>
            </w:r>
          </w:p>
        </w:tc>
        <w:tc>
          <w:tcPr>
            <w:tcW w:w="1140"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default" w:ascii="Arial" w:hAnsi="Arial" w:eastAsia="宋体" w:cs="Arial"/>
                <w:i w:val="0"/>
                <w:iCs w:val="0"/>
                <w:color w:val="000000"/>
                <w:kern w:val="0"/>
                <w:sz w:val="13"/>
                <w:szCs w:val="13"/>
                <w:u w:val="none"/>
                <w:lang w:val="en-US" w:eastAsia="zh-CN" w:bidi="ar"/>
              </w:rPr>
              <w:t>100%</w:t>
            </w:r>
          </w:p>
        </w:tc>
        <w:tc>
          <w:tcPr>
            <w:tcW w:w="685"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Arial" w:hAnsi="Arial" w:eastAsia="宋体" w:cs="Arial"/>
                <w:i w:val="0"/>
                <w:iCs w:val="0"/>
                <w:color w:val="000000"/>
                <w:kern w:val="0"/>
                <w:sz w:val="13"/>
                <w:szCs w:val="13"/>
                <w:u w:val="none"/>
                <w:lang w:val="en-US" w:eastAsia="zh-CN" w:bidi="ar"/>
              </w:rPr>
              <w:t>5</w:t>
            </w:r>
          </w:p>
        </w:tc>
        <w:tc>
          <w:tcPr>
            <w:tcW w:w="795"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Arial" w:hAnsi="Arial" w:eastAsia="宋体" w:cs="Arial"/>
                <w:i w:val="0"/>
                <w:iCs w:val="0"/>
                <w:color w:val="000000"/>
                <w:kern w:val="0"/>
                <w:sz w:val="13"/>
                <w:szCs w:val="13"/>
                <w:u w:val="none"/>
                <w:lang w:val="en-US" w:eastAsia="zh-CN" w:bidi="ar"/>
              </w:rPr>
              <w:t>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858"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position w:val="4"/>
                <w:sz w:val="21"/>
                <w:szCs w:val="21"/>
                <w:lang w:val="en-US" w:eastAsia="zh-CN"/>
                <w14:textFill>
                  <w14:solidFill>
                    <w14:schemeClr w14:val="tx1"/>
                  </w14:solidFill>
                </w14:textFill>
              </w:rPr>
              <w:t>可持续影响</w:t>
            </w:r>
            <w:r>
              <w:rPr>
                <w:rFonts w:ascii="宋体" w:hAnsi="宋体" w:eastAsia="宋体" w:cs="宋体"/>
                <w:color w:val="000000" w:themeColor="text1"/>
                <w:spacing w:val="0"/>
                <w:sz w:val="21"/>
                <w:szCs w:val="21"/>
                <w14:textFill>
                  <w14:solidFill>
                    <w14:schemeClr w14:val="tx1"/>
                  </w14:solidFill>
                </w14:textFill>
              </w:rPr>
              <w:t>指标</w:t>
            </w:r>
          </w:p>
        </w:tc>
        <w:tc>
          <w:tcPr>
            <w:tcW w:w="1080" w:type="dxa"/>
            <w:noWrap w:val="0"/>
            <w:vAlign w:val="center"/>
          </w:tcPr>
          <w:p>
            <w:pPr>
              <w:keepNext w:val="0"/>
              <w:keepLines w:val="0"/>
              <w:widowControl/>
              <w:suppressLineNumbers w:val="0"/>
              <w:jc w:val="center"/>
              <w:textAlignment w:val="center"/>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宋体" w:hAnsi="宋体" w:eastAsia="宋体" w:cs="宋体"/>
                <w:i w:val="0"/>
                <w:iCs w:val="0"/>
                <w:color w:val="000000"/>
                <w:kern w:val="0"/>
                <w:sz w:val="13"/>
                <w:szCs w:val="13"/>
                <w:u w:val="none"/>
                <w:lang w:val="en-US" w:eastAsia="zh-CN" w:bidi="ar"/>
              </w:rPr>
              <w:t>通过普查成果提升防震减灾工作效率</w:t>
            </w:r>
          </w:p>
        </w:tc>
        <w:tc>
          <w:tcPr>
            <w:tcW w:w="1502"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default" w:ascii="Arial" w:hAnsi="Arial" w:eastAsia="宋体" w:cs="Arial"/>
                <w:i w:val="0"/>
                <w:iCs w:val="0"/>
                <w:color w:val="000000"/>
                <w:kern w:val="0"/>
                <w:sz w:val="13"/>
                <w:szCs w:val="13"/>
                <w:u w:val="none"/>
                <w:lang w:val="en-US" w:eastAsia="zh-CN" w:bidi="ar"/>
              </w:rPr>
              <w:t>100%</w:t>
            </w:r>
          </w:p>
        </w:tc>
        <w:tc>
          <w:tcPr>
            <w:tcW w:w="1140"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default" w:ascii="Arial" w:hAnsi="Arial" w:eastAsia="宋体" w:cs="Arial"/>
                <w:i w:val="0"/>
                <w:iCs w:val="0"/>
                <w:color w:val="000000"/>
                <w:kern w:val="0"/>
                <w:sz w:val="13"/>
                <w:szCs w:val="13"/>
                <w:u w:val="none"/>
                <w:lang w:val="en-US" w:eastAsia="zh-CN" w:bidi="ar"/>
              </w:rPr>
              <w:t>100%</w:t>
            </w:r>
          </w:p>
        </w:tc>
        <w:tc>
          <w:tcPr>
            <w:tcW w:w="685" w:type="dxa"/>
            <w:noWrap w:val="0"/>
            <w:vAlign w:val="center"/>
          </w:tcPr>
          <w:p>
            <w:pPr>
              <w:keepNext w:val="0"/>
              <w:keepLines w:val="0"/>
              <w:widowControl/>
              <w:suppressLineNumbers w:val="0"/>
              <w:jc w:val="center"/>
              <w:textAlignment w:val="center"/>
              <w:rPr>
                <w:rFonts w:hint="default" w:ascii="Arial"/>
                <w:color w:val="000000" w:themeColor="text1"/>
                <w:spacing w:val="0"/>
                <w:sz w:val="21"/>
                <w:szCs w:val="21"/>
                <w:lang w:val="en-US"/>
                <w14:textFill>
                  <w14:solidFill>
                    <w14:schemeClr w14:val="tx1"/>
                  </w14:solidFill>
                </w14:textFill>
              </w:rPr>
            </w:pPr>
            <w:r>
              <w:rPr>
                <w:rFonts w:hint="eastAsia" w:ascii="Arial" w:hAnsi="Arial" w:eastAsia="宋体" w:cs="Arial"/>
                <w:i w:val="0"/>
                <w:iCs w:val="0"/>
                <w:color w:val="000000"/>
                <w:kern w:val="0"/>
                <w:sz w:val="13"/>
                <w:szCs w:val="13"/>
                <w:u w:val="none"/>
                <w:lang w:val="en-US" w:eastAsia="zh-CN" w:bidi="ar"/>
              </w:rPr>
              <w:t>15</w:t>
            </w:r>
          </w:p>
        </w:tc>
        <w:tc>
          <w:tcPr>
            <w:tcW w:w="795" w:type="dxa"/>
            <w:noWrap w:val="0"/>
            <w:vAlign w:val="center"/>
          </w:tcPr>
          <w:p>
            <w:pPr>
              <w:keepNext w:val="0"/>
              <w:keepLines w:val="0"/>
              <w:widowControl/>
              <w:suppressLineNumbers w:val="0"/>
              <w:jc w:val="center"/>
              <w:textAlignment w:val="center"/>
              <w:rPr>
                <w:rFonts w:hint="default" w:ascii="Arial"/>
                <w:color w:val="000000" w:themeColor="text1"/>
                <w:spacing w:val="0"/>
                <w:sz w:val="21"/>
                <w:szCs w:val="21"/>
                <w:lang w:val="en-US"/>
                <w14:textFill>
                  <w14:solidFill>
                    <w14:schemeClr w14:val="tx1"/>
                  </w14:solidFill>
                </w14:textFill>
              </w:rPr>
            </w:pPr>
            <w:r>
              <w:rPr>
                <w:rFonts w:hint="eastAsia" w:ascii="Arial" w:hAnsi="Arial" w:eastAsia="宋体" w:cs="Arial"/>
                <w:i w:val="0"/>
                <w:iCs w:val="0"/>
                <w:color w:val="000000"/>
                <w:kern w:val="0"/>
                <w:sz w:val="13"/>
                <w:szCs w:val="13"/>
                <w:u w:val="none"/>
                <w:lang w:val="en-US" w:eastAsia="zh-CN" w:bidi="ar"/>
              </w:rPr>
              <w:t>15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58"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080" w:type="dxa"/>
            <w:noWrap w:val="0"/>
            <w:vAlign w:val="center"/>
          </w:tcPr>
          <w:p>
            <w:pPr>
              <w:keepNext w:val="0"/>
              <w:keepLines w:val="0"/>
              <w:widowControl/>
              <w:suppressLineNumbers w:val="0"/>
              <w:jc w:val="center"/>
              <w:textAlignment w:val="center"/>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宋体" w:hAnsi="宋体" w:eastAsia="宋体" w:cs="宋体"/>
                <w:i w:val="0"/>
                <w:iCs w:val="0"/>
                <w:color w:val="000000"/>
                <w:kern w:val="0"/>
                <w:sz w:val="13"/>
                <w:szCs w:val="13"/>
                <w:u w:val="none"/>
                <w:lang w:val="en-US" w:eastAsia="zh-CN" w:bidi="ar"/>
              </w:rPr>
              <w:t>摸清全区自然灾害风险隐患</w:t>
            </w:r>
          </w:p>
        </w:tc>
        <w:tc>
          <w:tcPr>
            <w:tcW w:w="1502"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default" w:ascii="Arial" w:hAnsi="Arial" w:eastAsia="宋体" w:cs="Arial"/>
                <w:i w:val="0"/>
                <w:iCs w:val="0"/>
                <w:color w:val="000000"/>
                <w:kern w:val="0"/>
                <w:sz w:val="13"/>
                <w:szCs w:val="13"/>
                <w:u w:val="none"/>
                <w:lang w:val="en-US" w:eastAsia="zh-CN" w:bidi="ar"/>
              </w:rPr>
              <w:t>100%</w:t>
            </w:r>
          </w:p>
        </w:tc>
        <w:tc>
          <w:tcPr>
            <w:tcW w:w="1140"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default" w:ascii="Arial" w:hAnsi="Arial" w:eastAsia="宋体" w:cs="Arial"/>
                <w:i w:val="0"/>
                <w:iCs w:val="0"/>
                <w:color w:val="000000"/>
                <w:kern w:val="0"/>
                <w:sz w:val="13"/>
                <w:szCs w:val="13"/>
                <w:u w:val="none"/>
                <w:lang w:val="en-US" w:eastAsia="zh-CN" w:bidi="ar"/>
              </w:rPr>
              <w:t>100%</w:t>
            </w:r>
          </w:p>
        </w:tc>
        <w:tc>
          <w:tcPr>
            <w:tcW w:w="685" w:type="dxa"/>
            <w:noWrap w:val="0"/>
            <w:vAlign w:val="center"/>
          </w:tcPr>
          <w:p>
            <w:pPr>
              <w:keepNext w:val="0"/>
              <w:keepLines w:val="0"/>
              <w:widowControl/>
              <w:suppressLineNumbers w:val="0"/>
              <w:jc w:val="center"/>
              <w:textAlignment w:val="center"/>
              <w:rPr>
                <w:rFonts w:hint="default" w:ascii="Arial"/>
                <w:color w:val="000000" w:themeColor="text1"/>
                <w:spacing w:val="0"/>
                <w:sz w:val="21"/>
                <w:szCs w:val="21"/>
                <w:lang w:val="en-US"/>
                <w14:textFill>
                  <w14:solidFill>
                    <w14:schemeClr w14:val="tx1"/>
                  </w14:solidFill>
                </w14:textFill>
              </w:rPr>
            </w:pPr>
            <w:r>
              <w:rPr>
                <w:rFonts w:hint="eastAsia" w:ascii="Arial" w:hAnsi="Arial" w:eastAsia="宋体" w:cs="Arial"/>
                <w:i w:val="0"/>
                <w:iCs w:val="0"/>
                <w:color w:val="000000"/>
                <w:kern w:val="0"/>
                <w:sz w:val="13"/>
                <w:szCs w:val="13"/>
                <w:u w:val="none"/>
                <w:lang w:val="en-US" w:eastAsia="zh-CN" w:bidi="ar"/>
              </w:rPr>
              <w:t>15</w:t>
            </w:r>
          </w:p>
        </w:tc>
        <w:tc>
          <w:tcPr>
            <w:tcW w:w="795" w:type="dxa"/>
            <w:noWrap w:val="0"/>
            <w:vAlign w:val="center"/>
          </w:tcPr>
          <w:p>
            <w:pPr>
              <w:keepNext w:val="0"/>
              <w:keepLines w:val="0"/>
              <w:widowControl/>
              <w:suppressLineNumbers w:val="0"/>
              <w:jc w:val="center"/>
              <w:textAlignment w:val="center"/>
              <w:rPr>
                <w:rFonts w:hint="default" w:ascii="Arial"/>
                <w:color w:val="000000" w:themeColor="text1"/>
                <w:spacing w:val="0"/>
                <w:sz w:val="21"/>
                <w:szCs w:val="21"/>
                <w:lang w:val="en-US"/>
                <w14:textFill>
                  <w14:solidFill>
                    <w14:schemeClr w14:val="tx1"/>
                  </w14:solidFill>
                </w14:textFill>
              </w:rPr>
            </w:pPr>
            <w:r>
              <w:rPr>
                <w:rFonts w:hint="eastAsia" w:ascii="Arial" w:hAnsi="Arial" w:eastAsia="宋体" w:cs="Arial"/>
                <w:i w:val="0"/>
                <w:iCs w:val="0"/>
                <w:color w:val="000000"/>
                <w:kern w:val="0"/>
                <w:sz w:val="13"/>
                <w:szCs w:val="13"/>
                <w:u w:val="none"/>
                <w:lang w:val="en-US" w:eastAsia="zh-CN" w:bidi="ar"/>
              </w:rPr>
              <w:t>15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58"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5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58"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5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7"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58"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5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58"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502"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858"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080"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宋体" w:hAnsi="宋体" w:eastAsia="宋体" w:cs="宋体"/>
                <w:i w:val="0"/>
                <w:iCs w:val="0"/>
                <w:color w:val="000000"/>
                <w:kern w:val="0"/>
                <w:sz w:val="13"/>
                <w:szCs w:val="13"/>
                <w:u w:val="none"/>
                <w:lang w:val="en-US" w:eastAsia="zh-CN" w:bidi="ar"/>
              </w:rPr>
              <w:t>满意度</w:t>
            </w:r>
          </w:p>
        </w:tc>
        <w:tc>
          <w:tcPr>
            <w:tcW w:w="1502"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default" w:ascii="Arial" w:hAnsi="Arial" w:eastAsia="宋体" w:cs="Arial"/>
                <w:i w:val="0"/>
                <w:iCs w:val="0"/>
                <w:color w:val="000000"/>
                <w:kern w:val="0"/>
                <w:sz w:val="13"/>
                <w:szCs w:val="13"/>
                <w:u w:val="none"/>
                <w:lang w:val="en-US" w:eastAsia="zh-CN" w:bidi="ar"/>
              </w:rPr>
              <w:t>100%</w:t>
            </w:r>
          </w:p>
        </w:tc>
        <w:tc>
          <w:tcPr>
            <w:tcW w:w="1140"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default" w:ascii="Arial" w:hAnsi="Arial" w:eastAsia="宋体" w:cs="Arial"/>
                <w:i w:val="0"/>
                <w:iCs w:val="0"/>
                <w:color w:val="000000"/>
                <w:kern w:val="0"/>
                <w:sz w:val="13"/>
                <w:szCs w:val="13"/>
                <w:u w:val="none"/>
                <w:lang w:val="en-US" w:eastAsia="zh-CN" w:bidi="ar"/>
              </w:rPr>
              <w:t>100%</w:t>
            </w:r>
          </w:p>
        </w:tc>
        <w:tc>
          <w:tcPr>
            <w:tcW w:w="685"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default" w:ascii="Arial" w:hAnsi="Arial" w:eastAsia="宋体" w:cs="Arial"/>
                <w:i w:val="0"/>
                <w:iCs w:val="0"/>
                <w:color w:val="000000"/>
                <w:kern w:val="0"/>
                <w:sz w:val="13"/>
                <w:szCs w:val="13"/>
                <w:u w:val="none"/>
                <w:lang w:val="en-US" w:eastAsia="zh-CN" w:bidi="ar"/>
              </w:rPr>
              <w:t>10</w:t>
            </w:r>
          </w:p>
        </w:tc>
        <w:tc>
          <w:tcPr>
            <w:tcW w:w="795"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default" w:ascii="Arial" w:hAnsi="Arial" w:eastAsia="宋体" w:cs="Arial"/>
                <w:i w:val="0"/>
                <w:iCs w:val="0"/>
                <w:color w:val="000000"/>
                <w:kern w:val="0"/>
                <w:sz w:val="13"/>
                <w:szCs w:val="13"/>
                <w:u w:val="none"/>
                <w:lang w:val="en-US" w:eastAsia="zh-CN" w:bidi="ar"/>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58"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5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1075" w:type="dxa"/>
            <w:vMerge w:val="continue"/>
            <w:tcBorders>
              <w:top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58"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502"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val="en-US" w:eastAsia="zh-CN"/>
          <w14:textFill>
            <w14:solidFill>
              <w14:schemeClr w14:val="tx1"/>
            </w14:solidFill>
          </w14:textFill>
        </w:rPr>
        <w:t>陈超</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lang w:val="en-US" w:eastAsia="zh-CN"/>
          <w14:textFill>
            <w14:solidFill>
              <w14:schemeClr w14:val="tx1"/>
            </w14:solidFill>
          </w14:textFill>
        </w:rPr>
        <w:t>15348404119</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hint="eastAsia" w:ascii="仿宋" w:hAnsi="仿宋" w:eastAsia="仿宋" w:cs="仿宋"/>
          <w:color w:val="000000" w:themeColor="text1"/>
          <w:spacing w:val="-26"/>
          <w:sz w:val="23"/>
          <w:szCs w:val="23"/>
          <w:lang w:val="en-US" w:eastAsia="zh-CN"/>
          <w14:textFill>
            <w14:solidFill>
              <w14:schemeClr w14:val="tx1"/>
            </w14:solidFill>
          </w14:textFill>
        </w:rPr>
        <w:t>2023.06.08</w:t>
      </w: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pStyle w:val="4"/>
        <w:rPr>
          <w:rFonts w:hint="eastAsia" w:ascii="仿宋" w:hAnsi="仿宋" w:eastAsia="仿宋" w:cs="仿宋"/>
          <w:color w:val="000000" w:themeColor="text1"/>
          <w:spacing w:val="4"/>
          <w:sz w:val="23"/>
          <w:szCs w:val="23"/>
          <w:lang w:val="en-US" w:eastAsia="zh-CN"/>
          <w14:textFill>
            <w14:solidFill>
              <w14:schemeClr w14:val="tx1"/>
            </w14:solidFill>
          </w14:textFill>
        </w:rPr>
      </w:pPr>
    </w:p>
    <w:p>
      <w:pPr>
        <w:pStyle w:val="4"/>
        <w:rPr>
          <w:rFonts w:hint="default" w:ascii="仿宋" w:hAnsi="仿宋" w:eastAsia="仿宋" w:cs="仿宋"/>
          <w:color w:val="000000" w:themeColor="text1"/>
          <w:spacing w:val="4"/>
          <w:sz w:val="23"/>
          <w:szCs w:val="23"/>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pPr>
        <w:ind w:firstLine="1440" w:firstLineChars="400"/>
        <w:jc w:val="both"/>
        <w:rPr>
          <w:rFonts w:hint="eastAsia" w:eastAsia="方正小标宋简体"/>
          <w:sz w:val="36"/>
          <w:szCs w:val="36"/>
          <w:lang w:eastAsia="zh-CN"/>
        </w:rPr>
      </w:pPr>
    </w:p>
    <w:p>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10"/>
        <w:tblW w:w="9510" w:type="dxa"/>
        <w:jc w:val="center"/>
        <w:tblLayout w:type="fixed"/>
        <w:tblCellMar>
          <w:top w:w="0" w:type="dxa"/>
          <w:left w:w="108" w:type="dxa"/>
          <w:bottom w:w="0" w:type="dxa"/>
          <w:right w:w="108" w:type="dxa"/>
        </w:tblCellMar>
      </w:tblPr>
      <w:tblGrid>
        <w:gridCol w:w="774"/>
        <w:gridCol w:w="1501"/>
        <w:gridCol w:w="6482"/>
        <w:gridCol w:w="753"/>
      </w:tblGrid>
      <w:tr>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w:t>
            </w:r>
          </w:p>
        </w:tc>
      </w:tr>
      <w:tr>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pPr>
              <w:spacing w:line="320" w:lineRule="exact"/>
              <w:jc w:val="center"/>
              <w:rPr>
                <w:rFonts w:hint="eastAsia" w:asciiTheme="majorEastAsia" w:hAnsiTheme="majorEastAsia" w:eastAsiaTheme="majorEastAsia" w:cstheme="majorEastAsia"/>
                <w:szCs w:val="21"/>
              </w:rPr>
            </w:pPr>
          </w:p>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20</w:t>
            </w:r>
          </w:p>
        </w:tc>
      </w:tr>
      <w:tr>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 xml:space="preserve">  10</w:t>
            </w:r>
          </w:p>
        </w:tc>
      </w:tr>
      <w:tr>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pPr>
              <w:spacing w:line="240" w:lineRule="exact"/>
              <w:jc w:val="center"/>
              <w:rPr>
                <w:rFonts w:hint="eastAsia" w:asciiTheme="majorEastAsia" w:hAnsiTheme="majorEastAsia" w:eastAsiaTheme="majorEastAsia" w:cstheme="majorEastAsia"/>
                <w:szCs w:val="21"/>
              </w:rPr>
            </w:pPr>
          </w:p>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20</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17</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13</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95</w:t>
            </w:r>
          </w:p>
        </w:tc>
      </w:tr>
    </w:tbl>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spacing w:before="169" w:line="776" w:lineRule="exact"/>
        <w:ind w:left="372"/>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footerReference r:id="rId5" w:type="default"/>
          <w:pgSz w:w="11906" w:h="16838"/>
          <w:pgMar w:top="1701" w:right="1701" w:bottom="1701" w:left="1701"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3000509000000000000"/>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t xml:space="preserve">— </w:t>
                          </w:r>
                          <w:r>
                            <w:fldChar w:fldCharType="begin"/>
                          </w:r>
                          <w:r>
                            <w:instrText xml:space="preserve"> PAGE  \* MERGEFORMAT </w:instrText>
                          </w:r>
                          <w:r>
                            <w:fldChar w:fldCharType="separate"/>
                          </w:r>
                          <w:r>
                            <w:t>1</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6"/>
                    </w:pPr>
                    <w:r>
                      <w:t xml:space="preserve">— </w:t>
                    </w:r>
                    <w:r>
                      <w:fldChar w:fldCharType="begin"/>
                    </w:r>
                    <w:r>
                      <w:instrText xml:space="preserve"> PAGE  \* MERGEFORMAT </w:instrText>
                    </w:r>
                    <w:r>
                      <w:fldChar w:fldCharType="separate"/>
                    </w:r>
                    <w:r>
                      <w:t>1</w:t>
                    </w:r>
                    <w:r>
                      <w:fldChar w:fldCharType="end"/>
                    </w:r>
                    <w: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40" w:lineRule="auto"/>
      <w:rPr>
        <w:rFonts w:ascii="Arial"/>
        <w:sz w:val="2"/>
      </w:rPr>
    </w:pPr>
    <w:r>
      <w:rPr>
        <w:sz w:val="2"/>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t xml:space="preserve">— </w:t>
                          </w:r>
                          <w:r>
                            <w:fldChar w:fldCharType="begin"/>
                          </w:r>
                          <w:r>
                            <w:instrText xml:space="preserve"> PAGE  \* MERGEFORMAT </w:instrText>
                          </w:r>
                          <w:r>
                            <w:fldChar w:fldCharType="separate"/>
                          </w:r>
                          <w:r>
                            <w:t>4</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6"/>
                    </w:pPr>
                    <w:r>
                      <w:t xml:space="preserve">— </w:t>
                    </w:r>
                    <w:r>
                      <w:fldChar w:fldCharType="begin"/>
                    </w:r>
                    <w:r>
                      <w:instrText xml:space="preserve"> PAGE  \* MERGEFORMAT </w:instrText>
                    </w:r>
                    <w:r>
                      <w:fldChar w:fldCharType="separate"/>
                    </w:r>
                    <w:r>
                      <w:t>4</w:t>
                    </w:r>
                    <w:r>
                      <w:fldChar w:fldCharType="end"/>
                    </w:r>
                    <w: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t xml:space="preserve">— </w:t>
                          </w:r>
                          <w:r>
                            <w:fldChar w:fldCharType="begin"/>
                          </w:r>
                          <w:r>
                            <w:instrText xml:space="preserve"> PAGE  \* MERGEFORMAT </w:instrText>
                          </w:r>
                          <w:r>
                            <w:fldChar w:fldCharType="separate"/>
                          </w:r>
                          <w:r>
                            <w:t>5</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6"/>
                    </w:pPr>
                    <w:r>
                      <w:t xml:space="preserve">— </w:t>
                    </w:r>
                    <w:r>
                      <w:fldChar w:fldCharType="begin"/>
                    </w:r>
                    <w:r>
                      <w:instrText xml:space="preserve"> PAGE  \* MERGEFORMAT </w:instrText>
                    </w:r>
                    <w:r>
                      <w:fldChar w:fldCharType="separate"/>
                    </w:r>
                    <w:r>
                      <w:t>5</w:t>
                    </w:r>
                    <w:r>
                      <w:fldChar w:fldCharType="end"/>
                    </w:r>
                    <w: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87BDCCE"/>
    <w:multiLevelType w:val="singleLevel"/>
    <w:tmpl w:val="087BDCCE"/>
    <w:lvl w:ilvl="0" w:tentative="0">
      <w:start w:val="1"/>
      <w:numFmt w:val="chineseCounting"/>
      <w:suff w:val="nothing"/>
      <w:lvlText w:val="%1、"/>
      <w:lvlJc w:val="left"/>
      <w:rPr>
        <w:rFonts w:hint="eastAsia"/>
      </w:rPr>
    </w:lvl>
  </w:abstractNum>
  <w:abstractNum w:abstractNumId="1">
    <w:nsid w:val="4ADA9155"/>
    <w:multiLevelType w:val="singleLevel"/>
    <w:tmpl w:val="4ADA9155"/>
    <w:lvl w:ilvl="0" w:tentative="0">
      <w:start w:val="2"/>
      <w:numFmt w:val="chineseCounting"/>
      <w:lvlText w:val="(%1)"/>
      <w:lvlJc w:val="left"/>
      <w:pPr>
        <w:tabs>
          <w:tab w:val="left" w:pos="312"/>
        </w:tabs>
      </w:pPr>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BhZmFkYzhlMjY5YjY3ZThiYjA1ZTZjZDFiZmY1ZTQifQ=="/>
  </w:docVars>
  <w:rsids>
    <w:rsidRoot w:val="53FC3987"/>
    <w:rsid w:val="000A3765"/>
    <w:rsid w:val="001D7282"/>
    <w:rsid w:val="0039081D"/>
    <w:rsid w:val="005E6ECB"/>
    <w:rsid w:val="00744EA1"/>
    <w:rsid w:val="009419CA"/>
    <w:rsid w:val="00955854"/>
    <w:rsid w:val="009C7330"/>
    <w:rsid w:val="00A00FBB"/>
    <w:rsid w:val="00BF0721"/>
    <w:rsid w:val="00C03795"/>
    <w:rsid w:val="00CE3756"/>
    <w:rsid w:val="00D27A74"/>
    <w:rsid w:val="00DE1F34"/>
    <w:rsid w:val="00E831C8"/>
    <w:rsid w:val="00EF287A"/>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61D91"/>
    <w:rsid w:val="02FC4679"/>
    <w:rsid w:val="02FE5E0A"/>
    <w:rsid w:val="0347190C"/>
    <w:rsid w:val="034760CE"/>
    <w:rsid w:val="03487959"/>
    <w:rsid w:val="03505BE1"/>
    <w:rsid w:val="036D41A2"/>
    <w:rsid w:val="037F229C"/>
    <w:rsid w:val="03911277"/>
    <w:rsid w:val="039A540B"/>
    <w:rsid w:val="03BD010E"/>
    <w:rsid w:val="03E2685C"/>
    <w:rsid w:val="03E66326"/>
    <w:rsid w:val="03E94B2B"/>
    <w:rsid w:val="03FF6E0F"/>
    <w:rsid w:val="0404259A"/>
    <w:rsid w:val="04051601"/>
    <w:rsid w:val="04150B3B"/>
    <w:rsid w:val="04327F62"/>
    <w:rsid w:val="04344800"/>
    <w:rsid w:val="045F666C"/>
    <w:rsid w:val="0460075C"/>
    <w:rsid w:val="04613BEE"/>
    <w:rsid w:val="0462054D"/>
    <w:rsid w:val="04675C34"/>
    <w:rsid w:val="046C0B29"/>
    <w:rsid w:val="047573D5"/>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C7C89"/>
    <w:rsid w:val="05A50C70"/>
    <w:rsid w:val="05B525CA"/>
    <w:rsid w:val="05B93AC3"/>
    <w:rsid w:val="05C4448F"/>
    <w:rsid w:val="05E616EC"/>
    <w:rsid w:val="06086458"/>
    <w:rsid w:val="06146BAF"/>
    <w:rsid w:val="06286BB6"/>
    <w:rsid w:val="06405E9C"/>
    <w:rsid w:val="064D5380"/>
    <w:rsid w:val="064E0F6B"/>
    <w:rsid w:val="06617309"/>
    <w:rsid w:val="06650E6A"/>
    <w:rsid w:val="06854A05"/>
    <w:rsid w:val="068B5259"/>
    <w:rsid w:val="06986D10"/>
    <w:rsid w:val="06A14716"/>
    <w:rsid w:val="06C90184"/>
    <w:rsid w:val="06C9437B"/>
    <w:rsid w:val="06DC2A03"/>
    <w:rsid w:val="06EC6622"/>
    <w:rsid w:val="06ED564C"/>
    <w:rsid w:val="06F22A7B"/>
    <w:rsid w:val="07023424"/>
    <w:rsid w:val="07043735"/>
    <w:rsid w:val="0725074E"/>
    <w:rsid w:val="07313C60"/>
    <w:rsid w:val="07331F0A"/>
    <w:rsid w:val="076971BD"/>
    <w:rsid w:val="076D43AE"/>
    <w:rsid w:val="077323CA"/>
    <w:rsid w:val="0775145F"/>
    <w:rsid w:val="079319E1"/>
    <w:rsid w:val="07967DE0"/>
    <w:rsid w:val="07970994"/>
    <w:rsid w:val="07B913B4"/>
    <w:rsid w:val="07BA1C6A"/>
    <w:rsid w:val="07BD44A3"/>
    <w:rsid w:val="07CE6155"/>
    <w:rsid w:val="07E11DA2"/>
    <w:rsid w:val="07E40515"/>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91E6C"/>
    <w:rsid w:val="08BA1B19"/>
    <w:rsid w:val="08D059DD"/>
    <w:rsid w:val="08DC08E7"/>
    <w:rsid w:val="092D1C9E"/>
    <w:rsid w:val="09377E5E"/>
    <w:rsid w:val="09383E9F"/>
    <w:rsid w:val="0939426E"/>
    <w:rsid w:val="09504F8C"/>
    <w:rsid w:val="096133B5"/>
    <w:rsid w:val="09616470"/>
    <w:rsid w:val="096C1F5A"/>
    <w:rsid w:val="096C76C1"/>
    <w:rsid w:val="09906B28"/>
    <w:rsid w:val="09912E95"/>
    <w:rsid w:val="099C1A23"/>
    <w:rsid w:val="09A948AF"/>
    <w:rsid w:val="09AC2A76"/>
    <w:rsid w:val="09B04837"/>
    <w:rsid w:val="09C95891"/>
    <w:rsid w:val="09D8005F"/>
    <w:rsid w:val="0A002E0D"/>
    <w:rsid w:val="0A140987"/>
    <w:rsid w:val="0A241A5C"/>
    <w:rsid w:val="0A2E3566"/>
    <w:rsid w:val="0A393280"/>
    <w:rsid w:val="0A5F2F6C"/>
    <w:rsid w:val="0A670B4E"/>
    <w:rsid w:val="0A851E03"/>
    <w:rsid w:val="0A985A6F"/>
    <w:rsid w:val="0AA808AF"/>
    <w:rsid w:val="0ABD142C"/>
    <w:rsid w:val="0AC644AE"/>
    <w:rsid w:val="0ACB61B4"/>
    <w:rsid w:val="0ACD4157"/>
    <w:rsid w:val="0AE234F8"/>
    <w:rsid w:val="0AE964B0"/>
    <w:rsid w:val="0B0E1B95"/>
    <w:rsid w:val="0B163034"/>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2D3BED"/>
    <w:rsid w:val="0C55038F"/>
    <w:rsid w:val="0C6234E7"/>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947241"/>
    <w:rsid w:val="0DBE6AB7"/>
    <w:rsid w:val="0DBF116A"/>
    <w:rsid w:val="0DC00E38"/>
    <w:rsid w:val="0DC8400B"/>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B05323"/>
    <w:rsid w:val="0EBE40CB"/>
    <w:rsid w:val="0EC36A56"/>
    <w:rsid w:val="0EC62499"/>
    <w:rsid w:val="0ECE4E6F"/>
    <w:rsid w:val="0EDA5C56"/>
    <w:rsid w:val="0EFE4287"/>
    <w:rsid w:val="0F0D525E"/>
    <w:rsid w:val="0F2A2A37"/>
    <w:rsid w:val="0F2E6C95"/>
    <w:rsid w:val="0F4675CA"/>
    <w:rsid w:val="0F471A79"/>
    <w:rsid w:val="0F500384"/>
    <w:rsid w:val="0F5B4015"/>
    <w:rsid w:val="0F6071C8"/>
    <w:rsid w:val="0F734A18"/>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C7D88"/>
    <w:rsid w:val="109E2943"/>
    <w:rsid w:val="10B2267B"/>
    <w:rsid w:val="10C8346E"/>
    <w:rsid w:val="10FE6AB1"/>
    <w:rsid w:val="1112624E"/>
    <w:rsid w:val="11153798"/>
    <w:rsid w:val="11297158"/>
    <w:rsid w:val="114B2C9B"/>
    <w:rsid w:val="115D78BB"/>
    <w:rsid w:val="116001E2"/>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B310FA"/>
    <w:rsid w:val="12B7582D"/>
    <w:rsid w:val="12C30BB8"/>
    <w:rsid w:val="12C621E8"/>
    <w:rsid w:val="12CF0716"/>
    <w:rsid w:val="12D95227"/>
    <w:rsid w:val="12E33197"/>
    <w:rsid w:val="12EE1C9C"/>
    <w:rsid w:val="12F863E6"/>
    <w:rsid w:val="13094CA6"/>
    <w:rsid w:val="132156D8"/>
    <w:rsid w:val="132911E2"/>
    <w:rsid w:val="133868AE"/>
    <w:rsid w:val="135133AE"/>
    <w:rsid w:val="13914897"/>
    <w:rsid w:val="13A55CD5"/>
    <w:rsid w:val="13B654E3"/>
    <w:rsid w:val="13B819E6"/>
    <w:rsid w:val="13BC4189"/>
    <w:rsid w:val="13C169EC"/>
    <w:rsid w:val="13CA717D"/>
    <w:rsid w:val="13CE022A"/>
    <w:rsid w:val="13DF25B8"/>
    <w:rsid w:val="13E2403C"/>
    <w:rsid w:val="13F44B9E"/>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28398E"/>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E72EBD"/>
    <w:rsid w:val="16F042AC"/>
    <w:rsid w:val="16F626B5"/>
    <w:rsid w:val="16FB005D"/>
    <w:rsid w:val="16FC4F3B"/>
    <w:rsid w:val="171630EB"/>
    <w:rsid w:val="17435DB3"/>
    <w:rsid w:val="174849B3"/>
    <w:rsid w:val="175075E0"/>
    <w:rsid w:val="175D3461"/>
    <w:rsid w:val="175F4C67"/>
    <w:rsid w:val="175F580B"/>
    <w:rsid w:val="17665207"/>
    <w:rsid w:val="177469AA"/>
    <w:rsid w:val="17794395"/>
    <w:rsid w:val="178D50A9"/>
    <w:rsid w:val="178F0FE3"/>
    <w:rsid w:val="17B85018"/>
    <w:rsid w:val="17BE5D22"/>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B19EB"/>
    <w:rsid w:val="19717C66"/>
    <w:rsid w:val="198E7C2B"/>
    <w:rsid w:val="199945D5"/>
    <w:rsid w:val="199B5065"/>
    <w:rsid w:val="19D37D58"/>
    <w:rsid w:val="19DD0438"/>
    <w:rsid w:val="1A0A04E6"/>
    <w:rsid w:val="1A0F375B"/>
    <w:rsid w:val="1A187AC0"/>
    <w:rsid w:val="1A213466"/>
    <w:rsid w:val="1A3F3F76"/>
    <w:rsid w:val="1A4B4BAE"/>
    <w:rsid w:val="1A5F35C0"/>
    <w:rsid w:val="1A8006B2"/>
    <w:rsid w:val="1A8D640E"/>
    <w:rsid w:val="1A974192"/>
    <w:rsid w:val="1ACA62AD"/>
    <w:rsid w:val="1ADA675E"/>
    <w:rsid w:val="1AE11CDA"/>
    <w:rsid w:val="1AF44089"/>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C28F3"/>
    <w:rsid w:val="1C6A3281"/>
    <w:rsid w:val="1C71314E"/>
    <w:rsid w:val="1C82672C"/>
    <w:rsid w:val="1C89138D"/>
    <w:rsid w:val="1C8E76D2"/>
    <w:rsid w:val="1C937172"/>
    <w:rsid w:val="1C975C4B"/>
    <w:rsid w:val="1CA27BB1"/>
    <w:rsid w:val="1CAF7DCF"/>
    <w:rsid w:val="1CB07D7A"/>
    <w:rsid w:val="1CDA4D56"/>
    <w:rsid w:val="1CF810AC"/>
    <w:rsid w:val="1D0B3755"/>
    <w:rsid w:val="1D124C24"/>
    <w:rsid w:val="1D2C6C65"/>
    <w:rsid w:val="1D402518"/>
    <w:rsid w:val="1D4E7169"/>
    <w:rsid w:val="1D554265"/>
    <w:rsid w:val="1D5F0955"/>
    <w:rsid w:val="1D69344A"/>
    <w:rsid w:val="1D6B31E8"/>
    <w:rsid w:val="1D6B7F83"/>
    <w:rsid w:val="1D776C3D"/>
    <w:rsid w:val="1D8F2FBC"/>
    <w:rsid w:val="1D95321A"/>
    <w:rsid w:val="1DB85E5C"/>
    <w:rsid w:val="1DC46662"/>
    <w:rsid w:val="1DC944E8"/>
    <w:rsid w:val="1DCA5E3A"/>
    <w:rsid w:val="1DCF5405"/>
    <w:rsid w:val="1DD75183"/>
    <w:rsid w:val="1DDE2626"/>
    <w:rsid w:val="1DFD7C50"/>
    <w:rsid w:val="1E080AB5"/>
    <w:rsid w:val="1E0E0D58"/>
    <w:rsid w:val="1E27126F"/>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AB7116"/>
    <w:rsid w:val="1FC47CF5"/>
    <w:rsid w:val="1FDE0273"/>
    <w:rsid w:val="1FEF73C9"/>
    <w:rsid w:val="20020491"/>
    <w:rsid w:val="203C7C11"/>
    <w:rsid w:val="20421AEB"/>
    <w:rsid w:val="20471AED"/>
    <w:rsid w:val="20487E48"/>
    <w:rsid w:val="20666EBF"/>
    <w:rsid w:val="206F239E"/>
    <w:rsid w:val="2086258B"/>
    <w:rsid w:val="20A45C99"/>
    <w:rsid w:val="20AD18F5"/>
    <w:rsid w:val="20B77D0F"/>
    <w:rsid w:val="20BB288C"/>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B3920"/>
    <w:rsid w:val="219F5834"/>
    <w:rsid w:val="21A35D48"/>
    <w:rsid w:val="21C12688"/>
    <w:rsid w:val="21CC4855"/>
    <w:rsid w:val="21DA346C"/>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190B5B"/>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DE2BD1"/>
    <w:rsid w:val="24F86BC7"/>
    <w:rsid w:val="250F44FD"/>
    <w:rsid w:val="2514288A"/>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322B3"/>
    <w:rsid w:val="26FA4570"/>
    <w:rsid w:val="27217FF0"/>
    <w:rsid w:val="27242893"/>
    <w:rsid w:val="273612F4"/>
    <w:rsid w:val="2744514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F019A"/>
    <w:rsid w:val="28CC6ED5"/>
    <w:rsid w:val="28F010D9"/>
    <w:rsid w:val="28F05C88"/>
    <w:rsid w:val="29082E70"/>
    <w:rsid w:val="291343EF"/>
    <w:rsid w:val="29166F16"/>
    <w:rsid w:val="294471A2"/>
    <w:rsid w:val="294D5371"/>
    <w:rsid w:val="295A5964"/>
    <w:rsid w:val="29626133"/>
    <w:rsid w:val="29702C6A"/>
    <w:rsid w:val="298756CC"/>
    <w:rsid w:val="29A81FA5"/>
    <w:rsid w:val="29AB297C"/>
    <w:rsid w:val="29C535D7"/>
    <w:rsid w:val="29C65905"/>
    <w:rsid w:val="29DA5777"/>
    <w:rsid w:val="29DF2425"/>
    <w:rsid w:val="29EC10CA"/>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62899"/>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343C9"/>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F0E1C14"/>
    <w:rsid w:val="2F366FC1"/>
    <w:rsid w:val="2F5034C7"/>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96318"/>
    <w:rsid w:val="306A047E"/>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FA2D7F"/>
    <w:rsid w:val="32FC6C4E"/>
    <w:rsid w:val="33085CC5"/>
    <w:rsid w:val="33262CBA"/>
    <w:rsid w:val="332B323C"/>
    <w:rsid w:val="332E3189"/>
    <w:rsid w:val="335B62EC"/>
    <w:rsid w:val="335E79BA"/>
    <w:rsid w:val="3360061D"/>
    <w:rsid w:val="336549AB"/>
    <w:rsid w:val="336968A5"/>
    <w:rsid w:val="33782709"/>
    <w:rsid w:val="3392025F"/>
    <w:rsid w:val="33A8285D"/>
    <w:rsid w:val="33AC1E29"/>
    <w:rsid w:val="33B17041"/>
    <w:rsid w:val="33B202F3"/>
    <w:rsid w:val="33B20F64"/>
    <w:rsid w:val="33BD6581"/>
    <w:rsid w:val="33EE53FA"/>
    <w:rsid w:val="33FD7485"/>
    <w:rsid w:val="34012F1B"/>
    <w:rsid w:val="34467089"/>
    <w:rsid w:val="34523AB5"/>
    <w:rsid w:val="346A07B2"/>
    <w:rsid w:val="346B4B47"/>
    <w:rsid w:val="346E4F77"/>
    <w:rsid w:val="34762AAC"/>
    <w:rsid w:val="347B461F"/>
    <w:rsid w:val="348402A8"/>
    <w:rsid w:val="3498432C"/>
    <w:rsid w:val="34B510BB"/>
    <w:rsid w:val="34BB2714"/>
    <w:rsid w:val="34C25EF7"/>
    <w:rsid w:val="34D00377"/>
    <w:rsid w:val="34D20F28"/>
    <w:rsid w:val="34E22DC0"/>
    <w:rsid w:val="350233D4"/>
    <w:rsid w:val="35195F0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B068C"/>
    <w:rsid w:val="35FF153A"/>
    <w:rsid w:val="3606622C"/>
    <w:rsid w:val="36077316"/>
    <w:rsid w:val="3613278E"/>
    <w:rsid w:val="36356D4F"/>
    <w:rsid w:val="36405687"/>
    <w:rsid w:val="36414112"/>
    <w:rsid w:val="365F3D60"/>
    <w:rsid w:val="36645530"/>
    <w:rsid w:val="367851C1"/>
    <w:rsid w:val="36861DD7"/>
    <w:rsid w:val="369510BC"/>
    <w:rsid w:val="36973632"/>
    <w:rsid w:val="36A30194"/>
    <w:rsid w:val="36D21A02"/>
    <w:rsid w:val="37104DEB"/>
    <w:rsid w:val="372D0977"/>
    <w:rsid w:val="37337382"/>
    <w:rsid w:val="374D5647"/>
    <w:rsid w:val="374F42A7"/>
    <w:rsid w:val="37506DBE"/>
    <w:rsid w:val="3759338C"/>
    <w:rsid w:val="37654002"/>
    <w:rsid w:val="378E3E66"/>
    <w:rsid w:val="37C244FC"/>
    <w:rsid w:val="37D95C79"/>
    <w:rsid w:val="37E81F7B"/>
    <w:rsid w:val="38026A1B"/>
    <w:rsid w:val="38197832"/>
    <w:rsid w:val="383903C6"/>
    <w:rsid w:val="383C423B"/>
    <w:rsid w:val="38415136"/>
    <w:rsid w:val="384B07AC"/>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06F76"/>
    <w:rsid w:val="39B73BAC"/>
    <w:rsid w:val="39B7517F"/>
    <w:rsid w:val="39BA3B51"/>
    <w:rsid w:val="39C20795"/>
    <w:rsid w:val="39E90E2B"/>
    <w:rsid w:val="39E94D86"/>
    <w:rsid w:val="39F1638E"/>
    <w:rsid w:val="3A001C79"/>
    <w:rsid w:val="3A1513BA"/>
    <w:rsid w:val="3A2E618D"/>
    <w:rsid w:val="3A4109A1"/>
    <w:rsid w:val="3A742C8C"/>
    <w:rsid w:val="3A7B2702"/>
    <w:rsid w:val="3A896EEE"/>
    <w:rsid w:val="3A913797"/>
    <w:rsid w:val="3AAA2893"/>
    <w:rsid w:val="3ABB15C7"/>
    <w:rsid w:val="3ABF761B"/>
    <w:rsid w:val="3AD8279E"/>
    <w:rsid w:val="3AE73EDB"/>
    <w:rsid w:val="3B08641D"/>
    <w:rsid w:val="3B1C7A19"/>
    <w:rsid w:val="3B2B5582"/>
    <w:rsid w:val="3B4234D4"/>
    <w:rsid w:val="3B7622BA"/>
    <w:rsid w:val="3B7C1C88"/>
    <w:rsid w:val="3B8107C8"/>
    <w:rsid w:val="3B8972AA"/>
    <w:rsid w:val="3BA219B8"/>
    <w:rsid w:val="3BA96003"/>
    <w:rsid w:val="3BB875C5"/>
    <w:rsid w:val="3BC61A51"/>
    <w:rsid w:val="3BC82359"/>
    <w:rsid w:val="3BE14893"/>
    <w:rsid w:val="3BE8265C"/>
    <w:rsid w:val="3BE92A35"/>
    <w:rsid w:val="3BEB460F"/>
    <w:rsid w:val="3BEF1DA2"/>
    <w:rsid w:val="3BF64635"/>
    <w:rsid w:val="3BF956C3"/>
    <w:rsid w:val="3C0E5CDB"/>
    <w:rsid w:val="3C4D3B02"/>
    <w:rsid w:val="3C5B1D89"/>
    <w:rsid w:val="3C664B65"/>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94B1B"/>
    <w:rsid w:val="3D2B034D"/>
    <w:rsid w:val="3D4C1E7B"/>
    <w:rsid w:val="3D5A60CA"/>
    <w:rsid w:val="3D9F4364"/>
    <w:rsid w:val="3DA702BF"/>
    <w:rsid w:val="3DB92106"/>
    <w:rsid w:val="3DCF457D"/>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816E49"/>
    <w:rsid w:val="40B16CC2"/>
    <w:rsid w:val="40B81BAD"/>
    <w:rsid w:val="40BB2365"/>
    <w:rsid w:val="40D23962"/>
    <w:rsid w:val="40D61BC8"/>
    <w:rsid w:val="40DC4F1D"/>
    <w:rsid w:val="40DF2097"/>
    <w:rsid w:val="40E71ABD"/>
    <w:rsid w:val="412C4F80"/>
    <w:rsid w:val="413C11C7"/>
    <w:rsid w:val="41447F0E"/>
    <w:rsid w:val="414733E0"/>
    <w:rsid w:val="41566753"/>
    <w:rsid w:val="416A21FA"/>
    <w:rsid w:val="416B09D7"/>
    <w:rsid w:val="417D1E08"/>
    <w:rsid w:val="417D5552"/>
    <w:rsid w:val="41814EAC"/>
    <w:rsid w:val="4188208C"/>
    <w:rsid w:val="419B51EE"/>
    <w:rsid w:val="41B11897"/>
    <w:rsid w:val="41C57D35"/>
    <w:rsid w:val="41F16800"/>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16B77"/>
    <w:rsid w:val="431327F1"/>
    <w:rsid w:val="43182DB2"/>
    <w:rsid w:val="4368794F"/>
    <w:rsid w:val="436D0FB5"/>
    <w:rsid w:val="437518D1"/>
    <w:rsid w:val="438C7192"/>
    <w:rsid w:val="438D1E49"/>
    <w:rsid w:val="43B23B98"/>
    <w:rsid w:val="43C80076"/>
    <w:rsid w:val="43CF6B01"/>
    <w:rsid w:val="43D8550E"/>
    <w:rsid w:val="43DC0C7D"/>
    <w:rsid w:val="43EA69D8"/>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EE3358"/>
    <w:rsid w:val="46066722"/>
    <w:rsid w:val="461976C3"/>
    <w:rsid w:val="461C0664"/>
    <w:rsid w:val="463D42BA"/>
    <w:rsid w:val="46476FAE"/>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7F3601"/>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1A17B8"/>
    <w:rsid w:val="482F10F4"/>
    <w:rsid w:val="48606A0B"/>
    <w:rsid w:val="486D78BB"/>
    <w:rsid w:val="48915636"/>
    <w:rsid w:val="48985F31"/>
    <w:rsid w:val="48AC6E35"/>
    <w:rsid w:val="48BD43A0"/>
    <w:rsid w:val="48C96968"/>
    <w:rsid w:val="48F84416"/>
    <w:rsid w:val="490874C4"/>
    <w:rsid w:val="491A6A98"/>
    <w:rsid w:val="491D4AAF"/>
    <w:rsid w:val="4926292B"/>
    <w:rsid w:val="49371235"/>
    <w:rsid w:val="494324F6"/>
    <w:rsid w:val="49455D20"/>
    <w:rsid w:val="496217A6"/>
    <w:rsid w:val="497B341F"/>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760E10"/>
    <w:rsid w:val="4A9C47ED"/>
    <w:rsid w:val="4AA71D5E"/>
    <w:rsid w:val="4AA743C5"/>
    <w:rsid w:val="4AAA6CA9"/>
    <w:rsid w:val="4AE008D2"/>
    <w:rsid w:val="4B0B3617"/>
    <w:rsid w:val="4B2815DF"/>
    <w:rsid w:val="4B3774F7"/>
    <w:rsid w:val="4B473F5E"/>
    <w:rsid w:val="4B49191E"/>
    <w:rsid w:val="4B507FB2"/>
    <w:rsid w:val="4B647620"/>
    <w:rsid w:val="4B695935"/>
    <w:rsid w:val="4B7A55E6"/>
    <w:rsid w:val="4B82653E"/>
    <w:rsid w:val="4B894031"/>
    <w:rsid w:val="4B8C1A83"/>
    <w:rsid w:val="4B946154"/>
    <w:rsid w:val="4B9D4816"/>
    <w:rsid w:val="4BB12731"/>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F426B"/>
    <w:rsid w:val="4CFE069C"/>
    <w:rsid w:val="4D033F9C"/>
    <w:rsid w:val="4D055E23"/>
    <w:rsid w:val="4D2433AC"/>
    <w:rsid w:val="4D4A4A28"/>
    <w:rsid w:val="4D5D7D7F"/>
    <w:rsid w:val="4D625C01"/>
    <w:rsid w:val="4D8F350E"/>
    <w:rsid w:val="4D924E46"/>
    <w:rsid w:val="4D9877E4"/>
    <w:rsid w:val="4DBD22E7"/>
    <w:rsid w:val="4DC73507"/>
    <w:rsid w:val="4DDA6A5F"/>
    <w:rsid w:val="4DDB7205"/>
    <w:rsid w:val="4DDF772B"/>
    <w:rsid w:val="4DEB15AD"/>
    <w:rsid w:val="4DF87443"/>
    <w:rsid w:val="4E370600"/>
    <w:rsid w:val="4E38388D"/>
    <w:rsid w:val="4E435024"/>
    <w:rsid w:val="4E4E7E80"/>
    <w:rsid w:val="4E534A5B"/>
    <w:rsid w:val="4E5C5562"/>
    <w:rsid w:val="4E5F69A8"/>
    <w:rsid w:val="4E655726"/>
    <w:rsid w:val="4E754A02"/>
    <w:rsid w:val="4E95725E"/>
    <w:rsid w:val="4E9A073B"/>
    <w:rsid w:val="4E9A6CF9"/>
    <w:rsid w:val="4EA65FD0"/>
    <w:rsid w:val="4ED33DCB"/>
    <w:rsid w:val="4EE34782"/>
    <w:rsid w:val="4EE63F4F"/>
    <w:rsid w:val="4EEC23A6"/>
    <w:rsid w:val="4F007E65"/>
    <w:rsid w:val="4F0A1AF8"/>
    <w:rsid w:val="4F203D73"/>
    <w:rsid w:val="4F27252E"/>
    <w:rsid w:val="4F2935FA"/>
    <w:rsid w:val="4F323E26"/>
    <w:rsid w:val="4F3913E8"/>
    <w:rsid w:val="4F456A38"/>
    <w:rsid w:val="4F501419"/>
    <w:rsid w:val="4F5545E5"/>
    <w:rsid w:val="4F594DAC"/>
    <w:rsid w:val="4F6C3F07"/>
    <w:rsid w:val="4F830574"/>
    <w:rsid w:val="4F8D5FB6"/>
    <w:rsid w:val="4F9753D7"/>
    <w:rsid w:val="4FA54804"/>
    <w:rsid w:val="4FBF34BA"/>
    <w:rsid w:val="4FCA2B98"/>
    <w:rsid w:val="4FCB218A"/>
    <w:rsid w:val="4FCE7BAE"/>
    <w:rsid w:val="4FD912CE"/>
    <w:rsid w:val="4FFE4A87"/>
    <w:rsid w:val="500344EA"/>
    <w:rsid w:val="500B7B4C"/>
    <w:rsid w:val="502618E8"/>
    <w:rsid w:val="503C3296"/>
    <w:rsid w:val="504B0F0D"/>
    <w:rsid w:val="50527689"/>
    <w:rsid w:val="506633AA"/>
    <w:rsid w:val="507237E3"/>
    <w:rsid w:val="50911DB8"/>
    <w:rsid w:val="50943033"/>
    <w:rsid w:val="509D389C"/>
    <w:rsid w:val="50A642FD"/>
    <w:rsid w:val="50AF647F"/>
    <w:rsid w:val="50BB317D"/>
    <w:rsid w:val="50D0126F"/>
    <w:rsid w:val="50D06E68"/>
    <w:rsid w:val="50D37C72"/>
    <w:rsid w:val="50DE63C8"/>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447CBB"/>
    <w:rsid w:val="545062A7"/>
    <w:rsid w:val="545C3555"/>
    <w:rsid w:val="54617320"/>
    <w:rsid w:val="547A28DC"/>
    <w:rsid w:val="54827775"/>
    <w:rsid w:val="54AC5134"/>
    <w:rsid w:val="54CF254E"/>
    <w:rsid w:val="54DE6078"/>
    <w:rsid w:val="54E86EBD"/>
    <w:rsid w:val="54F2526E"/>
    <w:rsid w:val="55075D9B"/>
    <w:rsid w:val="55184BBF"/>
    <w:rsid w:val="551874CA"/>
    <w:rsid w:val="551E6A56"/>
    <w:rsid w:val="552006D3"/>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97F90"/>
    <w:rsid w:val="56133E90"/>
    <w:rsid w:val="56157E04"/>
    <w:rsid w:val="56474D43"/>
    <w:rsid w:val="564C1D1D"/>
    <w:rsid w:val="565F1E2E"/>
    <w:rsid w:val="56670F45"/>
    <w:rsid w:val="566F1BE2"/>
    <w:rsid w:val="567B004B"/>
    <w:rsid w:val="56825178"/>
    <w:rsid w:val="568F784B"/>
    <w:rsid w:val="56985F83"/>
    <w:rsid w:val="569C0124"/>
    <w:rsid w:val="56A17AE8"/>
    <w:rsid w:val="56C9634D"/>
    <w:rsid w:val="56D41BE8"/>
    <w:rsid w:val="56EC7A5D"/>
    <w:rsid w:val="56F4599D"/>
    <w:rsid w:val="570D0322"/>
    <w:rsid w:val="57180ACE"/>
    <w:rsid w:val="571B61B6"/>
    <w:rsid w:val="57213E7D"/>
    <w:rsid w:val="5723561B"/>
    <w:rsid w:val="572362C9"/>
    <w:rsid w:val="572F37C6"/>
    <w:rsid w:val="5736629C"/>
    <w:rsid w:val="57540996"/>
    <w:rsid w:val="57802A35"/>
    <w:rsid w:val="578C3658"/>
    <w:rsid w:val="57B66918"/>
    <w:rsid w:val="57BD6FCE"/>
    <w:rsid w:val="57D214D2"/>
    <w:rsid w:val="57DA1A42"/>
    <w:rsid w:val="58002D08"/>
    <w:rsid w:val="58057728"/>
    <w:rsid w:val="581D1F94"/>
    <w:rsid w:val="582872BA"/>
    <w:rsid w:val="5829318A"/>
    <w:rsid w:val="582D7EE9"/>
    <w:rsid w:val="583343BB"/>
    <w:rsid w:val="583439B3"/>
    <w:rsid w:val="583B5787"/>
    <w:rsid w:val="586759C7"/>
    <w:rsid w:val="587B0440"/>
    <w:rsid w:val="58957B25"/>
    <w:rsid w:val="58C07CA9"/>
    <w:rsid w:val="58CB472A"/>
    <w:rsid w:val="58DE5A38"/>
    <w:rsid w:val="58FA7B16"/>
    <w:rsid w:val="58FB22A6"/>
    <w:rsid w:val="59003437"/>
    <w:rsid w:val="59182EE7"/>
    <w:rsid w:val="5921212C"/>
    <w:rsid w:val="59395687"/>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52E1B"/>
    <w:rsid w:val="5AD4245B"/>
    <w:rsid w:val="5AE91049"/>
    <w:rsid w:val="5AEF582B"/>
    <w:rsid w:val="5B0B5334"/>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4E1E1E"/>
    <w:rsid w:val="5C4F343B"/>
    <w:rsid w:val="5C6062D2"/>
    <w:rsid w:val="5C6A79EB"/>
    <w:rsid w:val="5C912690"/>
    <w:rsid w:val="5C970365"/>
    <w:rsid w:val="5C9F632F"/>
    <w:rsid w:val="5CCB04A2"/>
    <w:rsid w:val="5CCD7E04"/>
    <w:rsid w:val="5CD51F6A"/>
    <w:rsid w:val="5CD6026B"/>
    <w:rsid w:val="5CE319F6"/>
    <w:rsid w:val="5CE42846"/>
    <w:rsid w:val="5CE9406B"/>
    <w:rsid w:val="5D06198F"/>
    <w:rsid w:val="5D0656E1"/>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2604"/>
    <w:rsid w:val="5E6B78B9"/>
    <w:rsid w:val="5E72530D"/>
    <w:rsid w:val="5E7B3471"/>
    <w:rsid w:val="5E811840"/>
    <w:rsid w:val="5EAC620C"/>
    <w:rsid w:val="5EB56E43"/>
    <w:rsid w:val="5EDB6E5E"/>
    <w:rsid w:val="5F050603"/>
    <w:rsid w:val="5F0F5BF5"/>
    <w:rsid w:val="5F1070E5"/>
    <w:rsid w:val="5F137093"/>
    <w:rsid w:val="5F475DFB"/>
    <w:rsid w:val="5F4A6912"/>
    <w:rsid w:val="5F9A19AB"/>
    <w:rsid w:val="5FA342D5"/>
    <w:rsid w:val="5FA40581"/>
    <w:rsid w:val="5FBF418B"/>
    <w:rsid w:val="5FC03F1C"/>
    <w:rsid w:val="5FC128D4"/>
    <w:rsid w:val="5FC577B3"/>
    <w:rsid w:val="5FFB751D"/>
    <w:rsid w:val="5FFC1DCE"/>
    <w:rsid w:val="600016DE"/>
    <w:rsid w:val="602423C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0D7806"/>
    <w:rsid w:val="64156CD8"/>
    <w:rsid w:val="64413D22"/>
    <w:rsid w:val="64470699"/>
    <w:rsid w:val="644B6CD5"/>
    <w:rsid w:val="646253D3"/>
    <w:rsid w:val="64627D01"/>
    <w:rsid w:val="6473435B"/>
    <w:rsid w:val="647B624F"/>
    <w:rsid w:val="647E16A4"/>
    <w:rsid w:val="64864D44"/>
    <w:rsid w:val="64A01013"/>
    <w:rsid w:val="64C76164"/>
    <w:rsid w:val="64D3186F"/>
    <w:rsid w:val="64EF2266"/>
    <w:rsid w:val="64F33559"/>
    <w:rsid w:val="64FD2EEA"/>
    <w:rsid w:val="64FF1ABC"/>
    <w:rsid w:val="650E3520"/>
    <w:rsid w:val="652B69C4"/>
    <w:rsid w:val="654069DE"/>
    <w:rsid w:val="65413B3E"/>
    <w:rsid w:val="654B3E81"/>
    <w:rsid w:val="655555A6"/>
    <w:rsid w:val="655F14F0"/>
    <w:rsid w:val="65660277"/>
    <w:rsid w:val="656E6D13"/>
    <w:rsid w:val="65990AED"/>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DB0501"/>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646E9"/>
    <w:rsid w:val="6A99048F"/>
    <w:rsid w:val="6AA077DB"/>
    <w:rsid w:val="6AA47C92"/>
    <w:rsid w:val="6AB909BB"/>
    <w:rsid w:val="6ABA0C51"/>
    <w:rsid w:val="6ABD020C"/>
    <w:rsid w:val="6ADD6D64"/>
    <w:rsid w:val="6B0F06C2"/>
    <w:rsid w:val="6B2B6878"/>
    <w:rsid w:val="6B633F4F"/>
    <w:rsid w:val="6B70680D"/>
    <w:rsid w:val="6B816F14"/>
    <w:rsid w:val="6B8A298B"/>
    <w:rsid w:val="6B8A779B"/>
    <w:rsid w:val="6BAD6C20"/>
    <w:rsid w:val="6BB456BB"/>
    <w:rsid w:val="6BB62A44"/>
    <w:rsid w:val="6BD81D0A"/>
    <w:rsid w:val="6BE052CE"/>
    <w:rsid w:val="6BF2692A"/>
    <w:rsid w:val="6BF358A4"/>
    <w:rsid w:val="6C051F4E"/>
    <w:rsid w:val="6C096C12"/>
    <w:rsid w:val="6C1A5960"/>
    <w:rsid w:val="6C417EB8"/>
    <w:rsid w:val="6C437218"/>
    <w:rsid w:val="6C530BD3"/>
    <w:rsid w:val="6C613F45"/>
    <w:rsid w:val="6C756221"/>
    <w:rsid w:val="6C7B08BB"/>
    <w:rsid w:val="6C816AF9"/>
    <w:rsid w:val="6C846694"/>
    <w:rsid w:val="6C8B2CBB"/>
    <w:rsid w:val="6CA841D2"/>
    <w:rsid w:val="6CB10385"/>
    <w:rsid w:val="6CC60283"/>
    <w:rsid w:val="6CC64769"/>
    <w:rsid w:val="6CDF0F3A"/>
    <w:rsid w:val="6CE47854"/>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A71AD5"/>
    <w:rsid w:val="6FAF2607"/>
    <w:rsid w:val="6FD47D24"/>
    <w:rsid w:val="6FE17D06"/>
    <w:rsid w:val="6FF536DD"/>
    <w:rsid w:val="6FFD71B3"/>
    <w:rsid w:val="700D2412"/>
    <w:rsid w:val="70112883"/>
    <w:rsid w:val="70243856"/>
    <w:rsid w:val="70320F62"/>
    <w:rsid w:val="703F2471"/>
    <w:rsid w:val="704B4131"/>
    <w:rsid w:val="70531ED5"/>
    <w:rsid w:val="705A528C"/>
    <w:rsid w:val="7068062C"/>
    <w:rsid w:val="707F47B3"/>
    <w:rsid w:val="70954F53"/>
    <w:rsid w:val="70A94A40"/>
    <w:rsid w:val="70D80F32"/>
    <w:rsid w:val="70D97C76"/>
    <w:rsid w:val="70F76E40"/>
    <w:rsid w:val="70F84E05"/>
    <w:rsid w:val="711337D0"/>
    <w:rsid w:val="713173E8"/>
    <w:rsid w:val="71420658"/>
    <w:rsid w:val="7143472C"/>
    <w:rsid w:val="71440341"/>
    <w:rsid w:val="71531561"/>
    <w:rsid w:val="71597148"/>
    <w:rsid w:val="716D089C"/>
    <w:rsid w:val="71715206"/>
    <w:rsid w:val="71743A1D"/>
    <w:rsid w:val="71774D56"/>
    <w:rsid w:val="71901CEF"/>
    <w:rsid w:val="719438F4"/>
    <w:rsid w:val="719D7F3F"/>
    <w:rsid w:val="71AF2A94"/>
    <w:rsid w:val="71B55DFD"/>
    <w:rsid w:val="71B834E8"/>
    <w:rsid w:val="71D0750E"/>
    <w:rsid w:val="71D657B6"/>
    <w:rsid w:val="71D803D1"/>
    <w:rsid w:val="71E501C6"/>
    <w:rsid w:val="71F40A44"/>
    <w:rsid w:val="7202163F"/>
    <w:rsid w:val="723B04C8"/>
    <w:rsid w:val="724E6817"/>
    <w:rsid w:val="72600D68"/>
    <w:rsid w:val="72604620"/>
    <w:rsid w:val="726B02C1"/>
    <w:rsid w:val="726D2C67"/>
    <w:rsid w:val="729A0F74"/>
    <w:rsid w:val="72F03574"/>
    <w:rsid w:val="72F77CB6"/>
    <w:rsid w:val="731438BD"/>
    <w:rsid w:val="733155C8"/>
    <w:rsid w:val="73422D3C"/>
    <w:rsid w:val="73625723"/>
    <w:rsid w:val="737007D9"/>
    <w:rsid w:val="738B5B50"/>
    <w:rsid w:val="73AA53A0"/>
    <w:rsid w:val="73B04F6B"/>
    <w:rsid w:val="73D20D1A"/>
    <w:rsid w:val="73E168D2"/>
    <w:rsid w:val="73E873C4"/>
    <w:rsid w:val="73F07AA4"/>
    <w:rsid w:val="73FC2E6E"/>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BD313A"/>
    <w:rsid w:val="75BF6D3D"/>
    <w:rsid w:val="75DC1EF4"/>
    <w:rsid w:val="75E50837"/>
    <w:rsid w:val="75EF5520"/>
    <w:rsid w:val="75F623DE"/>
    <w:rsid w:val="75F63713"/>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1670C1"/>
    <w:rsid w:val="772C16E9"/>
    <w:rsid w:val="77683E14"/>
    <w:rsid w:val="77734EA5"/>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B515B5"/>
    <w:rsid w:val="78B762E9"/>
    <w:rsid w:val="78C21620"/>
    <w:rsid w:val="78CE2D76"/>
    <w:rsid w:val="78EE2375"/>
    <w:rsid w:val="78FA244C"/>
    <w:rsid w:val="78FB752E"/>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80BCB"/>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3F68F9"/>
    <w:rsid w:val="7B496993"/>
    <w:rsid w:val="7B633173"/>
    <w:rsid w:val="7B783675"/>
    <w:rsid w:val="7B796807"/>
    <w:rsid w:val="7B9A1258"/>
    <w:rsid w:val="7BAC2D3A"/>
    <w:rsid w:val="7BAE3C97"/>
    <w:rsid w:val="7BB16076"/>
    <w:rsid w:val="7BB46DB9"/>
    <w:rsid w:val="7BC02341"/>
    <w:rsid w:val="7BD74454"/>
    <w:rsid w:val="7BE96DEC"/>
    <w:rsid w:val="7C021A51"/>
    <w:rsid w:val="7C033C13"/>
    <w:rsid w:val="7C041A0F"/>
    <w:rsid w:val="7C110306"/>
    <w:rsid w:val="7C212B8A"/>
    <w:rsid w:val="7C7C71B9"/>
    <w:rsid w:val="7C81768A"/>
    <w:rsid w:val="7C8464A1"/>
    <w:rsid w:val="7C923CDE"/>
    <w:rsid w:val="7C9D2D7B"/>
    <w:rsid w:val="7CA26867"/>
    <w:rsid w:val="7CB43A8E"/>
    <w:rsid w:val="7CC106AB"/>
    <w:rsid w:val="7CDF4250"/>
    <w:rsid w:val="7D09113D"/>
    <w:rsid w:val="7D142810"/>
    <w:rsid w:val="7D157A0E"/>
    <w:rsid w:val="7D1658AD"/>
    <w:rsid w:val="7D1925F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1276E1"/>
    <w:rsid w:val="7E202441"/>
    <w:rsid w:val="7E4B691E"/>
    <w:rsid w:val="7E616C7B"/>
    <w:rsid w:val="7E733A70"/>
    <w:rsid w:val="7E8A0780"/>
    <w:rsid w:val="7EA574A2"/>
    <w:rsid w:val="7EBB0DC0"/>
    <w:rsid w:val="7EC42E15"/>
    <w:rsid w:val="7EC50C54"/>
    <w:rsid w:val="7ED11A3C"/>
    <w:rsid w:val="7ED91C72"/>
    <w:rsid w:val="7EEB5BB3"/>
    <w:rsid w:val="7F1568D7"/>
    <w:rsid w:val="7F2E0D24"/>
    <w:rsid w:val="7F312E91"/>
    <w:rsid w:val="7F33645C"/>
    <w:rsid w:val="7F4E4DC2"/>
    <w:rsid w:val="7F631961"/>
    <w:rsid w:val="7F66205C"/>
    <w:rsid w:val="7FA8327A"/>
    <w:rsid w:val="7FB32EED"/>
    <w:rsid w:val="7FB6358D"/>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2">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firstLineChars="200"/>
    </w:pPr>
    <w:rPr>
      <w:rFonts w:ascii="Calibri" w:hAnsi="Calibri" w:eastAsia="仿宋" w:cs="Times New Roman"/>
      <w:sz w:val="32"/>
    </w:rPr>
  </w:style>
  <w:style w:type="paragraph" w:styleId="3">
    <w:name w:val="toa heading"/>
    <w:basedOn w:val="1"/>
    <w:next w:val="1"/>
    <w:qFormat/>
    <w:uiPriority w:val="99"/>
    <w:pPr>
      <w:spacing w:before="120" w:after="200" w:line="276" w:lineRule="auto"/>
    </w:pPr>
    <w:rPr>
      <w:rFonts w:ascii="Arial" w:hAnsi="Arial"/>
      <w:sz w:val="24"/>
    </w:rPr>
  </w:style>
  <w:style w:type="paragraph" w:styleId="4">
    <w:name w:val="Body Text"/>
    <w:qFormat/>
    <w:uiPriority w:val="0"/>
    <w:pPr>
      <w:kinsoku w:val="0"/>
      <w:autoSpaceDE w:val="0"/>
      <w:autoSpaceDN w:val="0"/>
      <w:adjustRightInd w:val="0"/>
      <w:snapToGrid w:val="0"/>
      <w:spacing w:after="120" w:line="240" w:lineRule="auto"/>
      <w:jc w:val="left"/>
      <w:textAlignment w:val="baseline"/>
    </w:pPr>
    <w:rPr>
      <w:rFonts w:ascii="Arial" w:hAnsi="Arial" w:eastAsia="Arial" w:cs="Arial"/>
      <w:snapToGrid w:val="0"/>
      <w:color w:val="000000"/>
      <w:kern w:val="0"/>
      <w:sz w:val="20"/>
      <w:szCs w:val="24"/>
    </w:rPr>
  </w:style>
  <w:style w:type="paragraph" w:styleId="5">
    <w:name w:val="Body Text Indent"/>
    <w:basedOn w:val="1"/>
    <w:next w:val="2"/>
    <w:qFormat/>
    <w:uiPriority w:val="0"/>
    <w:pPr>
      <w:spacing w:after="120"/>
      <w:ind w:left="420" w:leftChars="200"/>
    </w:pPr>
    <w:rPr>
      <w:rFonts w:ascii="Calibri" w:hAnsi="Calibri" w:cs="Times New Roman"/>
      <w:szCs w:val="22"/>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paragraph" w:styleId="9">
    <w:name w:val="Body Text First Indent 2"/>
    <w:basedOn w:val="5"/>
    <w:next w:val="1"/>
    <w:unhideWhenUsed/>
    <w:qFormat/>
    <w:uiPriority w:val="99"/>
    <w:pPr>
      <w:ind w:firstLine="420" w:firstLineChars="200"/>
    </w:pPr>
    <w:rPr>
      <w:rFonts w:ascii="Times New Roman" w:hAnsi="Times New Roman" w:cs="Times New Roman"/>
      <w:szCs w:val="24"/>
    </w:r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3">
    <w:name w:val="Table Normal"/>
    <w:unhideWhenUsed/>
    <w:qFormat/>
    <w:uiPriority w:val="0"/>
    <w:tblPr>
      <w:tblCellMar>
        <w:top w:w="0" w:type="dxa"/>
        <w:left w:w="0" w:type="dxa"/>
        <w:bottom w:w="0" w:type="dxa"/>
        <w:right w:w="0" w:type="dxa"/>
      </w:tblCellMar>
    </w:tblPr>
  </w:style>
  <w:style w:type="paragraph" w:customStyle="1" w:styleId="14">
    <w:name w:val="无间隔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
    <w:name w:val="font31"/>
    <w:basedOn w:val="12"/>
    <w:qFormat/>
    <w:uiPriority w:val="0"/>
    <w:rPr>
      <w:rFonts w:hint="default" w:ascii="Arial" w:hAnsi="Arial" w:cs="Arial"/>
      <w:color w:val="000000"/>
      <w:sz w:val="21"/>
      <w:szCs w:val="21"/>
      <w:u w:val="none"/>
    </w:rPr>
  </w:style>
  <w:style w:type="character" w:customStyle="1" w:styleId="16">
    <w:name w:val="font21"/>
    <w:basedOn w:val="12"/>
    <w:qFormat/>
    <w:uiPriority w:val="0"/>
    <w:rPr>
      <w:rFonts w:hint="eastAsia" w:ascii="仿宋" w:hAnsi="仿宋" w:eastAsia="仿宋" w:cs="仿宋"/>
      <w:color w:val="000000"/>
      <w:sz w:val="21"/>
      <w:szCs w:val="21"/>
      <w:u w:val="none"/>
    </w:rPr>
  </w:style>
  <w:style w:type="character" w:customStyle="1" w:styleId="17">
    <w:name w:val="font11"/>
    <w:basedOn w:val="12"/>
    <w:qFormat/>
    <w:uiPriority w:val="0"/>
    <w:rPr>
      <w:rFonts w:hint="eastAsia" w:ascii="仿宋" w:hAnsi="仿宋" w:eastAsia="仿宋" w:cs="仿宋"/>
      <w:color w:val="000000"/>
      <w:sz w:val="20"/>
      <w:szCs w:val="20"/>
      <w:u w:val="none"/>
    </w:rPr>
  </w:style>
  <w:style w:type="character" w:customStyle="1" w:styleId="18">
    <w:name w:val="font41"/>
    <w:basedOn w:val="12"/>
    <w:qFormat/>
    <w:uiPriority w:val="0"/>
    <w:rPr>
      <w:rFonts w:hint="default" w:ascii="Calibri" w:hAnsi="Calibri" w:cs="Calibri"/>
      <w:color w:val="000000"/>
      <w:sz w:val="13"/>
      <w:szCs w:val="13"/>
      <w:u w:val="none"/>
    </w:rPr>
  </w:style>
  <w:style w:type="character" w:customStyle="1" w:styleId="19">
    <w:name w:val="font51"/>
    <w:basedOn w:val="12"/>
    <w:uiPriority w:val="0"/>
    <w:rPr>
      <w:rFonts w:hint="eastAsia" w:ascii="宋体" w:hAnsi="宋体" w:eastAsia="宋体" w:cs="宋体"/>
      <w:color w:val="000000"/>
      <w:sz w:val="13"/>
      <w:szCs w:val="13"/>
      <w:u w:val="none"/>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15</Pages>
  <Words>5263</Words>
  <Characters>5831</Characters>
  <Lines>0</Lines>
  <Paragraphs>0</Paragraphs>
  <TotalTime>3</TotalTime>
  <ScaleCrop>false</ScaleCrop>
  <LinksUpToDate>false</LinksUpToDate>
  <CharactersWithSpaces>6010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葡萄</cp:lastModifiedBy>
  <cp:lastPrinted>2023-05-26T08:11:00Z</cp:lastPrinted>
  <dcterms:modified xsi:type="dcterms:W3CDTF">2023-10-10T08:46:08Z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89C09063EE2D408898C63BA511B39F1F_13</vt:lpwstr>
  </property>
</Properties>
</file>