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附件</w:t>
      </w: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firstLine="0" w:firstLineChars="0"/>
        <w:jc w:val="right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4"/>
          <w:szCs w:val="44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14:textFill>
            <w14:solidFill>
              <w14:schemeClr w14:val="tx1"/>
            </w14:solidFill>
          </w14:textFill>
        </w:rPr>
        <w:t>2022年度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:lang w:eastAsia="zh-CN"/>
          <w14:textFill>
            <w14:solidFill>
              <w14:schemeClr w14:val="tx1"/>
            </w14:solidFill>
          </w14:textFill>
        </w:rPr>
        <w:t>预算单位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14:textFill>
            <w14:solidFill>
              <w14:schemeClr w14:val="tx1"/>
            </w14:solidFill>
          </w14:textFill>
        </w:rPr>
        <w:t>整体支出绩效评价基础数据表</w:t>
      </w:r>
    </w:p>
    <w:p>
      <w:pPr>
        <w:spacing w:line="115" w:lineRule="exact"/>
        <w:rPr>
          <w:color w:val="000000" w:themeColor="text1"/>
          <w14:textFill>
            <w14:solidFill>
              <w14:schemeClr w14:val="tx1"/>
            </w14:solidFill>
          </w14:textFill>
        </w:rPr>
      </w:pPr>
    </w:p>
    <w:tbl>
      <w:tblPr>
        <w:tblStyle w:val="9"/>
        <w:tblW w:w="9669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850"/>
        <w:gridCol w:w="825"/>
        <w:gridCol w:w="990"/>
        <w:gridCol w:w="1140"/>
        <w:gridCol w:w="1185"/>
        <w:gridCol w:w="810"/>
        <w:gridCol w:w="869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</w:trPr>
        <w:tc>
          <w:tcPr>
            <w:tcW w:w="3850" w:type="dxa"/>
            <w:tcBorders>
              <w:bottom w:val="nil"/>
            </w:tcBorders>
            <w:vAlign w:val="center"/>
          </w:tcPr>
          <w:p>
            <w:pPr>
              <w:spacing w:before="33" w:line="198" w:lineRule="auto"/>
              <w:ind w:right="118" w:rightChars="0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预算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单位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名称</w:t>
            </w:r>
          </w:p>
        </w:tc>
        <w:tc>
          <w:tcPr>
            <w:tcW w:w="5819" w:type="dxa"/>
            <w:gridSpan w:val="6"/>
            <w:vAlign w:val="top"/>
          </w:tcPr>
          <w:p>
            <w:pPr>
              <w:spacing w:before="103" w:line="219" w:lineRule="auto"/>
              <w:ind w:left="708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岳阳市岳阳楼区王家河街道办事处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</w:tblPrEx>
        <w:trPr>
          <w:trHeight w:val="355" w:hRule="atLeast"/>
        </w:trPr>
        <w:tc>
          <w:tcPr>
            <w:tcW w:w="3850" w:type="dxa"/>
            <w:vMerge w:val="restart"/>
            <w:tcBorders>
              <w:bottom w:val="nil"/>
            </w:tcBorders>
            <w:vAlign w:val="top"/>
          </w:tcPr>
          <w:p>
            <w:pPr>
              <w:spacing w:before="262" w:line="219" w:lineRule="auto"/>
              <w:ind w:left="575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财政供养人员情况(人)</w:t>
            </w:r>
          </w:p>
        </w:tc>
        <w:tc>
          <w:tcPr>
            <w:tcW w:w="1815" w:type="dxa"/>
            <w:gridSpan w:val="2"/>
            <w:vAlign w:val="top"/>
          </w:tcPr>
          <w:p>
            <w:pPr>
              <w:spacing w:before="103" w:line="219" w:lineRule="auto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3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编制数</w:t>
            </w:r>
          </w:p>
        </w:tc>
        <w:tc>
          <w:tcPr>
            <w:tcW w:w="2325" w:type="dxa"/>
            <w:gridSpan w:val="2"/>
            <w:vAlign w:val="top"/>
          </w:tcPr>
          <w:p>
            <w:pPr>
              <w:spacing w:before="83" w:line="219" w:lineRule="auto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2022年实际在职人数</w:t>
            </w:r>
          </w:p>
        </w:tc>
        <w:tc>
          <w:tcPr>
            <w:tcW w:w="1679" w:type="dxa"/>
            <w:gridSpan w:val="2"/>
            <w:vAlign w:val="top"/>
          </w:tcPr>
          <w:p>
            <w:pPr>
              <w:spacing w:before="103" w:line="219" w:lineRule="auto"/>
              <w:ind w:left="708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控制率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vMerge w:val="continue"/>
            <w:tcBorders>
              <w:top w:val="nil"/>
            </w:tcBorders>
            <w:vAlign w:val="top"/>
          </w:tcPr>
          <w:p>
            <w:pPr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815" w:type="dxa"/>
            <w:gridSpan w:val="2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61</w:t>
            </w:r>
          </w:p>
        </w:tc>
        <w:tc>
          <w:tcPr>
            <w:tcW w:w="2325" w:type="dxa"/>
            <w:gridSpan w:val="2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61</w:t>
            </w:r>
          </w:p>
        </w:tc>
        <w:tc>
          <w:tcPr>
            <w:tcW w:w="1679" w:type="dxa"/>
            <w:gridSpan w:val="2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   100%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</w:trPr>
        <w:tc>
          <w:tcPr>
            <w:tcW w:w="3850" w:type="dxa"/>
            <w:vAlign w:val="top"/>
          </w:tcPr>
          <w:p>
            <w:pPr>
              <w:spacing w:before="140" w:line="202" w:lineRule="auto"/>
              <w:ind w:left="6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4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经费控制情况(万元)</w:t>
            </w:r>
          </w:p>
        </w:tc>
        <w:tc>
          <w:tcPr>
            <w:tcW w:w="1815" w:type="dxa"/>
            <w:gridSpan w:val="2"/>
            <w:vAlign w:val="top"/>
          </w:tcPr>
          <w:p>
            <w:pPr>
              <w:spacing w:before="119" w:line="219" w:lineRule="auto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2021年决算数</w:t>
            </w:r>
          </w:p>
        </w:tc>
        <w:tc>
          <w:tcPr>
            <w:tcW w:w="2325" w:type="dxa"/>
            <w:gridSpan w:val="2"/>
            <w:vAlign w:val="top"/>
          </w:tcPr>
          <w:p>
            <w:pPr>
              <w:spacing w:before="119" w:line="219" w:lineRule="auto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2022年预算数</w:t>
            </w:r>
          </w:p>
        </w:tc>
        <w:tc>
          <w:tcPr>
            <w:tcW w:w="1679" w:type="dxa"/>
            <w:gridSpan w:val="2"/>
            <w:vAlign w:val="top"/>
          </w:tcPr>
          <w:p>
            <w:pPr>
              <w:spacing w:before="76" w:line="219" w:lineRule="auto"/>
              <w:jc w:val="center"/>
              <w:rPr>
                <w:rFonts w:hint="eastAsia" w:asciiTheme="majorEastAsia" w:hAnsiTheme="majorEastAsia" w:eastAsiaTheme="majorEastAsia" w:cstheme="majorEastAsia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b w:val="0"/>
                <w:bCs w:val="0"/>
                <w:color w:val="000000" w:themeColor="text1"/>
                <w:spacing w:val="-4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2022年决算数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vAlign w:val="top"/>
          </w:tcPr>
          <w:p>
            <w:pPr>
              <w:spacing w:before="140" w:line="202" w:lineRule="auto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4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4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三公经费</w:t>
            </w:r>
          </w:p>
        </w:tc>
        <w:tc>
          <w:tcPr>
            <w:tcW w:w="1815" w:type="dxa"/>
            <w:gridSpan w:val="2"/>
            <w:vAlign w:val="top"/>
          </w:tcPr>
          <w:p>
            <w:pPr>
              <w:spacing w:before="140" w:line="202" w:lineRule="auto"/>
              <w:ind w:left="6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4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4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10.6</w:t>
            </w:r>
          </w:p>
        </w:tc>
        <w:tc>
          <w:tcPr>
            <w:tcW w:w="2325" w:type="dxa"/>
            <w:gridSpan w:val="2"/>
            <w:vAlign w:val="top"/>
          </w:tcPr>
          <w:p>
            <w:pPr>
              <w:spacing w:before="140" w:line="202" w:lineRule="auto"/>
              <w:ind w:left="6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4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4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 0</w:t>
            </w:r>
          </w:p>
        </w:tc>
        <w:tc>
          <w:tcPr>
            <w:tcW w:w="1679" w:type="dxa"/>
            <w:gridSpan w:val="2"/>
            <w:vAlign w:val="top"/>
          </w:tcPr>
          <w:p>
            <w:pPr>
              <w:spacing w:before="140" w:line="202" w:lineRule="auto"/>
              <w:ind w:left="6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4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4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9.6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vAlign w:val="top"/>
          </w:tcPr>
          <w:p>
            <w:pPr>
              <w:spacing w:before="149" w:line="193" w:lineRule="auto"/>
              <w:ind w:left="41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1、公务用车购置和维护经费</w:t>
            </w:r>
          </w:p>
        </w:tc>
        <w:tc>
          <w:tcPr>
            <w:tcW w:w="1815" w:type="dxa"/>
            <w:gridSpan w:val="2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2325" w:type="dxa"/>
            <w:gridSpan w:val="2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679" w:type="dxa"/>
            <w:gridSpan w:val="2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vAlign w:val="top"/>
          </w:tcPr>
          <w:p>
            <w:pPr>
              <w:spacing w:before="81" w:line="219" w:lineRule="auto"/>
              <w:ind w:left="81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其中：公车购置</w:t>
            </w:r>
          </w:p>
        </w:tc>
        <w:tc>
          <w:tcPr>
            <w:tcW w:w="1815" w:type="dxa"/>
            <w:gridSpan w:val="2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2325" w:type="dxa"/>
            <w:gridSpan w:val="2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679" w:type="dxa"/>
            <w:gridSpan w:val="2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3850" w:type="dxa"/>
            <w:vAlign w:val="top"/>
          </w:tcPr>
          <w:p>
            <w:pPr>
              <w:spacing w:before="91" w:line="219" w:lineRule="auto"/>
              <w:ind w:left="142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公车运行维护</w:t>
            </w:r>
          </w:p>
        </w:tc>
        <w:tc>
          <w:tcPr>
            <w:tcW w:w="1815" w:type="dxa"/>
            <w:gridSpan w:val="2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2325" w:type="dxa"/>
            <w:gridSpan w:val="2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679" w:type="dxa"/>
            <w:gridSpan w:val="2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3850" w:type="dxa"/>
            <w:vAlign w:val="top"/>
          </w:tcPr>
          <w:p>
            <w:pPr>
              <w:spacing w:before="81" w:line="220" w:lineRule="auto"/>
              <w:ind w:left="3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2、出国经费</w:t>
            </w:r>
          </w:p>
        </w:tc>
        <w:tc>
          <w:tcPr>
            <w:tcW w:w="1815" w:type="dxa"/>
            <w:gridSpan w:val="2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2325" w:type="dxa"/>
            <w:gridSpan w:val="2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679" w:type="dxa"/>
            <w:gridSpan w:val="2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vAlign w:val="top"/>
          </w:tcPr>
          <w:p>
            <w:pPr>
              <w:spacing w:before="82" w:line="219" w:lineRule="auto"/>
              <w:ind w:left="3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3、公务接待</w:t>
            </w:r>
          </w:p>
        </w:tc>
        <w:tc>
          <w:tcPr>
            <w:tcW w:w="1815" w:type="dxa"/>
            <w:gridSpan w:val="2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10.6</w:t>
            </w:r>
          </w:p>
        </w:tc>
        <w:tc>
          <w:tcPr>
            <w:tcW w:w="2325" w:type="dxa"/>
            <w:gridSpan w:val="2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679" w:type="dxa"/>
            <w:gridSpan w:val="2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9.6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vAlign w:val="top"/>
          </w:tcPr>
          <w:p>
            <w:pPr>
              <w:spacing w:before="143" w:line="200" w:lineRule="auto"/>
              <w:ind w:left="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9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项目支出：</w:t>
            </w:r>
          </w:p>
        </w:tc>
        <w:tc>
          <w:tcPr>
            <w:tcW w:w="1815" w:type="dxa"/>
            <w:gridSpan w:val="2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9" w:type="dxa"/>
            <w:gridSpan w:val="2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  <w:vAlign w:val="top"/>
          </w:tcPr>
          <w:p>
            <w:pPr>
              <w:spacing w:before="133" w:line="200" w:lineRule="auto"/>
              <w:ind w:left="3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1、业务工作经费</w:t>
            </w:r>
          </w:p>
        </w:tc>
        <w:tc>
          <w:tcPr>
            <w:tcW w:w="1815" w:type="dxa"/>
            <w:gridSpan w:val="2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2325" w:type="dxa"/>
            <w:gridSpan w:val="2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679" w:type="dxa"/>
            <w:gridSpan w:val="2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3850" w:type="dxa"/>
            <w:vAlign w:val="top"/>
          </w:tcPr>
          <w:p>
            <w:pPr>
              <w:spacing w:before="143" w:line="209" w:lineRule="auto"/>
              <w:ind w:left="3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2、运行维护经费</w:t>
            </w:r>
          </w:p>
        </w:tc>
        <w:tc>
          <w:tcPr>
            <w:tcW w:w="1815" w:type="dxa"/>
            <w:gridSpan w:val="2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2325" w:type="dxa"/>
            <w:gridSpan w:val="2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679" w:type="dxa"/>
            <w:gridSpan w:val="2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3850" w:type="dxa"/>
            <w:vAlign w:val="top"/>
          </w:tcPr>
          <w:p>
            <w:pPr>
              <w:spacing w:before="140" w:line="202" w:lineRule="auto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4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4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 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4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3、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4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区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4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级专项资金</w:t>
            </w:r>
          </w:p>
        </w:tc>
        <w:tc>
          <w:tcPr>
            <w:tcW w:w="1815" w:type="dxa"/>
            <w:gridSpan w:val="2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2325" w:type="dxa"/>
            <w:gridSpan w:val="2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679" w:type="dxa"/>
            <w:gridSpan w:val="2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914.5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vAlign w:val="top"/>
          </w:tcPr>
          <w:p>
            <w:pPr>
              <w:spacing w:before="85" w:line="220" w:lineRule="auto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 4、上级转移支付</w:t>
            </w:r>
          </w:p>
        </w:tc>
        <w:tc>
          <w:tcPr>
            <w:tcW w:w="1815" w:type="dxa"/>
            <w:gridSpan w:val="2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2325" w:type="dxa"/>
            <w:gridSpan w:val="2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679" w:type="dxa"/>
            <w:gridSpan w:val="2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vAlign w:val="top"/>
          </w:tcPr>
          <w:p>
            <w:pPr>
              <w:spacing w:before="85" w:line="220" w:lineRule="auto"/>
              <w:ind w:left="9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公用经费</w:t>
            </w:r>
          </w:p>
        </w:tc>
        <w:tc>
          <w:tcPr>
            <w:tcW w:w="1815" w:type="dxa"/>
            <w:gridSpan w:val="2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233.47</w:t>
            </w:r>
          </w:p>
        </w:tc>
        <w:tc>
          <w:tcPr>
            <w:tcW w:w="2325" w:type="dxa"/>
            <w:gridSpan w:val="2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113.4</w:t>
            </w:r>
          </w:p>
        </w:tc>
        <w:tc>
          <w:tcPr>
            <w:tcW w:w="1679" w:type="dxa"/>
            <w:gridSpan w:val="2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178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vAlign w:val="top"/>
          </w:tcPr>
          <w:p>
            <w:pPr>
              <w:spacing w:before="85" w:line="219" w:lineRule="auto"/>
              <w:ind w:left="3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其中：办公经费</w:t>
            </w:r>
          </w:p>
        </w:tc>
        <w:tc>
          <w:tcPr>
            <w:tcW w:w="1815" w:type="dxa"/>
            <w:gridSpan w:val="2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22.91</w:t>
            </w:r>
          </w:p>
        </w:tc>
        <w:tc>
          <w:tcPr>
            <w:tcW w:w="2325" w:type="dxa"/>
            <w:gridSpan w:val="2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93</w:t>
            </w:r>
          </w:p>
        </w:tc>
        <w:tc>
          <w:tcPr>
            <w:tcW w:w="1679" w:type="dxa"/>
            <w:gridSpan w:val="2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52.8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  <w:vAlign w:val="top"/>
          </w:tcPr>
          <w:p>
            <w:pPr>
              <w:spacing w:before="135" w:line="198" w:lineRule="auto"/>
              <w:ind w:left="111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水费、电费、差旅费</w:t>
            </w:r>
          </w:p>
        </w:tc>
        <w:tc>
          <w:tcPr>
            <w:tcW w:w="1815" w:type="dxa"/>
            <w:gridSpan w:val="2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20.92</w:t>
            </w:r>
          </w:p>
        </w:tc>
        <w:tc>
          <w:tcPr>
            <w:tcW w:w="2325" w:type="dxa"/>
            <w:gridSpan w:val="2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18</w:t>
            </w:r>
          </w:p>
        </w:tc>
        <w:tc>
          <w:tcPr>
            <w:tcW w:w="1679" w:type="dxa"/>
            <w:gridSpan w:val="2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17.3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vAlign w:val="top"/>
          </w:tcPr>
          <w:p>
            <w:pPr>
              <w:spacing w:before="144" w:line="198" w:lineRule="auto"/>
              <w:ind w:left="112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会议费、培训费</w:t>
            </w:r>
          </w:p>
        </w:tc>
        <w:tc>
          <w:tcPr>
            <w:tcW w:w="1815" w:type="dxa"/>
            <w:gridSpan w:val="2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0.53</w:t>
            </w:r>
          </w:p>
        </w:tc>
        <w:tc>
          <w:tcPr>
            <w:tcW w:w="2325" w:type="dxa"/>
            <w:gridSpan w:val="2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1679" w:type="dxa"/>
            <w:gridSpan w:val="2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3.1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  <w:vAlign w:val="top"/>
          </w:tcPr>
          <w:p>
            <w:pPr>
              <w:spacing w:before="145" w:line="189" w:lineRule="auto"/>
              <w:ind w:left="10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政府采购金额</w:t>
            </w:r>
          </w:p>
        </w:tc>
        <w:tc>
          <w:tcPr>
            <w:tcW w:w="1815" w:type="dxa"/>
            <w:gridSpan w:val="2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44.3</w:t>
            </w:r>
          </w:p>
        </w:tc>
        <w:tc>
          <w:tcPr>
            <w:tcW w:w="2325" w:type="dxa"/>
            <w:gridSpan w:val="2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143.4</w:t>
            </w:r>
          </w:p>
        </w:tc>
        <w:tc>
          <w:tcPr>
            <w:tcW w:w="1679" w:type="dxa"/>
            <w:gridSpan w:val="2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36.7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vAlign w:val="top"/>
          </w:tcPr>
          <w:p>
            <w:pPr>
              <w:spacing w:before="145" w:line="198" w:lineRule="auto"/>
              <w:ind w:left="11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部门基本支出预算调整</w:t>
            </w:r>
          </w:p>
        </w:tc>
        <w:tc>
          <w:tcPr>
            <w:tcW w:w="1815" w:type="dxa"/>
            <w:gridSpan w:val="2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9" w:type="dxa"/>
            <w:gridSpan w:val="2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59" w:hRule="atLeast"/>
        </w:trPr>
        <w:tc>
          <w:tcPr>
            <w:tcW w:w="3850" w:type="dxa"/>
            <w:vMerge w:val="restart"/>
            <w:tcBorders>
              <w:bottom w:val="nil"/>
            </w:tcBorders>
            <w:vAlign w:val="center"/>
          </w:tcPr>
          <w:p>
            <w:pPr>
              <w:spacing w:before="65" w:line="39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1"/>
                <w:position w:val="14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楼堂馆所控制情况</w:t>
            </w:r>
          </w:p>
          <w:p>
            <w:pPr>
              <w:spacing w:line="219" w:lineRule="auto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(2022年完工项目)</w:t>
            </w:r>
          </w:p>
        </w:tc>
        <w:tc>
          <w:tcPr>
            <w:tcW w:w="82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批复规模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(m²)</w:t>
            </w:r>
          </w:p>
        </w:tc>
        <w:tc>
          <w:tcPr>
            <w:tcW w:w="99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实际规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模(m²)</w:t>
            </w:r>
          </w:p>
        </w:tc>
        <w:tc>
          <w:tcPr>
            <w:tcW w:w="114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规模控制率</w:t>
            </w:r>
          </w:p>
        </w:tc>
        <w:tc>
          <w:tcPr>
            <w:tcW w:w="118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预算投资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(万元)</w:t>
            </w:r>
          </w:p>
        </w:tc>
        <w:tc>
          <w:tcPr>
            <w:tcW w:w="81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实际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投资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(万元)</w:t>
            </w:r>
          </w:p>
        </w:tc>
        <w:tc>
          <w:tcPr>
            <w:tcW w:w="86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投资概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算控制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率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  <w:vMerge w:val="continue"/>
            <w:tcBorders>
              <w:top w:val="nil"/>
            </w:tcBorders>
            <w:vAlign w:val="top"/>
          </w:tcPr>
          <w:p>
            <w:pPr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25" w:type="dxa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0" w:type="dxa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85" w:type="dxa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10" w:type="dxa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69" w:type="dxa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3850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厉行节约保障措施</w:t>
            </w:r>
          </w:p>
        </w:tc>
        <w:tc>
          <w:tcPr>
            <w:tcW w:w="5819" w:type="dxa"/>
            <w:gridSpan w:val="6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/>
              <w:jc w:val="left"/>
              <w:textAlignment w:val="auto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开展厉行节约、杜绝浪费宣传教育，提升干部职工节约意识；传达学习中央八项规定等相关文件精神；强化办公用房管理；严控办公经费等各项开展；严把审核关、监督关。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10" w:lineRule="exact"/>
        <w:ind w:left="0"/>
        <w:textAlignment w:val="auto"/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14:textFill>
            <w14:solidFill>
              <w14:schemeClr w14:val="tx1"/>
            </w14:solidFill>
          </w14:textFill>
        </w:rPr>
      </w:pP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14:textFill>
            <w14:solidFill>
              <w14:schemeClr w14:val="tx1"/>
            </w14:solidFill>
          </w14:textFill>
        </w:rPr>
        <w:t>说明：“项目支出”需要填报基本支出以外的所有项目支出情况，“公用经费”填报基本支出中的一般商品和服务支出。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1"/>
          <w:szCs w:val="21"/>
          <w14:textFill>
            <w14:solidFill>
              <w14:schemeClr w14:val="tx1"/>
            </w14:solidFill>
          </w14:textFill>
        </w:rPr>
        <w:t>填表人：</w:t>
      </w: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袁赛</w:t>
      </w: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1"/>
          <w:szCs w:val="21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 xml:space="preserve">       </w:t>
      </w: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1"/>
          <w:szCs w:val="21"/>
          <w14:textFill>
            <w14:solidFill>
              <w14:schemeClr w14:val="tx1"/>
            </w14:solidFill>
          </w14:textFill>
        </w:rPr>
        <w:t xml:space="preserve"> 联系电话：</w:t>
      </w: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18574433540</w:t>
      </w: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1"/>
          <w:szCs w:val="21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 xml:space="preserve">        </w:t>
      </w: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1"/>
          <w:szCs w:val="21"/>
          <w14:textFill>
            <w14:solidFill>
              <w14:schemeClr w14:val="tx1"/>
            </w14:solidFill>
          </w14:textFill>
        </w:rPr>
        <w:t>单位负责人签字：</w:t>
      </w: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 xml:space="preserve">       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21"/>
          <w:szCs w:val="21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1"/>
          <w:szCs w:val="21"/>
          <w14:textFill>
            <w14:solidFill>
              <w14:schemeClr w14:val="tx1"/>
            </w14:solidFill>
          </w14:textFill>
        </w:rPr>
        <w:t>填报日期：</w:t>
      </w: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2023年6月14日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default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附件</w:t>
      </w: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firstLine="0" w:firstLineChars="0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14:textFill>
            <w14:solidFill>
              <w14:schemeClr w14:val="tx1"/>
            </w14:solidFill>
          </w14:textFill>
        </w:rPr>
        <w:t>2022年度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:lang w:eastAsia="zh-CN"/>
          <w14:textFill>
            <w14:solidFill>
              <w14:schemeClr w14:val="tx1"/>
            </w14:solidFill>
          </w14:textFill>
        </w:rPr>
        <w:t>预算单位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14:textFill>
            <w14:solidFill>
              <w14:schemeClr w14:val="tx1"/>
            </w14:solidFill>
          </w14:textFill>
        </w:rPr>
        <w:t>整体支出绩效自评表</w:t>
      </w:r>
    </w:p>
    <w:p>
      <w:pPr>
        <w:spacing w:line="168" w:lineRule="exact"/>
        <w:rPr>
          <w:color w:val="000000" w:themeColor="text1"/>
          <w14:textFill>
            <w14:solidFill>
              <w14:schemeClr w14:val="tx1"/>
            </w14:solidFill>
          </w14:textFill>
        </w:rPr>
      </w:pPr>
    </w:p>
    <w:tbl>
      <w:tblPr>
        <w:tblStyle w:val="9"/>
        <w:tblW w:w="9835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84"/>
        <w:gridCol w:w="1079"/>
        <w:gridCol w:w="1029"/>
        <w:gridCol w:w="1184"/>
        <w:gridCol w:w="169"/>
        <w:gridCol w:w="1235"/>
        <w:gridCol w:w="1259"/>
        <w:gridCol w:w="719"/>
        <w:gridCol w:w="802"/>
        <w:gridCol w:w="1275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1084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8" w:lineRule="auto"/>
              <w:ind w:left="0" w:right="0" w:firstLine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预算</w:t>
            </w:r>
            <w:r>
              <w:rPr>
                <w:rFonts w:hint="eastAsia" w:ascii="宋体" w:hAnsi="宋体" w:eastAsia="宋体" w:cs="宋体"/>
                <w:color w:val="000000" w:themeColor="text1"/>
                <w:spacing w:val="2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单位</w:t>
            </w:r>
            <w:r>
              <w:rPr>
                <w:rFonts w:hint="eastAsia" w:ascii="宋体" w:hAnsi="宋体" w:eastAsia="宋体" w:cs="宋体"/>
                <w:color w:val="000000" w:themeColor="text1"/>
                <w:spacing w:val="2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宋体" w:hAnsi="宋体" w:eastAsia="宋体" w:cs="宋体"/>
                <w:color w:val="000000" w:themeColor="text1"/>
                <w:spacing w:val="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名称</w:t>
            </w:r>
          </w:p>
        </w:tc>
        <w:tc>
          <w:tcPr>
            <w:tcW w:w="8751" w:type="dxa"/>
            <w:gridSpan w:val="9"/>
            <w:vAlign w:val="top"/>
          </w:tcPr>
          <w:p>
            <w:pPr>
              <w:jc w:val="center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岳阳市岳阳楼区王家河街道办事处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</w:tblPrEx>
        <w:trPr>
          <w:trHeight w:val="240" w:hRule="atLeast"/>
        </w:trPr>
        <w:tc>
          <w:tcPr>
            <w:tcW w:w="1084" w:type="dxa"/>
            <w:vMerge w:val="restart"/>
            <w:tcBorders>
              <w:bottom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18" w:lineRule="auto"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 w:firstLine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position w:val="4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年度预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 w:firstLine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算申请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 w:firstLine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1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(万元)</w:t>
            </w:r>
          </w:p>
        </w:tc>
        <w:tc>
          <w:tcPr>
            <w:tcW w:w="2108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8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年初预算数</w:t>
            </w:r>
          </w:p>
        </w:tc>
        <w:tc>
          <w:tcPr>
            <w:tcW w:w="1404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全年预算数</w:t>
            </w:r>
          </w:p>
        </w:tc>
        <w:tc>
          <w:tcPr>
            <w:tcW w:w="125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全年执行数</w:t>
            </w:r>
          </w:p>
        </w:tc>
        <w:tc>
          <w:tcPr>
            <w:tcW w:w="71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  <w:tc>
          <w:tcPr>
            <w:tcW w:w="80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执行率</w:t>
            </w:r>
          </w:p>
        </w:tc>
        <w:tc>
          <w:tcPr>
            <w:tcW w:w="127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得分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08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3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年度资金总额</w:t>
            </w:r>
          </w:p>
        </w:tc>
        <w:tc>
          <w:tcPr>
            <w:tcW w:w="118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0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982.04</w:t>
            </w:r>
          </w:p>
        </w:tc>
        <w:tc>
          <w:tcPr>
            <w:tcW w:w="1404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0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1835</w:t>
            </w:r>
          </w:p>
        </w:tc>
        <w:tc>
          <w:tcPr>
            <w:tcW w:w="125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0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1835</w:t>
            </w:r>
          </w:p>
        </w:tc>
        <w:tc>
          <w:tcPr>
            <w:tcW w:w="71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47" w:lineRule="exact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0"/>
                <w:szCs w:val="20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position w:val="-3"/>
                <w:sz w:val="20"/>
                <w:szCs w:val="20"/>
                <w:highlight w:val="none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80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0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127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0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</w:tblPrEx>
        <w:trPr>
          <w:trHeight w:val="23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696" w:type="dxa"/>
            <w:gridSpan w:val="5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3" w:lineRule="auto"/>
              <w:ind w:left="0" w:firstLine="210" w:firstLineChars="100"/>
              <w:jc w:val="left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按收入性质分：</w:t>
            </w:r>
          </w:p>
        </w:tc>
        <w:tc>
          <w:tcPr>
            <w:tcW w:w="4055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3" w:lineRule="auto"/>
              <w:ind w:left="0" w:firstLine="210" w:firstLineChars="100"/>
              <w:jc w:val="left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按支出性质分：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</w:tblPrEx>
        <w:trPr>
          <w:trHeight w:val="23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696" w:type="dxa"/>
            <w:gridSpan w:val="5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3" w:lineRule="auto"/>
              <w:ind w:left="0" w:firstLine="210" w:firstLineChars="100"/>
              <w:jc w:val="left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:highlight w:val="none"/>
                <w14:textFill>
                  <w14:solidFill>
                    <w14:schemeClr w14:val="tx1"/>
                  </w14:solidFill>
                </w14:textFill>
              </w:rPr>
              <w:t xml:space="preserve">其中： 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:highlight w:val="none"/>
                <w14:textFill>
                  <w14:solidFill>
                    <w14:schemeClr w14:val="tx1"/>
                  </w14:solidFill>
                </w14:textFill>
              </w:rPr>
              <w:t>一般公共预算：</w:t>
            </w:r>
            <w:r>
              <w:rPr>
                <w:rFonts w:hint="eastAsia" w:ascii="Arial"/>
                <w:color w:val="000000" w:themeColor="text1"/>
                <w:spacing w:val="0"/>
                <w:sz w:val="20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1835</w:t>
            </w:r>
          </w:p>
        </w:tc>
        <w:tc>
          <w:tcPr>
            <w:tcW w:w="4055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 w:firstLine="210" w:firstLineChars="100"/>
              <w:jc w:val="left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:highlight w:val="none"/>
                <w14:textFill>
                  <w14:solidFill>
                    <w14:schemeClr w14:val="tx1"/>
                  </w14:solidFill>
                </w14:textFill>
              </w:rPr>
              <w:t>其中：基本支出：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920.5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696" w:type="dxa"/>
            <w:gridSpan w:val="5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2" w:lineRule="auto"/>
              <w:ind w:left="0" w:firstLine="1050" w:firstLineChars="500"/>
              <w:jc w:val="left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政府性基金拨款：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4055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firstLine="840" w:firstLineChars="400"/>
              <w:jc w:val="left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项目支出：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914.5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696" w:type="dxa"/>
            <w:gridSpan w:val="5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ind w:left="0" w:firstLine="1050" w:firstLineChars="500"/>
              <w:jc w:val="left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纳入专户管理的非税收入拨款：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4055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left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continue"/>
            <w:tcBorders>
              <w:top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696" w:type="dxa"/>
            <w:gridSpan w:val="5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ind w:left="0" w:firstLine="1050" w:firstLineChars="500"/>
              <w:jc w:val="left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其他资金：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4055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left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restart"/>
            <w:tcBorders>
              <w:bottom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1" w:lineRule="auto"/>
              <w:ind w:left="0" w:right="0" w:firstLine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7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年度总体</w:t>
            </w:r>
            <w:r>
              <w:rPr>
                <w:rFonts w:ascii="宋体" w:hAnsi="宋体" w:eastAsia="宋体" w:cs="宋体"/>
                <w:color w:val="000000" w:themeColor="text1"/>
                <w:spacing w:val="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宋体" w:hAnsi="宋体" w:eastAsia="宋体" w:cs="宋体"/>
                <w:color w:val="000000" w:themeColor="text1"/>
                <w:spacing w:val="-19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目</w:t>
            </w:r>
            <w:r>
              <w:rPr>
                <w:rFonts w:ascii="宋体" w:hAnsi="宋体" w:eastAsia="宋体" w:cs="宋体"/>
                <w:color w:val="000000" w:themeColor="text1"/>
                <w:spacing w:val="-35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宋体" w:hAnsi="宋体" w:eastAsia="宋体" w:cs="宋体"/>
                <w:color w:val="000000" w:themeColor="text1"/>
                <w:spacing w:val="-19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标</w:t>
            </w:r>
          </w:p>
        </w:tc>
        <w:tc>
          <w:tcPr>
            <w:tcW w:w="4696" w:type="dxa"/>
            <w:gridSpan w:val="5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1" w:lineRule="auto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预期目标</w:t>
            </w:r>
          </w:p>
        </w:tc>
        <w:tc>
          <w:tcPr>
            <w:tcW w:w="4055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1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实际完成情况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continue"/>
            <w:tcBorders>
              <w:top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696" w:type="dxa"/>
            <w:gridSpan w:val="5"/>
            <w:vAlign w:val="center"/>
          </w:tcPr>
          <w:p>
            <w:pPr>
              <w:rPr>
                <w:rFonts w:hint="eastAsia" w:ascii="宋体" w:hAnsi="宋体" w:eastAsia="宋体" w:cs="宋体"/>
                <w:color w:val="000000" w:themeColor="text1"/>
                <w:kern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1、突出“严防严控”，疫情防控紧抓不懈</w:t>
            </w:r>
          </w:p>
          <w:p>
            <w:pPr>
              <w:rPr>
                <w:rFonts w:hint="eastAsia" w:ascii="宋体" w:hAnsi="宋体" w:eastAsia="宋体" w:cs="宋体"/>
                <w:color w:val="000000" w:themeColor="text1"/>
                <w:kern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 2、突出“稳中求进”，财税经济稳步增长</w:t>
            </w:r>
          </w:p>
          <w:p>
            <w:pPr>
              <w:rPr>
                <w:rFonts w:hint="eastAsia" w:ascii="宋体" w:hAnsi="宋体" w:eastAsia="宋体" w:cs="宋体"/>
                <w:color w:val="000000" w:themeColor="text1"/>
                <w:kern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 3、突出“精细长效”，城市管理精益求精</w:t>
            </w:r>
          </w:p>
          <w:p>
            <w:pPr>
              <w:rPr>
                <w:rFonts w:hint="eastAsia" w:ascii="宋体" w:hAnsi="宋体" w:eastAsia="宋体" w:cs="宋体"/>
                <w:color w:val="000000" w:themeColor="text1"/>
                <w:kern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 4、突出“惠民利民”，民生福祉持续改善</w:t>
            </w:r>
          </w:p>
          <w:p>
            <w:pPr>
              <w:rPr>
                <w:rFonts w:hint="eastAsia" w:ascii="宋体" w:hAnsi="宋体" w:eastAsia="宋体" w:cs="宋体"/>
                <w:color w:val="000000" w:themeColor="text1"/>
                <w:kern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 5、突出“抓牢抓实”，社会大局平安稳定</w:t>
            </w:r>
          </w:p>
          <w:p>
            <w:pP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eastAsia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</w:p>
        </w:tc>
        <w:tc>
          <w:tcPr>
            <w:tcW w:w="4055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left"/>
              <w:textAlignment w:val="auto"/>
              <w:rPr>
                <w:rFonts w:hint="eastAsia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  1、疫情防控数据排查精准高效，排查国内中高风险地区返岳人员6050人；日常防控平稳有序召开防疫专题部署会82次，优化8个分工小组；张贴场所码3842份，整改89家。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left"/>
              <w:textAlignment w:val="auto"/>
              <w:rPr>
                <w:rFonts w:hint="eastAsia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  2、产业项目持续向好。全年完成固定投资近5亿元，完成税收任务超4000万元，是营商环境再上台阶，企业净增量达到165户。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left"/>
              <w:textAlignment w:val="auto"/>
              <w:rPr>
                <w:rFonts w:hint="eastAsia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  3、市容环境提质提标。开展市容市貌大整治行动68次，清理房前屋后杂草18000平方米、牛皮癣1500余处。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left"/>
              <w:textAlignment w:val="auto"/>
              <w:rPr>
                <w:rFonts w:hint="eastAsia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  4、旧城改造日新月异，东升小区、鑫泓花园等5个老旧小区改造项目已全部完工，总投资达到1000万元，惠及居民3000余户；民生保障日趋精准。持续开展“阳光行动”，为341户低保户累计发放低保资金22万元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left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  5、安全防线严抓不放，完成居民自建房录入2225栋，完成率100%；综治维稳牢抓不松，有效化解信访案件32件，接待来访退役军人200人次、群访4批次。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9" w:hRule="atLeast"/>
        </w:trPr>
        <w:tc>
          <w:tcPr>
            <w:tcW w:w="1084" w:type="dxa"/>
            <w:vMerge w:val="restart"/>
            <w:tcBorders>
              <w:bottom w:val="nil"/>
            </w:tcBorders>
            <w:textDirection w:val="tbRlV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7" w:lineRule="auto"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7" w:lineRule="auto"/>
              <w:ind w:left="0" w:right="0" w:firstLine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绩效指标</w:t>
            </w:r>
          </w:p>
        </w:tc>
        <w:tc>
          <w:tcPr>
            <w:tcW w:w="107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一级指标</w:t>
            </w:r>
          </w:p>
        </w:tc>
        <w:tc>
          <w:tcPr>
            <w:tcW w:w="102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二级指标</w:t>
            </w:r>
          </w:p>
        </w:tc>
        <w:tc>
          <w:tcPr>
            <w:tcW w:w="1353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三级指标</w:t>
            </w:r>
          </w:p>
        </w:tc>
        <w:tc>
          <w:tcPr>
            <w:tcW w:w="123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年度指标值</w:t>
            </w:r>
          </w:p>
        </w:tc>
        <w:tc>
          <w:tcPr>
            <w:tcW w:w="125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实际完成值</w:t>
            </w:r>
          </w:p>
        </w:tc>
        <w:tc>
          <w:tcPr>
            <w:tcW w:w="71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  <w:tc>
          <w:tcPr>
            <w:tcW w:w="80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得分</w:t>
            </w:r>
          </w:p>
        </w:tc>
        <w:tc>
          <w:tcPr>
            <w:tcW w:w="127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1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偏差原因分析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及改进措施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restart"/>
            <w:tcBorders>
              <w:bottom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9" w:lineRule="auto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9" w:lineRule="auto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70" w:lineRule="auto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70" w:lineRule="auto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1" w:lineRule="exact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2"/>
                <w:position w:val="2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产出指标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9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</w:t>
            </w:r>
            <w:r>
              <w:rPr>
                <w:rFonts w:hint="eastAsia" w:ascii="宋体" w:hAnsi="宋体" w:eastAsia="宋体" w:cs="宋体"/>
                <w:color w:val="000000" w:themeColor="text1"/>
                <w:spacing w:val="9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  <w:r>
              <w:rPr>
                <w:rFonts w:ascii="宋体" w:hAnsi="宋体" w:eastAsia="宋体" w:cs="宋体"/>
                <w:color w:val="000000" w:themeColor="text1"/>
                <w:spacing w:val="9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0分)</w:t>
            </w:r>
          </w:p>
        </w:tc>
        <w:tc>
          <w:tcPr>
            <w:tcW w:w="1029" w:type="dxa"/>
            <w:vMerge w:val="restart"/>
            <w:tcBorders>
              <w:bottom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数量指标</w:t>
            </w:r>
          </w:p>
        </w:tc>
        <w:tc>
          <w:tcPr>
            <w:tcW w:w="1353" w:type="dxa"/>
            <w:gridSpan w:val="2"/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财政收入总量</w:t>
            </w:r>
          </w:p>
        </w:tc>
        <w:tc>
          <w:tcPr>
            <w:tcW w:w="1235" w:type="dxa"/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≥1835万元</w:t>
            </w:r>
          </w:p>
        </w:tc>
        <w:tc>
          <w:tcPr>
            <w:tcW w:w="1259" w:type="dxa"/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1835万</w:t>
            </w:r>
          </w:p>
        </w:tc>
        <w:tc>
          <w:tcPr>
            <w:tcW w:w="719" w:type="dxa"/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802" w:type="dxa"/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1275" w:type="dxa"/>
            <w:textDirection w:val="lrTb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</w:tblPrEx>
        <w:trPr>
          <w:trHeight w:val="25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  <w:bottom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53" w:type="dxa"/>
            <w:gridSpan w:val="2"/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全年税收收入</w:t>
            </w:r>
          </w:p>
        </w:tc>
        <w:tc>
          <w:tcPr>
            <w:tcW w:w="1235" w:type="dxa"/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＞2000万元</w:t>
            </w:r>
          </w:p>
        </w:tc>
        <w:tc>
          <w:tcPr>
            <w:tcW w:w="1259" w:type="dxa"/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完成税收任务超4000万元</w:t>
            </w:r>
          </w:p>
        </w:tc>
        <w:tc>
          <w:tcPr>
            <w:tcW w:w="719" w:type="dxa"/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802" w:type="dxa"/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1275" w:type="dxa"/>
            <w:textDirection w:val="lrTb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</w:tblPrEx>
        <w:trPr>
          <w:trHeight w:val="25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  <w:bottom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53" w:type="dxa"/>
            <w:gridSpan w:val="2"/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辖区内企业增长数</w:t>
            </w:r>
          </w:p>
        </w:tc>
        <w:tc>
          <w:tcPr>
            <w:tcW w:w="1235" w:type="dxa"/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全年增加企业50家</w:t>
            </w:r>
          </w:p>
        </w:tc>
        <w:tc>
          <w:tcPr>
            <w:tcW w:w="1259" w:type="dxa"/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企业净增量达到165户</w:t>
            </w:r>
          </w:p>
        </w:tc>
        <w:tc>
          <w:tcPr>
            <w:tcW w:w="719" w:type="dxa"/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802" w:type="dxa"/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1275" w:type="dxa"/>
            <w:textDirection w:val="lrTb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</w:tblPrEx>
        <w:trPr>
          <w:trHeight w:val="25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  <w:bottom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53" w:type="dxa"/>
            <w:gridSpan w:val="2"/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全社会固定资产投资总量</w:t>
            </w:r>
          </w:p>
        </w:tc>
        <w:tc>
          <w:tcPr>
            <w:tcW w:w="1235" w:type="dxa"/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≥4亿元</w:t>
            </w:r>
          </w:p>
        </w:tc>
        <w:tc>
          <w:tcPr>
            <w:tcW w:w="1259" w:type="dxa"/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近5亿元</w:t>
            </w:r>
          </w:p>
        </w:tc>
        <w:tc>
          <w:tcPr>
            <w:tcW w:w="719" w:type="dxa"/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802" w:type="dxa"/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1275" w:type="dxa"/>
            <w:textDirection w:val="lrTb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</w:tblPrEx>
        <w:trPr>
          <w:trHeight w:val="25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  <w:bottom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53" w:type="dxa"/>
            <w:gridSpan w:val="2"/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开展环境整治次数</w:t>
            </w:r>
          </w:p>
        </w:tc>
        <w:tc>
          <w:tcPr>
            <w:tcW w:w="1235" w:type="dxa"/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≥40次</w:t>
            </w:r>
          </w:p>
        </w:tc>
        <w:tc>
          <w:tcPr>
            <w:tcW w:w="1259" w:type="dxa"/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共开展市容市貌大整治行动68次，清理房前屋后杂草18000平方米</w:t>
            </w:r>
          </w:p>
        </w:tc>
        <w:tc>
          <w:tcPr>
            <w:tcW w:w="719" w:type="dxa"/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802" w:type="dxa"/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2.7</w:t>
            </w:r>
          </w:p>
        </w:tc>
        <w:tc>
          <w:tcPr>
            <w:tcW w:w="1275" w:type="dxa"/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部分地段市容市貌卫生仍需加强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</w:tblPrEx>
        <w:trPr>
          <w:trHeight w:val="25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  <w:bottom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53" w:type="dxa"/>
            <w:gridSpan w:val="2"/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摸排自建房数量</w:t>
            </w:r>
          </w:p>
        </w:tc>
        <w:tc>
          <w:tcPr>
            <w:tcW w:w="1235" w:type="dxa"/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≥2000栋</w:t>
            </w:r>
          </w:p>
        </w:tc>
        <w:tc>
          <w:tcPr>
            <w:tcW w:w="1259" w:type="dxa"/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完成居民自建房录入2225栋</w:t>
            </w:r>
          </w:p>
        </w:tc>
        <w:tc>
          <w:tcPr>
            <w:tcW w:w="719" w:type="dxa"/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802" w:type="dxa"/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1275" w:type="dxa"/>
            <w:textDirection w:val="lrTb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</w:tblPrEx>
        <w:trPr>
          <w:trHeight w:val="25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  <w:bottom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53" w:type="dxa"/>
            <w:gridSpan w:val="2"/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完成河长制工作任务</w:t>
            </w:r>
          </w:p>
        </w:tc>
        <w:tc>
          <w:tcPr>
            <w:tcW w:w="1235" w:type="dxa"/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每月开展清理水面漂浮物清理工作</w:t>
            </w:r>
          </w:p>
        </w:tc>
        <w:tc>
          <w:tcPr>
            <w:tcW w:w="1259" w:type="dxa"/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清理水面漂浮物13余吨</w:t>
            </w:r>
          </w:p>
        </w:tc>
        <w:tc>
          <w:tcPr>
            <w:tcW w:w="719" w:type="dxa"/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802" w:type="dxa"/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1275" w:type="dxa"/>
            <w:textDirection w:val="lrTb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</w:tblPrEx>
        <w:trPr>
          <w:trHeight w:val="23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53" w:type="dxa"/>
            <w:gridSpan w:val="2"/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完成老旧小区改造项目建设工作</w:t>
            </w:r>
          </w:p>
        </w:tc>
        <w:tc>
          <w:tcPr>
            <w:tcW w:w="1235" w:type="dxa"/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全年完成老旧小区改造项目数≥4个；总投资≥800万，惠及居民超过2000户</w:t>
            </w:r>
          </w:p>
        </w:tc>
        <w:tc>
          <w:tcPr>
            <w:tcW w:w="1259" w:type="dxa"/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完成5个老旧小区改造项目，总投资达到1000万元，惠及居民3000余户</w:t>
            </w:r>
          </w:p>
        </w:tc>
        <w:tc>
          <w:tcPr>
            <w:tcW w:w="719" w:type="dxa"/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802" w:type="dxa"/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1275" w:type="dxa"/>
            <w:textDirection w:val="lrTb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</w:tblPrEx>
        <w:trPr>
          <w:trHeight w:val="23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53" w:type="dxa"/>
            <w:gridSpan w:val="2"/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完成网格化工作任务</w:t>
            </w:r>
          </w:p>
        </w:tc>
        <w:tc>
          <w:tcPr>
            <w:tcW w:w="1235" w:type="dxa"/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完成年内系统分配的所有任务</w:t>
            </w:r>
          </w:p>
        </w:tc>
        <w:tc>
          <w:tcPr>
            <w:tcW w:w="1259" w:type="dxa"/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完成一网统管系统办件1068件、市长信箱回复14条、“12345”信访回复679条</w:t>
            </w:r>
          </w:p>
        </w:tc>
        <w:tc>
          <w:tcPr>
            <w:tcW w:w="719" w:type="dxa"/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802" w:type="dxa"/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1275" w:type="dxa"/>
            <w:textDirection w:val="lrTb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</w:tblPrEx>
        <w:trPr>
          <w:trHeight w:val="24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restart"/>
            <w:tcBorders>
              <w:bottom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质量指标</w:t>
            </w:r>
          </w:p>
        </w:tc>
        <w:tc>
          <w:tcPr>
            <w:tcW w:w="13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公共财政支出进度</w:t>
            </w:r>
          </w:p>
        </w:tc>
        <w:tc>
          <w:tcPr>
            <w:tcW w:w="123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≥90%</w:t>
            </w:r>
          </w:p>
        </w:tc>
        <w:tc>
          <w:tcPr>
            <w:tcW w:w="125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719" w:type="dxa"/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802" w:type="dxa"/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1275" w:type="dxa"/>
            <w:textDirection w:val="lrTb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</w:tblPrEx>
        <w:trPr>
          <w:trHeight w:val="24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  <w:bottom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旧改项目验收合格率</w:t>
            </w:r>
          </w:p>
        </w:tc>
        <w:tc>
          <w:tcPr>
            <w:tcW w:w="123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≥90%</w:t>
            </w:r>
          </w:p>
        </w:tc>
        <w:tc>
          <w:tcPr>
            <w:tcW w:w="125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719" w:type="dxa"/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802" w:type="dxa"/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1275" w:type="dxa"/>
            <w:textDirection w:val="lrTb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</w:tblPrEx>
        <w:trPr>
          <w:trHeight w:val="23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restart"/>
            <w:tcBorders>
              <w:bottom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时效指标</w:t>
            </w:r>
          </w:p>
        </w:tc>
        <w:tc>
          <w:tcPr>
            <w:tcW w:w="13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12345等工单及时回复</w:t>
            </w:r>
          </w:p>
        </w:tc>
        <w:tc>
          <w:tcPr>
            <w:tcW w:w="123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两个工作日内回复</w:t>
            </w:r>
          </w:p>
        </w:tc>
        <w:tc>
          <w:tcPr>
            <w:tcW w:w="125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所有工单均在两个工作日内回复</w:t>
            </w:r>
          </w:p>
        </w:tc>
        <w:tc>
          <w:tcPr>
            <w:tcW w:w="719" w:type="dxa"/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802" w:type="dxa"/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127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</w:tblPrEx>
        <w:trPr>
          <w:trHeight w:val="25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  <w:bottom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乡镇各项补贴资金发放率</w:t>
            </w:r>
          </w:p>
        </w:tc>
        <w:tc>
          <w:tcPr>
            <w:tcW w:w="123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按相应资金文件时限要求</w:t>
            </w:r>
          </w:p>
        </w:tc>
        <w:tc>
          <w:tcPr>
            <w:tcW w:w="125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及时发放到位</w:t>
            </w:r>
          </w:p>
        </w:tc>
        <w:tc>
          <w:tcPr>
            <w:tcW w:w="719" w:type="dxa"/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802" w:type="dxa"/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127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</w:tblPrEx>
        <w:trPr>
          <w:trHeight w:val="24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工资发放及时率</w:t>
            </w:r>
          </w:p>
        </w:tc>
        <w:tc>
          <w:tcPr>
            <w:tcW w:w="123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每月15日前足额发放</w:t>
            </w:r>
          </w:p>
        </w:tc>
        <w:tc>
          <w:tcPr>
            <w:tcW w:w="125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已完成</w:t>
            </w:r>
          </w:p>
        </w:tc>
        <w:tc>
          <w:tcPr>
            <w:tcW w:w="719" w:type="dxa"/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802" w:type="dxa"/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127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</w:tblPrEx>
        <w:trPr>
          <w:trHeight w:val="23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restart"/>
            <w:tcBorders>
              <w:bottom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成本指标</w:t>
            </w:r>
          </w:p>
        </w:tc>
        <w:tc>
          <w:tcPr>
            <w:tcW w:w="13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本单位财政供养人数</w:t>
            </w:r>
          </w:p>
        </w:tc>
        <w:tc>
          <w:tcPr>
            <w:tcW w:w="123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≥61人</w:t>
            </w:r>
          </w:p>
        </w:tc>
        <w:tc>
          <w:tcPr>
            <w:tcW w:w="125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61人</w:t>
            </w:r>
          </w:p>
        </w:tc>
        <w:tc>
          <w:tcPr>
            <w:tcW w:w="719" w:type="dxa"/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802" w:type="dxa"/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127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</w:tblPrEx>
        <w:trPr>
          <w:trHeight w:val="23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  <w:bottom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auto" w:sz="4" w:space="0"/>
              <w:right w:val="single" w:color="000000" w:sz="8" w:space="0"/>
            </w:tcBorders>
            <w:shd w:val="clear" w:color="auto" w:fill="FFFFFF"/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行政成本控制</w:t>
            </w:r>
          </w:p>
        </w:tc>
        <w:tc>
          <w:tcPr>
            <w:tcW w:w="1235" w:type="dxa"/>
            <w:tcBorders>
              <w:top w:val="single" w:color="000000" w:sz="8" w:space="0"/>
              <w:left w:val="single" w:color="000000" w:sz="8" w:space="0"/>
              <w:bottom w:val="single" w:color="auto" w:sz="4" w:space="0"/>
              <w:right w:val="single" w:color="000000" w:sz="8" w:space="0"/>
            </w:tcBorders>
            <w:shd w:val="clear" w:color="auto" w:fill="FFFFFF"/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“三公”经费同比下降</w:t>
            </w:r>
          </w:p>
        </w:tc>
        <w:tc>
          <w:tcPr>
            <w:tcW w:w="1259" w:type="dxa"/>
            <w:tcBorders>
              <w:bottom w:val="single" w:color="auto" w:sz="4" w:space="0"/>
            </w:tcBorders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同比下降10%</w:t>
            </w:r>
          </w:p>
        </w:tc>
        <w:tc>
          <w:tcPr>
            <w:tcW w:w="719" w:type="dxa"/>
            <w:tcBorders>
              <w:bottom w:val="single" w:color="auto" w:sz="4" w:space="0"/>
            </w:tcBorders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802" w:type="dxa"/>
            <w:tcBorders>
              <w:bottom w:val="single" w:color="auto" w:sz="4" w:space="0"/>
            </w:tcBorders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127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</w:tblPrEx>
        <w:trPr>
          <w:trHeight w:val="24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restart"/>
            <w:tcBorders>
              <w:bottom w:val="nil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91" w:lineRule="exact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2"/>
                <w:position w:val="2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效益指标</w:t>
            </w:r>
            <w:r>
              <w:rPr>
                <w:rFonts w:ascii="宋体" w:hAnsi="宋体" w:eastAsia="宋体" w:cs="宋体"/>
                <w:color w:val="000000" w:themeColor="text1"/>
                <w:spacing w:val="9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(30分)</w:t>
            </w:r>
          </w:p>
        </w:tc>
        <w:tc>
          <w:tcPr>
            <w:tcW w:w="10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社会效益指标</w:t>
            </w:r>
          </w:p>
        </w:tc>
        <w:tc>
          <w:tcPr>
            <w:tcW w:w="135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促进社会治安稳定</w:t>
            </w:r>
          </w:p>
        </w:tc>
        <w:tc>
          <w:tcPr>
            <w:tcW w:w="12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辖区治安稳定，全年无重大政治事件及安全生产事故</w:t>
            </w:r>
          </w:p>
        </w:tc>
        <w:tc>
          <w:tcPr>
            <w:tcW w:w="12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辖区治安稳定，无重大事故</w:t>
            </w:r>
          </w:p>
        </w:tc>
        <w:tc>
          <w:tcPr>
            <w:tcW w:w="7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8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275" w:type="dxa"/>
            <w:tcBorders>
              <w:lef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</w:tblPrEx>
        <w:trPr>
          <w:trHeight w:val="25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生态效益指标</w:t>
            </w:r>
          </w:p>
        </w:tc>
        <w:tc>
          <w:tcPr>
            <w:tcW w:w="135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水域环境质量提升</w:t>
            </w:r>
          </w:p>
        </w:tc>
        <w:tc>
          <w:tcPr>
            <w:tcW w:w="12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确保管辖范围内水域环境提升</w:t>
            </w:r>
          </w:p>
        </w:tc>
        <w:tc>
          <w:tcPr>
            <w:tcW w:w="12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辖区内水域环境有所提升</w:t>
            </w:r>
          </w:p>
        </w:tc>
        <w:tc>
          <w:tcPr>
            <w:tcW w:w="7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8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275" w:type="dxa"/>
            <w:tcBorders>
              <w:lef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</w:tblPrEx>
        <w:trPr>
          <w:trHeight w:val="25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可持续影响指标</w:t>
            </w:r>
          </w:p>
        </w:tc>
        <w:tc>
          <w:tcPr>
            <w:tcW w:w="135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辖区内人居环境改善</w:t>
            </w:r>
          </w:p>
        </w:tc>
        <w:tc>
          <w:tcPr>
            <w:tcW w:w="12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有所改善</w:t>
            </w:r>
          </w:p>
        </w:tc>
        <w:tc>
          <w:tcPr>
            <w:tcW w:w="12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有所改善</w:t>
            </w:r>
          </w:p>
        </w:tc>
        <w:tc>
          <w:tcPr>
            <w:tcW w:w="7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8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275" w:type="dxa"/>
            <w:tcBorders>
              <w:lef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</w:tblPrEx>
        <w:trPr>
          <w:trHeight w:val="546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tcBorders>
              <w:bottom w:val="nil"/>
            </w:tcBorders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满意度指标</w:t>
            </w: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（10分）</w:t>
            </w:r>
          </w:p>
        </w:tc>
        <w:tc>
          <w:tcPr>
            <w:tcW w:w="1029" w:type="dxa"/>
            <w:tcBorders>
              <w:top w:val="single" w:color="auto" w:sz="4" w:space="0"/>
              <w:bottom w:val="nil"/>
            </w:tcBorders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服务对象满意度指标</w:t>
            </w:r>
          </w:p>
        </w:tc>
        <w:tc>
          <w:tcPr>
            <w:tcW w:w="1353" w:type="dxa"/>
            <w:gridSpan w:val="2"/>
            <w:tcBorders>
              <w:top w:val="single" w:color="auto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公众满意度</w:t>
            </w:r>
          </w:p>
        </w:tc>
        <w:tc>
          <w:tcPr>
            <w:tcW w:w="1235" w:type="dxa"/>
            <w:tcBorders>
              <w:top w:val="single" w:color="auto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1259" w:type="dxa"/>
            <w:tcBorders>
              <w:top w:val="single" w:color="auto" w:sz="4" w:space="0"/>
            </w:tcBorders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99%</w:t>
            </w:r>
          </w:p>
        </w:tc>
        <w:tc>
          <w:tcPr>
            <w:tcW w:w="719" w:type="dxa"/>
            <w:tcBorders>
              <w:top w:val="single" w:color="auto" w:sz="4" w:space="0"/>
            </w:tcBorders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802" w:type="dxa"/>
            <w:tcBorders>
              <w:top w:val="single" w:color="auto" w:sz="4" w:space="0"/>
            </w:tcBorders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9</w:t>
            </w:r>
          </w:p>
        </w:tc>
        <w:tc>
          <w:tcPr>
            <w:tcW w:w="1275" w:type="dxa"/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满意度有待进一步提升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</w:tblPrEx>
        <w:trPr>
          <w:trHeight w:val="265" w:hRule="atLeast"/>
        </w:trPr>
        <w:tc>
          <w:tcPr>
            <w:tcW w:w="7039" w:type="dxa"/>
            <w:gridSpan w:val="7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1" w:lineRule="exact"/>
              <w:ind w:left="0" w:firstLine="3274"/>
              <w:jc w:val="center"/>
              <w:textAlignment w:val="auto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drawing>
                <wp:inline distT="0" distB="0" distL="114300" distR="114300">
                  <wp:extent cx="297815" cy="158750"/>
                  <wp:effectExtent l="0" t="0" r="6985" b="13335"/>
                  <wp:docPr id="1" name="图片 1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图片 1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7815" cy="158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6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100</w:t>
            </w:r>
          </w:p>
        </w:tc>
        <w:tc>
          <w:tcPr>
            <w:tcW w:w="802" w:type="dxa"/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98.7</w:t>
            </w:r>
          </w:p>
        </w:tc>
        <w:tc>
          <w:tcPr>
            <w:tcW w:w="127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14:textFill>
            <w14:solidFill>
              <w14:schemeClr w14:val="tx1"/>
            </w14:solidFill>
          </w14:textFill>
        </w:rPr>
        <w:t>填表人：</w:t>
      </w: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:lang w:eastAsia="zh-CN"/>
          <w14:textFill>
            <w14:solidFill>
              <w14:schemeClr w14:val="tx1"/>
            </w14:solidFill>
          </w14:textFill>
        </w:rPr>
        <w:t>袁赛</w:t>
      </w: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14:textFill>
            <w14:solidFill>
              <w14:schemeClr w14:val="tx1"/>
            </w14:solidFill>
          </w14:textFill>
        </w:rPr>
        <w:t xml:space="preserve"> 联系电话：</w:t>
      </w: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:lang w:val="en-US" w:eastAsia="zh-CN"/>
          <w14:textFill>
            <w14:solidFill>
              <w14:schemeClr w14:val="tx1"/>
            </w14:solidFill>
          </w14:textFill>
        </w:rPr>
        <w:t>18574433540</w:t>
      </w: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14:textFill>
            <w14:solidFill>
              <w14:schemeClr w14:val="tx1"/>
            </w14:solidFill>
          </w14:textFill>
        </w:rPr>
        <w:t xml:space="preserve"> 单位负责人签字：</w:t>
      </w: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:lang w:val="en-US" w:eastAsia="zh-CN"/>
          <w14:textFill>
            <w14:solidFill>
              <w14:schemeClr w14:val="tx1"/>
            </w14:solidFill>
          </w14:textFill>
        </w:rPr>
        <w:t xml:space="preserve">        </w:t>
      </w: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14:textFill>
            <w14:solidFill>
              <w14:schemeClr w14:val="tx1"/>
            </w14:solidFill>
          </w14:textFill>
        </w:rPr>
        <w:t>填报日期：</w:t>
      </w: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:lang w:val="en-US" w:eastAsia="zh-CN"/>
          <w14:textFill>
            <w14:solidFill>
              <w14:schemeClr w14:val="tx1"/>
            </w14:solidFill>
          </w14:textFill>
        </w:rPr>
        <w:t>2023年6月14日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  <w:sectPr>
          <w:footerReference r:id="rId3" w:type="default"/>
          <w:pgSz w:w="11906" w:h="16838"/>
          <w:pgMar w:top="1020" w:right="1134" w:bottom="850" w:left="1134" w:header="851" w:footer="992" w:gutter="0"/>
          <w:paperSrc/>
          <w:pgNumType w:fmt="decimal"/>
          <w:cols w:space="0" w:num="1"/>
          <w:rtlGutter w:val="0"/>
          <w:docGrid w:type="lines" w:linePitch="312" w:charSpace="0"/>
        </w:sect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default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default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附件</w:t>
      </w: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3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firstLine="0" w:firstLineChars="0"/>
        <w:jc w:val="center"/>
        <w:textAlignment w:val="auto"/>
        <w:rPr>
          <w:rFonts w:hint="default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firstLine="0" w:firstLineChars="0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default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2022年度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岳阳楼区王家河街道办事处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firstLine="0" w:firstLineChars="0"/>
        <w:jc w:val="center"/>
        <w:textAlignment w:val="auto"/>
        <w:rPr>
          <w:rFonts w:hint="default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default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单位整体支出绩效自评报告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center"/>
        <w:textAlignment w:val="auto"/>
        <w:rPr>
          <w:rFonts w:hint="eastAsia" w:ascii="楷体_GB2312" w:hAnsi="楷体_GB2312" w:eastAsia="楷体_GB2312" w:cs="楷体_GB2312"/>
          <w:color w:val="000000" w:themeColor="text1"/>
          <w:spacing w:val="0"/>
          <w:position w:val="0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楷体_GB2312" w:hAnsi="楷体_GB2312" w:eastAsia="楷体_GB2312" w:cs="楷体_GB2312"/>
          <w:color w:val="000000" w:themeColor="text1"/>
          <w:spacing w:val="0"/>
          <w:position w:val="0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  <w:t>部门(单位)名称：   ( 盖 章 )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center"/>
        <w:textAlignment w:val="auto"/>
        <w:rPr>
          <w:rFonts w:hint="eastAsia" w:ascii="楷体_GB2312" w:hAnsi="楷体_GB2312" w:eastAsia="楷体_GB2312" w:cs="楷体_GB2312"/>
          <w:color w:val="000000" w:themeColor="text1"/>
          <w:spacing w:val="0"/>
          <w:position w:val="0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楷体_GB2312" w:hAnsi="楷体_GB2312" w:eastAsia="楷体_GB2312" w:cs="楷体_GB2312"/>
          <w:color w:val="000000" w:themeColor="text1"/>
          <w:spacing w:val="0"/>
          <w:position w:val="0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  <w:t>年  月  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left="0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left="0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2022年度岳阳楼区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岳阳楼区王家河街道办事处</w:t>
      </w:r>
      <w:r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单位整体支出绩效自评报告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  <w:bookmarkStart w:id="0" w:name="_GoBack"/>
      <w:bookmarkEnd w:id="0"/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ascii="黑体" w:hAnsi="黑体" w:eastAsia="黑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单位基本情况</w:t>
      </w:r>
    </w:p>
    <w:p>
      <w:pPr>
        <w:numPr>
          <w:ilvl w:val="0"/>
          <w:numId w:val="0"/>
        </w:numPr>
        <w:spacing w:line="560" w:lineRule="exact"/>
        <w:rPr>
          <w:rFonts w:hint="eastAsia"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b/>
          <w:bCs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（一）单位概括。</w:t>
      </w:r>
      <w:r>
        <w:rPr>
          <w:rFonts w:hint="eastAsia" w:ascii="仿宋" w:hAnsi="仿宋" w:eastAsia="仿宋" w:cs="仿宋"/>
          <w:b w:val="0"/>
          <w:bCs w:val="0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王家河街道办事处现有在职编制职工61人,共有内设机构14个，具体包括</w:t>
      </w:r>
      <w:r>
        <w:rPr>
          <w:rFonts w:eastAsia="仿宋_GB2312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：</w:t>
      </w:r>
      <w:r>
        <w:rPr>
          <w:rFonts w:hint="eastAsia" w:eastAsia="仿宋_GB2312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党政办公室、党建办公室、经济发展办公室（加挂自然资源和生态环境办公室牌子）、社会事务办公室（加挂民政办公室牌子）、综治信访办公室、应急管理办公室、社会事业综合服务中心、产业项目综合服务中心、公共服务和网格化中心、退役军人服务站、综合行政执法大队、环境卫生服务中心。</w:t>
      </w:r>
    </w:p>
    <w:p>
      <w:pPr>
        <w:numPr>
          <w:ilvl w:val="0"/>
          <w:numId w:val="0"/>
        </w:numPr>
        <w:spacing w:line="560" w:lineRule="exact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黑体" w:hAnsi="黑体" w:eastAsia="黑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（二）职能职责。</w:t>
      </w:r>
      <w:r>
        <w:rPr>
          <w:rFonts w:hint="eastAsia"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街道的主要职责是贯彻执行党和国家的路线方针、政策以及市、区关于街道工作方面的指示，制订具体的管理办法并组织实施。指导、搞好辖区内居委会的工作，支持、帮助居民委员会加强思想、组织、制度建设，向上级人民政府和有关部门及时反映居民的意见、建议和要求。承办区委、区政府交办的其他工作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二、一般公共预算支出情况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3" w:firstLineChars="200"/>
        <w:jc w:val="left"/>
        <w:textAlignment w:val="auto"/>
        <w:rPr>
          <w:rFonts w:hint="eastAsia" w:ascii="楷体_GB2312" w:hAnsi="楷体_GB2312" w:eastAsia="楷体_GB2312" w:cs="楷体_GB2312"/>
          <w:b/>
          <w:bCs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楷体_GB2312" w:hAnsi="楷体_GB2312" w:eastAsia="楷体_GB2312" w:cs="楷体_GB2312"/>
          <w:b/>
          <w:bCs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(一)基本支出情况</w:t>
      </w:r>
    </w:p>
    <w:p>
      <w:pPr>
        <w:spacing w:line="560" w:lineRule="exact"/>
        <w:ind w:firstLine="640" w:firstLineChars="200"/>
        <w:rPr>
          <w:rFonts w:hint="eastAsia" w:ascii="仿宋_GB2312" w:hAnsi="仿宋_GB2312" w:eastAsia="仿宋_GB2312" w:cs="仿宋_GB2312"/>
          <w:b/>
          <w:bCs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20</w:t>
      </w:r>
      <w:r>
        <w:rPr>
          <w:rFonts w:hint="eastAsia" w:ascii="仿宋_GB2312" w:hAnsi="仿宋_GB2312" w:eastAsia="仿宋_GB2312" w:cs="仿宋_GB2312"/>
          <w:bCs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22</w:t>
      </w:r>
      <w:r>
        <w:rPr>
          <w:rFonts w:hint="eastAsia" w:ascii="仿宋_GB2312" w:hAnsi="仿宋_GB2312" w:eastAsia="仿宋_GB2312" w:cs="仿宋_GB2312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年保障单位机构正常运转、完成日常工作任务而发生的各项支出为</w:t>
      </w:r>
      <w:r>
        <w:rPr>
          <w:rFonts w:hint="eastAsia" w:ascii="仿宋_GB2312" w:hAnsi="仿宋_GB2312" w:eastAsia="仿宋_GB2312" w:cs="仿宋_GB2312"/>
          <w:color w:val="000000" w:themeColor="text1"/>
          <w:spacing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920.5</w:t>
      </w:r>
      <w:r>
        <w:rPr>
          <w:rFonts w:hint="eastAsia" w:ascii="仿宋_GB2312" w:hAnsi="仿宋_GB2312" w:eastAsia="仿宋_GB2312" w:cs="仿宋_GB2312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万元，包括人员基本工资、津贴补贴等人员经费以及办公费、印刷费、水电费、办公设备购置等。“三公”经费为公务接待费共计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9.6</w:t>
      </w:r>
      <w:r>
        <w:rPr>
          <w:rFonts w:hint="eastAsia" w:ascii="仿宋_GB2312" w:hAnsi="仿宋_GB2312" w:eastAsia="仿宋_GB2312" w:cs="仿宋_GB2312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万元，主要用于加班用餐。</w:t>
      </w: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0" w:firstLine="643" w:firstLineChars="200"/>
        <w:jc w:val="left"/>
        <w:textAlignment w:val="auto"/>
        <w:rPr>
          <w:rFonts w:hint="eastAsia" w:ascii="楷体_GB2312" w:hAnsi="楷体_GB2312" w:eastAsia="楷体_GB2312" w:cs="楷体_GB2312"/>
          <w:b/>
          <w:bCs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楷体_GB2312" w:hAnsi="楷体_GB2312" w:eastAsia="楷体_GB2312" w:cs="楷体_GB2312"/>
          <w:b/>
          <w:bCs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项目支出情况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b/>
          <w:bCs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20</w:t>
      </w:r>
      <w:r>
        <w:rPr>
          <w:rFonts w:hint="eastAsia" w:ascii="仿宋_GB2312" w:hAnsi="仿宋_GB2312" w:eastAsia="仿宋_GB2312" w:cs="仿宋_GB2312"/>
          <w:bCs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22</w:t>
      </w:r>
      <w:r>
        <w:rPr>
          <w:rFonts w:hint="eastAsia" w:ascii="仿宋_GB2312" w:hAnsi="仿宋_GB2312" w:eastAsia="仿宋_GB2312" w:cs="仿宋_GB2312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年本单位</w:t>
      </w:r>
      <w:r>
        <w:rPr>
          <w:rFonts w:hint="eastAsia" w:ascii="仿宋_GB2312" w:hAnsi="仿宋_GB2312" w:eastAsia="仿宋_GB2312" w:cs="仿宋_GB2312"/>
          <w:bCs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项目</w:t>
      </w:r>
      <w:r>
        <w:rPr>
          <w:rFonts w:hint="eastAsia" w:ascii="仿宋_GB2312" w:hAnsi="仿宋_GB2312" w:eastAsia="仿宋_GB2312" w:cs="仿宋_GB2312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支出</w:t>
      </w:r>
      <w:r>
        <w:rPr>
          <w:rFonts w:hint="eastAsia" w:ascii="仿宋_GB2312" w:hAnsi="仿宋_GB2312" w:eastAsia="仿宋_GB2312" w:cs="仿宋_GB2312"/>
          <w:bCs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共</w:t>
      </w:r>
      <w:r>
        <w:rPr>
          <w:rFonts w:hint="eastAsia" w:ascii="仿宋_GB2312" w:hAnsi="仿宋_GB2312" w:eastAsia="仿宋_GB2312" w:cs="仿宋_GB2312"/>
          <w:bCs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914.5万元，均为代收代付区级专项资金，因账务系统和年终决算时未作为项目支出处理，作为其他支出处理，故本次</w:t>
      </w:r>
      <w:r>
        <w:rPr>
          <w:rFonts w:hint="eastAsia" w:ascii="仿宋_GB2312" w:hAnsi="仿宋_GB2312" w:eastAsia="仿宋_GB2312" w:cs="仿宋_GB2312"/>
          <w:b w:val="0"/>
          <w:bCs w:val="0"/>
          <w:color w:val="000000" w:themeColor="text1"/>
          <w:spacing w:val="2"/>
          <w:sz w:val="32"/>
          <w:szCs w:val="32"/>
          <w14:textFill>
            <w14:solidFill>
              <w14:schemeClr w14:val="tx1"/>
            </w14:solidFill>
          </w14:textFill>
        </w:rPr>
        <w:t>整体支出绩效评价</w:t>
      </w:r>
      <w:r>
        <w:rPr>
          <w:rFonts w:hint="eastAsia" w:ascii="仿宋_GB2312" w:hAnsi="仿宋_GB2312" w:eastAsia="仿宋_GB2312" w:cs="仿宋_GB2312"/>
          <w:b w:val="0"/>
          <w:bCs w:val="0"/>
          <w:color w:val="000000" w:themeColor="text1"/>
          <w:spacing w:val="2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中将区级专项资金整合填列一张项目绩效表。</w:t>
      </w:r>
      <w:r>
        <w:rPr>
          <w:rFonts w:hint="eastAsia" w:ascii="仿宋_GB2312" w:hAnsi="仿宋_GB2312" w:eastAsia="仿宋_GB2312" w:cs="仿宋_GB2312"/>
          <w:bCs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主要包括疫情防控经费、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环卫工人工资、环卫工人五险一金、环卫经费、禁违执法经费、退役军人补贴、民政资金等。</w:t>
      </w:r>
    </w:p>
    <w:p>
      <w:pPr>
        <w:keepNext w:val="0"/>
        <w:keepLines w:val="0"/>
        <w:pageBreakBefore w:val="0"/>
        <w:widowControl w:val="0"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政府性基金预算支出情况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bCs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20</w:t>
      </w:r>
      <w:r>
        <w:rPr>
          <w:rFonts w:hint="eastAsia" w:ascii="仿宋_GB2312" w:hAnsi="仿宋_GB2312" w:eastAsia="仿宋_GB2312" w:cs="仿宋_GB2312"/>
          <w:bCs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22</w:t>
      </w:r>
      <w:r>
        <w:rPr>
          <w:rFonts w:hint="eastAsia" w:ascii="仿宋_GB2312" w:hAnsi="仿宋_GB2312" w:eastAsia="仿宋_GB2312" w:cs="仿宋_GB2312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年本单位无</w:t>
      </w:r>
      <w:r>
        <w:rPr>
          <w:rFonts w:hint="eastAsia" w:ascii="仿宋_GB2312" w:hAnsi="仿宋_GB2312" w:eastAsia="仿宋_GB2312" w:cs="仿宋_GB2312"/>
          <w:bCs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政府性基金支出</w:t>
      </w:r>
    </w:p>
    <w:p>
      <w:pPr>
        <w:keepNext w:val="0"/>
        <w:keepLines w:val="0"/>
        <w:pageBreakBefore w:val="0"/>
        <w:widowControl w:val="0"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0" w:leftChars="0" w:firstLine="640" w:firstLine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国有资本经营预算支出情况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bCs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20</w:t>
      </w:r>
      <w:r>
        <w:rPr>
          <w:rFonts w:hint="eastAsia" w:ascii="仿宋_GB2312" w:hAnsi="仿宋_GB2312" w:eastAsia="仿宋_GB2312" w:cs="仿宋_GB2312"/>
          <w:bCs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22</w:t>
      </w:r>
      <w:r>
        <w:rPr>
          <w:rFonts w:hint="eastAsia" w:ascii="仿宋_GB2312" w:hAnsi="仿宋_GB2312" w:eastAsia="仿宋_GB2312" w:cs="仿宋_GB2312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年本单位无</w:t>
      </w:r>
      <w:r>
        <w:rPr>
          <w:rFonts w:hint="eastAsia" w:ascii="仿宋_GB2312" w:hAnsi="仿宋_GB2312" w:eastAsia="仿宋_GB2312" w:cs="仿宋_GB2312"/>
          <w:bCs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国有资本经营支出</w:t>
      </w:r>
    </w:p>
    <w:p>
      <w:pPr>
        <w:keepNext w:val="0"/>
        <w:keepLines w:val="0"/>
        <w:pageBreakBefore w:val="0"/>
        <w:widowControl w:val="0"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0" w:leftChars="0" w:firstLine="640" w:firstLine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社会保险基金预算支出情况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bCs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20</w:t>
      </w:r>
      <w:r>
        <w:rPr>
          <w:rFonts w:hint="eastAsia" w:ascii="仿宋_GB2312" w:hAnsi="仿宋_GB2312" w:eastAsia="仿宋_GB2312" w:cs="仿宋_GB2312"/>
          <w:bCs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22</w:t>
      </w:r>
      <w:r>
        <w:rPr>
          <w:rFonts w:hint="eastAsia" w:ascii="仿宋_GB2312" w:hAnsi="仿宋_GB2312" w:eastAsia="仿宋_GB2312" w:cs="仿宋_GB2312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年本单位无</w:t>
      </w:r>
      <w:r>
        <w:rPr>
          <w:rFonts w:hint="eastAsia" w:ascii="仿宋_GB2312" w:hAnsi="仿宋_GB2312" w:eastAsia="仿宋_GB2312" w:cs="仿宋_GB2312"/>
          <w:bCs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社会保险基金支出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六、部门整体支出绩效情况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right="0" w:rightChars="0" w:firstLine="643" w:firstLineChars="200"/>
        <w:jc w:val="left"/>
        <w:textAlignment w:val="auto"/>
        <w:outlineLvl w:val="9"/>
        <w:rPr>
          <w:rFonts w:hint="default" w:ascii="仿宋_GB2312" w:hAnsi="仿宋_GB2312" w:eastAsia="仿宋_GB2312" w:cs="仿宋_GB2312"/>
          <w:b/>
          <w:bCs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b/>
          <w:bCs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本单位年度工作履职情况如下：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right="0" w:rightChars="0" w:firstLine="643" w:firstLineChars="200"/>
        <w:jc w:val="both"/>
        <w:textAlignment w:val="auto"/>
        <w:outlineLvl w:val="9"/>
        <w:rPr>
          <w:rFonts w:hint="eastAsia" w:ascii="楷体_GB2312" w:hAnsi="楷体_GB2312" w:eastAsia="楷体_GB2312" w:cs="楷体_GB2312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楷体_GB2312" w:hAnsi="楷体_GB2312" w:eastAsia="楷体_GB2312" w:cs="楷体_GB2312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（一）突出“严防严控”，疫情防控紧抓不懈</w:t>
      </w:r>
    </w:p>
    <w:p>
      <w:pPr>
        <w:pStyle w:val="2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ind w:right="0" w:rightChars="0"/>
        <w:outlineLvl w:val="9"/>
        <w:rPr>
          <w:rFonts w:hint="default" w:ascii="仿宋_GB2312" w:hAnsi="仿宋_GB2312" w:eastAsia="仿宋_GB2312" w:cs="仿宋_GB2312"/>
          <w:color w:val="000000" w:themeColor="text1"/>
          <w:kern w:val="2"/>
          <w:sz w:val="32"/>
          <w:szCs w:val="32"/>
          <w:lang w:val="en-US" w:eastAsia="zh-CN" w:bidi="ar-SA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Tahoma" w:eastAsia="仿宋_GB2312" w:cs="Times New Roman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一是数据排查精准高效。</w:t>
      </w:r>
      <w:r>
        <w:rPr>
          <w:rFonts w:hint="eastAsia" w:ascii="仿宋_GB2312" w:hAnsi="Tahoma" w:eastAsia="仿宋_GB2312" w:cs="Times New Roman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通过大数据排查、自主报备、开展“扫楼、扫街”行动等多种方式，多管齐下，对中高风险人群精准排查，分类建立工作台账，共排查国内中高风险地区返岳人员6050人。</w:t>
      </w:r>
      <w:r>
        <w:rPr>
          <w:rFonts w:hint="eastAsia" w:ascii="仿宋_GB2312" w:hAnsi="Tahoma" w:eastAsia="仿宋_GB2312" w:cs="Times New Roman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二是日常防控平稳有序。</w:t>
      </w:r>
      <w:r>
        <w:rPr>
          <w:rFonts w:hint="eastAsia" w:ascii="仿宋_GB2312" w:hAnsi="Tahoma" w:eastAsia="仿宋_GB2312" w:cs="Times New Roman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召开防疫专题部署会82次，优化8个分工小组；</w:t>
      </w:r>
      <w:r>
        <w:rPr>
          <w:rFonts w:hint="eastAsia" w:ascii="仿宋_GB2312" w:hAnsi="仿宋_GB2312" w:eastAsia="仿宋_GB2312" w:cs="仿宋_GB2312"/>
          <w:color w:val="000000" w:themeColor="text1"/>
          <w:kern w:val="2"/>
          <w:sz w:val="32"/>
          <w:szCs w:val="32"/>
          <w:lang w:val="en-US" w:eastAsia="zh-CN" w:bidi="ar-SA"/>
          <w14:textFill>
            <w14:solidFill>
              <w14:schemeClr w14:val="tx1"/>
            </w14:solidFill>
          </w14:textFill>
        </w:rPr>
        <w:t>张贴场所码3842份，整改89家，严格落实“应扫尽扫”，扫码率达到97%；</w:t>
      </w:r>
      <w:r>
        <w:rPr>
          <w:rFonts w:hint="eastAsia" w:ascii="仿宋_GB2312" w:hAnsi="Tahoma" w:eastAsia="仿宋_GB2312" w:cs="Times New Roman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成功组织实施全员核酸应急演练10次，落实整改问题96条；组织辖区居民开展常态化核酸检测，完成免费核酸采样24万余人次；对288人居家隔离对象采取门磁报警</w:t>
      </w:r>
      <w:r>
        <w:rPr>
          <w:rFonts w:hint="eastAsia" w:ascii="仿宋_GB2312" w:hAnsi="仿宋_GB2312" w:eastAsia="仿宋_GB2312" w:cs="仿宋_GB2312"/>
          <w:color w:val="000000" w:themeColor="text1"/>
          <w:kern w:val="2"/>
          <w:sz w:val="32"/>
          <w:szCs w:val="32"/>
          <w:lang w:val="en-US" w:eastAsia="zh-CN" w:bidi="ar-SA"/>
          <w14:textFill>
            <w14:solidFill>
              <w14:schemeClr w14:val="tx1"/>
            </w14:solidFill>
          </w14:textFill>
        </w:rPr>
        <w:t>管控。</w:t>
      </w:r>
      <w:r>
        <w:rPr>
          <w:rFonts w:hint="eastAsia" w:ascii="仿宋_GB2312" w:hAnsi="Tahoma" w:eastAsia="仿宋_GB2312" w:cs="Times New Roman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三是督查监管强效有力。</w:t>
      </w:r>
      <w:r>
        <w:rPr>
          <w:rFonts w:hint="eastAsia" w:ascii="仿宋_GB2312" w:hAnsi="仿宋_GB2312" w:eastAsia="仿宋_GB2312" w:cs="仿宋_GB2312"/>
          <w:color w:val="000000" w:themeColor="text1"/>
          <w:kern w:val="2"/>
          <w:sz w:val="32"/>
          <w:szCs w:val="32"/>
          <w:lang w:val="en-US" w:eastAsia="zh-CN" w:bidi="ar-SA"/>
          <w14:textFill>
            <w14:solidFill>
              <w14:schemeClr w14:val="tx1"/>
            </w14:solidFill>
          </w14:textFill>
        </w:rPr>
        <w:t>联合派出所、市场监管所等职能部门对沿街“五小门店”、酒店等人流密集场所进行严格督查，累计开展相关行动130次，查出问题75条，关停麻将馆、棋牌室82家，均已按要求进行整改；近三年来，辖区未发生一例确诊或疑似病例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right="0" w:rightChars="0" w:firstLine="643" w:firstLineChars="200"/>
        <w:jc w:val="both"/>
        <w:textAlignment w:val="auto"/>
        <w:outlineLvl w:val="9"/>
        <w:rPr>
          <w:rFonts w:hint="eastAsia" w:ascii="楷体_GB2312" w:hAnsi="楷体_GB2312" w:eastAsia="楷体_GB2312" w:cs="楷体_GB2312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楷体_GB2312" w:hAnsi="楷体_GB2312" w:eastAsia="楷体_GB2312" w:cs="楷体_GB2312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（二）突出“稳中求进”，财税经济稳步增长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right="0" w:rightChars="0" w:firstLine="643" w:firstLineChars="200"/>
        <w:outlineLvl w:val="9"/>
        <w:rPr>
          <w:rFonts w:hint="default" w:ascii="仿宋_GB2312" w:hAnsi="Tahoma" w:eastAsia="仿宋_GB2312" w:cs="Times New Roman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Tahoma" w:eastAsia="仿宋_GB2312" w:cs="Times New Roman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一是产业项目持续向好。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全年完成固定投资近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5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亿元，完成税收任务超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4000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万元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，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税收目标完成额位居全区前列。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完善街道协税护税工作方案，实行“一条龙”跟踪服务，加强对辖区范围内企业、在建项目税收征管，辖区在建项目建筑服务企业注册率、税收征缴率均达100%。</w:t>
      </w:r>
      <w:r>
        <w:rPr>
          <w:rFonts w:hint="eastAsia" w:ascii="仿宋_GB2312" w:hAnsi="Tahoma" w:eastAsia="仿宋_GB2312" w:cs="Times New Roman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二是营商环境再上台阶。</w:t>
      </w:r>
      <w:r>
        <w:rPr>
          <w:rFonts w:hint="eastAsia" w:ascii="仿宋_GB2312" w:hAnsi="仿宋_GB2312" w:eastAsia="仿宋_GB2312" w:cs="仿宋_GB2312"/>
          <w:color w:val="000000" w:themeColor="text1"/>
          <w:kern w:val="2"/>
          <w:sz w:val="32"/>
          <w:szCs w:val="32"/>
          <w:lang w:val="en-US" w:eastAsia="zh-CN" w:bidi="ar-SA"/>
          <w14:textFill>
            <w14:solidFill>
              <w14:schemeClr w14:val="tx1"/>
            </w14:solidFill>
          </w14:textFill>
        </w:rPr>
        <w:t>协助洞庭地产·都会中心复工复产，强化部门协作，为项目建设保驾护航；积极配合市场监管部门，加大市场主体倍增工程推进力度，进一步增添市场活力，今年来企业净增量达到165户；省委常委统战部部长隋忠诚一行赴东升社区玉鑫地产调研工作，对新的社会阶层人士统战工作的进展和成效给予肯定。</w:t>
      </w:r>
      <w:r>
        <w:rPr>
          <w:rFonts w:hint="eastAsia" w:ascii="仿宋_GB2312" w:hAnsi="Tahoma" w:eastAsia="仿宋_GB2312" w:cs="Times New Roman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三是产业格局优化升级。</w:t>
      </w:r>
      <w:r>
        <w:rPr>
          <w:rFonts w:hint="eastAsia" w:ascii="仿宋_GB2312" w:hAnsi="仿宋_GB2312" w:eastAsia="仿宋_GB2312" w:cs="仿宋_GB2312"/>
          <w:b w:val="0"/>
          <w:bCs w:val="0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结合街道实际情况，参与省人大代表提案，推进僵尸企业资源整合调研工作，优化企业发展。扎实推进“湘商回归”工作，建立王家河寓外乡友数据库，搭建回归平台，吸引寓外乡友共创共建共享楼区。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right="0" w:rightChars="0" w:firstLine="643" w:firstLineChars="200"/>
        <w:jc w:val="both"/>
        <w:textAlignment w:val="auto"/>
        <w:outlineLvl w:val="9"/>
        <w:rPr>
          <w:rFonts w:hint="eastAsia" w:ascii="仿宋_GB2312" w:hAnsi="Tahoma" w:eastAsia="仿宋_GB2312" w:cs="Times New Roman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楷体_GB2312" w:hAnsi="楷体_GB2312" w:eastAsia="楷体_GB2312" w:cs="楷体_GB2312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（三）突出“精细长效”，城市管理精益求精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pacing w:line="560" w:lineRule="exact"/>
        <w:ind w:right="0" w:rightChars="0" w:firstLine="643" w:firstLineChars="200"/>
        <w:textAlignment w:val="auto"/>
        <w:outlineLvl w:val="9"/>
        <w:rPr>
          <w:rFonts w:hint="eastAsia" w:ascii="楷体_GB2312" w:eastAsia="仿宋_GB2312"/>
          <w:b/>
          <w:bCs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市容环境提质提标。</w:t>
      </w:r>
      <w:r>
        <w:rPr>
          <w:rFonts w:hint="eastAsia" w:ascii="仿宋_GB2312" w:hAnsi="仿宋_GB2312" w:eastAsia="仿宋_GB2312" w:cs="仿宋_GB2312"/>
          <w:color w:val="000000" w:themeColor="text1"/>
          <w:kern w:val="2"/>
          <w:sz w:val="32"/>
          <w:szCs w:val="32"/>
          <w:lang w:val="en-US" w:eastAsia="zh-CN" w:bidi="ar-SA"/>
          <w14:textFill>
            <w14:solidFill>
              <w14:schemeClr w14:val="tx1"/>
            </w14:solidFill>
          </w14:textFill>
        </w:rPr>
        <w:t>开展市容市貌大整治行动68次，清理房前屋后杂草18000平方米、牛皮癣1500余处；</w:t>
      </w:r>
      <w:r>
        <w:rPr>
          <w:rFonts w:hint="eastAsia" w:ascii="仿宋_GB2312" w:hAnsi="仿宋_GB2312" w:eastAsia="仿宋_GB2312" w:cs="仿宋_GB2312"/>
          <w:b w:val="0"/>
          <w:bCs w:val="0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13个小区完成垃圾分类设备添置，</w:t>
      </w:r>
      <w:r>
        <w:rPr>
          <w:rFonts w:hint="eastAsia" w:ascii="仿宋_GB2312" w:hAnsi="仿宋_GB2312" w:eastAsia="仿宋_GB2312" w:cs="仿宋_GB2312"/>
          <w:b w:val="0"/>
          <w:bCs w:val="0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王家河社区鑫泓小区被设为垃圾分类示范建设点；</w:t>
      </w:r>
      <w:r>
        <w:rPr>
          <w:rFonts w:hint="eastAsia" w:ascii="仿宋_GB2312" w:hAnsi="仿宋_GB2312" w:eastAsia="仿宋_GB2312" w:cs="仿宋_GB2312"/>
          <w:color w:val="000000" w:themeColor="text1"/>
          <w:kern w:val="2"/>
          <w:sz w:val="32"/>
          <w:szCs w:val="32"/>
          <w:lang w:val="en-US" w:eastAsia="zh-CN" w:bidi="ar-SA"/>
          <w14:textFill>
            <w14:solidFill>
              <w14:schemeClr w14:val="tx1"/>
            </w14:solidFill>
          </w14:textFill>
        </w:rPr>
        <w:t>在迎接全国和全省文明城市创建“大考”中，街道成绩优异。</w:t>
      </w:r>
      <w:r>
        <w:rPr>
          <w:rFonts w:hint="eastAsia" w:ascii="仿宋_GB2312" w:hAnsi="仿宋_GB2312" w:eastAsia="仿宋_GB2312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环保整治</w:t>
      </w:r>
      <w:r>
        <w:rPr>
          <w:rFonts w:hint="eastAsia" w:ascii="仿宋_GB2312" w:hAnsi="仿宋_GB2312" w:eastAsia="仿宋_GB2312" w:cs="仿宋_GB2312"/>
          <w:b/>
          <w:bCs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常态长效</w:t>
      </w:r>
      <w:r>
        <w:rPr>
          <w:rFonts w:hint="eastAsia" w:ascii="仿宋_GB2312" w:hAnsi="仿宋_GB2312" w:eastAsia="仿宋_GB2312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。</w:t>
      </w:r>
      <w:r>
        <w:rPr>
          <w:rFonts w:hint="eastAsia" w:ascii="仿宋_GB2312" w:hAnsi="仿宋_GB2312" w:eastAsia="仿宋_GB2312" w:cs="仿宋_GB2312"/>
          <w:b w:val="0"/>
          <w:bCs w:val="0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全面开展生态环保“利剑”行动专项整治工作，</w:t>
      </w:r>
      <w:r>
        <w:rPr>
          <w:rFonts w:hint="eastAsia" w:ascii="仿宋_GB2312" w:hAnsi="仿宋_GB2312" w:eastAsia="仿宋_GB2312" w:cs="仿宋_GB2312"/>
          <w:color w:val="000000" w:themeColor="text1"/>
          <w:kern w:val="2"/>
          <w:sz w:val="32"/>
          <w:szCs w:val="32"/>
          <w:lang w:val="en-US" w:eastAsia="zh-CN" w:bidi="ar-SA"/>
          <w14:textFill>
            <w14:solidFill>
              <w14:schemeClr w14:val="tx1"/>
            </w14:solidFill>
          </w14:textFill>
        </w:rPr>
        <w:t>召开河长制工作专题会5次，明确雨水排口专人负责制，现场督办交办问题8件，清理水面漂浮物13余吨，清理小区沉井、化粪池780余处，河长制工作成效在岳阳日报等媒体上作为先进经验向全市推荐。</w:t>
      </w:r>
      <w:r>
        <w:rPr>
          <w:rFonts w:hint="eastAsia" w:ascii="楷体_GB2312" w:eastAsia="楷体_GB2312"/>
          <w:b/>
          <w:bCs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公共服务增质增效。</w:t>
      </w:r>
      <w:r>
        <w:rPr>
          <w:rFonts w:hint="eastAsia" w:ascii="仿宋_GB2312" w:hAnsi="仿宋_GB2312" w:eastAsia="仿宋_GB2312" w:cs="仿宋_GB2312"/>
          <w:b w:val="0"/>
          <w:bCs w:val="0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不断强化“党建+网格化微治理”模式，进一步澄清网格底数，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开展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网格员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“一日双巡”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工作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，</w:t>
      </w:r>
      <w:r>
        <w:rPr>
          <w:rFonts w:hint="eastAsia" w:ascii="仿宋_GB2312" w:hAnsi="仿宋_GB2312" w:eastAsia="仿宋_GB2312" w:cs="仿宋_GB2312"/>
          <w:b w:val="0"/>
          <w:bCs w:val="0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完成一网统管系统办件1068件、市长信箱回复14条、“12345”信访回复679条。市长信箱回复等级评价被评为全区A类，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群众满意度不断提升，服务群众最后一公里全面打通，居民群众归属感不断增强。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政务服务</w:t>
      </w:r>
      <w:r>
        <w:rPr>
          <w:rFonts w:hint="eastAsia" w:ascii="仿宋_GB2312" w:hAnsi="仿宋_GB2312" w:eastAsia="仿宋_GB2312" w:cs="仿宋_GB2312"/>
          <w:b w:val="0"/>
          <w:bCs w:val="0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“一网通办”平台建设成绩显著，受到省市各级领导高度肯定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right="0" w:rightChars="0" w:firstLine="643" w:firstLineChars="200"/>
        <w:jc w:val="both"/>
        <w:textAlignment w:val="auto"/>
        <w:outlineLvl w:val="9"/>
        <w:rPr>
          <w:rFonts w:hint="eastAsia" w:ascii="楷体_GB2312" w:hAnsi="楷体_GB2312" w:eastAsia="楷体_GB2312" w:cs="楷体_GB2312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楷体_GB2312" w:hAnsi="楷体_GB2312" w:eastAsia="楷体_GB2312" w:cs="楷体_GB2312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（四）突出“惠民利民”，民生福祉持续改善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right="0" w:rightChars="0" w:firstLine="643" w:firstLineChars="200"/>
        <w:outlineLvl w:val="9"/>
        <w:rPr>
          <w:rFonts w:hint="eastAsia" w:ascii="仿宋_GB2312" w:hAnsi="Tahoma" w:eastAsia="仿宋_GB2312" w:cs="Times New Roman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b/>
          <w:bCs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旧城改造日新月异。</w:t>
      </w:r>
      <w:r>
        <w:rPr>
          <w:rFonts w:hint="eastAsia" w:ascii="仿宋_GB2312" w:hAnsi="仿宋_GB2312" w:eastAsia="仿宋_GB2312" w:cs="仿宋_GB2312"/>
          <w:color w:val="000000" w:themeColor="text1"/>
          <w:kern w:val="2"/>
          <w:sz w:val="32"/>
          <w:szCs w:val="32"/>
          <w:lang w:val="en-US" w:eastAsia="zh-CN" w:bidi="ar-SA"/>
          <w14:textFill>
            <w14:solidFill>
              <w14:schemeClr w14:val="tx1"/>
            </w14:solidFill>
          </w14:textFill>
        </w:rPr>
        <w:t>东升小区、鑫泓花园等5个老旧小区改造项目已全部完工，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海棠社区乾家垅、王家河社区鑫泓路等5个老旧小区配套设施改造工程稳步推进，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总投资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达到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1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0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00万元，惠及居民3000余户，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旧改工程完工后，先后有鑫泓花园、岳阳楼生活区及铁山管理局家属区的居民代表自发送来锦旗，表示对旧改工作的感谢和肯定</w:t>
      </w:r>
      <w:r>
        <w:rPr>
          <w:rFonts w:hint="eastAsia" w:ascii="仿宋_GB2312" w:hAnsi="黑体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。</w:t>
      </w:r>
      <w:r>
        <w:rPr>
          <w:rFonts w:hint="eastAsia" w:ascii="仿宋_GB2312" w:hAnsi="仿宋_GB2312" w:eastAsia="仿宋_GB2312" w:cs="仿宋_GB2312"/>
          <w:b/>
          <w:bCs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人居环境日益改善。</w:t>
      </w:r>
      <w:r>
        <w:rPr>
          <w:rFonts w:hint="eastAsia" w:ascii="仿宋_GB2312" w:hAnsi="仿宋_GB2312" w:eastAsia="仿宋_GB2312" w:cs="仿宋_GB2312"/>
          <w:b w:val="0"/>
          <w:bCs w:val="0"/>
          <w:color w:val="000000" w:themeColor="text1"/>
          <w:kern w:val="2"/>
          <w:sz w:val="32"/>
          <w:szCs w:val="32"/>
          <w:lang w:val="en-US" w:eastAsia="zh-CN" w:bidi="ar-SA"/>
          <w14:textFill>
            <w14:solidFill>
              <w14:schemeClr w14:val="tx1"/>
            </w14:solidFill>
          </w14:textFill>
        </w:rPr>
        <w:t>结合老旧小区改造契机，新增停车场2个，新增停车位260个，缓解停车难问题。高标准建成14个文化小广场，基础设施不断完善。易家路、东升小学路口人行天桥、市烟草公司路口人行天桥等一批市政设施项目的建设，进一步改善了辖区人居环境，大大提升了居民幸福指数。</w:t>
      </w:r>
      <w:r>
        <w:rPr>
          <w:rFonts w:hint="eastAsia" w:ascii="仿宋_GB2312" w:hAnsi="仿宋_GB2312" w:eastAsia="仿宋_GB2312" w:cs="仿宋_GB2312"/>
          <w:b/>
          <w:bCs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民生保障日趋精准。</w:t>
      </w:r>
      <w:r>
        <w:rPr>
          <w:rFonts w:hint="eastAsia" w:ascii="仿宋_GB2312" w:hAnsi="仿宋_GB2312" w:eastAsia="仿宋_GB2312" w:cs="仿宋_GB2312"/>
          <w:b w:val="0"/>
          <w:bCs w:val="0"/>
          <w:color w:val="000000" w:themeColor="text1"/>
          <w:kern w:val="2"/>
          <w:sz w:val="32"/>
          <w:szCs w:val="32"/>
          <w:lang w:val="en-US" w:eastAsia="zh-CN" w:bidi="ar-SA"/>
          <w14:textFill>
            <w14:solidFill>
              <w14:schemeClr w14:val="tx1"/>
            </w14:solidFill>
          </w14:textFill>
        </w:rPr>
        <w:t>持续开展“</w:t>
      </w:r>
      <w:r>
        <w:rPr>
          <w:rFonts w:hint="eastAsia" w:ascii="仿宋_GB2312" w:hAnsi="Tahoma" w:eastAsia="仿宋_GB2312" w:cs="Times New Roman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阳光行动”，为341户低保户累计发放低保资金22万元；对100余户特困老人开展适老化改造工作，让老年人真正享受到老有所养老有所帮的晚年生活；扎实推进医保征缴工作，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通过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网格员入户宣传、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流动“小喇叭”、张贴宣传海报等方式，动员居民积极参保，全力护航惠民政策落实落地，目前已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办理医保</w:t>
      </w:r>
      <w:r>
        <w:rPr>
          <w:rFonts w:hint="eastAsia" w:ascii="仿宋_GB2312" w:hAnsi="ˎ̥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基金征缴服务</w:t>
      </w:r>
      <w:r>
        <w:rPr>
          <w:rFonts w:hint="eastAsia" w:ascii="仿宋_GB2312" w:hAnsi="Tahoma" w:eastAsia="仿宋_GB2312" w:cs="Times New Roman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12505人次；关注社会弱势群体，东升社区养老服务中心和</w:t>
      </w:r>
      <w:r>
        <w:rPr>
          <w:rFonts w:hint="eastAsia" w:ascii="仿宋_GB2312" w:hAnsi="仿宋_GB2312" w:eastAsia="仿宋_GB2312" w:cs="仿宋_GB2312"/>
          <w:b w:val="0"/>
          <w:bCs w:val="0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残疾人康复站工作倍受好评，接连得到全国政协副主席、中国残联副主席等各级领导的高度认可。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right="0" w:rightChars="0" w:firstLine="643" w:firstLineChars="200"/>
        <w:jc w:val="both"/>
        <w:textAlignment w:val="auto"/>
        <w:outlineLvl w:val="9"/>
        <w:rPr>
          <w:rFonts w:hint="eastAsia" w:ascii="楷体_GB2312" w:hAnsi="楷体_GB2312" w:eastAsia="楷体_GB2312" w:cs="楷体_GB2312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楷体_GB2312" w:hAnsi="楷体_GB2312" w:eastAsia="楷体_GB2312" w:cs="楷体_GB2312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（五）突出“抓牢抓实”，社会大局平安稳定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 w:firstLine="643" w:firstLineChars="200"/>
        <w:textAlignment w:val="auto"/>
        <w:outlineLvl w:val="9"/>
        <w:rPr>
          <w:rFonts w:hint="eastAsia" w:ascii="仿宋_GB2312" w:hAnsi="仿宋_GB2312" w:eastAsia="仿宋_GB2312" w:cs="仿宋_GB2312"/>
          <w:color w:val="000000" w:themeColor="text1"/>
          <w:kern w:val="2"/>
          <w:sz w:val="32"/>
          <w:szCs w:val="32"/>
          <w:lang w:val="en-US" w:eastAsia="zh-CN" w:bidi="ar-SA"/>
          <w14:textFill>
            <w14:solidFill>
              <w14:schemeClr w14:val="tx1"/>
            </w14:solidFill>
          </w14:textFill>
        </w:rPr>
      </w:pPr>
      <w:r>
        <w:rPr>
          <w:rStyle w:val="11"/>
          <w:rFonts w:hint="eastAsia" w:ascii="仿宋_GB2312" w:hAnsi="仿宋_GB2312" w:eastAsia="仿宋_GB2312" w:cs="仿宋_GB2312"/>
          <w:b/>
          <w:bCs/>
          <w:i w:val="0"/>
          <w:caps w:val="0"/>
          <w:color w:val="000000" w:themeColor="text1"/>
          <w:spacing w:val="0"/>
          <w:w w:val="100"/>
          <w:kern w:val="2"/>
          <w:sz w:val="32"/>
          <w:szCs w:val="32"/>
          <w:lang w:val="en-US" w:eastAsia="zh-CN" w:bidi="ar-SA"/>
          <w14:textFill>
            <w14:solidFill>
              <w14:schemeClr w14:val="tx1"/>
            </w14:solidFill>
          </w14:textFill>
        </w:rPr>
        <w:t>安全防线严抓不放。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以“一把手”负责制推动职能部门联合开展应急演练，分类成立“自建房摸排”、“屋顶扫雷”等5个专项整治领导小组；完成居民自建房录入2225栋，完成率100%，分类挂牌整治重点区域存在重大安全隐患的自建房，累计挂牌29处；结合老旧小区改造，开展拆违行动20余次，拆除新增违建6处430平方米，拆除存在安全隐患的存量违建73处3612平方米，实现辖区违法建设“零增长”。率先完成拆违任务，受到区政府通报表扬。</w:t>
      </w:r>
      <w:r>
        <w:rPr>
          <w:rStyle w:val="11"/>
          <w:rFonts w:hint="eastAsia" w:ascii="仿宋_GB2312" w:hAnsi="仿宋_GB2312" w:eastAsia="仿宋_GB2312" w:cs="仿宋_GB2312"/>
          <w:b/>
          <w:bCs/>
          <w:i w:val="0"/>
          <w:caps w:val="0"/>
          <w:color w:val="000000" w:themeColor="text1"/>
          <w:spacing w:val="0"/>
          <w:w w:val="100"/>
          <w:kern w:val="2"/>
          <w:sz w:val="32"/>
          <w:szCs w:val="32"/>
          <w:lang w:val="en-US" w:eastAsia="zh-CN" w:bidi="ar-SA"/>
          <w14:textFill>
            <w14:solidFill>
              <w14:schemeClr w14:val="tx1"/>
            </w14:solidFill>
          </w14:textFill>
        </w:rPr>
        <w:t>综治维稳牢抓不松。</w:t>
      </w:r>
      <w:r>
        <w:rPr>
          <w:rStyle w:val="11"/>
          <w:rFonts w:hint="eastAsia" w:ascii="仿宋_GB2312" w:hAnsi="仿宋_GB2312" w:eastAsia="仿宋_GB2312" w:cs="仿宋_GB2312"/>
          <w:b w:val="0"/>
          <w:bCs w:val="0"/>
          <w:i w:val="0"/>
          <w:caps w:val="0"/>
          <w:color w:val="000000" w:themeColor="text1"/>
          <w:spacing w:val="0"/>
          <w:w w:val="100"/>
          <w:kern w:val="2"/>
          <w:sz w:val="32"/>
          <w:szCs w:val="32"/>
          <w:lang w:val="en-US" w:eastAsia="zh-CN" w:bidi="ar-SA"/>
          <w14:textFill>
            <w14:solidFill>
              <w14:schemeClr w14:val="tx1"/>
            </w14:solidFill>
          </w14:textFill>
        </w:rPr>
        <w:t>在第十四届省运会、党的二十大会议等特护期间，实现群体“零上访”，“零购票”，圆满完成了安保维稳工作；有效化解信访案件32件，</w:t>
      </w:r>
      <w:r>
        <w:rPr>
          <w:rFonts w:hint="eastAsia" w:ascii="仿宋_GB2312" w:hAnsi="仿宋_GB2312" w:eastAsia="仿宋_GB2312" w:cs="仿宋_GB2312"/>
          <w:color w:val="000000" w:themeColor="text1"/>
          <w:kern w:val="2"/>
          <w:sz w:val="32"/>
          <w:szCs w:val="32"/>
          <w:lang w:val="en-US" w:eastAsia="zh-CN" w:bidi="ar-SA"/>
          <w14:textFill>
            <w14:solidFill>
              <w14:schemeClr w14:val="tx1"/>
            </w14:solidFill>
          </w14:textFill>
        </w:rPr>
        <w:t>接待来访退役军人200人次、群访4批次；全方位多维度开展反电诈宣传，组织大型宣传活动2次，发放宣传资料8000余份。</w:t>
      </w:r>
      <w:r>
        <w:rPr>
          <w:rStyle w:val="11"/>
          <w:rFonts w:hint="eastAsia" w:ascii="仿宋_GB2312" w:hAnsi="仿宋_GB2312" w:eastAsia="仿宋_GB2312" w:cs="仿宋_GB2312"/>
          <w:b/>
          <w:bCs/>
          <w:i w:val="0"/>
          <w:caps w:val="0"/>
          <w:color w:val="000000" w:themeColor="text1"/>
          <w:spacing w:val="0"/>
          <w:w w:val="100"/>
          <w:kern w:val="2"/>
          <w:sz w:val="32"/>
          <w:szCs w:val="32"/>
          <w:lang w:val="en-US" w:eastAsia="zh-CN" w:bidi="ar-SA"/>
          <w14:textFill>
            <w14:solidFill>
              <w14:schemeClr w14:val="tx1"/>
            </w14:solidFill>
          </w14:textFill>
        </w:rPr>
        <w:t>国防事业常抓不懈。</w:t>
      </w:r>
      <w:r>
        <w:rPr>
          <w:rFonts w:hint="eastAsia" w:ascii="仿宋_GB2312" w:hAnsi="仿宋_GB2312" w:eastAsia="仿宋_GB2312" w:cs="仿宋_GB2312"/>
          <w:color w:val="000000" w:themeColor="text1"/>
          <w:kern w:val="2"/>
          <w:sz w:val="32"/>
          <w:szCs w:val="32"/>
          <w:lang w:val="en-US" w:eastAsia="zh-CN" w:bidi="ar-SA"/>
          <w14:textFill>
            <w14:solidFill>
              <w14:schemeClr w14:val="tx1"/>
            </w14:solidFill>
          </w14:textFill>
        </w:rPr>
        <w:t>在全省基层人民武装部星级达标活动中，我单位连续三年获评“五星基层武装部”。市人防办将我街道作为基层试点单位，进一步提高居民群众防空防灾知识和技能。</w:t>
      </w:r>
    </w:p>
    <w:p>
      <w:pPr>
        <w:keepNext w:val="0"/>
        <w:keepLines w:val="0"/>
        <w:pageBreakBefore w:val="0"/>
        <w:widowControl/>
        <w:numPr>
          <w:ilvl w:val="0"/>
          <w:numId w:val="4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right="0" w:rightChars="0" w:firstLine="643" w:firstLineChars="200"/>
        <w:jc w:val="both"/>
        <w:textAlignment w:val="auto"/>
        <w:outlineLvl w:val="9"/>
        <w:rPr>
          <w:rFonts w:hint="default" w:ascii="楷体_GB2312" w:hAnsi="楷体_GB2312" w:eastAsia="楷体_GB2312" w:cs="楷体_GB2312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楷体_GB2312" w:hAnsi="楷体_GB2312" w:eastAsia="楷体_GB2312" w:cs="楷体_GB2312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突出“创新实效”，“四亮”创建凝心聚力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 w:firstLine="643" w:firstLineChars="200"/>
        <w:textAlignment w:val="auto"/>
        <w:outlineLvl w:val="9"/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/>
          <w:b/>
          <w:bCs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固本培元抓意识形态。</w:t>
      </w:r>
      <w:r>
        <w:rPr>
          <w:rFonts w:hint="eastAsia" w:ascii="仿宋_GB2312" w:hAnsi="仿宋_GB2312" w:eastAsia="仿宋_GB2312" w:cs="仿宋_GB2312"/>
          <w:color w:val="000000" w:themeColor="text1"/>
          <w:kern w:val="2"/>
          <w:sz w:val="32"/>
          <w:szCs w:val="32"/>
          <w:lang w:val="en-US" w:eastAsia="zh-CN" w:bidi="ar-SA"/>
          <w14:textFill>
            <w14:solidFill>
              <w14:schemeClr w14:val="tx1"/>
            </w14:solidFill>
          </w14:textFill>
        </w:rPr>
        <w:t>坚持把抓意识形态工作作为党工委的一项重要议事日程，与各项中心工作同部署、同落实。认真贯彻《习近平谈治国理政》第四卷、党的二十大会议精神，充分利用如法网、微信、网络教育学院等平台资源，推动党员学习走深走实，全年共计开展理论中心组学习12次，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集中研讨4次，召开专题组织生活会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次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。</w:t>
      </w:r>
      <w:r>
        <w:rPr>
          <w:rFonts w:hint="eastAsia" w:ascii="仿宋_GB2312" w:hAnsi="仿宋" w:eastAsia="仿宋_GB2312"/>
          <w:b/>
          <w:bCs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创新联动抓组织建设。</w:t>
      </w:r>
      <w:r>
        <w:rPr>
          <w:rFonts w:hint="eastAsia" w:ascii="仿宋_GB2312" w:hAnsi="仿宋_GB2312" w:eastAsia="仿宋_GB2312" w:cs="仿宋_GB2312"/>
          <w:color w:val="000000" w:themeColor="text1"/>
          <w:kern w:val="2"/>
          <w:sz w:val="32"/>
          <w:szCs w:val="32"/>
          <w:lang w:val="en-US" w:eastAsia="zh-CN" w:bidi="ar-SA"/>
          <w14:textFill>
            <w14:solidFill>
              <w14:schemeClr w14:val="tx1"/>
            </w14:solidFill>
          </w14:textFill>
        </w:rPr>
        <w:t>积极培育两新组织党建新动能，全面提升两新党组织有型有效覆盖水平。新成立2个两新党组织，召开非公有制经济组织和社会组织综合委员会议，明确主体责任，健全完善“两新”组织党建工作指导体系。党员纳新5人，预备党员转正7人。</w:t>
      </w:r>
      <w:r>
        <w:rPr>
          <w:rFonts w:hint="eastAsia" w:ascii="仿宋_GB2312" w:hAnsi="仿宋" w:eastAsia="仿宋_GB2312"/>
          <w:b/>
          <w:bCs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夯实服务抓平台建设。</w:t>
      </w:r>
      <w:r>
        <w:rPr>
          <w:rFonts w:hint="eastAsia" w:ascii="仿宋_GB2312" w:hAnsi="仿宋_GB2312" w:eastAsia="仿宋_GB2312" w:cs="仿宋_GB2312"/>
          <w:color w:val="000000" w:themeColor="text1"/>
          <w:kern w:val="2"/>
          <w:sz w:val="32"/>
          <w:szCs w:val="32"/>
          <w:lang w:val="en-US" w:eastAsia="zh-CN" w:bidi="ar-SA"/>
          <w14:textFill>
            <w14:solidFill>
              <w14:schemeClr w14:val="tx1"/>
            </w14:solidFill>
          </w14:textFill>
        </w:rPr>
        <w:t>持续打造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小区党建品牌，投入资金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60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万元，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进一步强化枫树岭社区阵地建设；充分依托长鑫社区特点，优化社区党建服务矩阵，通过量化10项评价指标，建立以党员、物业、业委会和群众代表为主体的“四方评议”满意度评价体系，以百分努力换您十分满意，“满意”特色品牌雏形初现；积极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组织新建枫树岭人大代表联系群众工作室，进一步完善东升社区人大代表联系群众工作室，架起干群“连心桥”，畅通“民意路”。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right="0" w:rightChars="0" w:firstLine="643" w:firstLineChars="200"/>
        <w:jc w:val="both"/>
        <w:textAlignment w:val="auto"/>
        <w:outlineLvl w:val="9"/>
        <w:rPr>
          <w:rFonts w:hint="default" w:ascii="楷体_GB2312" w:hAnsi="楷体_GB2312" w:eastAsia="楷体_GB2312" w:cs="楷体_GB2312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楷体_GB2312" w:hAnsi="楷体_GB2312" w:eastAsia="楷体_GB2312" w:cs="楷体_GB2312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（七）突出“清廉自律”，作风建设成效显著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right="0" w:rightChars="0" w:firstLine="643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color w:val="000000" w:themeColor="text1"/>
          <w:kern w:val="2"/>
          <w:sz w:val="32"/>
          <w:szCs w:val="32"/>
          <w:lang w:val="en-US" w:eastAsia="zh-CN" w:bidi="ar-SA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b/>
          <w:bCs/>
          <w:color w:val="000000" w:themeColor="text1"/>
          <w:kern w:val="2"/>
          <w:sz w:val="32"/>
          <w:szCs w:val="32"/>
          <w:lang w:val="en-US" w:eastAsia="zh-CN" w:bidi="ar-SA"/>
          <w14:textFill>
            <w14:solidFill>
              <w14:schemeClr w14:val="tx1"/>
            </w14:solidFill>
          </w14:textFill>
        </w:rPr>
        <w:t>抓牢党风廉政建设。</w:t>
      </w:r>
      <w:r>
        <w:rPr>
          <w:rFonts w:hint="eastAsia" w:ascii="仿宋_GB2312" w:hAnsi="仿宋_GB2312" w:eastAsia="仿宋_GB2312" w:cs="仿宋_GB2312"/>
          <w:color w:val="000000" w:themeColor="text1"/>
          <w:kern w:val="2"/>
          <w:sz w:val="32"/>
          <w:szCs w:val="32"/>
          <w:lang w:val="en-US" w:eastAsia="zh-CN" w:bidi="ar-SA"/>
          <w14:textFill>
            <w14:solidFill>
              <w14:schemeClr w14:val="tx1"/>
            </w14:solidFill>
          </w14:textFill>
        </w:rPr>
        <w:t>认真贯彻落实“清廉湖南”建设活动，排查11个“廉政风险点”并形成责任清单。在岳阳市清廉建设岳阳楼区现场推进会活动上，我街道以“赏廉”为主题，开展富有岳阳特色的文化活动，打造廉洁阵地，让清廉楼区建设家喻户晓；东升社区、王家河社区和海棠社区依托“清廉社区”文化长廊，建设清廉文化宣传阵地；辖区长鑫社区长炼小区被评为“清廉物业”，进一步提升基层治理效能。</w:t>
      </w:r>
      <w:r>
        <w:rPr>
          <w:rFonts w:hint="eastAsia" w:ascii="仿宋_GB2312" w:hAnsi="仿宋_GB2312" w:eastAsia="仿宋_GB2312" w:cs="仿宋_GB2312"/>
          <w:b/>
          <w:bCs/>
          <w:color w:val="000000" w:themeColor="text1"/>
          <w:kern w:val="2"/>
          <w:sz w:val="32"/>
          <w:szCs w:val="32"/>
          <w:lang w:val="en-US" w:eastAsia="zh-CN" w:bidi="ar-SA"/>
          <w14:textFill>
            <w14:solidFill>
              <w14:schemeClr w14:val="tx1"/>
            </w14:solidFill>
          </w14:textFill>
        </w:rPr>
        <w:t>抓紧工作作风督查。</w:t>
      </w:r>
      <w:r>
        <w:rPr>
          <w:rFonts w:hint="eastAsia" w:ascii="仿宋_GB2312" w:hAnsi="仿宋_GB2312" w:eastAsia="仿宋_GB2312" w:cs="仿宋_GB2312"/>
          <w:color w:val="000000" w:themeColor="text1"/>
          <w:kern w:val="2"/>
          <w:sz w:val="32"/>
          <w:szCs w:val="32"/>
          <w:lang w:val="en-US" w:eastAsia="zh-CN" w:bidi="ar-SA"/>
          <w14:textFill>
            <w14:solidFill>
              <w14:schemeClr w14:val="tx1"/>
            </w14:solidFill>
          </w14:textFill>
        </w:rPr>
        <w:t>认真学习市、区纪委相关会议精神，采取一体化工作组交叉检查和自查的形式，开展作风督查13次，元旦、春节纠“四风”专项监督检查1次，下发督查通报13期，通报违反工作纪律干部23人次。办理信访件3件、办理案件2件，对3名干部开展提醒谈话，开除党员1名，党内严重警告1人，党员干部作风意识进一步加强。</w:t>
      </w:r>
    </w:p>
    <w:p>
      <w:pPr>
        <w:keepNext w:val="0"/>
        <w:keepLines w:val="0"/>
        <w:pageBreakBefore w:val="0"/>
        <w:widowControl w:val="0"/>
        <w:numPr>
          <w:ilvl w:val="0"/>
          <w:numId w:val="5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left"/>
        <w:textAlignment w:val="auto"/>
        <w:outlineLvl w:val="9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存在的问题及原因分析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left"/>
        <w:textAlignment w:val="auto"/>
        <w:outlineLvl w:val="9"/>
        <w:rPr>
          <w:rFonts w:hint="default" w:ascii="仿宋_GB2312" w:hAnsi="仿宋_GB2312" w:eastAsia="仿宋_GB2312" w:cs="仿宋_GB2312"/>
          <w:b w:val="0"/>
          <w:bCs w:val="0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b/>
          <w:bCs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1、认识不够深入。</w:t>
      </w:r>
      <w:r>
        <w:rPr>
          <w:rFonts w:hint="eastAsia" w:ascii="仿宋_GB2312" w:hAnsi="仿宋_GB2312" w:eastAsia="仿宋_GB2312" w:cs="仿宋_GB2312"/>
          <w:b w:val="0"/>
          <w:bCs w:val="0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因此项工作开展得还不久，虽然认识到绩效评价工作的重要性，但未将此项工作作为全年重点工作来抓。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b/>
          <w:bCs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2、方法性不够强。</w:t>
      </w:r>
      <w:r>
        <w:rPr>
          <w:rFonts w:hint="eastAsia" w:ascii="仿宋_GB2312" w:hAnsi="仿宋_GB2312" w:eastAsia="仿宋_GB2312" w:cs="仿宋_GB2312"/>
          <w:b w:val="0"/>
          <w:bCs w:val="0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一是</w:t>
      </w:r>
      <w:r>
        <w:rPr>
          <w:rFonts w:hint="eastAsia" w:ascii="仿宋_GB2312" w:hAnsi="仿宋_GB2312" w:eastAsia="仿宋_GB2312" w:cs="仿宋_GB2312"/>
          <w:b w:val="0"/>
          <w:bCs w:val="0"/>
          <w:color w:val="000000" w:themeColor="text1"/>
          <w:kern w:val="2"/>
          <w:sz w:val="32"/>
          <w:szCs w:val="32"/>
          <w:lang w:val="en-US" w:eastAsia="zh-CN" w:bidi="ar-SA"/>
          <w14:textFill>
            <w14:solidFill>
              <w14:schemeClr w14:val="tx1"/>
            </w14:solidFill>
          </w14:textFill>
        </w:rPr>
        <w:t>评价指标与具体工作实际的结合性还有待加强；二是绩效目标不够详细具体，部分工作未覆盖，以致目标表与自评表内容存在偏差。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default" w:ascii="仿宋_GB2312" w:hAnsi="仿宋_GB2312" w:eastAsia="仿宋_GB2312" w:cs="仿宋_GB2312"/>
          <w:color w:val="000000" w:themeColor="text1"/>
          <w:kern w:val="2"/>
          <w:sz w:val="32"/>
          <w:szCs w:val="32"/>
          <w:lang w:val="en-US" w:eastAsia="zh-CN" w:bidi="ar-SA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b/>
          <w:bCs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3、机制不够完善。</w:t>
      </w:r>
      <w:r>
        <w:rPr>
          <w:rFonts w:hint="eastAsia" w:ascii="仿宋_GB2312" w:hAnsi="仿宋_GB2312" w:eastAsia="仿宋_GB2312" w:cs="仿宋_GB2312"/>
          <w:color w:val="000000" w:themeColor="text1"/>
          <w:kern w:val="2"/>
          <w:sz w:val="32"/>
          <w:szCs w:val="32"/>
          <w:lang w:val="en-US" w:eastAsia="zh-CN" w:bidi="ar-SA"/>
          <w14:textFill>
            <w14:solidFill>
              <w14:schemeClr w14:val="tx1"/>
            </w14:solidFill>
          </w14:textFill>
        </w:rPr>
        <w:t>未形成完整的事情、事中、事后绩效评价闭环，事前目标和事后评价开展较好，但事中通过绩效评价推动工作开展方面还有待加强。</w:t>
      </w:r>
    </w:p>
    <w:p>
      <w:pPr>
        <w:keepNext w:val="0"/>
        <w:keepLines w:val="0"/>
        <w:pageBreakBefore w:val="0"/>
        <w:widowControl w:val="0"/>
        <w:numPr>
          <w:ilvl w:val="0"/>
          <w:numId w:val="6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left"/>
        <w:textAlignment w:val="auto"/>
        <w:outlineLvl w:val="9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下一步改进措施</w:t>
      </w:r>
    </w:p>
    <w:p>
      <w:pPr>
        <w:pStyle w:val="5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spacing w:before="0" w:beforeAutospacing="0" w:after="0" w:afterAutospacing="0" w:line="560" w:lineRule="exact"/>
        <w:ind w:left="0" w:right="0" w:rightChars="0" w:firstLine="420"/>
        <w:jc w:val="both"/>
        <w:outlineLvl w:val="9"/>
        <w:rPr>
          <w:rFonts w:hint="eastAsia" w:ascii="楷体" w:hAnsi="楷体" w:eastAsia="楷体" w:cs="楷体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楷体" w:hAnsi="楷体" w:eastAsia="楷体" w:cs="楷体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（一）</w:t>
      </w:r>
      <w:r>
        <w:rPr>
          <w:rFonts w:hint="eastAsia" w:ascii="楷体" w:hAnsi="楷体" w:eastAsia="楷体" w:cs="楷体"/>
          <w:b/>
          <w:bCs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强化</w:t>
      </w:r>
      <w:r>
        <w:rPr>
          <w:rFonts w:hint="eastAsia" w:ascii="楷体" w:hAnsi="楷体" w:eastAsia="楷体" w:cs="楷体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监控机制，确保完成</w:t>
      </w:r>
      <w:r>
        <w:rPr>
          <w:rFonts w:hint="eastAsia" w:ascii="楷体" w:hAnsi="楷体" w:eastAsia="楷体" w:cs="楷体"/>
          <w:b/>
          <w:bCs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目标</w:t>
      </w:r>
    </w:p>
    <w:p>
      <w:pPr>
        <w:pStyle w:val="5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spacing w:before="0" w:beforeAutospacing="0" w:after="0" w:afterAutospacing="0" w:line="560" w:lineRule="exact"/>
        <w:ind w:left="0" w:right="0" w:rightChars="0" w:firstLine="420"/>
        <w:jc w:val="both"/>
        <w:outlineLvl w:val="9"/>
        <w:rPr>
          <w:rFonts w:hint="eastAsia" w:ascii="仿宋_GB2312" w:hAnsi="仿宋_GB2312" w:eastAsia="仿宋_GB2312" w:cs="仿宋_GB2312"/>
          <w:color w:val="000000" w:themeColor="text1"/>
          <w:kern w:val="2"/>
          <w:sz w:val="32"/>
          <w:szCs w:val="32"/>
          <w:lang w:val="en-US" w:eastAsia="zh-CN" w:bidi="ar-SA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kern w:val="2"/>
          <w:sz w:val="32"/>
          <w:szCs w:val="32"/>
          <w:lang w:val="en-US" w:eastAsia="zh-CN" w:bidi="ar-SA"/>
          <w14:textFill>
            <w14:solidFill>
              <w14:schemeClr w14:val="tx1"/>
            </w14:solidFill>
          </w14:textFill>
        </w:rPr>
        <w:t>将绩效目标评价工作前置，结合街道具体工作实际，提前科学设置各项绩效目标值，保障资金合理高效使用，确保绩效评价工作顺利开展。</w:t>
      </w:r>
    </w:p>
    <w:p>
      <w:pPr>
        <w:pStyle w:val="5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spacing w:before="0" w:beforeAutospacing="0" w:after="0" w:afterAutospacing="0" w:line="560" w:lineRule="exact"/>
        <w:ind w:left="0" w:right="0" w:rightChars="0" w:firstLine="420"/>
        <w:jc w:val="both"/>
        <w:outlineLvl w:val="9"/>
        <w:rPr>
          <w:rFonts w:hint="eastAsia" w:ascii="楷体" w:hAnsi="楷体" w:eastAsia="楷体" w:cs="楷体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楷体" w:hAnsi="楷体" w:eastAsia="楷体" w:cs="楷体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楷体" w:hAnsi="楷体" w:eastAsia="楷体" w:cs="楷体"/>
          <w:b/>
          <w:bCs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二</w:t>
      </w:r>
      <w:r>
        <w:rPr>
          <w:rFonts w:hint="eastAsia" w:ascii="楷体" w:hAnsi="楷体" w:eastAsia="楷体" w:cs="楷体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）</w:t>
      </w:r>
      <w:r>
        <w:rPr>
          <w:rFonts w:hint="eastAsia" w:ascii="楷体" w:hAnsi="楷体" w:eastAsia="楷体" w:cs="楷体"/>
          <w:b/>
          <w:bCs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加强宣传</w:t>
      </w:r>
      <w:r>
        <w:rPr>
          <w:rFonts w:hint="eastAsia" w:ascii="楷体" w:hAnsi="楷体" w:eastAsia="楷体" w:cs="楷体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培训，提高思想认识</w:t>
      </w: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spacing w:beforeAutospacing="0" w:afterAutospacing="0" w:line="560" w:lineRule="exact"/>
        <w:ind w:left="0" w:right="0" w:rightChars="0" w:firstLine="0"/>
        <w:jc w:val="left"/>
        <w:outlineLvl w:val="9"/>
        <w:rPr>
          <w:rFonts w:hint="eastAsia" w:ascii="仿宋_GB2312" w:hAnsi="仿宋_GB2312" w:eastAsia="仿宋_GB2312" w:cs="仿宋_GB2312"/>
          <w:color w:val="000000" w:themeColor="text1"/>
          <w:kern w:val="2"/>
          <w:sz w:val="32"/>
          <w:szCs w:val="32"/>
          <w:lang w:val="en-US" w:eastAsia="zh-CN" w:bidi="ar-SA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lang w:val="en-US" w:eastAsia="zh-CN" w:bidi="ar-SA"/>
          <w14:textFill>
            <w14:solidFill>
              <w14:schemeClr w14:val="tx1"/>
            </w14:solidFill>
          </w14:textFill>
        </w:rPr>
        <w:t xml:space="preserve">   </w:t>
      </w:r>
      <w:r>
        <w:rPr>
          <w:rFonts w:hint="eastAsia" w:ascii="仿宋_GB2312" w:hAnsi="仿宋_GB2312" w:eastAsia="仿宋_GB2312" w:cs="仿宋_GB2312"/>
          <w:color w:val="000000" w:themeColor="text1"/>
          <w:kern w:val="2"/>
          <w:sz w:val="32"/>
          <w:szCs w:val="32"/>
          <w:lang w:val="en-US" w:eastAsia="zh-CN" w:bidi="ar-SA"/>
          <w14:textFill>
            <w14:solidFill>
              <w14:schemeClr w14:val="tx1"/>
            </w14:solidFill>
          </w14:textFill>
        </w:rPr>
        <w:t xml:space="preserve"> 通过开展学习和培训，通过学习相关文件政策，将预算绩效管理与业务知识结合，使干部职工认识到此项工作的重要性，让预算绩效管理推动工作开展，提高资金使用效益。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right="0" w:rightChars="0" w:firstLine="640" w:firstLineChars="200"/>
        <w:jc w:val="left"/>
        <w:textAlignment w:val="auto"/>
        <w:outlineLvl w:val="9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九、部门整体支出绩效自评结果拟应用和公开情况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left"/>
        <w:textAlignment w:val="auto"/>
        <w:outlineLvl w:val="9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我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街道办事处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高度重视绩效评价工作，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严格按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照相关要求高质高效地完成了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绩效自评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工作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，自评结果为优秀，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我单位将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及时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将结果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进行公开，接受社会监督。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left"/>
        <w:textAlignment w:val="auto"/>
        <w:outlineLvl w:val="9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left"/>
        <w:textAlignment w:val="auto"/>
        <w:outlineLvl w:val="9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报告需要以下附件：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left"/>
        <w:textAlignment w:val="auto"/>
        <w:outlineLvl w:val="9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1、部门整体支出绩效评价基础数据表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left"/>
        <w:textAlignment w:val="auto"/>
        <w:outlineLvl w:val="9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2、部门整体支出绩效自评表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left"/>
        <w:textAlignment w:val="auto"/>
        <w:outlineLvl w:val="9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3、项目支出绩效自评表(一个一级项目支出一张表)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left"/>
        <w:textAlignment w:val="auto"/>
        <w:outlineLvl w:val="9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4、政府性基金预算支出情况表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left"/>
        <w:textAlignment w:val="auto"/>
        <w:outlineLvl w:val="9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5、国有资本经营预算支出情况表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left"/>
        <w:textAlignment w:val="auto"/>
        <w:outlineLvl w:val="9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6、社会保险基金预算支出情况表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right="0" w:rightChars="0" w:firstLine="640" w:firstLineChars="200"/>
        <w:jc w:val="left"/>
        <w:textAlignment w:val="auto"/>
        <w:outlineLvl w:val="9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right="0" w:rightChars="0" w:firstLine="640" w:firstLineChars="200"/>
        <w:jc w:val="left"/>
        <w:textAlignment w:val="auto"/>
        <w:outlineLvl w:val="9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right="0" w:rightChars="0" w:firstLine="640" w:firstLineChars="200"/>
        <w:jc w:val="left"/>
        <w:textAlignment w:val="auto"/>
        <w:outlineLvl w:val="9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right="0" w:rightChars="0" w:firstLine="640" w:firstLineChars="200"/>
        <w:jc w:val="left"/>
        <w:textAlignment w:val="auto"/>
        <w:outlineLvl w:val="9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ind w:right="0" w:rightChars="0"/>
        <w:outlineLvl w:val="9"/>
        <w:rPr>
          <w:rFonts w:hint="eastAsia" w:ascii="宋体" w:hAnsi="宋体" w:eastAsia="宋体" w:cs="宋体"/>
          <w:b/>
          <w:bCs/>
          <w:color w:val="000000" w:themeColor="text1"/>
          <w:spacing w:val="19"/>
          <w:position w:val="17"/>
          <w:sz w:val="36"/>
          <w:szCs w:val="36"/>
          <w:lang w:eastAsia="zh-CN"/>
          <w14:textFill>
            <w14:solidFill>
              <w14:schemeClr w14:val="tx1"/>
            </w14:solidFill>
          </w14:textFill>
        </w:rPr>
        <w:sectPr>
          <w:pgSz w:w="11906" w:h="16838"/>
          <w:pgMar w:top="1701" w:right="1701" w:bottom="1701" w:left="1701" w:header="851" w:footer="992" w:gutter="0"/>
          <w:pgNumType w:fmt="decimal"/>
          <w:cols w:space="0" w:num="1"/>
          <w:rtlGutter w:val="0"/>
          <w:docGrid w:type="lines" w:linePitch="312" w:charSpace="0"/>
        </w:sect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default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附件4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left="0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2022年度项目支出绩效自评表</w:t>
      </w:r>
    </w:p>
    <w:tbl>
      <w:tblPr>
        <w:tblStyle w:val="9"/>
        <w:tblW w:w="9580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75"/>
        <w:gridCol w:w="1080"/>
        <w:gridCol w:w="1080"/>
        <w:gridCol w:w="1229"/>
        <w:gridCol w:w="1131"/>
        <w:gridCol w:w="1140"/>
        <w:gridCol w:w="685"/>
        <w:gridCol w:w="795"/>
        <w:gridCol w:w="1365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</w:tblPrEx>
        <w:trPr>
          <w:trHeight w:val="606" w:hRule="atLeast"/>
        </w:trPr>
        <w:tc>
          <w:tcPr>
            <w:tcW w:w="107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6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项目支出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6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名称</w:t>
            </w:r>
          </w:p>
        </w:tc>
        <w:tc>
          <w:tcPr>
            <w:tcW w:w="8505" w:type="dxa"/>
            <w:gridSpan w:val="8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left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区级专项资金（代收代付）包括：</w:t>
            </w:r>
            <w:r>
              <w:rPr>
                <w:rFonts w:hint="eastAsia" w:ascii="宋体" w:hAnsi="宋体" w:eastAsia="宋体" w:cs="宋体"/>
                <w:bCs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疫情防控经费、环卫工人工资、环卫工人五险一金、环卫经费、禁违执法经费、退役军人补贴、民政资金等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6" w:hRule="atLeast"/>
        </w:trPr>
        <w:tc>
          <w:tcPr>
            <w:tcW w:w="107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2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主管部门</w:t>
            </w:r>
          </w:p>
        </w:tc>
        <w:tc>
          <w:tcPr>
            <w:tcW w:w="4520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资金对应的区级部门（如环卫经费对应环卫局）</w:t>
            </w:r>
          </w:p>
        </w:tc>
        <w:tc>
          <w:tcPr>
            <w:tcW w:w="114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实施单位</w:t>
            </w:r>
          </w:p>
        </w:tc>
        <w:tc>
          <w:tcPr>
            <w:tcW w:w="2845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王家河街道办事处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1" w:hRule="atLeast"/>
        </w:trPr>
        <w:tc>
          <w:tcPr>
            <w:tcW w:w="1075" w:type="dxa"/>
            <w:vMerge w:val="restart"/>
            <w:tcBorders>
              <w:bottom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4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5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项目资金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(万元)</w:t>
            </w:r>
          </w:p>
        </w:tc>
        <w:tc>
          <w:tcPr>
            <w:tcW w:w="2160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年初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预算数</w:t>
            </w:r>
          </w:p>
        </w:tc>
        <w:tc>
          <w:tcPr>
            <w:tcW w:w="113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全年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预算数</w:t>
            </w:r>
          </w:p>
        </w:tc>
        <w:tc>
          <w:tcPr>
            <w:tcW w:w="114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全年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执行数</w:t>
            </w:r>
          </w:p>
        </w:tc>
        <w:tc>
          <w:tcPr>
            <w:tcW w:w="68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  <w:tc>
          <w:tcPr>
            <w:tcW w:w="79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执行率</w:t>
            </w:r>
          </w:p>
        </w:tc>
        <w:tc>
          <w:tcPr>
            <w:tcW w:w="136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得分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年度资金总额</w:t>
            </w:r>
          </w:p>
        </w:tc>
        <w:tc>
          <w:tcPr>
            <w:tcW w:w="122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13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914.5</w:t>
            </w:r>
          </w:p>
        </w:tc>
        <w:tc>
          <w:tcPr>
            <w:tcW w:w="114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914.5</w:t>
            </w:r>
          </w:p>
        </w:tc>
        <w:tc>
          <w:tcPr>
            <w:tcW w:w="68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5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position w:val="-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9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136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其中：当年财政拨款</w:t>
            </w:r>
          </w:p>
        </w:tc>
        <w:tc>
          <w:tcPr>
            <w:tcW w:w="122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13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914.5</w:t>
            </w:r>
          </w:p>
        </w:tc>
        <w:tc>
          <w:tcPr>
            <w:tcW w:w="114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914.5</w:t>
            </w:r>
          </w:p>
        </w:tc>
        <w:tc>
          <w:tcPr>
            <w:tcW w:w="68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   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上年结转资金</w:t>
            </w:r>
          </w:p>
        </w:tc>
        <w:tc>
          <w:tcPr>
            <w:tcW w:w="122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13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14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68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1075" w:type="dxa"/>
            <w:vMerge w:val="continue"/>
            <w:tcBorders>
              <w:top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其他资金</w:t>
            </w:r>
          </w:p>
        </w:tc>
        <w:tc>
          <w:tcPr>
            <w:tcW w:w="122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13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14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68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7" w:hRule="atLeast"/>
        </w:trPr>
        <w:tc>
          <w:tcPr>
            <w:tcW w:w="1075" w:type="dxa"/>
            <w:vMerge w:val="restart"/>
            <w:tcBorders>
              <w:bottom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6" w:lineRule="auto"/>
              <w:ind w:left="0" w:right="0" w:hanging="209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年度总体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6" w:lineRule="auto"/>
              <w:ind w:left="0" w:right="0" w:hanging="209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目标</w:t>
            </w:r>
          </w:p>
        </w:tc>
        <w:tc>
          <w:tcPr>
            <w:tcW w:w="4520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预期目标</w:t>
            </w:r>
          </w:p>
        </w:tc>
        <w:tc>
          <w:tcPr>
            <w:tcW w:w="3985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实际完成情况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</w:trPr>
        <w:tc>
          <w:tcPr>
            <w:tcW w:w="1075" w:type="dxa"/>
            <w:vMerge w:val="continue"/>
            <w:tcBorders>
              <w:top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520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right="0" w:rightChars="0"/>
              <w:jc w:val="both"/>
              <w:textAlignment w:val="auto"/>
              <w:rPr>
                <w:rFonts w:hint="eastAsia" w:ascii="宋体" w:hAnsi="宋体" w:eastAsia="宋体" w:cs="宋体"/>
                <w:b/>
                <w:bCs/>
                <w:color w:val="000000" w:themeColor="text1"/>
                <w:kern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1、疫情防控平稳有序；2、市容环境提质提标；3、民生保障日趋精准</w:t>
            </w:r>
          </w:p>
        </w:tc>
        <w:tc>
          <w:tcPr>
            <w:tcW w:w="3985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right="0" w:rightChars="0"/>
              <w:jc w:val="both"/>
              <w:textAlignment w:val="auto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1、疫情防控数据排查精准高效，排查国内中高风险地区返岳人员6050人；日常防控平稳有序召开防疫专题部署会82次，优化8个分工小组；张贴场所码3842份，整改89家。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right="0" w:rightChars="0"/>
              <w:jc w:val="both"/>
              <w:textAlignment w:val="auto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2、开展市容市貌大整治行动68次，清理房前屋后杂草18000平方米、牛皮癣1500余处。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right="0" w:rightChars="0"/>
              <w:jc w:val="both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3、持续开展“阳光行动”，为341户低保户累计发放低保资金22万元，对100余户特困老人开展适老化改造工作。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1" w:hRule="atLeast"/>
        </w:trPr>
        <w:tc>
          <w:tcPr>
            <w:tcW w:w="1075" w:type="dxa"/>
            <w:vMerge w:val="restart"/>
            <w:tcBorders>
              <w:bottom w:val="nil"/>
            </w:tcBorders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7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绩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效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标</w:t>
            </w:r>
          </w:p>
        </w:tc>
        <w:tc>
          <w:tcPr>
            <w:tcW w:w="108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一级指标</w:t>
            </w:r>
          </w:p>
        </w:tc>
        <w:tc>
          <w:tcPr>
            <w:tcW w:w="108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二级指标</w:t>
            </w:r>
          </w:p>
        </w:tc>
        <w:tc>
          <w:tcPr>
            <w:tcW w:w="122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三级指标</w:t>
            </w:r>
          </w:p>
        </w:tc>
        <w:tc>
          <w:tcPr>
            <w:tcW w:w="113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指标值</w:t>
            </w:r>
          </w:p>
        </w:tc>
        <w:tc>
          <w:tcPr>
            <w:tcW w:w="114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实际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完成值</w:t>
            </w:r>
          </w:p>
        </w:tc>
        <w:tc>
          <w:tcPr>
            <w:tcW w:w="68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  <w:tc>
          <w:tcPr>
            <w:tcW w:w="79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得分</w:t>
            </w:r>
          </w:p>
        </w:tc>
        <w:tc>
          <w:tcPr>
            <w:tcW w:w="136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hanging="99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偏差原因分析 及改进措施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6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7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7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7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position w:val="2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产出指标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0分)</w:t>
            </w:r>
          </w:p>
        </w:tc>
        <w:tc>
          <w:tcPr>
            <w:tcW w:w="1080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数量指标</w:t>
            </w:r>
          </w:p>
        </w:tc>
        <w:tc>
          <w:tcPr>
            <w:tcW w:w="1229" w:type="dxa"/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color w:val="000000" w:themeColor="text1"/>
                <w:kern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环境整治次数；环境整治面积</w:t>
            </w:r>
          </w:p>
        </w:tc>
        <w:tc>
          <w:tcPr>
            <w:tcW w:w="1131" w:type="dxa"/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全年开展环境整治≥40次；清理面积≥20000平方米</w:t>
            </w:r>
          </w:p>
        </w:tc>
        <w:tc>
          <w:tcPr>
            <w:tcW w:w="1140" w:type="dxa"/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共开展市容市貌大整治行动68次，清理房前屋后杂草18000平方米，菜地15000平方米，泡沐箱种菜500余个，牛皮癣1500余处</w:t>
            </w:r>
          </w:p>
        </w:tc>
        <w:tc>
          <w:tcPr>
            <w:tcW w:w="685" w:type="dxa"/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795" w:type="dxa"/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36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color w:val="000000" w:themeColor="text1"/>
                <w:kern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排查疫情防控数据</w:t>
            </w:r>
          </w:p>
        </w:tc>
        <w:tc>
          <w:tcPr>
            <w:tcW w:w="1131" w:type="dxa"/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排查人数≥5000人</w:t>
            </w:r>
          </w:p>
        </w:tc>
        <w:tc>
          <w:tcPr>
            <w:tcW w:w="1140" w:type="dxa"/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排查国内中高风险地区返岳人员6050人</w:t>
            </w:r>
          </w:p>
        </w:tc>
        <w:tc>
          <w:tcPr>
            <w:tcW w:w="685" w:type="dxa"/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795" w:type="dxa"/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36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color w:val="000000" w:themeColor="text1"/>
                <w:kern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发放低保、临时救助金户数</w:t>
            </w:r>
          </w:p>
        </w:tc>
        <w:tc>
          <w:tcPr>
            <w:tcW w:w="1131" w:type="dxa"/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≥300户</w:t>
            </w:r>
          </w:p>
        </w:tc>
        <w:tc>
          <w:tcPr>
            <w:tcW w:w="1140" w:type="dxa"/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为341户低保户累计发放低保资金22万元；对100余户特困老人开展适老化改造工作；关注社会弱势群体；开展防空防灾知识宣传</w:t>
            </w:r>
          </w:p>
        </w:tc>
        <w:tc>
          <w:tcPr>
            <w:tcW w:w="685" w:type="dxa"/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795" w:type="dxa"/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36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bottom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慰问困难及优抚退役军人人数</w:t>
            </w:r>
          </w:p>
        </w:tc>
        <w:tc>
          <w:tcPr>
            <w:tcW w:w="1131" w:type="dxa"/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元旦、春节慰问困难及优抚退役军人》80人</w:t>
            </w:r>
          </w:p>
        </w:tc>
        <w:tc>
          <w:tcPr>
            <w:tcW w:w="1140" w:type="dxa"/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共慰问87人，共计120400元</w:t>
            </w:r>
          </w:p>
        </w:tc>
        <w:tc>
          <w:tcPr>
            <w:tcW w:w="685" w:type="dxa"/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795" w:type="dxa"/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36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质量指标</w:t>
            </w:r>
          </w:p>
        </w:tc>
        <w:tc>
          <w:tcPr>
            <w:tcW w:w="1229" w:type="dxa"/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环境整治到位</w:t>
            </w:r>
          </w:p>
        </w:tc>
        <w:tc>
          <w:tcPr>
            <w:tcW w:w="1131" w:type="dxa"/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环境整治取得实效</w:t>
            </w:r>
          </w:p>
        </w:tc>
        <w:tc>
          <w:tcPr>
            <w:tcW w:w="1140" w:type="dxa"/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成效显著</w:t>
            </w:r>
          </w:p>
        </w:tc>
        <w:tc>
          <w:tcPr>
            <w:tcW w:w="685" w:type="dxa"/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795" w:type="dxa"/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136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疫情防控平稳有序</w:t>
            </w:r>
          </w:p>
        </w:tc>
        <w:tc>
          <w:tcPr>
            <w:tcW w:w="1131" w:type="dxa"/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辖区不发生一例确诊或疑似病例</w:t>
            </w:r>
          </w:p>
        </w:tc>
        <w:tc>
          <w:tcPr>
            <w:tcW w:w="1140" w:type="dxa"/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未发生一例确诊或疑似病例</w:t>
            </w:r>
          </w:p>
        </w:tc>
        <w:tc>
          <w:tcPr>
            <w:tcW w:w="685" w:type="dxa"/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795" w:type="dxa"/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136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bottom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生活垃圾分类普及率</w:t>
            </w:r>
          </w:p>
        </w:tc>
        <w:tc>
          <w:tcPr>
            <w:tcW w:w="1131" w:type="dxa"/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1140" w:type="dxa"/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685" w:type="dxa"/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795" w:type="dxa"/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136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时效指标</w:t>
            </w:r>
          </w:p>
        </w:tc>
        <w:tc>
          <w:tcPr>
            <w:tcW w:w="1229" w:type="dxa"/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补贴、慰问款、优待金按时效、按要求发放到位</w:t>
            </w:r>
          </w:p>
        </w:tc>
        <w:tc>
          <w:tcPr>
            <w:tcW w:w="1131" w:type="dxa"/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按相关要求及时发放，如节日慰问款在节日前发放到位</w:t>
            </w:r>
          </w:p>
        </w:tc>
        <w:tc>
          <w:tcPr>
            <w:tcW w:w="1140" w:type="dxa"/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绝大部分及时发放</w:t>
            </w:r>
          </w:p>
        </w:tc>
        <w:tc>
          <w:tcPr>
            <w:tcW w:w="685" w:type="dxa"/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795" w:type="dxa"/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1365" w:type="dxa"/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部分人员因在外地，资料提交不及时以致发放有一定滞后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社会保险每月按时缴纳</w:t>
            </w:r>
          </w:p>
        </w:tc>
        <w:tc>
          <w:tcPr>
            <w:tcW w:w="1131" w:type="dxa"/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每月15日之前缴纳</w:t>
            </w:r>
          </w:p>
        </w:tc>
        <w:tc>
          <w:tcPr>
            <w:tcW w:w="1140" w:type="dxa"/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均按时缴纳</w:t>
            </w:r>
          </w:p>
        </w:tc>
        <w:tc>
          <w:tcPr>
            <w:tcW w:w="685" w:type="dxa"/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795" w:type="dxa"/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365" w:type="dxa"/>
            <w:textDirection w:val="lrTb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9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每月工资按时发放</w:t>
            </w:r>
          </w:p>
        </w:tc>
        <w:tc>
          <w:tcPr>
            <w:tcW w:w="1131" w:type="dxa"/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每月15日之前发放</w:t>
            </w:r>
          </w:p>
        </w:tc>
        <w:tc>
          <w:tcPr>
            <w:tcW w:w="1140" w:type="dxa"/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均按时发放</w:t>
            </w:r>
          </w:p>
        </w:tc>
        <w:tc>
          <w:tcPr>
            <w:tcW w:w="685" w:type="dxa"/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795" w:type="dxa"/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365" w:type="dxa"/>
            <w:textDirection w:val="lrTb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bottom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bottom w:val="nil"/>
            </w:tcBorders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成本指标</w:t>
            </w:r>
          </w:p>
        </w:tc>
        <w:tc>
          <w:tcPr>
            <w:tcW w:w="1229" w:type="dxa"/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区级专项资金总量</w:t>
            </w:r>
          </w:p>
        </w:tc>
        <w:tc>
          <w:tcPr>
            <w:tcW w:w="1131" w:type="dxa"/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不超过预算金额</w:t>
            </w:r>
          </w:p>
        </w:tc>
        <w:tc>
          <w:tcPr>
            <w:tcW w:w="1140" w:type="dxa"/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≤914.5万</w:t>
            </w:r>
          </w:p>
        </w:tc>
        <w:tc>
          <w:tcPr>
            <w:tcW w:w="685" w:type="dxa"/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795" w:type="dxa"/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136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1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1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9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position w:val="2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效益指标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(30分)</w:t>
            </w:r>
          </w:p>
        </w:tc>
        <w:tc>
          <w:tcPr>
            <w:tcW w:w="1080" w:type="dxa"/>
            <w:tcBorders>
              <w:bottom w:val="nil"/>
            </w:tcBorders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社会效益指标</w:t>
            </w:r>
          </w:p>
        </w:tc>
        <w:tc>
          <w:tcPr>
            <w:tcW w:w="1229" w:type="dxa"/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提高居民群众防空防灾意识</w:t>
            </w:r>
          </w:p>
        </w:tc>
        <w:tc>
          <w:tcPr>
            <w:tcW w:w="1131" w:type="dxa"/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成效显著</w:t>
            </w:r>
          </w:p>
        </w:tc>
        <w:tc>
          <w:tcPr>
            <w:tcW w:w="1140" w:type="dxa"/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有所提高</w:t>
            </w:r>
          </w:p>
        </w:tc>
        <w:tc>
          <w:tcPr>
            <w:tcW w:w="685" w:type="dxa"/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95" w:type="dxa"/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9</w:t>
            </w:r>
          </w:p>
        </w:tc>
        <w:tc>
          <w:tcPr>
            <w:tcW w:w="1365" w:type="dxa"/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仍需进一步提高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9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bottom w:val="nil"/>
            </w:tcBorders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可持续影响指标</w:t>
            </w:r>
          </w:p>
        </w:tc>
        <w:tc>
          <w:tcPr>
            <w:tcW w:w="1229" w:type="dxa"/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辖区内人居环境改善</w:t>
            </w:r>
          </w:p>
        </w:tc>
        <w:tc>
          <w:tcPr>
            <w:tcW w:w="1131" w:type="dxa"/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有所改善</w:t>
            </w:r>
          </w:p>
        </w:tc>
        <w:tc>
          <w:tcPr>
            <w:tcW w:w="1140" w:type="dxa"/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有所改善</w:t>
            </w:r>
          </w:p>
        </w:tc>
        <w:tc>
          <w:tcPr>
            <w:tcW w:w="685" w:type="dxa"/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95" w:type="dxa"/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365" w:type="dxa"/>
            <w:textDirection w:val="lrTb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58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bottom w:val="nil"/>
            </w:tcBorders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生态效益指标</w:t>
            </w:r>
          </w:p>
        </w:tc>
        <w:tc>
          <w:tcPr>
            <w:tcW w:w="1229" w:type="dxa"/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辖区内改善人居环境</w:t>
            </w:r>
          </w:p>
        </w:tc>
        <w:tc>
          <w:tcPr>
            <w:tcW w:w="1131" w:type="dxa"/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确保管辖范围内人居环境提升</w:t>
            </w:r>
          </w:p>
        </w:tc>
        <w:tc>
          <w:tcPr>
            <w:tcW w:w="1140" w:type="dxa"/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辖区内人居环境有所提升</w:t>
            </w:r>
          </w:p>
        </w:tc>
        <w:tc>
          <w:tcPr>
            <w:tcW w:w="685" w:type="dxa"/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95" w:type="dxa"/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365" w:type="dxa"/>
            <w:textDirection w:val="lrTb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bottom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满意度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(10分)</w:t>
            </w:r>
          </w:p>
        </w:tc>
        <w:tc>
          <w:tcPr>
            <w:tcW w:w="1080" w:type="dxa"/>
            <w:tcBorders>
              <w:bottom w:val="nil"/>
            </w:tcBorders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服务对象满意度指标</w:t>
            </w:r>
          </w:p>
        </w:tc>
        <w:tc>
          <w:tcPr>
            <w:tcW w:w="1229" w:type="dxa"/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群众满意度</w:t>
            </w:r>
          </w:p>
        </w:tc>
        <w:tc>
          <w:tcPr>
            <w:tcW w:w="1131" w:type="dxa"/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1140" w:type="dxa"/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98%</w:t>
            </w:r>
          </w:p>
        </w:tc>
        <w:tc>
          <w:tcPr>
            <w:tcW w:w="685" w:type="dxa"/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95" w:type="dxa"/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9</w:t>
            </w:r>
          </w:p>
        </w:tc>
        <w:tc>
          <w:tcPr>
            <w:tcW w:w="1365" w:type="dxa"/>
            <w:textDirection w:val="lrTb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2" w:hRule="atLeast"/>
        </w:trPr>
        <w:tc>
          <w:tcPr>
            <w:tcW w:w="6735" w:type="dxa"/>
            <w:gridSpan w:val="6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left="0" w:right="0" w:firstLine="3145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总分</w:t>
            </w:r>
          </w:p>
        </w:tc>
        <w:tc>
          <w:tcPr>
            <w:tcW w:w="68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1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100</w:t>
            </w:r>
          </w:p>
        </w:tc>
        <w:tc>
          <w:tcPr>
            <w:tcW w:w="795" w:type="dxa"/>
            <w:textDirection w:val="lrTb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97</w:t>
            </w:r>
          </w:p>
        </w:tc>
        <w:tc>
          <w:tcPr>
            <w:tcW w:w="136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>
      <w:pPr>
        <w:spacing w:line="252" w:lineRule="auto"/>
        <w:rPr>
          <w:rFonts w:ascii="Arial"/>
          <w:color w:val="000000" w:themeColor="text1"/>
          <w:sz w:val="21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宋体" w:hAnsi="宋体" w:eastAsia="宋体" w:cs="宋体"/>
          <w:color w:val="000000" w:themeColor="text1"/>
          <w:spacing w:val="0"/>
          <w:position w:val="0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pacing w:val="0"/>
          <w:position w:val="0"/>
          <w:sz w:val="21"/>
          <w:szCs w:val="21"/>
          <w14:textFill>
            <w14:solidFill>
              <w14:schemeClr w14:val="tx1"/>
            </w14:solidFill>
          </w14:textFill>
        </w:rPr>
        <w:t>填表人：</w:t>
      </w:r>
      <w:r>
        <w:rPr>
          <w:rFonts w:hint="eastAsia" w:ascii="宋体" w:hAnsi="宋体" w:eastAsia="宋体" w:cs="宋体"/>
          <w:color w:val="000000" w:themeColor="text1"/>
          <w:spacing w:val="0"/>
          <w:position w:val="0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袁赛</w:t>
      </w:r>
      <w:r>
        <w:rPr>
          <w:rFonts w:hint="eastAsia" w:ascii="宋体" w:hAnsi="宋体" w:eastAsia="宋体" w:cs="宋体"/>
          <w:color w:val="000000" w:themeColor="text1"/>
          <w:spacing w:val="0"/>
          <w:position w:val="0"/>
          <w:sz w:val="21"/>
          <w:szCs w:val="21"/>
          <w14:textFill>
            <w14:solidFill>
              <w14:schemeClr w14:val="tx1"/>
            </w14:solidFill>
          </w14:textFill>
        </w:rPr>
        <w:t xml:space="preserve">  联系电话：</w:t>
      </w:r>
      <w:r>
        <w:rPr>
          <w:rFonts w:hint="eastAsia" w:ascii="宋体" w:hAnsi="宋体" w:eastAsia="宋体" w:cs="宋体"/>
          <w:color w:val="000000" w:themeColor="text1"/>
          <w:spacing w:val="0"/>
          <w:position w:val="0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18574433540</w:t>
      </w:r>
      <w:r>
        <w:rPr>
          <w:rFonts w:hint="eastAsia" w:ascii="宋体" w:hAnsi="宋体" w:eastAsia="宋体" w:cs="宋体"/>
          <w:color w:val="000000" w:themeColor="text1"/>
          <w:spacing w:val="0"/>
          <w:position w:val="0"/>
          <w:sz w:val="21"/>
          <w:szCs w:val="21"/>
          <w14:textFill>
            <w14:solidFill>
              <w14:schemeClr w14:val="tx1"/>
            </w14:solidFill>
          </w14:textFill>
        </w:rPr>
        <w:t xml:space="preserve">  单位负责人签字：</w:t>
      </w:r>
      <w:r>
        <w:rPr>
          <w:rFonts w:hint="eastAsia" w:ascii="宋体" w:hAnsi="宋体" w:eastAsia="宋体" w:cs="宋体"/>
          <w:color w:val="000000" w:themeColor="text1"/>
          <w:spacing w:val="0"/>
          <w:position w:val="0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 xml:space="preserve">   </w:t>
      </w:r>
      <w:r>
        <w:rPr>
          <w:rFonts w:hint="eastAsia" w:ascii="宋体" w:hAnsi="宋体" w:eastAsia="宋体" w:cs="宋体"/>
          <w:color w:val="000000" w:themeColor="text1"/>
          <w:spacing w:val="0"/>
          <w:position w:val="0"/>
          <w:sz w:val="21"/>
          <w:szCs w:val="21"/>
          <w14:textFill>
            <w14:solidFill>
              <w14:schemeClr w14:val="tx1"/>
            </w14:solidFill>
          </w14:textFill>
        </w:rPr>
        <w:t>填报日期：</w:t>
      </w:r>
      <w:r>
        <w:rPr>
          <w:rFonts w:hint="eastAsia" w:ascii="宋体" w:hAnsi="宋体" w:eastAsia="宋体" w:cs="宋体"/>
          <w:color w:val="000000" w:themeColor="text1"/>
          <w:spacing w:val="0"/>
          <w:position w:val="0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2023年6月14日</w:t>
      </w:r>
    </w:p>
    <w:p>
      <w:pPr>
        <w:spacing w:before="75" w:line="230" w:lineRule="auto"/>
        <w:rPr>
          <w:rFonts w:hint="default" w:ascii="仿宋_GB2312" w:hAnsi="仿宋_GB2312" w:eastAsia="仿宋_GB2312" w:cs="仿宋_GB2312"/>
          <w:color w:val="000000" w:themeColor="text1"/>
          <w:spacing w:val="0"/>
          <w:position w:val="0"/>
          <w:sz w:val="18"/>
          <w:szCs w:val="18"/>
          <w:lang w:val="en-US" w:eastAsia="zh-CN"/>
          <w14:textFill>
            <w14:solidFill>
              <w14:schemeClr w14:val="tx1"/>
            </w14:solidFill>
          </w14:textFill>
        </w:rPr>
        <w:sectPr>
          <w:pgSz w:w="11906" w:h="16838"/>
          <w:pgMar w:top="1417" w:right="1417" w:bottom="1134" w:left="1417" w:header="851" w:footer="992" w:gutter="0"/>
          <w:paperSrc/>
          <w:pgNumType w:fmt="decimal"/>
          <w:cols w:space="0" w:num="1"/>
          <w:rtlGutter w:val="0"/>
          <w:docGrid w:type="lines" w:linePitch="312" w:charSpace="0"/>
        </w:sectPr>
      </w:pPr>
      <w:r>
        <w:rPr>
          <w:rFonts w:ascii="仿宋" w:hAnsi="仿宋" w:eastAsia="仿宋" w:cs="仿宋"/>
          <w:color w:val="000000" w:themeColor="text1"/>
          <w:spacing w:val="4"/>
          <w:sz w:val="18"/>
          <w:szCs w:val="18"/>
          <w14:textFill>
            <w14:solidFill>
              <w14:schemeClr w14:val="tx1"/>
            </w14:solidFill>
          </w14:textFill>
        </w:rPr>
        <w:t xml:space="preserve">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附件5</w:t>
      </w:r>
    </w:p>
    <w:p>
      <w:pPr>
        <w:ind w:firstLine="1440" w:firstLineChars="400"/>
        <w:jc w:val="both"/>
        <w:rPr>
          <w:rFonts w:hint="eastAsia" w:eastAsia="方正小标宋简体"/>
          <w:color w:val="000000" w:themeColor="text1"/>
          <w:sz w:val="36"/>
          <w:szCs w:val="36"/>
          <w:lang w:eastAsia="zh-CN"/>
          <w14:textFill>
            <w14:solidFill>
              <w14:schemeClr w14:val="tx1"/>
            </w14:solidFill>
          </w14:textFill>
        </w:rPr>
      </w:pPr>
    </w:p>
    <w:p>
      <w:pPr>
        <w:ind w:firstLine="1440" w:firstLineChars="400"/>
        <w:jc w:val="both"/>
        <w:rPr>
          <w:rFonts w:eastAsia="方正小标宋简体"/>
          <w:color w:val="000000" w:themeColor="text1"/>
          <w:spacing w:val="-6"/>
          <w:sz w:val="36"/>
          <w:szCs w:val="36"/>
          <w14:textFill>
            <w14:solidFill>
              <w14:schemeClr w14:val="tx1"/>
            </w14:solidFill>
          </w14:textFill>
        </w:rPr>
      </w:pPr>
      <w:r>
        <w:rPr>
          <w:rFonts w:hint="eastAsia" w:eastAsia="方正小标宋简体"/>
          <w:color w:val="000000" w:themeColor="text1"/>
          <w:sz w:val="36"/>
          <w:szCs w:val="36"/>
          <w:lang w:eastAsia="zh-CN"/>
          <w14:textFill>
            <w14:solidFill>
              <w14:schemeClr w14:val="tx1"/>
            </w14:solidFill>
          </w14:textFill>
        </w:rPr>
        <w:t>区级</w:t>
      </w:r>
      <w:r>
        <w:rPr>
          <w:rFonts w:eastAsia="方正小标宋简体"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  <w:t>预算</w:t>
      </w:r>
      <w:r>
        <w:rPr>
          <w:rFonts w:hint="eastAsia" w:eastAsia="方正小标宋简体"/>
          <w:color w:val="000000" w:themeColor="text1"/>
          <w:sz w:val="36"/>
          <w:szCs w:val="36"/>
          <w:lang w:eastAsia="zh-CN"/>
          <w14:textFill>
            <w14:solidFill>
              <w14:schemeClr w14:val="tx1"/>
            </w14:solidFill>
          </w14:textFill>
        </w:rPr>
        <w:t>单位</w:t>
      </w:r>
      <w:r>
        <w:rPr>
          <w:rFonts w:eastAsia="方正小标宋简体"/>
          <w:color w:val="000000" w:themeColor="text1"/>
          <w:spacing w:val="-6"/>
          <w:sz w:val="36"/>
          <w:szCs w:val="36"/>
          <w14:textFill>
            <w14:solidFill>
              <w14:schemeClr w14:val="tx1"/>
            </w14:solidFill>
          </w14:textFill>
        </w:rPr>
        <w:t>绩效自评工作考核评分表</w:t>
      </w:r>
    </w:p>
    <w:tbl>
      <w:tblPr>
        <w:tblStyle w:val="7"/>
        <w:tblW w:w="9510" w:type="dxa"/>
        <w:jc w:val="center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74"/>
        <w:gridCol w:w="1501"/>
        <w:gridCol w:w="6482"/>
        <w:gridCol w:w="753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  <w:tblHeader/>
          <w:jc w:val="center"/>
        </w:trPr>
        <w:tc>
          <w:tcPr>
            <w:tcW w:w="7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eastAsia="黑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eastAsia="黑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一级指标</w:t>
            </w: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eastAsia="黑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eastAsia="黑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二级指标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eastAsia="黑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eastAsia="黑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评分标准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eastAsia="黑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eastAsia="黑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评分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4" w:hRule="atLeast"/>
          <w:jc w:val="center"/>
        </w:trPr>
        <w:tc>
          <w:tcPr>
            <w:tcW w:w="77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实施评价</w:t>
            </w:r>
          </w:p>
          <w:p>
            <w:pPr>
              <w:spacing w:line="32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spacing w:line="32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30分</w:t>
            </w: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单位自查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（20分）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firstLine="210" w:firstLineChars="100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区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级预算单位都要开展绩效自查，转移支付项目单位都要开展绩效自查，区级主管部门都要汇总本区域转移支付情况；以上各项每发现一个单位没有做相应工作的，扣1分，最多扣20分。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  <w:jc w:val="center"/>
        </w:trPr>
        <w:tc>
          <w:tcPr>
            <w:tcW w:w="77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提交报告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（10分）</w:t>
            </w:r>
          </w:p>
        </w:tc>
        <w:tc>
          <w:tcPr>
            <w:tcW w:w="64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firstLine="210" w:firstLineChars="100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按时向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区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财政局报送报告的得10分；每推迟一天报送报告的扣1分，最多扣10分。</w:t>
            </w:r>
          </w:p>
        </w:tc>
        <w:tc>
          <w:tcPr>
            <w:tcW w:w="75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08" w:hRule="atLeast"/>
          <w:jc w:val="center"/>
        </w:trPr>
        <w:tc>
          <w:tcPr>
            <w:tcW w:w="77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自评报告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70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分</w:t>
            </w: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自评报告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的完整性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（15分）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firstLine="210" w:firstLineChars="100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1.绩效自评报告正文部分内容齐全的，得8分；否则每少一个部分扣2分，最多扣8分。</w:t>
            </w:r>
          </w:p>
          <w:p>
            <w:pPr>
              <w:spacing w:line="240" w:lineRule="exact"/>
              <w:ind w:firstLine="210" w:firstLineChars="100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2.绩效自评报告附件部分内容齐全的，得7分；否则每少一个部分扣2分，最多扣7分。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15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5" w:hRule="atLeast"/>
          <w:jc w:val="center"/>
        </w:trPr>
        <w:tc>
          <w:tcPr>
            <w:tcW w:w="77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nil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绩效自评表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（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分）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420" w:firstLineChars="200"/>
              <w:jc w:val="left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1.部门整体支出和项目支出绩效指标反映产出、效益、服务对象满意度方面的指标和预算执行率的权重符合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《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岳阳市市级预算部门绩效自评操作规程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》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的，得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分，否则按比例扣除相应的分数。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auto"/>
              <w:ind w:firstLine="420" w:firstLineChars="200"/>
              <w:jc w:val="left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2.部门整体支出和项目支出绩效指标全部细化到三级指标的，得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分；部分细化的，酌情扣分；没有细化的，不得分。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auto"/>
              <w:ind w:firstLine="420" w:firstLineChars="200"/>
              <w:jc w:val="left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3.部门整体支出和项目支出三级绩效指标内涵明确、具体、可衡量的得5分；突出核心指标，精简实用的得3分；指标与部门整体支出和项目支出密切相关，全面反映产出和效益的得2分；否则每项酌情扣分，最多扣10分。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19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40" w:hRule="atLeast"/>
          <w:jc w:val="center"/>
        </w:trPr>
        <w:tc>
          <w:tcPr>
            <w:tcW w:w="77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绩效评价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报告反映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问题情况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（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分）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firstLine="230" w:firstLineChars="100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从预算和预算绩效管理，部门履职效能，资金分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9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配、使用和管理，资产和财务管理，政府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7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采购等方面归纳问题、分析原因全面的，得20分；反映问题、分析原因较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6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全面的，得16—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7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6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18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分；反映问题、分析原因不全面的，得13—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68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15分；问题未归纳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且过于简单的，得10—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68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12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分；只提出资金不足问题的不得分；其他情况酌情扣分，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19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13" w:hRule="atLeast"/>
          <w:jc w:val="center"/>
        </w:trPr>
        <w:tc>
          <w:tcPr>
            <w:tcW w:w="77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针对问题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提出可行性建议的情况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（15分）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firstLine="216" w:firstLineChars="100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建议与问题对应且全面的得15分，建议比较全面的得12—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55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14分，建议不全面的得9—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7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11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  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分，建议过于简单的得6—8分，只提出加大资金投入建议的不得分；其他情况酌情扣分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14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  <w:jc w:val="center"/>
        </w:trPr>
        <w:tc>
          <w:tcPr>
            <w:tcW w:w="7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合计</w:t>
            </w:r>
          </w:p>
        </w:tc>
        <w:tc>
          <w:tcPr>
            <w:tcW w:w="15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100分</w:t>
            </w:r>
          </w:p>
        </w:tc>
        <w:tc>
          <w:tcPr>
            <w:tcW w:w="64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Theme="majorEastAsia" w:hAnsiTheme="majorEastAsia" w:eastAsiaTheme="majorEastAsia" w:cstheme="maj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　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97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sectPr>
      <w:pgSz w:w="11906" w:h="16838"/>
      <w:pgMar w:top="1701" w:right="1701" w:bottom="1701" w:left="1701" w:header="851" w:footer="992" w:gutter="0"/>
      <w:pgNumType w:fmt="decimal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方正小标宋简体">
    <w:altName w:val="微软雅黑"/>
    <w:panose1 w:val="00000600000000000000"/>
    <w:charset w:val="86"/>
    <w:family w:val="auto"/>
    <w:pitch w:val="default"/>
    <w:sig w:usb0="00000000" w:usb1="00000000" w:usb2="00000012" w:usb3="00000000" w:csb0="00160001" w:csb1="12030000"/>
  </w:font>
  <w:font w:name="仿宋">
    <w:altName w:val="仿宋_GB2312"/>
    <w:panose1 w:val="02010609060101010101"/>
    <w:charset w:val="86"/>
    <w:family w:val="auto"/>
    <w:pitch w:val="default"/>
    <w:sig w:usb0="00000000" w:usb1="00000000" w:usb2="00000016" w:usb3="00000000" w:csb0="00040001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ˎ̥">
    <w:altName w:val="Times New Roman"/>
    <w:panose1 w:val="00000000000000000000"/>
    <w:charset w:val="00"/>
    <w:family w:val="roman"/>
    <w:pitch w:val="default"/>
    <w:sig w:usb0="00000000" w:usb1="00000000" w:usb2="00000000" w:usb3="00000000" w:csb0="00040001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华文仿宋">
    <w:altName w:val="仿宋_GB2312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  <w:font w:name="Arial Unicode MS">
    <w:altName w:val="宋体"/>
    <w:panose1 w:val="020B0604020202020204"/>
    <w:charset w:val="86"/>
    <w:family w:val="auto"/>
    <w:pitch w:val="default"/>
    <w:sig w:usb0="00000000" w:usb1="00000000" w:usb2="0000003F" w:usb3="00000000" w:csb0="603F01FF" w:csb1="FFFF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Calibri Light">
    <w:panose1 w:val="020F0302020204030204"/>
    <w:charset w:val="00"/>
    <w:family w:val="auto"/>
    <w:pitch w:val="default"/>
    <w:sig w:usb0="A00002EF" w:usb1="4000207B" w:usb2="00000000" w:usb3="00000000" w:csb0="2000019F" w:csb1="00000000"/>
  </w:font>
  <w:font w:name="仿宋">
    <w:altName w:val="仿宋_GB2312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rFonts w:ascii="Arial"/>
        <w:sz w:val="2"/>
      </w:rPr>
    </w:pPr>
    <w:r>
      <w:rPr>
        <w:sz w:val="2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5" name="文本框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3"/>
                          </w:pP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>7</w: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</w:pP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>7</w: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47D5948"/>
    <w:multiLevelType w:val="singleLevel"/>
    <w:tmpl w:val="647D5948"/>
    <w:lvl w:ilvl="0" w:tentative="0">
      <w:start w:val="1"/>
      <w:numFmt w:val="chineseCounting"/>
      <w:suff w:val="nothing"/>
      <w:lvlText w:val="%1、"/>
      <w:lvlJc w:val="left"/>
    </w:lvl>
  </w:abstractNum>
  <w:abstractNum w:abstractNumId="1">
    <w:nsid w:val="647D5A15"/>
    <w:multiLevelType w:val="singleLevel"/>
    <w:tmpl w:val="647D5A15"/>
    <w:lvl w:ilvl="0" w:tentative="0">
      <w:start w:val="2"/>
      <w:numFmt w:val="chineseCounting"/>
      <w:suff w:val="nothing"/>
      <w:lvlText w:val="(%1)"/>
      <w:lvlJc w:val="left"/>
    </w:lvl>
  </w:abstractNum>
  <w:abstractNum w:abstractNumId="2">
    <w:nsid w:val="647D5A43"/>
    <w:multiLevelType w:val="singleLevel"/>
    <w:tmpl w:val="647D5A43"/>
    <w:lvl w:ilvl="0" w:tentative="0">
      <w:start w:val="3"/>
      <w:numFmt w:val="chineseCounting"/>
      <w:suff w:val="nothing"/>
      <w:lvlText w:val="%1、"/>
      <w:lvlJc w:val="left"/>
    </w:lvl>
  </w:abstractNum>
  <w:abstractNum w:abstractNumId="3">
    <w:nsid w:val="64818C1D"/>
    <w:multiLevelType w:val="singleLevel"/>
    <w:tmpl w:val="64818C1D"/>
    <w:lvl w:ilvl="0" w:tentative="0">
      <w:start w:val="8"/>
      <w:numFmt w:val="chineseCounting"/>
      <w:suff w:val="nothing"/>
      <w:lvlText w:val="%1、"/>
      <w:lvlJc w:val="left"/>
    </w:lvl>
  </w:abstractNum>
  <w:abstractNum w:abstractNumId="4">
    <w:nsid w:val="648ABFCE"/>
    <w:multiLevelType w:val="singleLevel"/>
    <w:tmpl w:val="648ABFCE"/>
    <w:lvl w:ilvl="0" w:tentative="0">
      <w:start w:val="7"/>
      <w:numFmt w:val="chineseCounting"/>
      <w:suff w:val="nothing"/>
      <w:lvlText w:val="%1、"/>
      <w:lvlJc w:val="left"/>
    </w:lvl>
  </w:abstractNum>
  <w:abstractNum w:abstractNumId="5">
    <w:nsid w:val="684BEB8F"/>
    <w:multiLevelType w:val="singleLevel"/>
    <w:tmpl w:val="684BEB8F"/>
    <w:lvl w:ilvl="0" w:tentative="0">
      <w:start w:val="6"/>
      <w:numFmt w:val="chineseCounting"/>
      <w:suff w:val="nothing"/>
      <w:lvlText w:val="（%1）"/>
      <w:lvlJc w:val="left"/>
      <w:rPr>
        <w:rFonts w:hint="eastAsia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5"/>
  </w:num>
  <w:num w:numId="5">
    <w:abstractNumId w:val="4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UxYWFkNzNjZjUxMDVjZjcyNDBiNzVjYzc5MTI3M2MifQ=="/>
  </w:docVars>
  <w:rsids>
    <w:rsidRoot w:val="53FC3987"/>
    <w:rsid w:val="00035EBE"/>
    <w:rsid w:val="000755A5"/>
    <w:rsid w:val="000A3765"/>
    <w:rsid w:val="000B4D94"/>
    <w:rsid w:val="001746C3"/>
    <w:rsid w:val="001D7282"/>
    <w:rsid w:val="0039081D"/>
    <w:rsid w:val="005E6ECB"/>
    <w:rsid w:val="00744EA1"/>
    <w:rsid w:val="00760ADF"/>
    <w:rsid w:val="007E0C06"/>
    <w:rsid w:val="009146E3"/>
    <w:rsid w:val="009419CA"/>
    <w:rsid w:val="00955854"/>
    <w:rsid w:val="009C7330"/>
    <w:rsid w:val="00A00FBB"/>
    <w:rsid w:val="00AA3E3C"/>
    <w:rsid w:val="00B432AF"/>
    <w:rsid w:val="00B64FC5"/>
    <w:rsid w:val="00BA6987"/>
    <w:rsid w:val="00BF0721"/>
    <w:rsid w:val="00C03795"/>
    <w:rsid w:val="00CE3756"/>
    <w:rsid w:val="00D27A74"/>
    <w:rsid w:val="00E831C8"/>
    <w:rsid w:val="00EB443B"/>
    <w:rsid w:val="00EF287A"/>
    <w:rsid w:val="01057CDE"/>
    <w:rsid w:val="010B4A82"/>
    <w:rsid w:val="010C1548"/>
    <w:rsid w:val="011477E0"/>
    <w:rsid w:val="01192786"/>
    <w:rsid w:val="01201E6A"/>
    <w:rsid w:val="012D57C0"/>
    <w:rsid w:val="01457029"/>
    <w:rsid w:val="014900E3"/>
    <w:rsid w:val="014F5749"/>
    <w:rsid w:val="0151148F"/>
    <w:rsid w:val="01521E95"/>
    <w:rsid w:val="015620F0"/>
    <w:rsid w:val="01584E49"/>
    <w:rsid w:val="01727F7E"/>
    <w:rsid w:val="01764DBE"/>
    <w:rsid w:val="01806F8C"/>
    <w:rsid w:val="0182483A"/>
    <w:rsid w:val="01841CF9"/>
    <w:rsid w:val="01854B14"/>
    <w:rsid w:val="01863406"/>
    <w:rsid w:val="018D011E"/>
    <w:rsid w:val="019614B0"/>
    <w:rsid w:val="019C71AC"/>
    <w:rsid w:val="01BA61B0"/>
    <w:rsid w:val="01BB15DA"/>
    <w:rsid w:val="01BF03AA"/>
    <w:rsid w:val="01C33E74"/>
    <w:rsid w:val="01DF3C26"/>
    <w:rsid w:val="01EE0A2C"/>
    <w:rsid w:val="01F46433"/>
    <w:rsid w:val="0200044D"/>
    <w:rsid w:val="020654E4"/>
    <w:rsid w:val="020B0E44"/>
    <w:rsid w:val="020C72F8"/>
    <w:rsid w:val="02121B7C"/>
    <w:rsid w:val="021813DE"/>
    <w:rsid w:val="021B6B30"/>
    <w:rsid w:val="022270EC"/>
    <w:rsid w:val="02341FFB"/>
    <w:rsid w:val="02363BD8"/>
    <w:rsid w:val="023809F7"/>
    <w:rsid w:val="02431066"/>
    <w:rsid w:val="0250509C"/>
    <w:rsid w:val="02595CF1"/>
    <w:rsid w:val="025C47D6"/>
    <w:rsid w:val="0263675C"/>
    <w:rsid w:val="02656E75"/>
    <w:rsid w:val="02703D54"/>
    <w:rsid w:val="027431E5"/>
    <w:rsid w:val="02B544DB"/>
    <w:rsid w:val="02C941D1"/>
    <w:rsid w:val="02CB5D99"/>
    <w:rsid w:val="02DC7CAE"/>
    <w:rsid w:val="02E96621"/>
    <w:rsid w:val="02F61D91"/>
    <w:rsid w:val="02FC4679"/>
    <w:rsid w:val="02FE5E0A"/>
    <w:rsid w:val="030800AD"/>
    <w:rsid w:val="031B56DF"/>
    <w:rsid w:val="0347190C"/>
    <w:rsid w:val="034760CE"/>
    <w:rsid w:val="03487959"/>
    <w:rsid w:val="03505BE1"/>
    <w:rsid w:val="036D41A2"/>
    <w:rsid w:val="037F229C"/>
    <w:rsid w:val="038C1F51"/>
    <w:rsid w:val="03911277"/>
    <w:rsid w:val="039A540B"/>
    <w:rsid w:val="03B94246"/>
    <w:rsid w:val="03BA56F1"/>
    <w:rsid w:val="03BD010E"/>
    <w:rsid w:val="03C411B2"/>
    <w:rsid w:val="03DB49B8"/>
    <w:rsid w:val="03E2685C"/>
    <w:rsid w:val="03E4704A"/>
    <w:rsid w:val="03E66326"/>
    <w:rsid w:val="03F72C2A"/>
    <w:rsid w:val="03FD2384"/>
    <w:rsid w:val="03FF6E0F"/>
    <w:rsid w:val="0404259A"/>
    <w:rsid w:val="04051601"/>
    <w:rsid w:val="04150B3B"/>
    <w:rsid w:val="04173DDC"/>
    <w:rsid w:val="04191509"/>
    <w:rsid w:val="04327F62"/>
    <w:rsid w:val="04344800"/>
    <w:rsid w:val="043C45E2"/>
    <w:rsid w:val="04462A8A"/>
    <w:rsid w:val="044D6DDF"/>
    <w:rsid w:val="045A0503"/>
    <w:rsid w:val="045F666C"/>
    <w:rsid w:val="0460075C"/>
    <w:rsid w:val="04613BEE"/>
    <w:rsid w:val="0462054D"/>
    <w:rsid w:val="04675C34"/>
    <w:rsid w:val="046C0B29"/>
    <w:rsid w:val="04816E5C"/>
    <w:rsid w:val="048924DD"/>
    <w:rsid w:val="04914D95"/>
    <w:rsid w:val="0495144B"/>
    <w:rsid w:val="04A240ED"/>
    <w:rsid w:val="04AC07A1"/>
    <w:rsid w:val="04C63115"/>
    <w:rsid w:val="04CF5236"/>
    <w:rsid w:val="04CF5AF0"/>
    <w:rsid w:val="04D06199"/>
    <w:rsid w:val="04D24FF1"/>
    <w:rsid w:val="04D30E3E"/>
    <w:rsid w:val="04DC3316"/>
    <w:rsid w:val="04DC4FCB"/>
    <w:rsid w:val="04DE1BAB"/>
    <w:rsid w:val="04E411E4"/>
    <w:rsid w:val="04F37BBA"/>
    <w:rsid w:val="05085366"/>
    <w:rsid w:val="05145F64"/>
    <w:rsid w:val="053440AA"/>
    <w:rsid w:val="054037EF"/>
    <w:rsid w:val="054E7FFF"/>
    <w:rsid w:val="055E49DE"/>
    <w:rsid w:val="05621117"/>
    <w:rsid w:val="05651C24"/>
    <w:rsid w:val="056D61C4"/>
    <w:rsid w:val="058C5045"/>
    <w:rsid w:val="059C7C89"/>
    <w:rsid w:val="05A50C70"/>
    <w:rsid w:val="05B525CA"/>
    <w:rsid w:val="05C4448F"/>
    <w:rsid w:val="05E616EC"/>
    <w:rsid w:val="05F705EC"/>
    <w:rsid w:val="05FA2F52"/>
    <w:rsid w:val="06146BAF"/>
    <w:rsid w:val="06286BB6"/>
    <w:rsid w:val="062B041A"/>
    <w:rsid w:val="06405E9C"/>
    <w:rsid w:val="064D5380"/>
    <w:rsid w:val="064E0F6B"/>
    <w:rsid w:val="06617309"/>
    <w:rsid w:val="06650E6A"/>
    <w:rsid w:val="06757EFA"/>
    <w:rsid w:val="06854A05"/>
    <w:rsid w:val="068B5259"/>
    <w:rsid w:val="06986D10"/>
    <w:rsid w:val="06A14716"/>
    <w:rsid w:val="06C90184"/>
    <w:rsid w:val="06C9437B"/>
    <w:rsid w:val="06E07F0C"/>
    <w:rsid w:val="06ED564C"/>
    <w:rsid w:val="06F22A7B"/>
    <w:rsid w:val="07023424"/>
    <w:rsid w:val="07043735"/>
    <w:rsid w:val="071A26F3"/>
    <w:rsid w:val="0725074E"/>
    <w:rsid w:val="07313C60"/>
    <w:rsid w:val="07331F0A"/>
    <w:rsid w:val="07373DFF"/>
    <w:rsid w:val="073D3E56"/>
    <w:rsid w:val="075E2C6C"/>
    <w:rsid w:val="076971BD"/>
    <w:rsid w:val="076D43AE"/>
    <w:rsid w:val="077323CA"/>
    <w:rsid w:val="0775145F"/>
    <w:rsid w:val="07967DE0"/>
    <w:rsid w:val="07970994"/>
    <w:rsid w:val="07A82C7B"/>
    <w:rsid w:val="07AA2F4E"/>
    <w:rsid w:val="07B913B4"/>
    <w:rsid w:val="07BA1C6A"/>
    <w:rsid w:val="07BD44A3"/>
    <w:rsid w:val="07C5765D"/>
    <w:rsid w:val="07CE6155"/>
    <w:rsid w:val="07E11DA2"/>
    <w:rsid w:val="07E40515"/>
    <w:rsid w:val="07EE6091"/>
    <w:rsid w:val="08017E70"/>
    <w:rsid w:val="0805190B"/>
    <w:rsid w:val="082067ED"/>
    <w:rsid w:val="082A5F7E"/>
    <w:rsid w:val="082B59CA"/>
    <w:rsid w:val="08391F38"/>
    <w:rsid w:val="083A18D9"/>
    <w:rsid w:val="08420AFA"/>
    <w:rsid w:val="08444A26"/>
    <w:rsid w:val="0848472A"/>
    <w:rsid w:val="084D20E7"/>
    <w:rsid w:val="08533468"/>
    <w:rsid w:val="085F0171"/>
    <w:rsid w:val="08674899"/>
    <w:rsid w:val="086D10EF"/>
    <w:rsid w:val="08754155"/>
    <w:rsid w:val="087B77E7"/>
    <w:rsid w:val="087D3D34"/>
    <w:rsid w:val="0889236C"/>
    <w:rsid w:val="088E051E"/>
    <w:rsid w:val="08935A7B"/>
    <w:rsid w:val="08A73C8C"/>
    <w:rsid w:val="08A91E6C"/>
    <w:rsid w:val="08BA1B19"/>
    <w:rsid w:val="08CC3000"/>
    <w:rsid w:val="08D059DD"/>
    <w:rsid w:val="08DC08E7"/>
    <w:rsid w:val="09067F2D"/>
    <w:rsid w:val="092D1C9E"/>
    <w:rsid w:val="09377E5E"/>
    <w:rsid w:val="09383E9F"/>
    <w:rsid w:val="0939426E"/>
    <w:rsid w:val="093B096C"/>
    <w:rsid w:val="094D42EC"/>
    <w:rsid w:val="09504F8C"/>
    <w:rsid w:val="09510378"/>
    <w:rsid w:val="09616470"/>
    <w:rsid w:val="096C1F5A"/>
    <w:rsid w:val="096C76C1"/>
    <w:rsid w:val="09851B48"/>
    <w:rsid w:val="09906B28"/>
    <w:rsid w:val="09912E95"/>
    <w:rsid w:val="099701F7"/>
    <w:rsid w:val="099C1A23"/>
    <w:rsid w:val="099D1BD0"/>
    <w:rsid w:val="09A948AF"/>
    <w:rsid w:val="09AC2A76"/>
    <w:rsid w:val="09AC5390"/>
    <w:rsid w:val="09B04837"/>
    <w:rsid w:val="09C95891"/>
    <w:rsid w:val="09CD2799"/>
    <w:rsid w:val="09CD27F9"/>
    <w:rsid w:val="09D8005F"/>
    <w:rsid w:val="09E05282"/>
    <w:rsid w:val="09E412C5"/>
    <w:rsid w:val="09F332E5"/>
    <w:rsid w:val="0A002E0D"/>
    <w:rsid w:val="0A0122E2"/>
    <w:rsid w:val="0A140987"/>
    <w:rsid w:val="0A241A5C"/>
    <w:rsid w:val="0A2E3566"/>
    <w:rsid w:val="0A3570A9"/>
    <w:rsid w:val="0A393280"/>
    <w:rsid w:val="0A590448"/>
    <w:rsid w:val="0A5A48C9"/>
    <w:rsid w:val="0A5F2F6C"/>
    <w:rsid w:val="0A670B4E"/>
    <w:rsid w:val="0A7F165F"/>
    <w:rsid w:val="0A814E93"/>
    <w:rsid w:val="0A851E03"/>
    <w:rsid w:val="0A97121D"/>
    <w:rsid w:val="0A985A6F"/>
    <w:rsid w:val="0AA808AF"/>
    <w:rsid w:val="0ABD142C"/>
    <w:rsid w:val="0AC644AE"/>
    <w:rsid w:val="0ACB61B4"/>
    <w:rsid w:val="0ACD4157"/>
    <w:rsid w:val="0AD136EB"/>
    <w:rsid w:val="0AE964B0"/>
    <w:rsid w:val="0AFE313B"/>
    <w:rsid w:val="0B094092"/>
    <w:rsid w:val="0B150535"/>
    <w:rsid w:val="0B163034"/>
    <w:rsid w:val="0B1F5B6D"/>
    <w:rsid w:val="0B2F4AF7"/>
    <w:rsid w:val="0B3312B6"/>
    <w:rsid w:val="0B3A0648"/>
    <w:rsid w:val="0B4064B3"/>
    <w:rsid w:val="0B447F21"/>
    <w:rsid w:val="0B4A162D"/>
    <w:rsid w:val="0B5F4540"/>
    <w:rsid w:val="0B6520DA"/>
    <w:rsid w:val="0B6E529C"/>
    <w:rsid w:val="0B701D27"/>
    <w:rsid w:val="0B7245CE"/>
    <w:rsid w:val="0B81507A"/>
    <w:rsid w:val="0B851D39"/>
    <w:rsid w:val="0B943886"/>
    <w:rsid w:val="0B9C3CD1"/>
    <w:rsid w:val="0BB324D8"/>
    <w:rsid w:val="0BB672C7"/>
    <w:rsid w:val="0BC07BBF"/>
    <w:rsid w:val="0BC429EF"/>
    <w:rsid w:val="0BCE65D1"/>
    <w:rsid w:val="0BD60937"/>
    <w:rsid w:val="0BD912A4"/>
    <w:rsid w:val="0BDC4F75"/>
    <w:rsid w:val="0BDD4ADB"/>
    <w:rsid w:val="0BE135FA"/>
    <w:rsid w:val="0BEE4F6B"/>
    <w:rsid w:val="0BFB364C"/>
    <w:rsid w:val="0C03261E"/>
    <w:rsid w:val="0C0439FA"/>
    <w:rsid w:val="0C08742A"/>
    <w:rsid w:val="0C0B17DF"/>
    <w:rsid w:val="0C0F382B"/>
    <w:rsid w:val="0C115CDB"/>
    <w:rsid w:val="0C160980"/>
    <w:rsid w:val="0C1B4EF7"/>
    <w:rsid w:val="0C1C297E"/>
    <w:rsid w:val="0C1D4988"/>
    <w:rsid w:val="0C297E69"/>
    <w:rsid w:val="0C360D9B"/>
    <w:rsid w:val="0C55038F"/>
    <w:rsid w:val="0C5C2BA3"/>
    <w:rsid w:val="0C6B7DF9"/>
    <w:rsid w:val="0C6E2A56"/>
    <w:rsid w:val="0C7A708D"/>
    <w:rsid w:val="0C7F4083"/>
    <w:rsid w:val="0CB952B6"/>
    <w:rsid w:val="0CCA7495"/>
    <w:rsid w:val="0CD16BA2"/>
    <w:rsid w:val="0CD745A0"/>
    <w:rsid w:val="0CDE4E30"/>
    <w:rsid w:val="0CE93A19"/>
    <w:rsid w:val="0D012A51"/>
    <w:rsid w:val="0D094F84"/>
    <w:rsid w:val="0D1954B7"/>
    <w:rsid w:val="0D280615"/>
    <w:rsid w:val="0D2C07EB"/>
    <w:rsid w:val="0D2F57DE"/>
    <w:rsid w:val="0D353632"/>
    <w:rsid w:val="0D392C4E"/>
    <w:rsid w:val="0D482FA9"/>
    <w:rsid w:val="0D4A4299"/>
    <w:rsid w:val="0D595324"/>
    <w:rsid w:val="0D5F1E28"/>
    <w:rsid w:val="0D671080"/>
    <w:rsid w:val="0D783B34"/>
    <w:rsid w:val="0D7A2C98"/>
    <w:rsid w:val="0D7E4236"/>
    <w:rsid w:val="0D81754C"/>
    <w:rsid w:val="0D976BF4"/>
    <w:rsid w:val="0D9853D3"/>
    <w:rsid w:val="0DBE6AB7"/>
    <w:rsid w:val="0DBF116A"/>
    <w:rsid w:val="0DC00E38"/>
    <w:rsid w:val="0DC43D6A"/>
    <w:rsid w:val="0DC556BD"/>
    <w:rsid w:val="0DC8400B"/>
    <w:rsid w:val="0DD34552"/>
    <w:rsid w:val="0DDE0117"/>
    <w:rsid w:val="0DE03EAA"/>
    <w:rsid w:val="0DE12394"/>
    <w:rsid w:val="0DF36262"/>
    <w:rsid w:val="0E1043BE"/>
    <w:rsid w:val="0E1054C9"/>
    <w:rsid w:val="0E1E619E"/>
    <w:rsid w:val="0E267F81"/>
    <w:rsid w:val="0E275A58"/>
    <w:rsid w:val="0E34676C"/>
    <w:rsid w:val="0E365DE9"/>
    <w:rsid w:val="0E3F5237"/>
    <w:rsid w:val="0E4822EE"/>
    <w:rsid w:val="0E4E185D"/>
    <w:rsid w:val="0E522FBE"/>
    <w:rsid w:val="0E5D141B"/>
    <w:rsid w:val="0E6D0C5B"/>
    <w:rsid w:val="0E8648D6"/>
    <w:rsid w:val="0E8C08DC"/>
    <w:rsid w:val="0E8E43C0"/>
    <w:rsid w:val="0E900664"/>
    <w:rsid w:val="0E964CBE"/>
    <w:rsid w:val="0EB05323"/>
    <w:rsid w:val="0EB30098"/>
    <w:rsid w:val="0EBE40CB"/>
    <w:rsid w:val="0EC36A56"/>
    <w:rsid w:val="0EC62499"/>
    <w:rsid w:val="0ECE4E6F"/>
    <w:rsid w:val="0ED71A24"/>
    <w:rsid w:val="0EDA5C56"/>
    <w:rsid w:val="0EE05101"/>
    <w:rsid w:val="0EF84482"/>
    <w:rsid w:val="0EFE4287"/>
    <w:rsid w:val="0F0D525E"/>
    <w:rsid w:val="0F0E13F2"/>
    <w:rsid w:val="0F153AA0"/>
    <w:rsid w:val="0F157B66"/>
    <w:rsid w:val="0F2A2A37"/>
    <w:rsid w:val="0F2E6C95"/>
    <w:rsid w:val="0F4675CA"/>
    <w:rsid w:val="0F471A79"/>
    <w:rsid w:val="0F500384"/>
    <w:rsid w:val="0F530CC5"/>
    <w:rsid w:val="0F5B4015"/>
    <w:rsid w:val="0F6071C8"/>
    <w:rsid w:val="0F7B0394"/>
    <w:rsid w:val="0F8C2AEB"/>
    <w:rsid w:val="0FA00CB6"/>
    <w:rsid w:val="0FA434D3"/>
    <w:rsid w:val="0FB471F7"/>
    <w:rsid w:val="0FC95C51"/>
    <w:rsid w:val="0FC965F5"/>
    <w:rsid w:val="0FCD6B4B"/>
    <w:rsid w:val="0FCF7138"/>
    <w:rsid w:val="0FD35AB6"/>
    <w:rsid w:val="0FE017B9"/>
    <w:rsid w:val="0FE04B17"/>
    <w:rsid w:val="0FEC2891"/>
    <w:rsid w:val="0FF71EB7"/>
    <w:rsid w:val="10225AB2"/>
    <w:rsid w:val="10286D9E"/>
    <w:rsid w:val="102D74F0"/>
    <w:rsid w:val="103C47DA"/>
    <w:rsid w:val="103D5CB0"/>
    <w:rsid w:val="1043497A"/>
    <w:rsid w:val="104B6B58"/>
    <w:rsid w:val="105552F6"/>
    <w:rsid w:val="10675755"/>
    <w:rsid w:val="108449FF"/>
    <w:rsid w:val="108B34B0"/>
    <w:rsid w:val="109413A4"/>
    <w:rsid w:val="109452CA"/>
    <w:rsid w:val="109E2943"/>
    <w:rsid w:val="10AE0412"/>
    <w:rsid w:val="10C8346E"/>
    <w:rsid w:val="10D21C00"/>
    <w:rsid w:val="10FE6AB1"/>
    <w:rsid w:val="1112624E"/>
    <w:rsid w:val="11153798"/>
    <w:rsid w:val="111A4272"/>
    <w:rsid w:val="11297158"/>
    <w:rsid w:val="113E08A9"/>
    <w:rsid w:val="114B27EA"/>
    <w:rsid w:val="114B2C9B"/>
    <w:rsid w:val="11580D61"/>
    <w:rsid w:val="115D78BB"/>
    <w:rsid w:val="116001E2"/>
    <w:rsid w:val="1169270A"/>
    <w:rsid w:val="11793618"/>
    <w:rsid w:val="11813452"/>
    <w:rsid w:val="11874149"/>
    <w:rsid w:val="11913DD4"/>
    <w:rsid w:val="1196089F"/>
    <w:rsid w:val="11961E43"/>
    <w:rsid w:val="11987ED2"/>
    <w:rsid w:val="119969A0"/>
    <w:rsid w:val="11A91B68"/>
    <w:rsid w:val="11B76464"/>
    <w:rsid w:val="11BC2DF3"/>
    <w:rsid w:val="11C43676"/>
    <w:rsid w:val="11E903EC"/>
    <w:rsid w:val="11EA3CA0"/>
    <w:rsid w:val="11F403BB"/>
    <w:rsid w:val="11FA6A1C"/>
    <w:rsid w:val="12001444"/>
    <w:rsid w:val="120B6973"/>
    <w:rsid w:val="12155876"/>
    <w:rsid w:val="12183A1B"/>
    <w:rsid w:val="122A11A6"/>
    <w:rsid w:val="123D1BD2"/>
    <w:rsid w:val="123E6D4D"/>
    <w:rsid w:val="125613C2"/>
    <w:rsid w:val="125D4EF7"/>
    <w:rsid w:val="12637C4E"/>
    <w:rsid w:val="126B2BAF"/>
    <w:rsid w:val="127030C8"/>
    <w:rsid w:val="12816CEC"/>
    <w:rsid w:val="12AF5C3C"/>
    <w:rsid w:val="12B310FA"/>
    <w:rsid w:val="12B7582D"/>
    <w:rsid w:val="12C621E8"/>
    <w:rsid w:val="12CF0716"/>
    <w:rsid w:val="12D95227"/>
    <w:rsid w:val="12E070F9"/>
    <w:rsid w:val="12E33197"/>
    <w:rsid w:val="12EE1C9C"/>
    <w:rsid w:val="12F863E6"/>
    <w:rsid w:val="12FB2185"/>
    <w:rsid w:val="13094CA6"/>
    <w:rsid w:val="130F78C1"/>
    <w:rsid w:val="132156D8"/>
    <w:rsid w:val="132911E2"/>
    <w:rsid w:val="1333636A"/>
    <w:rsid w:val="133868AE"/>
    <w:rsid w:val="135133AE"/>
    <w:rsid w:val="13830418"/>
    <w:rsid w:val="13914897"/>
    <w:rsid w:val="139A25F2"/>
    <w:rsid w:val="13A55CD5"/>
    <w:rsid w:val="13A953E4"/>
    <w:rsid w:val="13B654E3"/>
    <w:rsid w:val="13B819E6"/>
    <w:rsid w:val="13BC4189"/>
    <w:rsid w:val="13C169EC"/>
    <w:rsid w:val="13CA717D"/>
    <w:rsid w:val="13CD1AEC"/>
    <w:rsid w:val="13CE022A"/>
    <w:rsid w:val="13DF25B8"/>
    <w:rsid w:val="13E2403C"/>
    <w:rsid w:val="13EF504C"/>
    <w:rsid w:val="14047D3B"/>
    <w:rsid w:val="14085ED5"/>
    <w:rsid w:val="14184FB8"/>
    <w:rsid w:val="141A00EA"/>
    <w:rsid w:val="143A1FCF"/>
    <w:rsid w:val="14430D66"/>
    <w:rsid w:val="144678FB"/>
    <w:rsid w:val="14477E65"/>
    <w:rsid w:val="145A666B"/>
    <w:rsid w:val="14710CBF"/>
    <w:rsid w:val="14791934"/>
    <w:rsid w:val="147D213D"/>
    <w:rsid w:val="14946B93"/>
    <w:rsid w:val="1494723B"/>
    <w:rsid w:val="149C1789"/>
    <w:rsid w:val="14A04833"/>
    <w:rsid w:val="14AC7E45"/>
    <w:rsid w:val="14B12779"/>
    <w:rsid w:val="14B37576"/>
    <w:rsid w:val="14F4219E"/>
    <w:rsid w:val="14F8136A"/>
    <w:rsid w:val="150135C1"/>
    <w:rsid w:val="151C632A"/>
    <w:rsid w:val="152E4EB1"/>
    <w:rsid w:val="153E3566"/>
    <w:rsid w:val="154034C3"/>
    <w:rsid w:val="156B6CDB"/>
    <w:rsid w:val="15726626"/>
    <w:rsid w:val="15765EF2"/>
    <w:rsid w:val="15797665"/>
    <w:rsid w:val="15820278"/>
    <w:rsid w:val="15914EE6"/>
    <w:rsid w:val="15A42243"/>
    <w:rsid w:val="15A42FA4"/>
    <w:rsid w:val="15A6418F"/>
    <w:rsid w:val="15A95A02"/>
    <w:rsid w:val="15AA091B"/>
    <w:rsid w:val="15BA548D"/>
    <w:rsid w:val="15BC6BD3"/>
    <w:rsid w:val="15C01464"/>
    <w:rsid w:val="15CC20D8"/>
    <w:rsid w:val="15CF095E"/>
    <w:rsid w:val="15DA784E"/>
    <w:rsid w:val="15DB017B"/>
    <w:rsid w:val="15E6370B"/>
    <w:rsid w:val="15E835FB"/>
    <w:rsid w:val="15E84717"/>
    <w:rsid w:val="15F50B9B"/>
    <w:rsid w:val="160F0091"/>
    <w:rsid w:val="16144614"/>
    <w:rsid w:val="16314F0F"/>
    <w:rsid w:val="16335F50"/>
    <w:rsid w:val="163E3AB2"/>
    <w:rsid w:val="164665A7"/>
    <w:rsid w:val="165322D8"/>
    <w:rsid w:val="165E3F72"/>
    <w:rsid w:val="16695259"/>
    <w:rsid w:val="166A05B0"/>
    <w:rsid w:val="166D0110"/>
    <w:rsid w:val="167050F1"/>
    <w:rsid w:val="16713A30"/>
    <w:rsid w:val="16713DA7"/>
    <w:rsid w:val="16797776"/>
    <w:rsid w:val="168A6D98"/>
    <w:rsid w:val="168B52BA"/>
    <w:rsid w:val="16952546"/>
    <w:rsid w:val="16A14620"/>
    <w:rsid w:val="16AB3FBF"/>
    <w:rsid w:val="16AC1654"/>
    <w:rsid w:val="16AD4542"/>
    <w:rsid w:val="16AF4B6E"/>
    <w:rsid w:val="16B12C6E"/>
    <w:rsid w:val="16BF0789"/>
    <w:rsid w:val="16CD5BA2"/>
    <w:rsid w:val="16D06DBA"/>
    <w:rsid w:val="16D42F73"/>
    <w:rsid w:val="16DA34D2"/>
    <w:rsid w:val="16DA4E41"/>
    <w:rsid w:val="16EC7019"/>
    <w:rsid w:val="16F042AC"/>
    <w:rsid w:val="16F13FCB"/>
    <w:rsid w:val="16F626B5"/>
    <w:rsid w:val="16FB005D"/>
    <w:rsid w:val="16FC4F3B"/>
    <w:rsid w:val="17015E2D"/>
    <w:rsid w:val="17153DAB"/>
    <w:rsid w:val="171630EB"/>
    <w:rsid w:val="1722406D"/>
    <w:rsid w:val="17435DB3"/>
    <w:rsid w:val="174849B3"/>
    <w:rsid w:val="174B4B72"/>
    <w:rsid w:val="175075E0"/>
    <w:rsid w:val="175D3461"/>
    <w:rsid w:val="175F4C67"/>
    <w:rsid w:val="175F580B"/>
    <w:rsid w:val="17665207"/>
    <w:rsid w:val="17683B61"/>
    <w:rsid w:val="17794395"/>
    <w:rsid w:val="178D50A9"/>
    <w:rsid w:val="178F0FE3"/>
    <w:rsid w:val="17A27CD0"/>
    <w:rsid w:val="17B46723"/>
    <w:rsid w:val="17B85018"/>
    <w:rsid w:val="17C84F75"/>
    <w:rsid w:val="17D51C1B"/>
    <w:rsid w:val="17E339CC"/>
    <w:rsid w:val="17F33C57"/>
    <w:rsid w:val="18023FB5"/>
    <w:rsid w:val="180268D5"/>
    <w:rsid w:val="180414AE"/>
    <w:rsid w:val="181D4FAC"/>
    <w:rsid w:val="182A43C3"/>
    <w:rsid w:val="182B38C1"/>
    <w:rsid w:val="18351597"/>
    <w:rsid w:val="18353961"/>
    <w:rsid w:val="18474510"/>
    <w:rsid w:val="184F1D16"/>
    <w:rsid w:val="1852374B"/>
    <w:rsid w:val="185629F1"/>
    <w:rsid w:val="18685D91"/>
    <w:rsid w:val="187079CC"/>
    <w:rsid w:val="188F0DAB"/>
    <w:rsid w:val="18905464"/>
    <w:rsid w:val="18910B5C"/>
    <w:rsid w:val="18971337"/>
    <w:rsid w:val="18A62960"/>
    <w:rsid w:val="18BD3DC4"/>
    <w:rsid w:val="18C149F3"/>
    <w:rsid w:val="18C66C1A"/>
    <w:rsid w:val="18D233DB"/>
    <w:rsid w:val="18DC433F"/>
    <w:rsid w:val="18DD0C18"/>
    <w:rsid w:val="18DE4BF6"/>
    <w:rsid w:val="18EC1CA5"/>
    <w:rsid w:val="18F23C9D"/>
    <w:rsid w:val="18F554AB"/>
    <w:rsid w:val="18FE49D5"/>
    <w:rsid w:val="190F3527"/>
    <w:rsid w:val="19100497"/>
    <w:rsid w:val="1913290B"/>
    <w:rsid w:val="19183CAC"/>
    <w:rsid w:val="1936703E"/>
    <w:rsid w:val="193964B7"/>
    <w:rsid w:val="19406B43"/>
    <w:rsid w:val="19521C94"/>
    <w:rsid w:val="195657BB"/>
    <w:rsid w:val="196B19EB"/>
    <w:rsid w:val="19717C66"/>
    <w:rsid w:val="198D78AF"/>
    <w:rsid w:val="198E7C2B"/>
    <w:rsid w:val="199945D5"/>
    <w:rsid w:val="199B5065"/>
    <w:rsid w:val="19A96628"/>
    <w:rsid w:val="19B64852"/>
    <w:rsid w:val="19D37D58"/>
    <w:rsid w:val="19D92454"/>
    <w:rsid w:val="19DA4B96"/>
    <w:rsid w:val="19DD0438"/>
    <w:rsid w:val="19EB7B7B"/>
    <w:rsid w:val="19F31E08"/>
    <w:rsid w:val="19FE7696"/>
    <w:rsid w:val="1A0A04E6"/>
    <w:rsid w:val="1A187AC0"/>
    <w:rsid w:val="1A213466"/>
    <w:rsid w:val="1A3F3F76"/>
    <w:rsid w:val="1A4B4BAE"/>
    <w:rsid w:val="1A4B5A5C"/>
    <w:rsid w:val="1A583DC2"/>
    <w:rsid w:val="1A5F35C0"/>
    <w:rsid w:val="1A606D71"/>
    <w:rsid w:val="1A78055F"/>
    <w:rsid w:val="1A8006B2"/>
    <w:rsid w:val="1A8D640E"/>
    <w:rsid w:val="1A974192"/>
    <w:rsid w:val="1A9B5FC8"/>
    <w:rsid w:val="1AA53A2C"/>
    <w:rsid w:val="1ACA62AD"/>
    <w:rsid w:val="1ADA675E"/>
    <w:rsid w:val="1AE11CDA"/>
    <w:rsid w:val="1AFC4B06"/>
    <w:rsid w:val="1B113A6D"/>
    <w:rsid w:val="1B144B8D"/>
    <w:rsid w:val="1B17013D"/>
    <w:rsid w:val="1B1B14D3"/>
    <w:rsid w:val="1B1F6AF1"/>
    <w:rsid w:val="1B250DAE"/>
    <w:rsid w:val="1B2A34EB"/>
    <w:rsid w:val="1B2B0F4C"/>
    <w:rsid w:val="1B2D2734"/>
    <w:rsid w:val="1B3860E1"/>
    <w:rsid w:val="1B3E146E"/>
    <w:rsid w:val="1B3F36F6"/>
    <w:rsid w:val="1B422830"/>
    <w:rsid w:val="1B4B369E"/>
    <w:rsid w:val="1B5271D4"/>
    <w:rsid w:val="1B6D7C0D"/>
    <w:rsid w:val="1B744238"/>
    <w:rsid w:val="1B84594F"/>
    <w:rsid w:val="1B884364"/>
    <w:rsid w:val="1BA9051C"/>
    <w:rsid w:val="1BA912AB"/>
    <w:rsid w:val="1BAC14C9"/>
    <w:rsid w:val="1BB206CB"/>
    <w:rsid w:val="1BB53A76"/>
    <w:rsid w:val="1BC74329"/>
    <w:rsid w:val="1BC90A36"/>
    <w:rsid w:val="1BD0347B"/>
    <w:rsid w:val="1BD40AF3"/>
    <w:rsid w:val="1BD802A4"/>
    <w:rsid w:val="1BDF236A"/>
    <w:rsid w:val="1BFC5E27"/>
    <w:rsid w:val="1C0435DD"/>
    <w:rsid w:val="1C044A22"/>
    <w:rsid w:val="1C0500B1"/>
    <w:rsid w:val="1C11695F"/>
    <w:rsid w:val="1C165874"/>
    <w:rsid w:val="1C1D4C3D"/>
    <w:rsid w:val="1C1D7B83"/>
    <w:rsid w:val="1C212C7F"/>
    <w:rsid w:val="1C247222"/>
    <w:rsid w:val="1C262BA5"/>
    <w:rsid w:val="1C3D0868"/>
    <w:rsid w:val="1C440390"/>
    <w:rsid w:val="1C4C28F3"/>
    <w:rsid w:val="1C66730A"/>
    <w:rsid w:val="1C71314E"/>
    <w:rsid w:val="1C82672C"/>
    <w:rsid w:val="1C89138D"/>
    <w:rsid w:val="1C8E76D2"/>
    <w:rsid w:val="1C937172"/>
    <w:rsid w:val="1C975C4B"/>
    <w:rsid w:val="1CA27BB1"/>
    <w:rsid w:val="1CAF7DCF"/>
    <w:rsid w:val="1CB07D7A"/>
    <w:rsid w:val="1CBD39DD"/>
    <w:rsid w:val="1CC85347"/>
    <w:rsid w:val="1CDA4D56"/>
    <w:rsid w:val="1CF810AC"/>
    <w:rsid w:val="1D0B3755"/>
    <w:rsid w:val="1D124C24"/>
    <w:rsid w:val="1D1B71B2"/>
    <w:rsid w:val="1D20346E"/>
    <w:rsid w:val="1D2C6C65"/>
    <w:rsid w:val="1D402518"/>
    <w:rsid w:val="1D4E7169"/>
    <w:rsid w:val="1D554265"/>
    <w:rsid w:val="1D69344A"/>
    <w:rsid w:val="1D6B31E8"/>
    <w:rsid w:val="1D6B7F83"/>
    <w:rsid w:val="1D776C3D"/>
    <w:rsid w:val="1D792CD1"/>
    <w:rsid w:val="1D95321A"/>
    <w:rsid w:val="1DB672D9"/>
    <w:rsid w:val="1DB85E5C"/>
    <w:rsid w:val="1DC46662"/>
    <w:rsid w:val="1DCA5E3A"/>
    <w:rsid w:val="1DCF5405"/>
    <w:rsid w:val="1DD75183"/>
    <w:rsid w:val="1DDE2626"/>
    <w:rsid w:val="1DFD7C50"/>
    <w:rsid w:val="1E080AB5"/>
    <w:rsid w:val="1E0E0D58"/>
    <w:rsid w:val="1E1B42B2"/>
    <w:rsid w:val="1E2A197B"/>
    <w:rsid w:val="1E35255F"/>
    <w:rsid w:val="1E3C5A5F"/>
    <w:rsid w:val="1E3E55A3"/>
    <w:rsid w:val="1E450DAC"/>
    <w:rsid w:val="1E475D36"/>
    <w:rsid w:val="1E4B484C"/>
    <w:rsid w:val="1E4E24A0"/>
    <w:rsid w:val="1E502588"/>
    <w:rsid w:val="1E53413D"/>
    <w:rsid w:val="1E550992"/>
    <w:rsid w:val="1E5A2D1B"/>
    <w:rsid w:val="1E5A7A32"/>
    <w:rsid w:val="1E671817"/>
    <w:rsid w:val="1E6C3B44"/>
    <w:rsid w:val="1E7A4122"/>
    <w:rsid w:val="1E827BFE"/>
    <w:rsid w:val="1E8879EE"/>
    <w:rsid w:val="1EB51D82"/>
    <w:rsid w:val="1EB95D76"/>
    <w:rsid w:val="1EC54236"/>
    <w:rsid w:val="1ECE627B"/>
    <w:rsid w:val="1ED146FA"/>
    <w:rsid w:val="1ED464CA"/>
    <w:rsid w:val="1EDA5DF7"/>
    <w:rsid w:val="1EED4A44"/>
    <w:rsid w:val="1EF61E26"/>
    <w:rsid w:val="1EFA39EA"/>
    <w:rsid w:val="1F00206F"/>
    <w:rsid w:val="1F0177DA"/>
    <w:rsid w:val="1F18467A"/>
    <w:rsid w:val="1F1C5F2B"/>
    <w:rsid w:val="1F232A42"/>
    <w:rsid w:val="1F2645A8"/>
    <w:rsid w:val="1F4B71B8"/>
    <w:rsid w:val="1F4C39A9"/>
    <w:rsid w:val="1F4F3622"/>
    <w:rsid w:val="1F5665AD"/>
    <w:rsid w:val="1F6155A3"/>
    <w:rsid w:val="1F62112E"/>
    <w:rsid w:val="1F666160"/>
    <w:rsid w:val="1F692382"/>
    <w:rsid w:val="1F8815CD"/>
    <w:rsid w:val="1F8D1995"/>
    <w:rsid w:val="1F91313B"/>
    <w:rsid w:val="1F935BDD"/>
    <w:rsid w:val="1F966E45"/>
    <w:rsid w:val="1F9730E6"/>
    <w:rsid w:val="1F9D23B0"/>
    <w:rsid w:val="1FA73CE6"/>
    <w:rsid w:val="1FC135E0"/>
    <w:rsid w:val="1FD37C05"/>
    <w:rsid w:val="1FDE0273"/>
    <w:rsid w:val="1FEF73C9"/>
    <w:rsid w:val="1FFC13CE"/>
    <w:rsid w:val="20020491"/>
    <w:rsid w:val="202139A6"/>
    <w:rsid w:val="202B4759"/>
    <w:rsid w:val="203C7C11"/>
    <w:rsid w:val="20421AEB"/>
    <w:rsid w:val="2043750D"/>
    <w:rsid w:val="20471AED"/>
    <w:rsid w:val="20487E48"/>
    <w:rsid w:val="2062194B"/>
    <w:rsid w:val="20666EBF"/>
    <w:rsid w:val="206F239E"/>
    <w:rsid w:val="20735055"/>
    <w:rsid w:val="2086258B"/>
    <w:rsid w:val="20A45C99"/>
    <w:rsid w:val="20AD18F5"/>
    <w:rsid w:val="20B77D0F"/>
    <w:rsid w:val="20BB288C"/>
    <w:rsid w:val="20D06EB4"/>
    <w:rsid w:val="20E40557"/>
    <w:rsid w:val="20EF04D3"/>
    <w:rsid w:val="210B0241"/>
    <w:rsid w:val="210B7B58"/>
    <w:rsid w:val="210C69CF"/>
    <w:rsid w:val="21107C1A"/>
    <w:rsid w:val="213018E1"/>
    <w:rsid w:val="21392BC1"/>
    <w:rsid w:val="21427A90"/>
    <w:rsid w:val="21431802"/>
    <w:rsid w:val="21463D2C"/>
    <w:rsid w:val="2151198F"/>
    <w:rsid w:val="2172070D"/>
    <w:rsid w:val="217B2C80"/>
    <w:rsid w:val="217D2EA2"/>
    <w:rsid w:val="21851E83"/>
    <w:rsid w:val="21861507"/>
    <w:rsid w:val="218972BF"/>
    <w:rsid w:val="219020E3"/>
    <w:rsid w:val="21916EE8"/>
    <w:rsid w:val="219A308D"/>
    <w:rsid w:val="219F5834"/>
    <w:rsid w:val="21A35D48"/>
    <w:rsid w:val="21B03E2C"/>
    <w:rsid w:val="21BE12CB"/>
    <w:rsid w:val="21C12688"/>
    <w:rsid w:val="21CC4855"/>
    <w:rsid w:val="21E233A3"/>
    <w:rsid w:val="21E23F6C"/>
    <w:rsid w:val="21E345FD"/>
    <w:rsid w:val="21FD3C3B"/>
    <w:rsid w:val="22171E1E"/>
    <w:rsid w:val="222C4BE7"/>
    <w:rsid w:val="22383B4D"/>
    <w:rsid w:val="22466CD3"/>
    <w:rsid w:val="224B16D8"/>
    <w:rsid w:val="224D7973"/>
    <w:rsid w:val="2254174F"/>
    <w:rsid w:val="225D1D49"/>
    <w:rsid w:val="225D33C8"/>
    <w:rsid w:val="22606621"/>
    <w:rsid w:val="226239FE"/>
    <w:rsid w:val="22626562"/>
    <w:rsid w:val="22657CA1"/>
    <w:rsid w:val="226A76AE"/>
    <w:rsid w:val="22733EB6"/>
    <w:rsid w:val="227406C1"/>
    <w:rsid w:val="2274076A"/>
    <w:rsid w:val="227677FB"/>
    <w:rsid w:val="22794D7E"/>
    <w:rsid w:val="22812C42"/>
    <w:rsid w:val="22850AC6"/>
    <w:rsid w:val="22906578"/>
    <w:rsid w:val="22973E77"/>
    <w:rsid w:val="22995421"/>
    <w:rsid w:val="22AB58F3"/>
    <w:rsid w:val="22BC2576"/>
    <w:rsid w:val="22C13FD4"/>
    <w:rsid w:val="22C24771"/>
    <w:rsid w:val="22CB0895"/>
    <w:rsid w:val="22CC04D8"/>
    <w:rsid w:val="22F6054C"/>
    <w:rsid w:val="231527D7"/>
    <w:rsid w:val="23185AD8"/>
    <w:rsid w:val="231B5779"/>
    <w:rsid w:val="231C0103"/>
    <w:rsid w:val="23336451"/>
    <w:rsid w:val="233B2EFD"/>
    <w:rsid w:val="234316C2"/>
    <w:rsid w:val="234731C4"/>
    <w:rsid w:val="23474320"/>
    <w:rsid w:val="23492735"/>
    <w:rsid w:val="234B566A"/>
    <w:rsid w:val="235B5F37"/>
    <w:rsid w:val="235C3EA6"/>
    <w:rsid w:val="23604810"/>
    <w:rsid w:val="236E1FCD"/>
    <w:rsid w:val="237A7609"/>
    <w:rsid w:val="239D369E"/>
    <w:rsid w:val="23AA57FA"/>
    <w:rsid w:val="23BE4330"/>
    <w:rsid w:val="23BF0A62"/>
    <w:rsid w:val="23C14D25"/>
    <w:rsid w:val="23C263BB"/>
    <w:rsid w:val="23D04F68"/>
    <w:rsid w:val="23D07457"/>
    <w:rsid w:val="23D50A64"/>
    <w:rsid w:val="23FC0268"/>
    <w:rsid w:val="240B4621"/>
    <w:rsid w:val="241061D3"/>
    <w:rsid w:val="24114322"/>
    <w:rsid w:val="24122F3C"/>
    <w:rsid w:val="24181A61"/>
    <w:rsid w:val="241A4D23"/>
    <w:rsid w:val="243B00E0"/>
    <w:rsid w:val="243C24C7"/>
    <w:rsid w:val="244328F6"/>
    <w:rsid w:val="245032E9"/>
    <w:rsid w:val="24536196"/>
    <w:rsid w:val="2461564F"/>
    <w:rsid w:val="24626203"/>
    <w:rsid w:val="24651393"/>
    <w:rsid w:val="247573F6"/>
    <w:rsid w:val="247A4BE7"/>
    <w:rsid w:val="247B1377"/>
    <w:rsid w:val="24806762"/>
    <w:rsid w:val="24814D5C"/>
    <w:rsid w:val="24831C33"/>
    <w:rsid w:val="248601CB"/>
    <w:rsid w:val="24917BA8"/>
    <w:rsid w:val="24981483"/>
    <w:rsid w:val="249B0370"/>
    <w:rsid w:val="24A24AC6"/>
    <w:rsid w:val="24B93055"/>
    <w:rsid w:val="24C252E5"/>
    <w:rsid w:val="24C93BB5"/>
    <w:rsid w:val="24D02E03"/>
    <w:rsid w:val="24EF7670"/>
    <w:rsid w:val="24F81977"/>
    <w:rsid w:val="24F86BC7"/>
    <w:rsid w:val="250F44FD"/>
    <w:rsid w:val="2514288A"/>
    <w:rsid w:val="25381317"/>
    <w:rsid w:val="255120D8"/>
    <w:rsid w:val="255B5DCC"/>
    <w:rsid w:val="256501BB"/>
    <w:rsid w:val="256609A5"/>
    <w:rsid w:val="256F737F"/>
    <w:rsid w:val="257744B5"/>
    <w:rsid w:val="25781237"/>
    <w:rsid w:val="257A6914"/>
    <w:rsid w:val="2588530F"/>
    <w:rsid w:val="25963C8A"/>
    <w:rsid w:val="25AB3731"/>
    <w:rsid w:val="25B464A2"/>
    <w:rsid w:val="25BA0209"/>
    <w:rsid w:val="25BB4BF0"/>
    <w:rsid w:val="25C82741"/>
    <w:rsid w:val="25E62DA9"/>
    <w:rsid w:val="25F465E7"/>
    <w:rsid w:val="25F51365"/>
    <w:rsid w:val="25F6641C"/>
    <w:rsid w:val="25F74FA1"/>
    <w:rsid w:val="25FC3091"/>
    <w:rsid w:val="25FD11FA"/>
    <w:rsid w:val="25FF3210"/>
    <w:rsid w:val="2611098A"/>
    <w:rsid w:val="261632CD"/>
    <w:rsid w:val="264221C6"/>
    <w:rsid w:val="264B556A"/>
    <w:rsid w:val="26546D42"/>
    <w:rsid w:val="265D3370"/>
    <w:rsid w:val="26666555"/>
    <w:rsid w:val="268B7C99"/>
    <w:rsid w:val="268C4A4A"/>
    <w:rsid w:val="269A7501"/>
    <w:rsid w:val="26A3584F"/>
    <w:rsid w:val="26A66B0A"/>
    <w:rsid w:val="26A73989"/>
    <w:rsid w:val="26A86D42"/>
    <w:rsid w:val="26C30557"/>
    <w:rsid w:val="26C465BF"/>
    <w:rsid w:val="26CB2EBC"/>
    <w:rsid w:val="26CB4B73"/>
    <w:rsid w:val="26E34A7B"/>
    <w:rsid w:val="26E34B4C"/>
    <w:rsid w:val="26E9756C"/>
    <w:rsid w:val="26F72400"/>
    <w:rsid w:val="26FA4570"/>
    <w:rsid w:val="270D347C"/>
    <w:rsid w:val="27217FF0"/>
    <w:rsid w:val="27242893"/>
    <w:rsid w:val="273612F4"/>
    <w:rsid w:val="27445146"/>
    <w:rsid w:val="27615A5A"/>
    <w:rsid w:val="27734274"/>
    <w:rsid w:val="277602F5"/>
    <w:rsid w:val="278038CA"/>
    <w:rsid w:val="27AA29EE"/>
    <w:rsid w:val="27AA4181"/>
    <w:rsid w:val="27C33BB0"/>
    <w:rsid w:val="27C55F98"/>
    <w:rsid w:val="27CC0CD0"/>
    <w:rsid w:val="27D071BC"/>
    <w:rsid w:val="27D17500"/>
    <w:rsid w:val="27D4538F"/>
    <w:rsid w:val="27DD059F"/>
    <w:rsid w:val="27DE15AE"/>
    <w:rsid w:val="27E03A2F"/>
    <w:rsid w:val="27E941F6"/>
    <w:rsid w:val="280D297A"/>
    <w:rsid w:val="281934D6"/>
    <w:rsid w:val="28214B19"/>
    <w:rsid w:val="28276A98"/>
    <w:rsid w:val="28427177"/>
    <w:rsid w:val="284B33A4"/>
    <w:rsid w:val="285710C8"/>
    <w:rsid w:val="285C4BAF"/>
    <w:rsid w:val="285D0F42"/>
    <w:rsid w:val="28703320"/>
    <w:rsid w:val="2875038B"/>
    <w:rsid w:val="288D78CB"/>
    <w:rsid w:val="289539A5"/>
    <w:rsid w:val="289F019A"/>
    <w:rsid w:val="28A2706D"/>
    <w:rsid w:val="28A75EAB"/>
    <w:rsid w:val="28B32370"/>
    <w:rsid w:val="28CC6ED5"/>
    <w:rsid w:val="28F010D9"/>
    <w:rsid w:val="28F05C88"/>
    <w:rsid w:val="28FC05AD"/>
    <w:rsid w:val="29082E70"/>
    <w:rsid w:val="290C6A42"/>
    <w:rsid w:val="29115BFC"/>
    <w:rsid w:val="291343EF"/>
    <w:rsid w:val="29166F16"/>
    <w:rsid w:val="293567ED"/>
    <w:rsid w:val="29441314"/>
    <w:rsid w:val="294D5371"/>
    <w:rsid w:val="295A5964"/>
    <w:rsid w:val="29626133"/>
    <w:rsid w:val="29702C6A"/>
    <w:rsid w:val="297044B6"/>
    <w:rsid w:val="2979447D"/>
    <w:rsid w:val="297B63CF"/>
    <w:rsid w:val="2987431B"/>
    <w:rsid w:val="298756CC"/>
    <w:rsid w:val="299939C6"/>
    <w:rsid w:val="29A2261F"/>
    <w:rsid w:val="29A81FA5"/>
    <w:rsid w:val="29AB297C"/>
    <w:rsid w:val="29B46D1A"/>
    <w:rsid w:val="29BA50E6"/>
    <w:rsid w:val="29C11B5D"/>
    <w:rsid w:val="29C535D7"/>
    <w:rsid w:val="29C65905"/>
    <w:rsid w:val="29DA5777"/>
    <w:rsid w:val="29DF2425"/>
    <w:rsid w:val="2A0E6FDD"/>
    <w:rsid w:val="2A1157DB"/>
    <w:rsid w:val="2A142C99"/>
    <w:rsid w:val="2A1E4871"/>
    <w:rsid w:val="2A214539"/>
    <w:rsid w:val="2A27025F"/>
    <w:rsid w:val="2A367BB2"/>
    <w:rsid w:val="2A3D54FD"/>
    <w:rsid w:val="2A410FE5"/>
    <w:rsid w:val="2A4173A1"/>
    <w:rsid w:val="2A495A74"/>
    <w:rsid w:val="2A596631"/>
    <w:rsid w:val="2A5A05BF"/>
    <w:rsid w:val="2A5F2983"/>
    <w:rsid w:val="2A601F6F"/>
    <w:rsid w:val="2A714FD4"/>
    <w:rsid w:val="2A7A07C0"/>
    <w:rsid w:val="2A8470C8"/>
    <w:rsid w:val="2A9A06BB"/>
    <w:rsid w:val="2AB17620"/>
    <w:rsid w:val="2AB30FEA"/>
    <w:rsid w:val="2AB657B1"/>
    <w:rsid w:val="2ABE30F6"/>
    <w:rsid w:val="2AD50F79"/>
    <w:rsid w:val="2ADA2AF8"/>
    <w:rsid w:val="2AE07913"/>
    <w:rsid w:val="2AEA3FC0"/>
    <w:rsid w:val="2AEA4AC4"/>
    <w:rsid w:val="2B0E64B5"/>
    <w:rsid w:val="2B1020EE"/>
    <w:rsid w:val="2B166BF6"/>
    <w:rsid w:val="2B2B0DE1"/>
    <w:rsid w:val="2B2E1235"/>
    <w:rsid w:val="2B3E1E16"/>
    <w:rsid w:val="2B5D0E3B"/>
    <w:rsid w:val="2B5E2134"/>
    <w:rsid w:val="2B6F3EEE"/>
    <w:rsid w:val="2B70774D"/>
    <w:rsid w:val="2B737D91"/>
    <w:rsid w:val="2B745286"/>
    <w:rsid w:val="2B7764F7"/>
    <w:rsid w:val="2B7D446F"/>
    <w:rsid w:val="2B8870FA"/>
    <w:rsid w:val="2B8D4A3E"/>
    <w:rsid w:val="2B985061"/>
    <w:rsid w:val="2B9B11A3"/>
    <w:rsid w:val="2BC96C92"/>
    <w:rsid w:val="2BCC1BD6"/>
    <w:rsid w:val="2BCE0606"/>
    <w:rsid w:val="2BDB022F"/>
    <w:rsid w:val="2BDF0CFB"/>
    <w:rsid w:val="2BE234F2"/>
    <w:rsid w:val="2BE33AA6"/>
    <w:rsid w:val="2BE40B44"/>
    <w:rsid w:val="2BEF68A7"/>
    <w:rsid w:val="2BF22DBE"/>
    <w:rsid w:val="2BF73785"/>
    <w:rsid w:val="2C011CC6"/>
    <w:rsid w:val="2C035567"/>
    <w:rsid w:val="2C0F30B3"/>
    <w:rsid w:val="2C1235EB"/>
    <w:rsid w:val="2C162BEC"/>
    <w:rsid w:val="2C2F0BC4"/>
    <w:rsid w:val="2C391765"/>
    <w:rsid w:val="2C3D18DD"/>
    <w:rsid w:val="2C3D5EB9"/>
    <w:rsid w:val="2C4C0F0A"/>
    <w:rsid w:val="2C5254C3"/>
    <w:rsid w:val="2C532EF2"/>
    <w:rsid w:val="2C5C500F"/>
    <w:rsid w:val="2C6E3526"/>
    <w:rsid w:val="2C6F1E54"/>
    <w:rsid w:val="2C847E89"/>
    <w:rsid w:val="2C861306"/>
    <w:rsid w:val="2C993631"/>
    <w:rsid w:val="2C9B7E11"/>
    <w:rsid w:val="2CA41629"/>
    <w:rsid w:val="2CAF1058"/>
    <w:rsid w:val="2CAF1568"/>
    <w:rsid w:val="2CB32C99"/>
    <w:rsid w:val="2CB344B8"/>
    <w:rsid w:val="2CBC36F5"/>
    <w:rsid w:val="2CBD3F8E"/>
    <w:rsid w:val="2CC907F0"/>
    <w:rsid w:val="2CCC5126"/>
    <w:rsid w:val="2CD043F6"/>
    <w:rsid w:val="2CF756B7"/>
    <w:rsid w:val="2CF9252D"/>
    <w:rsid w:val="2CF97782"/>
    <w:rsid w:val="2D107154"/>
    <w:rsid w:val="2D143281"/>
    <w:rsid w:val="2D1C79F8"/>
    <w:rsid w:val="2D324177"/>
    <w:rsid w:val="2D5A7835"/>
    <w:rsid w:val="2D6578A0"/>
    <w:rsid w:val="2D7343C9"/>
    <w:rsid w:val="2D830B9B"/>
    <w:rsid w:val="2DA50F4E"/>
    <w:rsid w:val="2DAC5696"/>
    <w:rsid w:val="2DCE4237"/>
    <w:rsid w:val="2DDC18D4"/>
    <w:rsid w:val="2DDD215D"/>
    <w:rsid w:val="2DE353AF"/>
    <w:rsid w:val="2DE44256"/>
    <w:rsid w:val="2DE557EB"/>
    <w:rsid w:val="2DE869F4"/>
    <w:rsid w:val="2E0E6D42"/>
    <w:rsid w:val="2E0F4249"/>
    <w:rsid w:val="2E1B7727"/>
    <w:rsid w:val="2E2F0A58"/>
    <w:rsid w:val="2E447583"/>
    <w:rsid w:val="2E4722CA"/>
    <w:rsid w:val="2E4B4467"/>
    <w:rsid w:val="2E5520B9"/>
    <w:rsid w:val="2E63548C"/>
    <w:rsid w:val="2E640C1C"/>
    <w:rsid w:val="2E6B523D"/>
    <w:rsid w:val="2E717EA5"/>
    <w:rsid w:val="2E7A08F9"/>
    <w:rsid w:val="2E7B33BD"/>
    <w:rsid w:val="2E836803"/>
    <w:rsid w:val="2E96363C"/>
    <w:rsid w:val="2E9B6225"/>
    <w:rsid w:val="2EA6451C"/>
    <w:rsid w:val="2EAB0EF9"/>
    <w:rsid w:val="2EB86707"/>
    <w:rsid w:val="2EC92184"/>
    <w:rsid w:val="2ECD27F6"/>
    <w:rsid w:val="2ED51CCF"/>
    <w:rsid w:val="2EE25B31"/>
    <w:rsid w:val="2F0D4E39"/>
    <w:rsid w:val="2F0E1C14"/>
    <w:rsid w:val="2F28175F"/>
    <w:rsid w:val="2F366FC1"/>
    <w:rsid w:val="2F5034C7"/>
    <w:rsid w:val="2F7B047E"/>
    <w:rsid w:val="2F866106"/>
    <w:rsid w:val="2FA3249D"/>
    <w:rsid w:val="2FAB6E16"/>
    <w:rsid w:val="2FAF45CB"/>
    <w:rsid w:val="2FB6370F"/>
    <w:rsid w:val="2FC05B92"/>
    <w:rsid w:val="2FDE3BE4"/>
    <w:rsid w:val="2FE83639"/>
    <w:rsid w:val="2FEC1413"/>
    <w:rsid w:val="2FEF5C51"/>
    <w:rsid w:val="2FF12BDE"/>
    <w:rsid w:val="301F1E0F"/>
    <w:rsid w:val="302451E6"/>
    <w:rsid w:val="302E6295"/>
    <w:rsid w:val="303329F0"/>
    <w:rsid w:val="303818E5"/>
    <w:rsid w:val="303F1851"/>
    <w:rsid w:val="303F79AD"/>
    <w:rsid w:val="30492212"/>
    <w:rsid w:val="304C3A2B"/>
    <w:rsid w:val="30596318"/>
    <w:rsid w:val="306F339C"/>
    <w:rsid w:val="30762710"/>
    <w:rsid w:val="307E4C0C"/>
    <w:rsid w:val="30814CF1"/>
    <w:rsid w:val="30825157"/>
    <w:rsid w:val="30850E88"/>
    <w:rsid w:val="308E4163"/>
    <w:rsid w:val="308E41FA"/>
    <w:rsid w:val="30BD6BAF"/>
    <w:rsid w:val="30C20BA4"/>
    <w:rsid w:val="30C478ED"/>
    <w:rsid w:val="30EC01FB"/>
    <w:rsid w:val="30F37111"/>
    <w:rsid w:val="30F54D00"/>
    <w:rsid w:val="3102072B"/>
    <w:rsid w:val="31026564"/>
    <w:rsid w:val="31043F15"/>
    <w:rsid w:val="310A5122"/>
    <w:rsid w:val="310C4D99"/>
    <w:rsid w:val="31174BA1"/>
    <w:rsid w:val="312107CD"/>
    <w:rsid w:val="31210CA8"/>
    <w:rsid w:val="31215285"/>
    <w:rsid w:val="31257D9E"/>
    <w:rsid w:val="312D0344"/>
    <w:rsid w:val="31346C1B"/>
    <w:rsid w:val="31434456"/>
    <w:rsid w:val="314A407E"/>
    <w:rsid w:val="317038BB"/>
    <w:rsid w:val="317958D0"/>
    <w:rsid w:val="317E4BC4"/>
    <w:rsid w:val="318D218C"/>
    <w:rsid w:val="31964319"/>
    <w:rsid w:val="319A32FE"/>
    <w:rsid w:val="319A78A3"/>
    <w:rsid w:val="31A53AB7"/>
    <w:rsid w:val="31A801F9"/>
    <w:rsid w:val="31C57FB2"/>
    <w:rsid w:val="31C86249"/>
    <w:rsid w:val="31C932E2"/>
    <w:rsid w:val="31E94F83"/>
    <w:rsid w:val="31F61F62"/>
    <w:rsid w:val="320358D0"/>
    <w:rsid w:val="32052FE4"/>
    <w:rsid w:val="320B77FD"/>
    <w:rsid w:val="321976B1"/>
    <w:rsid w:val="321D6876"/>
    <w:rsid w:val="3220390C"/>
    <w:rsid w:val="3220530C"/>
    <w:rsid w:val="322B51BC"/>
    <w:rsid w:val="322E21F1"/>
    <w:rsid w:val="322F26BF"/>
    <w:rsid w:val="32313F22"/>
    <w:rsid w:val="32643522"/>
    <w:rsid w:val="326470BA"/>
    <w:rsid w:val="32713DBA"/>
    <w:rsid w:val="32744A8B"/>
    <w:rsid w:val="32753DA5"/>
    <w:rsid w:val="32886DB3"/>
    <w:rsid w:val="32895C45"/>
    <w:rsid w:val="32A16154"/>
    <w:rsid w:val="32A43D99"/>
    <w:rsid w:val="32B141E0"/>
    <w:rsid w:val="32B44D2D"/>
    <w:rsid w:val="32C65712"/>
    <w:rsid w:val="32C90A49"/>
    <w:rsid w:val="32D90C75"/>
    <w:rsid w:val="32DD31FD"/>
    <w:rsid w:val="32F10A57"/>
    <w:rsid w:val="32F91E88"/>
    <w:rsid w:val="32FA2D7F"/>
    <w:rsid w:val="32FC6C4E"/>
    <w:rsid w:val="33085CC5"/>
    <w:rsid w:val="33262CBA"/>
    <w:rsid w:val="332B323C"/>
    <w:rsid w:val="332E3189"/>
    <w:rsid w:val="335A71AC"/>
    <w:rsid w:val="335B01CD"/>
    <w:rsid w:val="335B62EC"/>
    <w:rsid w:val="335E79BA"/>
    <w:rsid w:val="3360061D"/>
    <w:rsid w:val="336549AB"/>
    <w:rsid w:val="33782709"/>
    <w:rsid w:val="338165DE"/>
    <w:rsid w:val="33893469"/>
    <w:rsid w:val="3392025F"/>
    <w:rsid w:val="33A8285D"/>
    <w:rsid w:val="33AC1E29"/>
    <w:rsid w:val="33B17041"/>
    <w:rsid w:val="33B202F3"/>
    <w:rsid w:val="33B20F64"/>
    <w:rsid w:val="33CA53E2"/>
    <w:rsid w:val="33DF7F28"/>
    <w:rsid w:val="33EE53FA"/>
    <w:rsid w:val="33FD38ED"/>
    <w:rsid w:val="33FD7485"/>
    <w:rsid w:val="34012F1B"/>
    <w:rsid w:val="34134E89"/>
    <w:rsid w:val="3432213A"/>
    <w:rsid w:val="3435708E"/>
    <w:rsid w:val="3441131D"/>
    <w:rsid w:val="34467089"/>
    <w:rsid w:val="34523AB5"/>
    <w:rsid w:val="34662D51"/>
    <w:rsid w:val="346B4B47"/>
    <w:rsid w:val="346E4F77"/>
    <w:rsid w:val="34762AAC"/>
    <w:rsid w:val="348402A8"/>
    <w:rsid w:val="348B34E5"/>
    <w:rsid w:val="349006CD"/>
    <w:rsid w:val="34AD0F9E"/>
    <w:rsid w:val="34B510BB"/>
    <w:rsid w:val="34BB2714"/>
    <w:rsid w:val="34BF2DAD"/>
    <w:rsid w:val="34C25EF7"/>
    <w:rsid w:val="34C60851"/>
    <w:rsid w:val="34CA20F2"/>
    <w:rsid w:val="34D20F28"/>
    <w:rsid w:val="34E22DC0"/>
    <w:rsid w:val="350233D4"/>
    <w:rsid w:val="35101BA7"/>
    <w:rsid w:val="35195F01"/>
    <w:rsid w:val="35313A72"/>
    <w:rsid w:val="35477D50"/>
    <w:rsid w:val="35493C91"/>
    <w:rsid w:val="354D6C1E"/>
    <w:rsid w:val="355C0228"/>
    <w:rsid w:val="356E6433"/>
    <w:rsid w:val="357800DF"/>
    <w:rsid w:val="358527FB"/>
    <w:rsid w:val="358B5BCF"/>
    <w:rsid w:val="359A77E8"/>
    <w:rsid w:val="35A1790B"/>
    <w:rsid w:val="35A45B99"/>
    <w:rsid w:val="35B01090"/>
    <w:rsid w:val="35B86BAE"/>
    <w:rsid w:val="35D00DF7"/>
    <w:rsid w:val="35DD2073"/>
    <w:rsid w:val="35DD5037"/>
    <w:rsid w:val="35DE4613"/>
    <w:rsid w:val="35DF75FB"/>
    <w:rsid w:val="35EB21A5"/>
    <w:rsid w:val="35F52D00"/>
    <w:rsid w:val="35FF153A"/>
    <w:rsid w:val="3606622C"/>
    <w:rsid w:val="36077316"/>
    <w:rsid w:val="360C0632"/>
    <w:rsid w:val="3613278E"/>
    <w:rsid w:val="36356D4F"/>
    <w:rsid w:val="36387943"/>
    <w:rsid w:val="3640482B"/>
    <w:rsid w:val="36405687"/>
    <w:rsid w:val="36412038"/>
    <w:rsid w:val="36414112"/>
    <w:rsid w:val="36537869"/>
    <w:rsid w:val="365F3D60"/>
    <w:rsid w:val="36645530"/>
    <w:rsid w:val="366C1FF2"/>
    <w:rsid w:val="367851C1"/>
    <w:rsid w:val="368406D7"/>
    <w:rsid w:val="369510BC"/>
    <w:rsid w:val="36973632"/>
    <w:rsid w:val="36A30194"/>
    <w:rsid w:val="36A81558"/>
    <w:rsid w:val="36B6623F"/>
    <w:rsid w:val="36D21A02"/>
    <w:rsid w:val="36E96529"/>
    <w:rsid w:val="37046D62"/>
    <w:rsid w:val="370817B8"/>
    <w:rsid w:val="37104DEB"/>
    <w:rsid w:val="371B2546"/>
    <w:rsid w:val="372D0977"/>
    <w:rsid w:val="37337382"/>
    <w:rsid w:val="374D5647"/>
    <w:rsid w:val="374F42A7"/>
    <w:rsid w:val="37506DBE"/>
    <w:rsid w:val="3759338C"/>
    <w:rsid w:val="37654002"/>
    <w:rsid w:val="376C44BA"/>
    <w:rsid w:val="378E3E66"/>
    <w:rsid w:val="37B2636C"/>
    <w:rsid w:val="37C244FC"/>
    <w:rsid w:val="37D95C79"/>
    <w:rsid w:val="37E81F7B"/>
    <w:rsid w:val="37EC12F9"/>
    <w:rsid w:val="37EE009B"/>
    <w:rsid w:val="37F25055"/>
    <w:rsid w:val="38026A1B"/>
    <w:rsid w:val="381148A9"/>
    <w:rsid w:val="38197832"/>
    <w:rsid w:val="38245684"/>
    <w:rsid w:val="382E71CC"/>
    <w:rsid w:val="383903C6"/>
    <w:rsid w:val="383C423B"/>
    <w:rsid w:val="38415136"/>
    <w:rsid w:val="386B5D47"/>
    <w:rsid w:val="386C1D38"/>
    <w:rsid w:val="387A25A5"/>
    <w:rsid w:val="388344A2"/>
    <w:rsid w:val="38963295"/>
    <w:rsid w:val="389D2F53"/>
    <w:rsid w:val="38A945B7"/>
    <w:rsid w:val="38C0690A"/>
    <w:rsid w:val="38CC2A09"/>
    <w:rsid w:val="38D16C7C"/>
    <w:rsid w:val="38D677A2"/>
    <w:rsid w:val="38D770AE"/>
    <w:rsid w:val="38F70050"/>
    <w:rsid w:val="38FC33FC"/>
    <w:rsid w:val="38FD0E84"/>
    <w:rsid w:val="38FF1B5B"/>
    <w:rsid w:val="390273B1"/>
    <w:rsid w:val="39153767"/>
    <w:rsid w:val="39225CA9"/>
    <w:rsid w:val="3923070B"/>
    <w:rsid w:val="392C49BB"/>
    <w:rsid w:val="39381E2B"/>
    <w:rsid w:val="3942282F"/>
    <w:rsid w:val="3953338B"/>
    <w:rsid w:val="39626145"/>
    <w:rsid w:val="396B7002"/>
    <w:rsid w:val="396C2A15"/>
    <w:rsid w:val="396D4309"/>
    <w:rsid w:val="39754190"/>
    <w:rsid w:val="39A5686F"/>
    <w:rsid w:val="39AC01F9"/>
    <w:rsid w:val="39B73BAC"/>
    <w:rsid w:val="39B7517F"/>
    <w:rsid w:val="39BA3B51"/>
    <w:rsid w:val="39C20795"/>
    <w:rsid w:val="39E90E2B"/>
    <w:rsid w:val="39E94D86"/>
    <w:rsid w:val="39EE75B8"/>
    <w:rsid w:val="39F1638E"/>
    <w:rsid w:val="3A001C79"/>
    <w:rsid w:val="3A1513BA"/>
    <w:rsid w:val="3A2E618D"/>
    <w:rsid w:val="3A4109A1"/>
    <w:rsid w:val="3A742C8C"/>
    <w:rsid w:val="3A7B1512"/>
    <w:rsid w:val="3A7B2702"/>
    <w:rsid w:val="3A896EEE"/>
    <w:rsid w:val="3A971EE4"/>
    <w:rsid w:val="3A98171D"/>
    <w:rsid w:val="3AAA2893"/>
    <w:rsid w:val="3ABB15C7"/>
    <w:rsid w:val="3ABD4F5B"/>
    <w:rsid w:val="3AD8279E"/>
    <w:rsid w:val="3AE73EDB"/>
    <w:rsid w:val="3B0759DF"/>
    <w:rsid w:val="3B08641D"/>
    <w:rsid w:val="3B1051E6"/>
    <w:rsid w:val="3B125000"/>
    <w:rsid w:val="3B1C7A19"/>
    <w:rsid w:val="3B2B5582"/>
    <w:rsid w:val="3B2E261C"/>
    <w:rsid w:val="3B4234D4"/>
    <w:rsid w:val="3B5610A7"/>
    <w:rsid w:val="3B7277F5"/>
    <w:rsid w:val="3B7622BA"/>
    <w:rsid w:val="3B7C1C88"/>
    <w:rsid w:val="3B806A1B"/>
    <w:rsid w:val="3B8107C8"/>
    <w:rsid w:val="3B8972AA"/>
    <w:rsid w:val="3B9528C7"/>
    <w:rsid w:val="3B9D4CF4"/>
    <w:rsid w:val="3BA219B8"/>
    <w:rsid w:val="3BA30CBF"/>
    <w:rsid w:val="3BA96003"/>
    <w:rsid w:val="3BBB32D1"/>
    <w:rsid w:val="3BC61A51"/>
    <w:rsid w:val="3BC842C4"/>
    <w:rsid w:val="3BD744F3"/>
    <w:rsid w:val="3BD96595"/>
    <w:rsid w:val="3BE14893"/>
    <w:rsid w:val="3BE8265C"/>
    <w:rsid w:val="3BE92A35"/>
    <w:rsid w:val="3BEB460F"/>
    <w:rsid w:val="3BEF13C6"/>
    <w:rsid w:val="3BEF1DA2"/>
    <w:rsid w:val="3BF22D10"/>
    <w:rsid w:val="3BF64635"/>
    <w:rsid w:val="3BF956C3"/>
    <w:rsid w:val="3BFC7B6D"/>
    <w:rsid w:val="3C065ECE"/>
    <w:rsid w:val="3C0E5CDB"/>
    <w:rsid w:val="3C150B57"/>
    <w:rsid w:val="3C463816"/>
    <w:rsid w:val="3C4D3B02"/>
    <w:rsid w:val="3C5B1D89"/>
    <w:rsid w:val="3C85498F"/>
    <w:rsid w:val="3C8946A5"/>
    <w:rsid w:val="3C8C1F1C"/>
    <w:rsid w:val="3C8F6147"/>
    <w:rsid w:val="3CA372A1"/>
    <w:rsid w:val="3CA55D12"/>
    <w:rsid w:val="3CA600E0"/>
    <w:rsid w:val="3CB765A9"/>
    <w:rsid w:val="3CBA4326"/>
    <w:rsid w:val="3CBC0BE3"/>
    <w:rsid w:val="3CC614DA"/>
    <w:rsid w:val="3CD01DA9"/>
    <w:rsid w:val="3CDA38F5"/>
    <w:rsid w:val="3CDD517D"/>
    <w:rsid w:val="3CE33FC3"/>
    <w:rsid w:val="3CEA3B31"/>
    <w:rsid w:val="3CF9401E"/>
    <w:rsid w:val="3CFB5C26"/>
    <w:rsid w:val="3CFC6325"/>
    <w:rsid w:val="3D093C71"/>
    <w:rsid w:val="3D1A22C0"/>
    <w:rsid w:val="3D294B1B"/>
    <w:rsid w:val="3D2B034D"/>
    <w:rsid w:val="3D5A60CA"/>
    <w:rsid w:val="3D5A7356"/>
    <w:rsid w:val="3D673851"/>
    <w:rsid w:val="3D6F7628"/>
    <w:rsid w:val="3D9B618F"/>
    <w:rsid w:val="3D9F4364"/>
    <w:rsid w:val="3DA4354D"/>
    <w:rsid w:val="3DA702BF"/>
    <w:rsid w:val="3DB92106"/>
    <w:rsid w:val="3DCF457D"/>
    <w:rsid w:val="3DD11BB1"/>
    <w:rsid w:val="3DEF40EB"/>
    <w:rsid w:val="3DF169A7"/>
    <w:rsid w:val="3DF2399F"/>
    <w:rsid w:val="3DF40FE4"/>
    <w:rsid w:val="3DF862C0"/>
    <w:rsid w:val="3E0519AD"/>
    <w:rsid w:val="3E4A1D40"/>
    <w:rsid w:val="3E4A7EED"/>
    <w:rsid w:val="3E4C287B"/>
    <w:rsid w:val="3E5A6652"/>
    <w:rsid w:val="3E633FD2"/>
    <w:rsid w:val="3E6F32D2"/>
    <w:rsid w:val="3E7151A4"/>
    <w:rsid w:val="3E742C66"/>
    <w:rsid w:val="3E7E19E7"/>
    <w:rsid w:val="3E7E3AE6"/>
    <w:rsid w:val="3E8572BF"/>
    <w:rsid w:val="3E917B82"/>
    <w:rsid w:val="3E9656A5"/>
    <w:rsid w:val="3E997463"/>
    <w:rsid w:val="3E9F7600"/>
    <w:rsid w:val="3ECD5479"/>
    <w:rsid w:val="3ED14B0F"/>
    <w:rsid w:val="3ED62B90"/>
    <w:rsid w:val="3ED731F7"/>
    <w:rsid w:val="3EDE48A7"/>
    <w:rsid w:val="3EE34DD3"/>
    <w:rsid w:val="3EED6576"/>
    <w:rsid w:val="3EF434CC"/>
    <w:rsid w:val="3EFB6FF7"/>
    <w:rsid w:val="3EFF0A75"/>
    <w:rsid w:val="3F1054CE"/>
    <w:rsid w:val="3F2534F3"/>
    <w:rsid w:val="3F3A1B65"/>
    <w:rsid w:val="3F3A5EB9"/>
    <w:rsid w:val="3F522210"/>
    <w:rsid w:val="3F544AF6"/>
    <w:rsid w:val="3F5C361D"/>
    <w:rsid w:val="3F5E64F5"/>
    <w:rsid w:val="3F656E2C"/>
    <w:rsid w:val="3F670C6B"/>
    <w:rsid w:val="3F6D5029"/>
    <w:rsid w:val="3F7802BA"/>
    <w:rsid w:val="3F92376D"/>
    <w:rsid w:val="3F9C1CD6"/>
    <w:rsid w:val="3F9E6D55"/>
    <w:rsid w:val="3FA7706D"/>
    <w:rsid w:val="3FB035B9"/>
    <w:rsid w:val="3FBD418E"/>
    <w:rsid w:val="3FC45A80"/>
    <w:rsid w:val="3FDE13B9"/>
    <w:rsid w:val="3FE029F1"/>
    <w:rsid w:val="3FE457AE"/>
    <w:rsid w:val="3FE57701"/>
    <w:rsid w:val="3FF15606"/>
    <w:rsid w:val="3FF16F35"/>
    <w:rsid w:val="400B7A66"/>
    <w:rsid w:val="400C4E03"/>
    <w:rsid w:val="40126EBB"/>
    <w:rsid w:val="401A4D54"/>
    <w:rsid w:val="40262C07"/>
    <w:rsid w:val="402A432C"/>
    <w:rsid w:val="403326AF"/>
    <w:rsid w:val="40376987"/>
    <w:rsid w:val="404209E3"/>
    <w:rsid w:val="40451C67"/>
    <w:rsid w:val="404A1B2B"/>
    <w:rsid w:val="404A601E"/>
    <w:rsid w:val="404C52F4"/>
    <w:rsid w:val="405C0FC1"/>
    <w:rsid w:val="40733CBA"/>
    <w:rsid w:val="40745EA0"/>
    <w:rsid w:val="407A4DF7"/>
    <w:rsid w:val="4096531F"/>
    <w:rsid w:val="40B16CC2"/>
    <w:rsid w:val="40B35EB1"/>
    <w:rsid w:val="40B81BAD"/>
    <w:rsid w:val="40BB2365"/>
    <w:rsid w:val="40BE2814"/>
    <w:rsid w:val="40C71C0F"/>
    <w:rsid w:val="40D23962"/>
    <w:rsid w:val="40D474FC"/>
    <w:rsid w:val="40D61BC8"/>
    <w:rsid w:val="40D87ABB"/>
    <w:rsid w:val="40DC4F1D"/>
    <w:rsid w:val="40DF2097"/>
    <w:rsid w:val="40E71ABD"/>
    <w:rsid w:val="410F0A26"/>
    <w:rsid w:val="413C11C7"/>
    <w:rsid w:val="41447F0E"/>
    <w:rsid w:val="414733E0"/>
    <w:rsid w:val="41566753"/>
    <w:rsid w:val="41613BDC"/>
    <w:rsid w:val="416A21FA"/>
    <w:rsid w:val="416B09D7"/>
    <w:rsid w:val="417D1E08"/>
    <w:rsid w:val="417D5552"/>
    <w:rsid w:val="4188208C"/>
    <w:rsid w:val="419B51EE"/>
    <w:rsid w:val="419C5D6B"/>
    <w:rsid w:val="41A30075"/>
    <w:rsid w:val="41B11897"/>
    <w:rsid w:val="41C017B7"/>
    <w:rsid w:val="41C57D35"/>
    <w:rsid w:val="41E91754"/>
    <w:rsid w:val="41F34606"/>
    <w:rsid w:val="4200399D"/>
    <w:rsid w:val="420E20BD"/>
    <w:rsid w:val="4214206C"/>
    <w:rsid w:val="421647B9"/>
    <w:rsid w:val="42255F4F"/>
    <w:rsid w:val="42263E3B"/>
    <w:rsid w:val="422C70F1"/>
    <w:rsid w:val="423C6CFA"/>
    <w:rsid w:val="423D15C3"/>
    <w:rsid w:val="42442693"/>
    <w:rsid w:val="425F6C3E"/>
    <w:rsid w:val="42673683"/>
    <w:rsid w:val="427E2307"/>
    <w:rsid w:val="428123C8"/>
    <w:rsid w:val="428D1B97"/>
    <w:rsid w:val="428E14DB"/>
    <w:rsid w:val="429D7702"/>
    <w:rsid w:val="42B4522E"/>
    <w:rsid w:val="42B608A5"/>
    <w:rsid w:val="42BC6C8F"/>
    <w:rsid w:val="42C43A42"/>
    <w:rsid w:val="42C5446D"/>
    <w:rsid w:val="42CD61C2"/>
    <w:rsid w:val="42D77361"/>
    <w:rsid w:val="42E77810"/>
    <w:rsid w:val="42E94337"/>
    <w:rsid w:val="43031943"/>
    <w:rsid w:val="431327F1"/>
    <w:rsid w:val="43182DB2"/>
    <w:rsid w:val="434412DA"/>
    <w:rsid w:val="435A7F52"/>
    <w:rsid w:val="4368794F"/>
    <w:rsid w:val="436D0FB5"/>
    <w:rsid w:val="437518D1"/>
    <w:rsid w:val="438D1E49"/>
    <w:rsid w:val="43B23B98"/>
    <w:rsid w:val="43C3238E"/>
    <w:rsid w:val="43C80076"/>
    <w:rsid w:val="43D8550E"/>
    <w:rsid w:val="43DC0C7D"/>
    <w:rsid w:val="43EA69D8"/>
    <w:rsid w:val="44356D2F"/>
    <w:rsid w:val="44390E25"/>
    <w:rsid w:val="44433468"/>
    <w:rsid w:val="44437F9F"/>
    <w:rsid w:val="444529B0"/>
    <w:rsid w:val="4447274D"/>
    <w:rsid w:val="444F5C68"/>
    <w:rsid w:val="445E686E"/>
    <w:rsid w:val="44613E6E"/>
    <w:rsid w:val="44672F7E"/>
    <w:rsid w:val="446A5324"/>
    <w:rsid w:val="44720114"/>
    <w:rsid w:val="447E7804"/>
    <w:rsid w:val="44943661"/>
    <w:rsid w:val="449503EB"/>
    <w:rsid w:val="44A05C5C"/>
    <w:rsid w:val="44A82FB0"/>
    <w:rsid w:val="44AC7417"/>
    <w:rsid w:val="44B16853"/>
    <w:rsid w:val="44DB6663"/>
    <w:rsid w:val="44DC36ED"/>
    <w:rsid w:val="44F3323B"/>
    <w:rsid w:val="45081C03"/>
    <w:rsid w:val="450D5FAD"/>
    <w:rsid w:val="45172F07"/>
    <w:rsid w:val="451B71F6"/>
    <w:rsid w:val="451D5184"/>
    <w:rsid w:val="452F3716"/>
    <w:rsid w:val="453C65FD"/>
    <w:rsid w:val="454B256E"/>
    <w:rsid w:val="455563D6"/>
    <w:rsid w:val="455B76A1"/>
    <w:rsid w:val="455D76E4"/>
    <w:rsid w:val="45611896"/>
    <w:rsid w:val="45646F33"/>
    <w:rsid w:val="45671007"/>
    <w:rsid w:val="456C331B"/>
    <w:rsid w:val="457F0940"/>
    <w:rsid w:val="458B45C2"/>
    <w:rsid w:val="45A26739"/>
    <w:rsid w:val="45B07140"/>
    <w:rsid w:val="45C43431"/>
    <w:rsid w:val="45C62DB9"/>
    <w:rsid w:val="45CA192E"/>
    <w:rsid w:val="45E83302"/>
    <w:rsid w:val="45EB1949"/>
    <w:rsid w:val="45EE3358"/>
    <w:rsid w:val="46066722"/>
    <w:rsid w:val="461976C3"/>
    <w:rsid w:val="461C0664"/>
    <w:rsid w:val="4626155D"/>
    <w:rsid w:val="463D42BA"/>
    <w:rsid w:val="46521A41"/>
    <w:rsid w:val="465D41EE"/>
    <w:rsid w:val="465D50F1"/>
    <w:rsid w:val="46640374"/>
    <w:rsid w:val="46771C91"/>
    <w:rsid w:val="467F06A4"/>
    <w:rsid w:val="4694259D"/>
    <w:rsid w:val="4695537C"/>
    <w:rsid w:val="46A64B43"/>
    <w:rsid w:val="46AA5A85"/>
    <w:rsid w:val="46AC6264"/>
    <w:rsid w:val="46C01696"/>
    <w:rsid w:val="46C52BE0"/>
    <w:rsid w:val="46D118AB"/>
    <w:rsid w:val="46DE67F5"/>
    <w:rsid w:val="46F30AEE"/>
    <w:rsid w:val="46FA2178"/>
    <w:rsid w:val="470937EC"/>
    <w:rsid w:val="47123940"/>
    <w:rsid w:val="47204C1C"/>
    <w:rsid w:val="4726595C"/>
    <w:rsid w:val="4737299B"/>
    <w:rsid w:val="474B4782"/>
    <w:rsid w:val="474D22A8"/>
    <w:rsid w:val="474E41E8"/>
    <w:rsid w:val="475570DE"/>
    <w:rsid w:val="475A395C"/>
    <w:rsid w:val="47600773"/>
    <w:rsid w:val="47661F26"/>
    <w:rsid w:val="476E25F3"/>
    <w:rsid w:val="47732319"/>
    <w:rsid w:val="47783B12"/>
    <w:rsid w:val="477D5156"/>
    <w:rsid w:val="477F2265"/>
    <w:rsid w:val="47890AD6"/>
    <w:rsid w:val="478C11D2"/>
    <w:rsid w:val="478D21F4"/>
    <w:rsid w:val="478D2FF6"/>
    <w:rsid w:val="478F6037"/>
    <w:rsid w:val="4798720D"/>
    <w:rsid w:val="47BF7C9C"/>
    <w:rsid w:val="47C2246C"/>
    <w:rsid w:val="47CA5F05"/>
    <w:rsid w:val="47DA1720"/>
    <w:rsid w:val="47E11737"/>
    <w:rsid w:val="47E63B49"/>
    <w:rsid w:val="47E77D53"/>
    <w:rsid w:val="47E83A8E"/>
    <w:rsid w:val="47EE48C0"/>
    <w:rsid w:val="47F35E3E"/>
    <w:rsid w:val="47FB766F"/>
    <w:rsid w:val="48064E6E"/>
    <w:rsid w:val="4808575C"/>
    <w:rsid w:val="480B439D"/>
    <w:rsid w:val="48126B88"/>
    <w:rsid w:val="482F10F4"/>
    <w:rsid w:val="4850244B"/>
    <w:rsid w:val="48606A0B"/>
    <w:rsid w:val="486D78BB"/>
    <w:rsid w:val="48710218"/>
    <w:rsid w:val="488A60A8"/>
    <w:rsid w:val="488E01B8"/>
    <w:rsid w:val="48915636"/>
    <w:rsid w:val="48972499"/>
    <w:rsid w:val="48985F31"/>
    <w:rsid w:val="48A168BD"/>
    <w:rsid w:val="48AC6E35"/>
    <w:rsid w:val="48BD43A0"/>
    <w:rsid w:val="48C96968"/>
    <w:rsid w:val="48CC36A0"/>
    <w:rsid w:val="48E6216D"/>
    <w:rsid w:val="48EF1C6F"/>
    <w:rsid w:val="48F84416"/>
    <w:rsid w:val="490874C4"/>
    <w:rsid w:val="491A6A98"/>
    <w:rsid w:val="491D4AAF"/>
    <w:rsid w:val="4926292B"/>
    <w:rsid w:val="49371235"/>
    <w:rsid w:val="494324F6"/>
    <w:rsid w:val="49455D20"/>
    <w:rsid w:val="49715079"/>
    <w:rsid w:val="497B341F"/>
    <w:rsid w:val="497B5526"/>
    <w:rsid w:val="4988469A"/>
    <w:rsid w:val="499D38ED"/>
    <w:rsid w:val="49B415EE"/>
    <w:rsid w:val="49B63FD6"/>
    <w:rsid w:val="49BF4D00"/>
    <w:rsid w:val="49CC16EC"/>
    <w:rsid w:val="49D10D08"/>
    <w:rsid w:val="49D1562B"/>
    <w:rsid w:val="49DE1EF5"/>
    <w:rsid w:val="49E579C4"/>
    <w:rsid w:val="49EA2381"/>
    <w:rsid w:val="49F43753"/>
    <w:rsid w:val="49F54A10"/>
    <w:rsid w:val="49F94CE9"/>
    <w:rsid w:val="49FD7843"/>
    <w:rsid w:val="49FE0E45"/>
    <w:rsid w:val="4A040938"/>
    <w:rsid w:val="4A11169A"/>
    <w:rsid w:val="4A212635"/>
    <w:rsid w:val="4A2175B6"/>
    <w:rsid w:val="4A382B63"/>
    <w:rsid w:val="4A4260CB"/>
    <w:rsid w:val="4A5D5030"/>
    <w:rsid w:val="4A611E1A"/>
    <w:rsid w:val="4A664855"/>
    <w:rsid w:val="4A6E29FC"/>
    <w:rsid w:val="4A7055A6"/>
    <w:rsid w:val="4A734B35"/>
    <w:rsid w:val="4A7A665F"/>
    <w:rsid w:val="4A8C4E71"/>
    <w:rsid w:val="4A970209"/>
    <w:rsid w:val="4A9C47ED"/>
    <w:rsid w:val="4AA71D5E"/>
    <w:rsid w:val="4AAA6CA9"/>
    <w:rsid w:val="4AB63FE4"/>
    <w:rsid w:val="4ADB3E99"/>
    <w:rsid w:val="4AE008D2"/>
    <w:rsid w:val="4AE61F91"/>
    <w:rsid w:val="4AE81D8B"/>
    <w:rsid w:val="4AE85FE9"/>
    <w:rsid w:val="4AEA1EF8"/>
    <w:rsid w:val="4B0B3617"/>
    <w:rsid w:val="4B2815DF"/>
    <w:rsid w:val="4B473F5E"/>
    <w:rsid w:val="4B49191E"/>
    <w:rsid w:val="4B507FB2"/>
    <w:rsid w:val="4B647620"/>
    <w:rsid w:val="4B695935"/>
    <w:rsid w:val="4B703ED3"/>
    <w:rsid w:val="4B7A55E6"/>
    <w:rsid w:val="4B82653E"/>
    <w:rsid w:val="4B894031"/>
    <w:rsid w:val="4B8C1A83"/>
    <w:rsid w:val="4B946154"/>
    <w:rsid w:val="4BB12731"/>
    <w:rsid w:val="4BB40BD0"/>
    <w:rsid w:val="4BC26A04"/>
    <w:rsid w:val="4BCD251C"/>
    <w:rsid w:val="4BCF21F8"/>
    <w:rsid w:val="4BE10A59"/>
    <w:rsid w:val="4BE123D1"/>
    <w:rsid w:val="4BE56C4E"/>
    <w:rsid w:val="4BE6335C"/>
    <w:rsid w:val="4BEB208F"/>
    <w:rsid w:val="4C096680"/>
    <w:rsid w:val="4C0A534C"/>
    <w:rsid w:val="4C0F01F9"/>
    <w:rsid w:val="4C1271E5"/>
    <w:rsid w:val="4C1813C5"/>
    <w:rsid w:val="4C270B31"/>
    <w:rsid w:val="4C3202E6"/>
    <w:rsid w:val="4C3D599B"/>
    <w:rsid w:val="4C4A14AC"/>
    <w:rsid w:val="4C4E5DB7"/>
    <w:rsid w:val="4C6370A1"/>
    <w:rsid w:val="4C6831A6"/>
    <w:rsid w:val="4C736886"/>
    <w:rsid w:val="4C7434D4"/>
    <w:rsid w:val="4C7F7CEF"/>
    <w:rsid w:val="4C821AA7"/>
    <w:rsid w:val="4C971E9C"/>
    <w:rsid w:val="4CA1007D"/>
    <w:rsid w:val="4CA43125"/>
    <w:rsid w:val="4CAC2A11"/>
    <w:rsid w:val="4CB01CB9"/>
    <w:rsid w:val="4CBE19EF"/>
    <w:rsid w:val="4CCD33EA"/>
    <w:rsid w:val="4CCF426B"/>
    <w:rsid w:val="4CDA591D"/>
    <w:rsid w:val="4CFE069C"/>
    <w:rsid w:val="4D033F9C"/>
    <w:rsid w:val="4D055E23"/>
    <w:rsid w:val="4D2433AC"/>
    <w:rsid w:val="4D3A2294"/>
    <w:rsid w:val="4D3B2BA3"/>
    <w:rsid w:val="4D4A14C6"/>
    <w:rsid w:val="4D4A4A28"/>
    <w:rsid w:val="4D547336"/>
    <w:rsid w:val="4D5D7D7F"/>
    <w:rsid w:val="4D625C01"/>
    <w:rsid w:val="4D683769"/>
    <w:rsid w:val="4D7A1477"/>
    <w:rsid w:val="4D7A191D"/>
    <w:rsid w:val="4D8F350E"/>
    <w:rsid w:val="4D924E46"/>
    <w:rsid w:val="4D9877E4"/>
    <w:rsid w:val="4DBD22E7"/>
    <w:rsid w:val="4DC332C4"/>
    <w:rsid w:val="4DC3466C"/>
    <w:rsid w:val="4DC54DE7"/>
    <w:rsid w:val="4DC73507"/>
    <w:rsid w:val="4DD4103F"/>
    <w:rsid w:val="4DDA6A5F"/>
    <w:rsid w:val="4DDB7205"/>
    <w:rsid w:val="4DDF772B"/>
    <w:rsid w:val="4DE05A68"/>
    <w:rsid w:val="4DE964F6"/>
    <w:rsid w:val="4DEB03F5"/>
    <w:rsid w:val="4DEB15AD"/>
    <w:rsid w:val="4DEF0057"/>
    <w:rsid w:val="4DF87443"/>
    <w:rsid w:val="4E013DEC"/>
    <w:rsid w:val="4E070376"/>
    <w:rsid w:val="4E370600"/>
    <w:rsid w:val="4E435024"/>
    <w:rsid w:val="4E4968AE"/>
    <w:rsid w:val="4E4E7E80"/>
    <w:rsid w:val="4E534A5B"/>
    <w:rsid w:val="4E5646CC"/>
    <w:rsid w:val="4E5C5562"/>
    <w:rsid w:val="4E5F69A8"/>
    <w:rsid w:val="4E63121F"/>
    <w:rsid w:val="4E655726"/>
    <w:rsid w:val="4E754A02"/>
    <w:rsid w:val="4E95725E"/>
    <w:rsid w:val="4E9A6CF9"/>
    <w:rsid w:val="4E9B4C5C"/>
    <w:rsid w:val="4EA65FD0"/>
    <w:rsid w:val="4EB1407D"/>
    <w:rsid w:val="4EB551BD"/>
    <w:rsid w:val="4EBA0613"/>
    <w:rsid w:val="4EC37901"/>
    <w:rsid w:val="4ECD752C"/>
    <w:rsid w:val="4ED33DCB"/>
    <w:rsid w:val="4EE2511D"/>
    <w:rsid w:val="4EE34782"/>
    <w:rsid w:val="4EE63F4F"/>
    <w:rsid w:val="4F007E65"/>
    <w:rsid w:val="4F0A1AF8"/>
    <w:rsid w:val="4F203D73"/>
    <w:rsid w:val="4F27252E"/>
    <w:rsid w:val="4F323E26"/>
    <w:rsid w:val="4F3913E8"/>
    <w:rsid w:val="4F4B0906"/>
    <w:rsid w:val="4F501419"/>
    <w:rsid w:val="4F594DAC"/>
    <w:rsid w:val="4F6C3F07"/>
    <w:rsid w:val="4F766180"/>
    <w:rsid w:val="4F830574"/>
    <w:rsid w:val="4F875E84"/>
    <w:rsid w:val="4F8D5FB6"/>
    <w:rsid w:val="4F9753D7"/>
    <w:rsid w:val="4FA54804"/>
    <w:rsid w:val="4FA71B28"/>
    <w:rsid w:val="4FAC0772"/>
    <w:rsid w:val="4FAD5FDA"/>
    <w:rsid w:val="4FBF34BA"/>
    <w:rsid w:val="4FC05593"/>
    <w:rsid w:val="4FCA2B98"/>
    <w:rsid w:val="4FCB218A"/>
    <w:rsid w:val="4FCE7BAE"/>
    <w:rsid w:val="4FEE4128"/>
    <w:rsid w:val="4FF333C0"/>
    <w:rsid w:val="4FFB42C6"/>
    <w:rsid w:val="4FFE4A87"/>
    <w:rsid w:val="500344EA"/>
    <w:rsid w:val="500B7B4C"/>
    <w:rsid w:val="50162A53"/>
    <w:rsid w:val="503C3296"/>
    <w:rsid w:val="504B0F0D"/>
    <w:rsid w:val="504C0242"/>
    <w:rsid w:val="50527689"/>
    <w:rsid w:val="506633AA"/>
    <w:rsid w:val="50716B52"/>
    <w:rsid w:val="507237E3"/>
    <w:rsid w:val="50911DB8"/>
    <w:rsid w:val="50943033"/>
    <w:rsid w:val="509D389C"/>
    <w:rsid w:val="50A642FD"/>
    <w:rsid w:val="50AF647F"/>
    <w:rsid w:val="50BB317D"/>
    <w:rsid w:val="50D06E68"/>
    <w:rsid w:val="50D37C72"/>
    <w:rsid w:val="50E466DC"/>
    <w:rsid w:val="50EA1869"/>
    <w:rsid w:val="50FD00F4"/>
    <w:rsid w:val="50FF056E"/>
    <w:rsid w:val="5102630E"/>
    <w:rsid w:val="51071FE4"/>
    <w:rsid w:val="510F2A7F"/>
    <w:rsid w:val="511E4585"/>
    <w:rsid w:val="512378E2"/>
    <w:rsid w:val="512746EF"/>
    <w:rsid w:val="51283E4C"/>
    <w:rsid w:val="51291D35"/>
    <w:rsid w:val="512B3A7F"/>
    <w:rsid w:val="51414399"/>
    <w:rsid w:val="515C538B"/>
    <w:rsid w:val="515D5FD6"/>
    <w:rsid w:val="5160210F"/>
    <w:rsid w:val="51621046"/>
    <w:rsid w:val="516A7012"/>
    <w:rsid w:val="51721A38"/>
    <w:rsid w:val="517367D7"/>
    <w:rsid w:val="517D016D"/>
    <w:rsid w:val="519447C6"/>
    <w:rsid w:val="51981F3B"/>
    <w:rsid w:val="51A45867"/>
    <w:rsid w:val="51AD7250"/>
    <w:rsid w:val="51BB2504"/>
    <w:rsid w:val="51CF1465"/>
    <w:rsid w:val="51D1247D"/>
    <w:rsid w:val="51EC3DBB"/>
    <w:rsid w:val="51EC4955"/>
    <w:rsid w:val="51F067B7"/>
    <w:rsid w:val="51F35CBE"/>
    <w:rsid w:val="52077D46"/>
    <w:rsid w:val="520B7A0B"/>
    <w:rsid w:val="52187D0D"/>
    <w:rsid w:val="52361B9C"/>
    <w:rsid w:val="52362A26"/>
    <w:rsid w:val="523B0BAD"/>
    <w:rsid w:val="524B7169"/>
    <w:rsid w:val="5250515D"/>
    <w:rsid w:val="526302BF"/>
    <w:rsid w:val="526921DD"/>
    <w:rsid w:val="529257CC"/>
    <w:rsid w:val="5297132B"/>
    <w:rsid w:val="529F28D8"/>
    <w:rsid w:val="529F6FBB"/>
    <w:rsid w:val="52A41EDC"/>
    <w:rsid w:val="52C076EC"/>
    <w:rsid w:val="52C25708"/>
    <w:rsid w:val="52C315CC"/>
    <w:rsid w:val="52CD10CA"/>
    <w:rsid w:val="52E17B9B"/>
    <w:rsid w:val="52EB6F11"/>
    <w:rsid w:val="52F0249E"/>
    <w:rsid w:val="52FB1938"/>
    <w:rsid w:val="530A4C46"/>
    <w:rsid w:val="53177239"/>
    <w:rsid w:val="531812BC"/>
    <w:rsid w:val="532C6060"/>
    <w:rsid w:val="5353575F"/>
    <w:rsid w:val="535B2E70"/>
    <w:rsid w:val="535C4E8B"/>
    <w:rsid w:val="536278AA"/>
    <w:rsid w:val="53631BD7"/>
    <w:rsid w:val="53673357"/>
    <w:rsid w:val="53676B5F"/>
    <w:rsid w:val="536E21FF"/>
    <w:rsid w:val="53732601"/>
    <w:rsid w:val="5385006E"/>
    <w:rsid w:val="538A4A6D"/>
    <w:rsid w:val="53A53024"/>
    <w:rsid w:val="53AF04AF"/>
    <w:rsid w:val="53B45677"/>
    <w:rsid w:val="53D93077"/>
    <w:rsid w:val="53DD2466"/>
    <w:rsid w:val="53E25E08"/>
    <w:rsid w:val="53E34323"/>
    <w:rsid w:val="53FC3987"/>
    <w:rsid w:val="5427381E"/>
    <w:rsid w:val="543B788E"/>
    <w:rsid w:val="54447CBB"/>
    <w:rsid w:val="545062A7"/>
    <w:rsid w:val="5457296F"/>
    <w:rsid w:val="545C3555"/>
    <w:rsid w:val="54617320"/>
    <w:rsid w:val="547A28DC"/>
    <w:rsid w:val="54827775"/>
    <w:rsid w:val="54AC5134"/>
    <w:rsid w:val="54DE6078"/>
    <w:rsid w:val="54E86EBD"/>
    <w:rsid w:val="54F2526E"/>
    <w:rsid w:val="55075D9B"/>
    <w:rsid w:val="550E61A7"/>
    <w:rsid w:val="55184BBF"/>
    <w:rsid w:val="551874CA"/>
    <w:rsid w:val="551E6A56"/>
    <w:rsid w:val="552006D3"/>
    <w:rsid w:val="55301CB3"/>
    <w:rsid w:val="55327054"/>
    <w:rsid w:val="553A26BA"/>
    <w:rsid w:val="553E3BEA"/>
    <w:rsid w:val="554551DC"/>
    <w:rsid w:val="5556054C"/>
    <w:rsid w:val="557D4342"/>
    <w:rsid w:val="557F50CE"/>
    <w:rsid w:val="55862A42"/>
    <w:rsid w:val="55990578"/>
    <w:rsid w:val="55A56891"/>
    <w:rsid w:val="55AC66CB"/>
    <w:rsid w:val="55C33131"/>
    <w:rsid w:val="55CD7903"/>
    <w:rsid w:val="55E172A0"/>
    <w:rsid w:val="55E24605"/>
    <w:rsid w:val="55E77D6B"/>
    <w:rsid w:val="55F81C60"/>
    <w:rsid w:val="55FA0F14"/>
    <w:rsid w:val="55FD7055"/>
    <w:rsid w:val="5606738F"/>
    <w:rsid w:val="56097F90"/>
    <w:rsid w:val="56133E90"/>
    <w:rsid w:val="5618011A"/>
    <w:rsid w:val="562B1B95"/>
    <w:rsid w:val="56474D43"/>
    <w:rsid w:val="564C1D1D"/>
    <w:rsid w:val="565F1E2E"/>
    <w:rsid w:val="56670F45"/>
    <w:rsid w:val="566F1BE2"/>
    <w:rsid w:val="567B004B"/>
    <w:rsid w:val="56825178"/>
    <w:rsid w:val="568F784B"/>
    <w:rsid w:val="569C0124"/>
    <w:rsid w:val="56A17AE8"/>
    <w:rsid w:val="56A60FA6"/>
    <w:rsid w:val="56C9634D"/>
    <w:rsid w:val="56D35B35"/>
    <w:rsid w:val="56D41BE8"/>
    <w:rsid w:val="56DD3B62"/>
    <w:rsid w:val="56EC7A5D"/>
    <w:rsid w:val="56EF5FD8"/>
    <w:rsid w:val="56F4599D"/>
    <w:rsid w:val="570D0322"/>
    <w:rsid w:val="5715796F"/>
    <w:rsid w:val="57180ACE"/>
    <w:rsid w:val="571B1984"/>
    <w:rsid w:val="571B61B6"/>
    <w:rsid w:val="57213E7D"/>
    <w:rsid w:val="5723561B"/>
    <w:rsid w:val="572362C9"/>
    <w:rsid w:val="572F37C6"/>
    <w:rsid w:val="5736629C"/>
    <w:rsid w:val="57485C72"/>
    <w:rsid w:val="57540996"/>
    <w:rsid w:val="57802A35"/>
    <w:rsid w:val="578C3658"/>
    <w:rsid w:val="57B22910"/>
    <w:rsid w:val="57B66918"/>
    <w:rsid w:val="57BD6FCE"/>
    <w:rsid w:val="57D214D2"/>
    <w:rsid w:val="57D827EE"/>
    <w:rsid w:val="57DA1A42"/>
    <w:rsid w:val="58002D08"/>
    <w:rsid w:val="58057728"/>
    <w:rsid w:val="580E3354"/>
    <w:rsid w:val="581D1F94"/>
    <w:rsid w:val="582872BA"/>
    <w:rsid w:val="5829318A"/>
    <w:rsid w:val="582D7EE9"/>
    <w:rsid w:val="583343BB"/>
    <w:rsid w:val="583439B3"/>
    <w:rsid w:val="583B5787"/>
    <w:rsid w:val="584C035A"/>
    <w:rsid w:val="58537EAB"/>
    <w:rsid w:val="586759C7"/>
    <w:rsid w:val="58807673"/>
    <w:rsid w:val="58831235"/>
    <w:rsid w:val="58C07CA9"/>
    <w:rsid w:val="58DE5A38"/>
    <w:rsid w:val="58E3026B"/>
    <w:rsid w:val="58FA7B16"/>
    <w:rsid w:val="58FB18C9"/>
    <w:rsid w:val="58FB22A6"/>
    <w:rsid w:val="59003437"/>
    <w:rsid w:val="59137907"/>
    <w:rsid w:val="5915125F"/>
    <w:rsid w:val="59182EE7"/>
    <w:rsid w:val="5921212C"/>
    <w:rsid w:val="5924417B"/>
    <w:rsid w:val="59251478"/>
    <w:rsid w:val="5929618A"/>
    <w:rsid w:val="59395687"/>
    <w:rsid w:val="594E46B3"/>
    <w:rsid w:val="596025AD"/>
    <w:rsid w:val="596B111F"/>
    <w:rsid w:val="596F472F"/>
    <w:rsid w:val="5974345D"/>
    <w:rsid w:val="597534AA"/>
    <w:rsid w:val="59786EEE"/>
    <w:rsid w:val="59895EAF"/>
    <w:rsid w:val="598F5A80"/>
    <w:rsid w:val="59926240"/>
    <w:rsid w:val="59951C91"/>
    <w:rsid w:val="59955FBB"/>
    <w:rsid w:val="59972A7E"/>
    <w:rsid w:val="59982867"/>
    <w:rsid w:val="59A11ED6"/>
    <w:rsid w:val="59A900C7"/>
    <w:rsid w:val="59AB0DFC"/>
    <w:rsid w:val="59AD4E28"/>
    <w:rsid w:val="59AD63D5"/>
    <w:rsid w:val="59C1557F"/>
    <w:rsid w:val="59C8615E"/>
    <w:rsid w:val="59CF0C59"/>
    <w:rsid w:val="59D14FBA"/>
    <w:rsid w:val="59E313BD"/>
    <w:rsid w:val="59E771C2"/>
    <w:rsid w:val="59E84659"/>
    <w:rsid w:val="59EA6992"/>
    <w:rsid w:val="59FF2575"/>
    <w:rsid w:val="5A0203FA"/>
    <w:rsid w:val="5A050140"/>
    <w:rsid w:val="5A090E20"/>
    <w:rsid w:val="5A2C5439"/>
    <w:rsid w:val="5A2E15DD"/>
    <w:rsid w:val="5A344FB0"/>
    <w:rsid w:val="5A360707"/>
    <w:rsid w:val="5A385FDF"/>
    <w:rsid w:val="5A403EEE"/>
    <w:rsid w:val="5A482568"/>
    <w:rsid w:val="5A4F628C"/>
    <w:rsid w:val="5A5755C9"/>
    <w:rsid w:val="5A584D94"/>
    <w:rsid w:val="5A5A13C0"/>
    <w:rsid w:val="5A6D1CFC"/>
    <w:rsid w:val="5A772EA3"/>
    <w:rsid w:val="5A7D29E6"/>
    <w:rsid w:val="5A821401"/>
    <w:rsid w:val="5A8A2B4B"/>
    <w:rsid w:val="5A9F5080"/>
    <w:rsid w:val="5AA24261"/>
    <w:rsid w:val="5AA87F99"/>
    <w:rsid w:val="5AAB6618"/>
    <w:rsid w:val="5ABF1A5E"/>
    <w:rsid w:val="5AC52E1B"/>
    <w:rsid w:val="5ADD6059"/>
    <w:rsid w:val="5AE8436A"/>
    <w:rsid w:val="5AE91049"/>
    <w:rsid w:val="5AEF582B"/>
    <w:rsid w:val="5AF077A1"/>
    <w:rsid w:val="5B0373F5"/>
    <w:rsid w:val="5B062AA7"/>
    <w:rsid w:val="5B0A2E09"/>
    <w:rsid w:val="5B0B5334"/>
    <w:rsid w:val="5B1B7ACD"/>
    <w:rsid w:val="5B247C71"/>
    <w:rsid w:val="5B2A406A"/>
    <w:rsid w:val="5B2B06FA"/>
    <w:rsid w:val="5B2F5EF1"/>
    <w:rsid w:val="5B3341A1"/>
    <w:rsid w:val="5B392BD6"/>
    <w:rsid w:val="5B5345B4"/>
    <w:rsid w:val="5B561D67"/>
    <w:rsid w:val="5B582C72"/>
    <w:rsid w:val="5B587984"/>
    <w:rsid w:val="5B5D01B3"/>
    <w:rsid w:val="5B774FD6"/>
    <w:rsid w:val="5B7C71A8"/>
    <w:rsid w:val="5B814790"/>
    <w:rsid w:val="5B82237F"/>
    <w:rsid w:val="5B824855"/>
    <w:rsid w:val="5B856A19"/>
    <w:rsid w:val="5B88245B"/>
    <w:rsid w:val="5B8A0D7A"/>
    <w:rsid w:val="5B8B0F7C"/>
    <w:rsid w:val="5B8D12C9"/>
    <w:rsid w:val="5B9B13DC"/>
    <w:rsid w:val="5B9E05AD"/>
    <w:rsid w:val="5BBB1AC4"/>
    <w:rsid w:val="5BC16FBC"/>
    <w:rsid w:val="5BE11C63"/>
    <w:rsid w:val="5BE34C7A"/>
    <w:rsid w:val="5BEC4069"/>
    <w:rsid w:val="5BF24E07"/>
    <w:rsid w:val="5BFB55EA"/>
    <w:rsid w:val="5C15792E"/>
    <w:rsid w:val="5C1A5869"/>
    <w:rsid w:val="5C2404DB"/>
    <w:rsid w:val="5C290BF2"/>
    <w:rsid w:val="5C2D6A68"/>
    <w:rsid w:val="5C3B3014"/>
    <w:rsid w:val="5C4E1E1E"/>
    <w:rsid w:val="5C4F343B"/>
    <w:rsid w:val="5C6A79EB"/>
    <w:rsid w:val="5C713164"/>
    <w:rsid w:val="5C912690"/>
    <w:rsid w:val="5C970365"/>
    <w:rsid w:val="5C9D7C57"/>
    <w:rsid w:val="5C9F632F"/>
    <w:rsid w:val="5CA72002"/>
    <w:rsid w:val="5CCB04A2"/>
    <w:rsid w:val="5CCD7E04"/>
    <w:rsid w:val="5CD51F6A"/>
    <w:rsid w:val="5CD6026B"/>
    <w:rsid w:val="5CE319F6"/>
    <w:rsid w:val="5CE42846"/>
    <w:rsid w:val="5CE9406B"/>
    <w:rsid w:val="5CEC06FB"/>
    <w:rsid w:val="5D0656E1"/>
    <w:rsid w:val="5D0A507B"/>
    <w:rsid w:val="5D13459C"/>
    <w:rsid w:val="5D245D5A"/>
    <w:rsid w:val="5D566DF5"/>
    <w:rsid w:val="5D5736EC"/>
    <w:rsid w:val="5D592213"/>
    <w:rsid w:val="5D7067ED"/>
    <w:rsid w:val="5D77660D"/>
    <w:rsid w:val="5D7A7C97"/>
    <w:rsid w:val="5D8A240A"/>
    <w:rsid w:val="5D8A4019"/>
    <w:rsid w:val="5D9907FA"/>
    <w:rsid w:val="5D9A7797"/>
    <w:rsid w:val="5DCC5DF5"/>
    <w:rsid w:val="5DCD4FAD"/>
    <w:rsid w:val="5DD36BB0"/>
    <w:rsid w:val="5DD45E20"/>
    <w:rsid w:val="5DD77F01"/>
    <w:rsid w:val="5DF176BA"/>
    <w:rsid w:val="5DF376B4"/>
    <w:rsid w:val="5DF974C4"/>
    <w:rsid w:val="5DF978A7"/>
    <w:rsid w:val="5E150E16"/>
    <w:rsid w:val="5E156702"/>
    <w:rsid w:val="5E2C3CE8"/>
    <w:rsid w:val="5E3025DB"/>
    <w:rsid w:val="5E480DBB"/>
    <w:rsid w:val="5E532C32"/>
    <w:rsid w:val="5E5924C6"/>
    <w:rsid w:val="5E6B78B9"/>
    <w:rsid w:val="5E72530D"/>
    <w:rsid w:val="5E7B3471"/>
    <w:rsid w:val="5E811840"/>
    <w:rsid w:val="5E824AD5"/>
    <w:rsid w:val="5E890BB4"/>
    <w:rsid w:val="5EA374B3"/>
    <w:rsid w:val="5EA83FEB"/>
    <w:rsid w:val="5EAC620C"/>
    <w:rsid w:val="5EAE4F68"/>
    <w:rsid w:val="5EB01131"/>
    <w:rsid w:val="5EB56E43"/>
    <w:rsid w:val="5ED75734"/>
    <w:rsid w:val="5EDB6E5E"/>
    <w:rsid w:val="5EDF243A"/>
    <w:rsid w:val="5EE27FC7"/>
    <w:rsid w:val="5EF8002D"/>
    <w:rsid w:val="5F050603"/>
    <w:rsid w:val="5F0F5BF5"/>
    <w:rsid w:val="5F1070E5"/>
    <w:rsid w:val="5F137093"/>
    <w:rsid w:val="5F392734"/>
    <w:rsid w:val="5F3C1128"/>
    <w:rsid w:val="5F475DFB"/>
    <w:rsid w:val="5F4A6912"/>
    <w:rsid w:val="5F7E1689"/>
    <w:rsid w:val="5FA342D5"/>
    <w:rsid w:val="5FA40581"/>
    <w:rsid w:val="5FB011CE"/>
    <w:rsid w:val="5FBF418B"/>
    <w:rsid w:val="5FC03F1C"/>
    <w:rsid w:val="5FC128D4"/>
    <w:rsid w:val="5FC577B3"/>
    <w:rsid w:val="5FF52A47"/>
    <w:rsid w:val="5FFB751D"/>
    <w:rsid w:val="5FFC1DCE"/>
    <w:rsid w:val="5FFE462F"/>
    <w:rsid w:val="600B6138"/>
    <w:rsid w:val="60103D5B"/>
    <w:rsid w:val="602423C7"/>
    <w:rsid w:val="603F2394"/>
    <w:rsid w:val="604407B5"/>
    <w:rsid w:val="60487E62"/>
    <w:rsid w:val="605A5C34"/>
    <w:rsid w:val="60630B92"/>
    <w:rsid w:val="606E4C0D"/>
    <w:rsid w:val="60752728"/>
    <w:rsid w:val="60766F89"/>
    <w:rsid w:val="60935B47"/>
    <w:rsid w:val="60B70A9B"/>
    <w:rsid w:val="60C76F62"/>
    <w:rsid w:val="60CC1F04"/>
    <w:rsid w:val="60CE1254"/>
    <w:rsid w:val="60D321CB"/>
    <w:rsid w:val="60D467A9"/>
    <w:rsid w:val="60E15A12"/>
    <w:rsid w:val="60EA12BA"/>
    <w:rsid w:val="60EB3CE8"/>
    <w:rsid w:val="60F423A5"/>
    <w:rsid w:val="61034470"/>
    <w:rsid w:val="61041400"/>
    <w:rsid w:val="6108421E"/>
    <w:rsid w:val="610C08D6"/>
    <w:rsid w:val="610C6EEB"/>
    <w:rsid w:val="611504BF"/>
    <w:rsid w:val="61233B56"/>
    <w:rsid w:val="6129287D"/>
    <w:rsid w:val="61324972"/>
    <w:rsid w:val="6132559A"/>
    <w:rsid w:val="61535DEE"/>
    <w:rsid w:val="615B52AD"/>
    <w:rsid w:val="6166167A"/>
    <w:rsid w:val="6170163D"/>
    <w:rsid w:val="617020C2"/>
    <w:rsid w:val="617427B2"/>
    <w:rsid w:val="61755B39"/>
    <w:rsid w:val="617A0C46"/>
    <w:rsid w:val="618B1EF3"/>
    <w:rsid w:val="619712C2"/>
    <w:rsid w:val="61A33787"/>
    <w:rsid w:val="61A66AB4"/>
    <w:rsid w:val="61BC38FA"/>
    <w:rsid w:val="61BE0E4F"/>
    <w:rsid w:val="61C85E7F"/>
    <w:rsid w:val="61C866AE"/>
    <w:rsid w:val="61CD78CF"/>
    <w:rsid w:val="61DA14FE"/>
    <w:rsid w:val="61E53D34"/>
    <w:rsid w:val="61E73697"/>
    <w:rsid w:val="61EE3162"/>
    <w:rsid w:val="61F62056"/>
    <w:rsid w:val="620208E6"/>
    <w:rsid w:val="620C02F5"/>
    <w:rsid w:val="620E46C5"/>
    <w:rsid w:val="620F37AC"/>
    <w:rsid w:val="62126170"/>
    <w:rsid w:val="621536B2"/>
    <w:rsid w:val="621A3A20"/>
    <w:rsid w:val="621C707C"/>
    <w:rsid w:val="621E0130"/>
    <w:rsid w:val="62271A32"/>
    <w:rsid w:val="6245212D"/>
    <w:rsid w:val="624960A8"/>
    <w:rsid w:val="624B2E9D"/>
    <w:rsid w:val="62504ABA"/>
    <w:rsid w:val="62510C1A"/>
    <w:rsid w:val="62607DE0"/>
    <w:rsid w:val="627110E9"/>
    <w:rsid w:val="62757089"/>
    <w:rsid w:val="62A611EB"/>
    <w:rsid w:val="62AE05DB"/>
    <w:rsid w:val="62B60A29"/>
    <w:rsid w:val="62BA5EE7"/>
    <w:rsid w:val="62D35F13"/>
    <w:rsid w:val="62D534F0"/>
    <w:rsid w:val="62DA4EE0"/>
    <w:rsid w:val="62DB47B4"/>
    <w:rsid w:val="62F04E93"/>
    <w:rsid w:val="62F14EED"/>
    <w:rsid w:val="62F70FC3"/>
    <w:rsid w:val="62FF3767"/>
    <w:rsid w:val="63074094"/>
    <w:rsid w:val="630A3C51"/>
    <w:rsid w:val="631C4B60"/>
    <w:rsid w:val="63201893"/>
    <w:rsid w:val="63256E52"/>
    <w:rsid w:val="63370CF1"/>
    <w:rsid w:val="6337684E"/>
    <w:rsid w:val="633D0287"/>
    <w:rsid w:val="63403C73"/>
    <w:rsid w:val="6351410B"/>
    <w:rsid w:val="635D4427"/>
    <w:rsid w:val="635F082F"/>
    <w:rsid w:val="636C067B"/>
    <w:rsid w:val="63710CD7"/>
    <w:rsid w:val="637A5D7B"/>
    <w:rsid w:val="63894099"/>
    <w:rsid w:val="639A0C81"/>
    <w:rsid w:val="63A00543"/>
    <w:rsid w:val="63A87ABF"/>
    <w:rsid w:val="63AB4186"/>
    <w:rsid w:val="63B76FCF"/>
    <w:rsid w:val="63BE2991"/>
    <w:rsid w:val="63CF14C6"/>
    <w:rsid w:val="63D672A4"/>
    <w:rsid w:val="63E900E8"/>
    <w:rsid w:val="63F105D2"/>
    <w:rsid w:val="64003000"/>
    <w:rsid w:val="64020FD8"/>
    <w:rsid w:val="640B49C1"/>
    <w:rsid w:val="64156CD8"/>
    <w:rsid w:val="642B2C6F"/>
    <w:rsid w:val="64413D22"/>
    <w:rsid w:val="64470699"/>
    <w:rsid w:val="644B6CD5"/>
    <w:rsid w:val="64595E58"/>
    <w:rsid w:val="646253D3"/>
    <w:rsid w:val="64627D01"/>
    <w:rsid w:val="6473435B"/>
    <w:rsid w:val="64864D44"/>
    <w:rsid w:val="64957947"/>
    <w:rsid w:val="64A01013"/>
    <w:rsid w:val="64B4562A"/>
    <w:rsid w:val="64C76164"/>
    <w:rsid w:val="64D3186F"/>
    <w:rsid w:val="64DB2F2E"/>
    <w:rsid w:val="64ED4EE9"/>
    <w:rsid w:val="64EF2266"/>
    <w:rsid w:val="64F33559"/>
    <w:rsid w:val="64F8262A"/>
    <w:rsid w:val="64FD2EEA"/>
    <w:rsid w:val="64FF1ABC"/>
    <w:rsid w:val="65013C69"/>
    <w:rsid w:val="650E3520"/>
    <w:rsid w:val="654069DE"/>
    <w:rsid w:val="65413B3E"/>
    <w:rsid w:val="65493C57"/>
    <w:rsid w:val="6549716F"/>
    <w:rsid w:val="654B279B"/>
    <w:rsid w:val="654B3E81"/>
    <w:rsid w:val="655555A6"/>
    <w:rsid w:val="655B3515"/>
    <w:rsid w:val="655F14F0"/>
    <w:rsid w:val="65660277"/>
    <w:rsid w:val="656E6D13"/>
    <w:rsid w:val="658B60DF"/>
    <w:rsid w:val="658C0386"/>
    <w:rsid w:val="65982085"/>
    <w:rsid w:val="65990AED"/>
    <w:rsid w:val="65A251B2"/>
    <w:rsid w:val="65A461AC"/>
    <w:rsid w:val="65A63707"/>
    <w:rsid w:val="65A80F59"/>
    <w:rsid w:val="65AA319F"/>
    <w:rsid w:val="65AB2B63"/>
    <w:rsid w:val="65AC5539"/>
    <w:rsid w:val="65BB595A"/>
    <w:rsid w:val="65EE47FE"/>
    <w:rsid w:val="65F22562"/>
    <w:rsid w:val="65F65692"/>
    <w:rsid w:val="660500CB"/>
    <w:rsid w:val="660C7338"/>
    <w:rsid w:val="662446C4"/>
    <w:rsid w:val="662F4A29"/>
    <w:rsid w:val="6630415A"/>
    <w:rsid w:val="66395324"/>
    <w:rsid w:val="663A756F"/>
    <w:rsid w:val="66407FD5"/>
    <w:rsid w:val="665346CA"/>
    <w:rsid w:val="6661498D"/>
    <w:rsid w:val="66694077"/>
    <w:rsid w:val="666B3926"/>
    <w:rsid w:val="6680442D"/>
    <w:rsid w:val="668C5B9C"/>
    <w:rsid w:val="669902B9"/>
    <w:rsid w:val="66A421AD"/>
    <w:rsid w:val="66C5123E"/>
    <w:rsid w:val="66C72240"/>
    <w:rsid w:val="66C77BCC"/>
    <w:rsid w:val="66CC2018"/>
    <w:rsid w:val="66CF58C8"/>
    <w:rsid w:val="66D00FF0"/>
    <w:rsid w:val="66E211F5"/>
    <w:rsid w:val="66E50A5C"/>
    <w:rsid w:val="66E5305A"/>
    <w:rsid w:val="66FA0A76"/>
    <w:rsid w:val="670314C2"/>
    <w:rsid w:val="670A28DD"/>
    <w:rsid w:val="671D03AF"/>
    <w:rsid w:val="671E7365"/>
    <w:rsid w:val="671F2137"/>
    <w:rsid w:val="67226F4A"/>
    <w:rsid w:val="67256725"/>
    <w:rsid w:val="672C3BD3"/>
    <w:rsid w:val="67441F0C"/>
    <w:rsid w:val="674465E9"/>
    <w:rsid w:val="67594618"/>
    <w:rsid w:val="675B3954"/>
    <w:rsid w:val="676B6466"/>
    <w:rsid w:val="67732A25"/>
    <w:rsid w:val="678F6C7D"/>
    <w:rsid w:val="67954429"/>
    <w:rsid w:val="67954A19"/>
    <w:rsid w:val="679A2E90"/>
    <w:rsid w:val="67C47F84"/>
    <w:rsid w:val="67CB2825"/>
    <w:rsid w:val="67D85572"/>
    <w:rsid w:val="67DD10E7"/>
    <w:rsid w:val="67E45EB9"/>
    <w:rsid w:val="67E51A4F"/>
    <w:rsid w:val="67E81C89"/>
    <w:rsid w:val="67F16AAB"/>
    <w:rsid w:val="67F77148"/>
    <w:rsid w:val="67FC2A34"/>
    <w:rsid w:val="68022928"/>
    <w:rsid w:val="68067DA5"/>
    <w:rsid w:val="680721A4"/>
    <w:rsid w:val="68163291"/>
    <w:rsid w:val="68244FDF"/>
    <w:rsid w:val="682634A6"/>
    <w:rsid w:val="68335612"/>
    <w:rsid w:val="683D75EE"/>
    <w:rsid w:val="683F6341"/>
    <w:rsid w:val="68413BF7"/>
    <w:rsid w:val="684A3899"/>
    <w:rsid w:val="68502A50"/>
    <w:rsid w:val="68516552"/>
    <w:rsid w:val="685D249D"/>
    <w:rsid w:val="68600066"/>
    <w:rsid w:val="6861776A"/>
    <w:rsid w:val="687222C2"/>
    <w:rsid w:val="68743F74"/>
    <w:rsid w:val="6879445C"/>
    <w:rsid w:val="687A2993"/>
    <w:rsid w:val="687A5897"/>
    <w:rsid w:val="687D194E"/>
    <w:rsid w:val="68857A01"/>
    <w:rsid w:val="68945561"/>
    <w:rsid w:val="689D6C87"/>
    <w:rsid w:val="68A05E34"/>
    <w:rsid w:val="68A4599C"/>
    <w:rsid w:val="68AD0074"/>
    <w:rsid w:val="68D4182F"/>
    <w:rsid w:val="68DA458B"/>
    <w:rsid w:val="68E565D8"/>
    <w:rsid w:val="68ED4DA7"/>
    <w:rsid w:val="68F35776"/>
    <w:rsid w:val="68FC5EBD"/>
    <w:rsid w:val="69071622"/>
    <w:rsid w:val="69122538"/>
    <w:rsid w:val="69194FE8"/>
    <w:rsid w:val="691F4315"/>
    <w:rsid w:val="69204EF2"/>
    <w:rsid w:val="692B36EF"/>
    <w:rsid w:val="69354DFF"/>
    <w:rsid w:val="6945110D"/>
    <w:rsid w:val="694F1CED"/>
    <w:rsid w:val="69544350"/>
    <w:rsid w:val="695E30AB"/>
    <w:rsid w:val="696607EC"/>
    <w:rsid w:val="69703FA0"/>
    <w:rsid w:val="6972169B"/>
    <w:rsid w:val="69765EB6"/>
    <w:rsid w:val="69997B9C"/>
    <w:rsid w:val="69A022B3"/>
    <w:rsid w:val="69A26986"/>
    <w:rsid w:val="69A84304"/>
    <w:rsid w:val="69A9016D"/>
    <w:rsid w:val="69B52A42"/>
    <w:rsid w:val="69B67148"/>
    <w:rsid w:val="69BE4DB3"/>
    <w:rsid w:val="69CF0E91"/>
    <w:rsid w:val="69CF0ED8"/>
    <w:rsid w:val="69D52B56"/>
    <w:rsid w:val="69D54DDD"/>
    <w:rsid w:val="69E028D2"/>
    <w:rsid w:val="69E874BD"/>
    <w:rsid w:val="69F54308"/>
    <w:rsid w:val="69FC203D"/>
    <w:rsid w:val="6A0A7A54"/>
    <w:rsid w:val="6A2622A1"/>
    <w:rsid w:val="6A297A0B"/>
    <w:rsid w:val="6A35577F"/>
    <w:rsid w:val="6A386CFE"/>
    <w:rsid w:val="6A3A22EA"/>
    <w:rsid w:val="6A3D0BCC"/>
    <w:rsid w:val="6A3F2D1D"/>
    <w:rsid w:val="6A4B3445"/>
    <w:rsid w:val="6A4E6A40"/>
    <w:rsid w:val="6A59043C"/>
    <w:rsid w:val="6A592054"/>
    <w:rsid w:val="6A777087"/>
    <w:rsid w:val="6A820574"/>
    <w:rsid w:val="6A8D0A8A"/>
    <w:rsid w:val="6A984DA4"/>
    <w:rsid w:val="6A99048F"/>
    <w:rsid w:val="6AA077DB"/>
    <w:rsid w:val="6AA47C92"/>
    <w:rsid w:val="6AB055EB"/>
    <w:rsid w:val="6AB355DC"/>
    <w:rsid w:val="6AB909BB"/>
    <w:rsid w:val="6ABA0C51"/>
    <w:rsid w:val="6ABD020C"/>
    <w:rsid w:val="6ABD399F"/>
    <w:rsid w:val="6AC10F1E"/>
    <w:rsid w:val="6ADD6D64"/>
    <w:rsid w:val="6B0F06C2"/>
    <w:rsid w:val="6B1D3305"/>
    <w:rsid w:val="6B26610D"/>
    <w:rsid w:val="6B2B6878"/>
    <w:rsid w:val="6B606FD7"/>
    <w:rsid w:val="6B633F4F"/>
    <w:rsid w:val="6B70680D"/>
    <w:rsid w:val="6B70712E"/>
    <w:rsid w:val="6B816F14"/>
    <w:rsid w:val="6B8A298B"/>
    <w:rsid w:val="6B8A779B"/>
    <w:rsid w:val="6B990279"/>
    <w:rsid w:val="6BA31E1F"/>
    <w:rsid w:val="6BAD6C20"/>
    <w:rsid w:val="6BB456BB"/>
    <w:rsid w:val="6BB62A44"/>
    <w:rsid w:val="6BC45BE1"/>
    <w:rsid w:val="6BD81D0A"/>
    <w:rsid w:val="6BDE252B"/>
    <w:rsid w:val="6BE052CE"/>
    <w:rsid w:val="6BF2692A"/>
    <w:rsid w:val="6BF358A4"/>
    <w:rsid w:val="6C02705E"/>
    <w:rsid w:val="6C051F4E"/>
    <w:rsid w:val="6C096C12"/>
    <w:rsid w:val="6C1A5960"/>
    <w:rsid w:val="6C417EB8"/>
    <w:rsid w:val="6C613F45"/>
    <w:rsid w:val="6C712EB8"/>
    <w:rsid w:val="6C756221"/>
    <w:rsid w:val="6C7B08BB"/>
    <w:rsid w:val="6C816AF9"/>
    <w:rsid w:val="6C846694"/>
    <w:rsid w:val="6CA841D2"/>
    <w:rsid w:val="6CB10385"/>
    <w:rsid w:val="6CC3531E"/>
    <w:rsid w:val="6CC40159"/>
    <w:rsid w:val="6CDF0F3A"/>
    <w:rsid w:val="6CE47854"/>
    <w:rsid w:val="6CF673CB"/>
    <w:rsid w:val="6CF83CA6"/>
    <w:rsid w:val="6D0D25B8"/>
    <w:rsid w:val="6D366240"/>
    <w:rsid w:val="6D490A6B"/>
    <w:rsid w:val="6D582A6D"/>
    <w:rsid w:val="6D604FD1"/>
    <w:rsid w:val="6D635FBA"/>
    <w:rsid w:val="6D6534EB"/>
    <w:rsid w:val="6D663C84"/>
    <w:rsid w:val="6D6C0EA8"/>
    <w:rsid w:val="6D732F9C"/>
    <w:rsid w:val="6D7512CD"/>
    <w:rsid w:val="6D7B7AFE"/>
    <w:rsid w:val="6D9239A2"/>
    <w:rsid w:val="6DB664EE"/>
    <w:rsid w:val="6DBC6250"/>
    <w:rsid w:val="6DC5018E"/>
    <w:rsid w:val="6DC64BAC"/>
    <w:rsid w:val="6DC71506"/>
    <w:rsid w:val="6DC91CB6"/>
    <w:rsid w:val="6DD71D42"/>
    <w:rsid w:val="6DD7226D"/>
    <w:rsid w:val="6DE81664"/>
    <w:rsid w:val="6E037AD7"/>
    <w:rsid w:val="6E0472B5"/>
    <w:rsid w:val="6E056523"/>
    <w:rsid w:val="6E074EC9"/>
    <w:rsid w:val="6E136005"/>
    <w:rsid w:val="6E160E52"/>
    <w:rsid w:val="6E2214E9"/>
    <w:rsid w:val="6E2E569B"/>
    <w:rsid w:val="6E313038"/>
    <w:rsid w:val="6E356E69"/>
    <w:rsid w:val="6E4064F1"/>
    <w:rsid w:val="6E4E39FC"/>
    <w:rsid w:val="6E501186"/>
    <w:rsid w:val="6E535FCC"/>
    <w:rsid w:val="6E5545BD"/>
    <w:rsid w:val="6E5D1964"/>
    <w:rsid w:val="6E614B19"/>
    <w:rsid w:val="6E616F13"/>
    <w:rsid w:val="6E7369B5"/>
    <w:rsid w:val="6E7A27C1"/>
    <w:rsid w:val="6E7B2247"/>
    <w:rsid w:val="6E7B5CAB"/>
    <w:rsid w:val="6E7C6314"/>
    <w:rsid w:val="6E9F1DA0"/>
    <w:rsid w:val="6EA12EA6"/>
    <w:rsid w:val="6EAA56FE"/>
    <w:rsid w:val="6EAE5AB0"/>
    <w:rsid w:val="6EB37B5B"/>
    <w:rsid w:val="6EBE6FBB"/>
    <w:rsid w:val="6ED57108"/>
    <w:rsid w:val="6ED70BA2"/>
    <w:rsid w:val="6EDB7671"/>
    <w:rsid w:val="6EED3B2F"/>
    <w:rsid w:val="6EF27DA1"/>
    <w:rsid w:val="6EF77260"/>
    <w:rsid w:val="6F0B4673"/>
    <w:rsid w:val="6F0F1F29"/>
    <w:rsid w:val="6F2302E3"/>
    <w:rsid w:val="6F314C13"/>
    <w:rsid w:val="6F327E52"/>
    <w:rsid w:val="6F382FA6"/>
    <w:rsid w:val="6F391F60"/>
    <w:rsid w:val="6F694006"/>
    <w:rsid w:val="6F6C5490"/>
    <w:rsid w:val="6F761900"/>
    <w:rsid w:val="6F9D71CE"/>
    <w:rsid w:val="6FA71AD5"/>
    <w:rsid w:val="6FAF2607"/>
    <w:rsid w:val="6FD47D24"/>
    <w:rsid w:val="6FE17D06"/>
    <w:rsid w:val="6FF536DD"/>
    <w:rsid w:val="6FFD71B3"/>
    <w:rsid w:val="700D2412"/>
    <w:rsid w:val="70112883"/>
    <w:rsid w:val="7024064D"/>
    <w:rsid w:val="70243856"/>
    <w:rsid w:val="703F2471"/>
    <w:rsid w:val="704B4131"/>
    <w:rsid w:val="704C6CF1"/>
    <w:rsid w:val="70531ED5"/>
    <w:rsid w:val="70563404"/>
    <w:rsid w:val="705A528C"/>
    <w:rsid w:val="70671D7D"/>
    <w:rsid w:val="7068062C"/>
    <w:rsid w:val="707F47B3"/>
    <w:rsid w:val="709136F4"/>
    <w:rsid w:val="70936749"/>
    <w:rsid w:val="70954F53"/>
    <w:rsid w:val="70A94A40"/>
    <w:rsid w:val="70AA43D7"/>
    <w:rsid w:val="70D443AB"/>
    <w:rsid w:val="70D80F32"/>
    <w:rsid w:val="70D97C76"/>
    <w:rsid w:val="70E628C7"/>
    <w:rsid w:val="70E9176F"/>
    <w:rsid w:val="70F76E40"/>
    <w:rsid w:val="70FB236C"/>
    <w:rsid w:val="711337D0"/>
    <w:rsid w:val="711D3B8D"/>
    <w:rsid w:val="712D18DD"/>
    <w:rsid w:val="712F3D1A"/>
    <w:rsid w:val="713173E8"/>
    <w:rsid w:val="713C0D20"/>
    <w:rsid w:val="71420658"/>
    <w:rsid w:val="71431EA2"/>
    <w:rsid w:val="7143472C"/>
    <w:rsid w:val="71440341"/>
    <w:rsid w:val="71531561"/>
    <w:rsid w:val="71597148"/>
    <w:rsid w:val="71611855"/>
    <w:rsid w:val="716D089C"/>
    <w:rsid w:val="71715206"/>
    <w:rsid w:val="71743A1D"/>
    <w:rsid w:val="71774D56"/>
    <w:rsid w:val="71901CEF"/>
    <w:rsid w:val="719232E0"/>
    <w:rsid w:val="719438F4"/>
    <w:rsid w:val="719D7F3F"/>
    <w:rsid w:val="71B55DFD"/>
    <w:rsid w:val="71B834E8"/>
    <w:rsid w:val="71D0750E"/>
    <w:rsid w:val="71D803D1"/>
    <w:rsid w:val="71E501C6"/>
    <w:rsid w:val="71ED1412"/>
    <w:rsid w:val="71ED6EE8"/>
    <w:rsid w:val="71F40A44"/>
    <w:rsid w:val="7202163F"/>
    <w:rsid w:val="72182841"/>
    <w:rsid w:val="72314E4F"/>
    <w:rsid w:val="723913D5"/>
    <w:rsid w:val="723B04C8"/>
    <w:rsid w:val="724E6817"/>
    <w:rsid w:val="725E59BA"/>
    <w:rsid w:val="72600D68"/>
    <w:rsid w:val="72604620"/>
    <w:rsid w:val="726372E3"/>
    <w:rsid w:val="726B02C1"/>
    <w:rsid w:val="726D2C67"/>
    <w:rsid w:val="726F41A7"/>
    <w:rsid w:val="729A0F74"/>
    <w:rsid w:val="729C5C0A"/>
    <w:rsid w:val="72ED7C52"/>
    <w:rsid w:val="72EE22E1"/>
    <w:rsid w:val="72F03574"/>
    <w:rsid w:val="72F77CB6"/>
    <w:rsid w:val="731438BD"/>
    <w:rsid w:val="73277E9E"/>
    <w:rsid w:val="733155C8"/>
    <w:rsid w:val="73353AC9"/>
    <w:rsid w:val="733C450D"/>
    <w:rsid w:val="73422D3C"/>
    <w:rsid w:val="73457AAA"/>
    <w:rsid w:val="73544A34"/>
    <w:rsid w:val="735F2141"/>
    <w:rsid w:val="73625723"/>
    <w:rsid w:val="736B7A45"/>
    <w:rsid w:val="737007D9"/>
    <w:rsid w:val="73842E36"/>
    <w:rsid w:val="738B5B50"/>
    <w:rsid w:val="7393363C"/>
    <w:rsid w:val="73945507"/>
    <w:rsid w:val="73A22440"/>
    <w:rsid w:val="73A72A1E"/>
    <w:rsid w:val="73AA53A0"/>
    <w:rsid w:val="73B04F6B"/>
    <w:rsid w:val="73CD1EF7"/>
    <w:rsid w:val="73D20D1A"/>
    <w:rsid w:val="73DC1A34"/>
    <w:rsid w:val="73E168D2"/>
    <w:rsid w:val="73E873C4"/>
    <w:rsid w:val="73F07AA4"/>
    <w:rsid w:val="73FD3BAB"/>
    <w:rsid w:val="73FE36F6"/>
    <w:rsid w:val="74010DBC"/>
    <w:rsid w:val="74054701"/>
    <w:rsid w:val="740D2C3F"/>
    <w:rsid w:val="74130252"/>
    <w:rsid w:val="74135925"/>
    <w:rsid w:val="74272CB2"/>
    <w:rsid w:val="742827DB"/>
    <w:rsid w:val="742D6CA9"/>
    <w:rsid w:val="742E58A2"/>
    <w:rsid w:val="74525628"/>
    <w:rsid w:val="745F06BF"/>
    <w:rsid w:val="7461576A"/>
    <w:rsid w:val="746C713B"/>
    <w:rsid w:val="746E5488"/>
    <w:rsid w:val="746F7452"/>
    <w:rsid w:val="748D2368"/>
    <w:rsid w:val="749217E0"/>
    <w:rsid w:val="749D5D6D"/>
    <w:rsid w:val="74B22D8C"/>
    <w:rsid w:val="74C26B38"/>
    <w:rsid w:val="74C55FC1"/>
    <w:rsid w:val="74CC7EC1"/>
    <w:rsid w:val="74D4767E"/>
    <w:rsid w:val="74DA7552"/>
    <w:rsid w:val="74E41FDD"/>
    <w:rsid w:val="74EF6361"/>
    <w:rsid w:val="74F347DF"/>
    <w:rsid w:val="74FA7FE6"/>
    <w:rsid w:val="74FD4A9B"/>
    <w:rsid w:val="750C0706"/>
    <w:rsid w:val="751D43A6"/>
    <w:rsid w:val="75453AE1"/>
    <w:rsid w:val="75573AC9"/>
    <w:rsid w:val="75595449"/>
    <w:rsid w:val="756E75B7"/>
    <w:rsid w:val="757A18C9"/>
    <w:rsid w:val="758B283A"/>
    <w:rsid w:val="75BB0465"/>
    <w:rsid w:val="75BD313A"/>
    <w:rsid w:val="75BF6D3D"/>
    <w:rsid w:val="75C0032F"/>
    <w:rsid w:val="75D237F5"/>
    <w:rsid w:val="75DC1EF4"/>
    <w:rsid w:val="75DE663D"/>
    <w:rsid w:val="75E50837"/>
    <w:rsid w:val="75EF5520"/>
    <w:rsid w:val="75F06371"/>
    <w:rsid w:val="75F56ADD"/>
    <w:rsid w:val="75F63713"/>
    <w:rsid w:val="76096E0B"/>
    <w:rsid w:val="76143A54"/>
    <w:rsid w:val="761E3E17"/>
    <w:rsid w:val="7637074A"/>
    <w:rsid w:val="763B63B0"/>
    <w:rsid w:val="764772A3"/>
    <w:rsid w:val="767B7960"/>
    <w:rsid w:val="76876021"/>
    <w:rsid w:val="769624DF"/>
    <w:rsid w:val="769A6195"/>
    <w:rsid w:val="76A44430"/>
    <w:rsid w:val="76A528D3"/>
    <w:rsid w:val="76A71FBB"/>
    <w:rsid w:val="76AA5D81"/>
    <w:rsid w:val="76AB50DC"/>
    <w:rsid w:val="76BB3C83"/>
    <w:rsid w:val="76C80EC7"/>
    <w:rsid w:val="76DA442C"/>
    <w:rsid w:val="76DB505C"/>
    <w:rsid w:val="76F73D47"/>
    <w:rsid w:val="76FF03C0"/>
    <w:rsid w:val="77006E1F"/>
    <w:rsid w:val="77032A24"/>
    <w:rsid w:val="771670C1"/>
    <w:rsid w:val="772C16E9"/>
    <w:rsid w:val="7759675F"/>
    <w:rsid w:val="775E488B"/>
    <w:rsid w:val="7763329E"/>
    <w:rsid w:val="77683E14"/>
    <w:rsid w:val="77734EA5"/>
    <w:rsid w:val="77796CD6"/>
    <w:rsid w:val="77A06542"/>
    <w:rsid w:val="77A922C9"/>
    <w:rsid w:val="77AC049C"/>
    <w:rsid w:val="77AE1FC0"/>
    <w:rsid w:val="77B23714"/>
    <w:rsid w:val="77BB772D"/>
    <w:rsid w:val="77D106C1"/>
    <w:rsid w:val="77D43FD2"/>
    <w:rsid w:val="77D61475"/>
    <w:rsid w:val="77FA155A"/>
    <w:rsid w:val="781137AD"/>
    <w:rsid w:val="781D13FA"/>
    <w:rsid w:val="782347DB"/>
    <w:rsid w:val="782817E9"/>
    <w:rsid w:val="78555901"/>
    <w:rsid w:val="78555C26"/>
    <w:rsid w:val="78640057"/>
    <w:rsid w:val="78665087"/>
    <w:rsid w:val="787009D3"/>
    <w:rsid w:val="787C433B"/>
    <w:rsid w:val="78810787"/>
    <w:rsid w:val="7882150F"/>
    <w:rsid w:val="78826969"/>
    <w:rsid w:val="788C7703"/>
    <w:rsid w:val="788E3AAC"/>
    <w:rsid w:val="78A3591C"/>
    <w:rsid w:val="78B515B5"/>
    <w:rsid w:val="78B73E38"/>
    <w:rsid w:val="78C21620"/>
    <w:rsid w:val="78C25798"/>
    <w:rsid w:val="78CE2D76"/>
    <w:rsid w:val="78EE2375"/>
    <w:rsid w:val="78F72FDA"/>
    <w:rsid w:val="78FA244C"/>
    <w:rsid w:val="78FE1B78"/>
    <w:rsid w:val="79024116"/>
    <w:rsid w:val="790B5E4F"/>
    <w:rsid w:val="790D572F"/>
    <w:rsid w:val="79233654"/>
    <w:rsid w:val="79455569"/>
    <w:rsid w:val="79470AE2"/>
    <w:rsid w:val="795123A8"/>
    <w:rsid w:val="79535AC3"/>
    <w:rsid w:val="79620961"/>
    <w:rsid w:val="79987ED2"/>
    <w:rsid w:val="79AE1AE3"/>
    <w:rsid w:val="79AE77FB"/>
    <w:rsid w:val="79B06543"/>
    <w:rsid w:val="79B85AA8"/>
    <w:rsid w:val="79C342A8"/>
    <w:rsid w:val="79C34F9F"/>
    <w:rsid w:val="79C81B6A"/>
    <w:rsid w:val="79E83652"/>
    <w:rsid w:val="79ED57D4"/>
    <w:rsid w:val="79EF6059"/>
    <w:rsid w:val="7A074D7D"/>
    <w:rsid w:val="7A1053E1"/>
    <w:rsid w:val="7A17618B"/>
    <w:rsid w:val="7A1E05C7"/>
    <w:rsid w:val="7A3251AA"/>
    <w:rsid w:val="7A3F1ABF"/>
    <w:rsid w:val="7A413A99"/>
    <w:rsid w:val="7A4642A9"/>
    <w:rsid w:val="7A4B6B30"/>
    <w:rsid w:val="7A4F4262"/>
    <w:rsid w:val="7A5C5ABD"/>
    <w:rsid w:val="7A5D3D51"/>
    <w:rsid w:val="7A5F0CF7"/>
    <w:rsid w:val="7A675EA5"/>
    <w:rsid w:val="7A6B3865"/>
    <w:rsid w:val="7A7041ED"/>
    <w:rsid w:val="7A7452D9"/>
    <w:rsid w:val="7A832390"/>
    <w:rsid w:val="7A8406DF"/>
    <w:rsid w:val="7A861C94"/>
    <w:rsid w:val="7A8F701E"/>
    <w:rsid w:val="7A92679C"/>
    <w:rsid w:val="7A955810"/>
    <w:rsid w:val="7A975D00"/>
    <w:rsid w:val="7A985E92"/>
    <w:rsid w:val="7A9C2E47"/>
    <w:rsid w:val="7A9E009C"/>
    <w:rsid w:val="7AB51C6B"/>
    <w:rsid w:val="7ABB0CFB"/>
    <w:rsid w:val="7ABD6188"/>
    <w:rsid w:val="7AC019FF"/>
    <w:rsid w:val="7ACA6FB9"/>
    <w:rsid w:val="7AD149C3"/>
    <w:rsid w:val="7AE40842"/>
    <w:rsid w:val="7AEA176D"/>
    <w:rsid w:val="7AF46C5F"/>
    <w:rsid w:val="7AF91BCC"/>
    <w:rsid w:val="7B0C5BAE"/>
    <w:rsid w:val="7B1448AF"/>
    <w:rsid w:val="7B2374FE"/>
    <w:rsid w:val="7B2C55DF"/>
    <w:rsid w:val="7B2C7FF8"/>
    <w:rsid w:val="7B34342A"/>
    <w:rsid w:val="7B3873CB"/>
    <w:rsid w:val="7B496993"/>
    <w:rsid w:val="7B4A7E63"/>
    <w:rsid w:val="7B783675"/>
    <w:rsid w:val="7B796807"/>
    <w:rsid w:val="7B8C55F4"/>
    <w:rsid w:val="7BAC2D3A"/>
    <w:rsid w:val="7BAE3C97"/>
    <w:rsid w:val="7BB16076"/>
    <w:rsid w:val="7BB44475"/>
    <w:rsid w:val="7BB46DB9"/>
    <w:rsid w:val="7BBD4F47"/>
    <w:rsid w:val="7BC02341"/>
    <w:rsid w:val="7BD227A0"/>
    <w:rsid w:val="7BD74454"/>
    <w:rsid w:val="7BE55BC4"/>
    <w:rsid w:val="7BE96DEC"/>
    <w:rsid w:val="7C021A51"/>
    <w:rsid w:val="7C033C13"/>
    <w:rsid w:val="7C041A0F"/>
    <w:rsid w:val="7C110306"/>
    <w:rsid w:val="7C181EE8"/>
    <w:rsid w:val="7C212B8A"/>
    <w:rsid w:val="7C743857"/>
    <w:rsid w:val="7C7740DA"/>
    <w:rsid w:val="7C8464A1"/>
    <w:rsid w:val="7C9D2D7B"/>
    <w:rsid w:val="7CA26867"/>
    <w:rsid w:val="7CB43A8E"/>
    <w:rsid w:val="7CB86F15"/>
    <w:rsid w:val="7CC106AB"/>
    <w:rsid w:val="7CCA14ED"/>
    <w:rsid w:val="7CCC0FD8"/>
    <w:rsid w:val="7CDF4250"/>
    <w:rsid w:val="7D09113D"/>
    <w:rsid w:val="7D157A0E"/>
    <w:rsid w:val="7D161B0F"/>
    <w:rsid w:val="7D1658AD"/>
    <w:rsid w:val="7D1D4159"/>
    <w:rsid w:val="7D243099"/>
    <w:rsid w:val="7D380D29"/>
    <w:rsid w:val="7D4B3993"/>
    <w:rsid w:val="7D4D159F"/>
    <w:rsid w:val="7D5F5E30"/>
    <w:rsid w:val="7D6C208F"/>
    <w:rsid w:val="7D8000C6"/>
    <w:rsid w:val="7D897D56"/>
    <w:rsid w:val="7D9B14E5"/>
    <w:rsid w:val="7DAA42B2"/>
    <w:rsid w:val="7DAA569A"/>
    <w:rsid w:val="7DB1501E"/>
    <w:rsid w:val="7DB676D9"/>
    <w:rsid w:val="7DBE16CF"/>
    <w:rsid w:val="7DC37DE3"/>
    <w:rsid w:val="7DD45912"/>
    <w:rsid w:val="7DF54E0A"/>
    <w:rsid w:val="7E0D4E8F"/>
    <w:rsid w:val="7E107D04"/>
    <w:rsid w:val="7E11731A"/>
    <w:rsid w:val="7E13712A"/>
    <w:rsid w:val="7E176080"/>
    <w:rsid w:val="7E202441"/>
    <w:rsid w:val="7E414D62"/>
    <w:rsid w:val="7E4B691E"/>
    <w:rsid w:val="7E616C7B"/>
    <w:rsid w:val="7E733A70"/>
    <w:rsid w:val="7E8A0780"/>
    <w:rsid w:val="7EA574A2"/>
    <w:rsid w:val="7EAB6E71"/>
    <w:rsid w:val="7EBB0DC0"/>
    <w:rsid w:val="7EC42E15"/>
    <w:rsid w:val="7EC50C54"/>
    <w:rsid w:val="7ED11A3C"/>
    <w:rsid w:val="7ED26EC7"/>
    <w:rsid w:val="7ED91C72"/>
    <w:rsid w:val="7EEB5BB3"/>
    <w:rsid w:val="7EF23D1B"/>
    <w:rsid w:val="7F0354D4"/>
    <w:rsid w:val="7F127358"/>
    <w:rsid w:val="7F1568D7"/>
    <w:rsid w:val="7F1642F0"/>
    <w:rsid w:val="7F1C285B"/>
    <w:rsid w:val="7F2E0D24"/>
    <w:rsid w:val="7F312E91"/>
    <w:rsid w:val="7F33645C"/>
    <w:rsid w:val="7F4514DB"/>
    <w:rsid w:val="7F4E4DC2"/>
    <w:rsid w:val="7F6262FF"/>
    <w:rsid w:val="7F66205C"/>
    <w:rsid w:val="7F7C25A5"/>
    <w:rsid w:val="7FA8327A"/>
    <w:rsid w:val="7FB32EED"/>
    <w:rsid w:val="7FB6358D"/>
    <w:rsid w:val="7FBA5A1C"/>
    <w:rsid w:val="7FBB79EF"/>
    <w:rsid w:val="7FD5691F"/>
    <w:rsid w:val="7FE076F1"/>
    <w:rsid w:val="7FE32EFA"/>
    <w:rsid w:val="7FE844BB"/>
    <w:rsid w:val="7FF47220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0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7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qFormat/>
    <w:uiPriority w:val="0"/>
    <w:pPr>
      <w:ind w:firstLine="420"/>
    </w:p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5">
    <w:name w:val="Normal (Web)"/>
    <w:basedOn w:val="1"/>
    <w:qFormat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</w:pBdr>
      <w:spacing w:before="0" w:beforeAutospacing="0" w:after="0" w:afterAutospacing="0"/>
      <w:ind w:left="0" w:right="0"/>
      <w:jc w:val="left"/>
      <w:textAlignment w:val="center"/>
    </w:pPr>
    <w:rPr>
      <w:rFonts w:hint="eastAsia" w:ascii="微软雅黑" w:hAnsi="微软雅黑" w:eastAsia="微软雅黑" w:cs="微软雅黑"/>
      <w:color w:val="333333"/>
      <w:kern w:val="0"/>
      <w:sz w:val="24"/>
      <w:szCs w:val="24"/>
      <w:lang w:val="en-US" w:eastAsia="zh-CN" w:bidi="ar"/>
    </w:rPr>
  </w:style>
  <w:style w:type="table" w:styleId="8">
    <w:name w:val="Table Grid"/>
    <w:basedOn w:val="7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  <w:style w:type="table" w:customStyle="1" w:styleId="9">
    <w:name w:val="Table Normal"/>
    <w:unhideWhenUsed/>
    <w:qFormat/>
    <w:uiPriority w:val="0"/>
    <w:tblPr>
      <w:tblLayout w:type="fixed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10">
    <w:name w:val="List Paragraph"/>
    <w:basedOn w:val="1"/>
    <w:qFormat/>
    <w:uiPriority w:val="34"/>
    <w:pPr>
      <w:ind w:firstLine="420" w:firstLineChars="200"/>
    </w:pPr>
  </w:style>
  <w:style w:type="character" w:customStyle="1" w:styleId="11">
    <w:name w:val="NormalCharacter"/>
    <w:semiHidden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image" Target="media/image1.png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17</Pages>
  <Words>7490</Words>
  <Characters>7900</Characters>
  <Lines>0</Lines>
  <Paragraphs>0</Paragraphs>
  <ScaleCrop>false</ScaleCrop>
  <LinksUpToDate>false</LinksUpToDate>
  <CharactersWithSpaces>8050</CharactersWithSpaces>
  <Application>WPS Office_10.8.0.5838_F1E327BC-269C-435d-A152-05C5408002CA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2023-04-23T08:56:00Z</dcterms:created>
  <dc:creator>新一天</dc:creator>
  <cp:lastModifiedBy>Administrator</cp:lastModifiedBy>
  <cp:lastPrinted>2023-05-26T08:11:00Z</cp:lastPrinted>
  <dcterms:modified xsi:type="dcterms:W3CDTF">2023-08-24T08:20:34Z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2052-10.8.0.5838</vt:lpwstr>
  </property>
  <property fmtid="{D5CDD505-2E9C-101B-9397-08002B2CF9AE}" pid="3" name="ICV">
    <vt:lpwstr>50306CC149C84F98BF850919EA3E5AFB_13</vt:lpwstr>
  </property>
</Properties>
</file>