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5"/>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岳阳市岳阳楼区统计局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29</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28</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96.55%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0.11</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0.5</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8"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0.11</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285.5</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208</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139.46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21.82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65.86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50.4</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15.92</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0.19</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81.67</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224.21</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78.05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管控公务开支、节约办公资源、严控资产购置、严格执行预算管理</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1"/>
          <w:szCs w:val="21"/>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1"/>
          <w:szCs w:val="21"/>
          <w:lang w:eastAsia="zh-CN"/>
          <w14:textFill>
            <w14:solidFill>
              <w14:schemeClr w14:val="tx1"/>
            </w14:solidFill>
          </w14:textFill>
        </w:rPr>
        <w:t>章梦蝶</w:t>
      </w:r>
      <w:r>
        <w:rPr>
          <w:rFonts w:hint="eastAsia" w:asciiTheme="majorEastAsia" w:hAnsiTheme="majorEastAsia" w:eastAsiaTheme="majorEastAsia" w:cstheme="majorEastAsia"/>
          <w:color w:val="000000" w:themeColor="text1"/>
          <w:spacing w:val="0"/>
          <w:position w:val="0"/>
          <w:sz w:val="21"/>
          <w:szCs w:val="21"/>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1"/>
          <w:szCs w:val="21"/>
          <w:lang w:val="en-US" w:eastAsia="zh-CN"/>
          <w14:textFill>
            <w14:solidFill>
              <w14:schemeClr w14:val="tx1"/>
            </w14:solidFill>
          </w14:textFill>
        </w:rPr>
        <w:t xml:space="preserve">8220063   </w:t>
      </w:r>
      <w:r>
        <w:rPr>
          <w:rFonts w:hint="eastAsia" w:asciiTheme="majorEastAsia" w:hAnsiTheme="majorEastAsia" w:eastAsiaTheme="majorEastAsia" w:cstheme="majorEastAsia"/>
          <w:color w:val="000000" w:themeColor="text1"/>
          <w:spacing w:val="0"/>
          <w:position w:val="0"/>
          <w:sz w:val="21"/>
          <w:szCs w:val="21"/>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1"/>
          <w:szCs w:val="21"/>
          <w:lang w:eastAsia="zh-CN"/>
          <w14:textFill>
            <w14:solidFill>
              <w14:schemeClr w14:val="tx1"/>
            </w14:solidFill>
          </w14:textFill>
        </w:rPr>
        <w:t>陈宏伟</w:t>
      </w:r>
      <w:r>
        <w:rPr>
          <w:rFonts w:hint="eastAsia" w:asciiTheme="majorEastAsia" w:hAnsiTheme="majorEastAsia" w:eastAsiaTheme="majorEastAsia" w:cstheme="majorEastAsia"/>
          <w:color w:val="000000" w:themeColor="text1"/>
          <w:spacing w:val="0"/>
          <w:position w:val="0"/>
          <w:sz w:val="21"/>
          <w:szCs w:val="21"/>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1"/>
          <w:szCs w:val="21"/>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1"/>
          <w:szCs w:val="21"/>
          <w:lang w:val="en-US" w:eastAsia="zh-CN"/>
          <w14:textFill>
            <w14:solidFill>
              <w14:schemeClr w14:val="tx1"/>
            </w14:solidFill>
          </w14:textFill>
        </w:rPr>
        <w:t>2023年6月14日</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24"/>
          <w:szCs w:val="24"/>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5"/>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3"/>
        <w:gridCol w:w="1130"/>
        <w:gridCol w:w="1029"/>
        <w:gridCol w:w="1540"/>
        <w:gridCol w:w="1200"/>
        <w:gridCol w:w="1320"/>
        <w:gridCol w:w="720"/>
        <w:gridCol w:w="588"/>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33"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802" w:type="dxa"/>
            <w:gridSpan w:val="8"/>
            <w:noWrap w:val="0"/>
            <w:vAlign w:val="top"/>
          </w:tcPr>
          <w:p>
            <w:pPr>
              <w:jc w:val="cente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8"/>
                <w:szCs w:val="36"/>
                <w:lang w:eastAsia="zh-CN"/>
                <w14:textFill>
                  <w14:solidFill>
                    <w14:schemeClr w14:val="tx1"/>
                  </w14:solidFill>
                </w14:textFill>
              </w:rPr>
              <w:t>岳阳市岳阳楼区统计局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33"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5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bookmarkStart w:id="1" w:name="_GoBack"/>
            <w:bookmarkEnd w:id="1"/>
            <w:r>
              <w:rPr>
                <w:rFonts w:ascii="宋体" w:hAnsi="宋体" w:eastAsia="宋体" w:cs="宋体"/>
                <w:color w:val="000000" w:themeColor="text1"/>
                <w:spacing w:val="0"/>
                <w:sz w:val="21"/>
                <w:szCs w:val="21"/>
                <w14:textFill>
                  <w14:solidFill>
                    <w14:schemeClr w14:val="tx1"/>
                  </w14:solidFill>
                </w14:textFill>
              </w:rPr>
              <w:t>执行数</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33"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5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642.39</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617.71</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617.71</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33"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1033"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Arial"/>
                <w:color w:val="000000" w:themeColor="text1"/>
                <w:spacing w:val="0"/>
                <w:sz w:val="20"/>
                <w:lang w:val="en-US" w:eastAsia="zh-CN"/>
                <w14:textFill>
                  <w14:solidFill>
                    <w14:schemeClr w14:val="tx1"/>
                  </w14:solidFill>
                </w14:textFill>
              </w:rPr>
              <w:t>617.71</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456.43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33"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161.28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33"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33"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33"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年度总体 目 标</w:t>
            </w:r>
          </w:p>
        </w:tc>
        <w:tc>
          <w:tcPr>
            <w:tcW w:w="489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预期目标</w:t>
            </w:r>
          </w:p>
        </w:tc>
        <w:tc>
          <w:tcPr>
            <w:tcW w:w="3903"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33"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p>
        </w:tc>
        <w:tc>
          <w:tcPr>
            <w:tcW w:w="4899"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仿宋_GB2312" w:eastAsia="仿宋_GB2312"/>
                <w:color w:val="FF0000"/>
                <w:sz w:val="32"/>
                <w:szCs w:val="32"/>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1.主要经济指标稳中求进。GDP、固定资产投资、社会消费品零售总额、规模工业增加值、一般公共预算地方收入、一般公共预算地方税收收入等主要经济指标保持稳定增长。</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紧盯经济高质量发展指标。每月、每季开展监测预警，抓住时间节点，做好基础统计工作，及时了解数据申报情况，实时开展调度。同时，积极对接市级部门全面掌握考核信息和排名情况，通过与全市平均水平相对比、与其他县区相对比，来增强工作的预见性、针对性和主动性。</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3.2022年度完成验收民生实事项目24项，其中省级项目8项，市级项目8项，区级项目8项，涉及区卫健、民政、教育、水利等11个部门。</w:t>
            </w:r>
          </w:p>
          <w:p>
            <w:pPr>
              <w:keepNext w:val="0"/>
              <w:keepLines w:val="0"/>
              <w:pageBreakBefore w:val="0"/>
              <w:widowControl w:val="0"/>
              <w:numPr>
                <w:ilvl w:val="0"/>
                <w:numId w:val="1"/>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完成2022年度样本轮换工作，科学抽选符合精度设计要求，代表性好，能够稳定使用5年，满足国家、省、市、区4个层级住户调查数据需求的样本，建立新一轮五年周期住户调查样本体系。</w:t>
            </w:r>
          </w:p>
          <w:p>
            <w:pPr>
              <w:pStyle w:val="9"/>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Chars="0" w:right="0" w:rightChars="0"/>
              <w:jc w:val="both"/>
              <w:textAlignment w:val="center"/>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5.持续提升统计监测服务效能，定时产出统计产品，为上级和社会公众提供详细的统计资料；积极开展“统计开放日”宣传活动。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6.2022年度完成全区“四上”单位申报新增入库62家，并于2022年底前发放2021年度“四上”单位申报新增奖励。</w:t>
            </w:r>
          </w:p>
          <w:p>
            <w:pPr>
              <w:keepNext w:val="0"/>
              <w:keepLines w:val="0"/>
              <w:pageBreakBefore w:val="0"/>
              <w:widowControl w:val="0"/>
              <w:numPr>
                <w:ilvl w:val="0"/>
                <w:numId w:val="2"/>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争取在统计力量和经费保障上获得更多支持，积极建设基础统计工作联系点。2022年度至少开展两次业务培训；积极建设打造统计示范站建设，完成2022年度建设4个统计示范站点的工作任务。</w:t>
            </w:r>
          </w:p>
          <w:p>
            <w:pPr>
              <w:keepNext w:val="0"/>
              <w:keepLines w:val="0"/>
              <w:pageBreakBefore w:val="0"/>
              <w:widowControl w:val="0"/>
              <w:numPr>
                <w:ilvl w:val="0"/>
                <w:numId w:val="2"/>
              </w:numPr>
              <w:kinsoku/>
              <w:wordWrap/>
              <w:overflowPunct/>
              <w:topLinePunct w:val="0"/>
              <w:autoSpaceDE/>
              <w:autoSpaceDN/>
              <w:bidi w:val="0"/>
              <w:adjustRightInd/>
              <w:snapToGrid/>
              <w:spacing w:line="240" w:lineRule="exact"/>
              <w:jc w:val="both"/>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大力加强全区统计联网直报监测工作，特别对工业、投资、社零、服务业、建筑业、能源等主要经济指标数据的监测分析,坚持做到事前有预测、事中强审核、事后重分析。</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p>
        </w:tc>
        <w:tc>
          <w:tcPr>
            <w:tcW w:w="3903" w:type="dxa"/>
            <w:gridSpan w:val="4"/>
            <w:noWrap w:val="0"/>
            <w:vAlign w:val="center"/>
          </w:tcPr>
          <w:p>
            <w:pPr>
              <w:pStyle w:val="9"/>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坚持每季度组织召开全区经济运行调度会，针对各主要经济指标尤其是高质量发展各项考核目标，密切关注指标数据的变化趋势，；每月按时编印《经济动态》小册，定期分送给区级领导和主管部门，通过短信平台每月定时发送主要经济指标数据。按时发布《统计公报》，编撰《统计年鉴》，为社会公众提供详细的统计资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2、2022年以来，服务业及商贸业开展业务培</w:t>
            </w:r>
            <w:r>
              <w:rPr>
                <w:rFonts w:hint="eastAsia" w:ascii="宋体" w:hAnsi="宋体" w:eastAsia="宋体" w:cs="宋体"/>
                <w:color w:val="000000" w:themeColor="text1"/>
                <w:spacing w:val="0"/>
                <w:kern w:val="2"/>
                <w:sz w:val="21"/>
                <w:szCs w:val="21"/>
                <w:shd w:val="clear"/>
                <w:lang w:val="en-US" w:eastAsia="zh-CN" w:bidi="ar-SA"/>
                <w14:textFill>
                  <w14:solidFill>
                    <w14:schemeClr w14:val="tx1"/>
                  </w14:solidFill>
                </w14:textFill>
              </w:rPr>
              <w:t>训共2场，培训300余人</w:t>
            </w: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次。主动对标统计督察，市县两级联合深入500余家企业，普及宣传统计法律法规，指导企业统计人员熟悉掌握统计报表制度和统计台账规范化建设。</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3.加强“四上”单位申报力度，一年来，全区“四上”单位申报新增入库62家，圆满完成全年目标任务；按时发放2021年度“四上”单位申报新增奖励。</w:t>
            </w:r>
          </w:p>
          <w:p>
            <w:pPr>
              <w:keepNext w:val="0"/>
              <w:keepLines w:val="0"/>
              <w:pageBreakBefore w:val="0"/>
              <w:widowControl w:val="0"/>
              <w:kinsoku/>
              <w:wordWrap/>
              <w:overflowPunct/>
              <w:topLinePunct w:val="0"/>
              <w:autoSpaceDE/>
              <w:autoSpaceDN/>
              <w:bidi w:val="0"/>
              <w:adjustRightInd/>
              <w:snapToGrid/>
              <w:spacing w:line="240" w:lineRule="atLeast"/>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4、开展了以“数说新时代 奋进新征程”为主题的“中国统计开放日”宣传活动，提升社会公众法制意识。制定了执法检查工作计划，已全面完成计划任务28家“四上”单位和10家固定资产投资项目入库退库专项检查企业。</w:t>
            </w:r>
          </w:p>
          <w:p>
            <w:pPr>
              <w:keepNext w:val="0"/>
              <w:keepLines w:val="0"/>
              <w:pageBreakBefore w:val="0"/>
              <w:widowControl w:val="0"/>
              <w:kinsoku/>
              <w:wordWrap/>
              <w:overflowPunct/>
              <w:topLinePunct w:val="0"/>
              <w:autoSpaceDE/>
              <w:autoSpaceDN/>
              <w:bidi w:val="0"/>
              <w:adjustRightInd/>
              <w:snapToGrid/>
              <w:spacing w:line="240" w:lineRule="atLeast"/>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5.着力打造统计示范站建设，我局对岳阳楼、望岳路、枫桥湖、奇家岭4个目标建设街道重点关注、重点指导，改善基层统计工作条件，提升乡街道统计能力。</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6.紧盯经济高质量发展指标。2022年高质量发展指标中，涉统指标有38个，其中部门合成指标15个，市统计局测算指标18个，国家调查队测算指标5个，共计分值达到了70分。我局每月、每季开展监测预警，抓住时间节点，做好基础统计工作，及时了解数据申报情况，实时开展调度。同时，积极对接市级部门全面掌握考核信息和排名情况，通过与全市平均水平相对比、与其他县区相对比，来增强工作的预见性、针对性和主动性。</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7.民生实事顺利验收。今年我区有民生实事项目24项，我局每月跟进项目进度，对项目进度数据进行评估认定，确保数据真实准确。到11月底，我区负责的省市重点民生实事项目完成率将达到100%，各项目目前正在进行网上公示，已在规定时间进度较好的完成了验收工作。</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33" w:lineRule="atLeast"/>
              <w:ind w:left="0" w:right="0" w:firstLine="0"/>
              <w:jc w:val="both"/>
              <w:textAlignment w:val="center"/>
              <w:rPr>
                <w:rFonts w:hint="default"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t>8. 住户调查样本轮换圆满完成。9月开始，我局对7个社区各抽取的1050户进行摸底调查。通过入户面访直报调查问卷，客观准确登记调查户相关信息，摸底调查率已达到100%。12月，国家抽取的70户记账户已全面开启正式记账工作。</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33"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13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540" w:type="dxa"/>
            <w:noWrap w:val="0"/>
            <w:vAlign w:val="center"/>
          </w:tcPr>
          <w:p>
            <w:pPr>
              <w:keepNext w:val="0"/>
              <w:keepLines w:val="0"/>
              <w:pageBreakBefore w:val="0"/>
              <w:widowControl w:val="0"/>
              <w:tabs>
                <w:tab w:val="left" w:pos="395"/>
              </w:tabs>
              <w:kinsoku/>
              <w:wordWrap/>
              <w:overflowPunct/>
              <w:topLinePunct w:val="0"/>
              <w:autoSpaceDE/>
              <w:autoSpaceDN/>
              <w:bidi w:val="0"/>
              <w:adjustRightInd/>
              <w:snapToGrid/>
              <w:spacing w:line="230" w:lineRule="exact"/>
              <w:ind w:left="0"/>
              <w:jc w:val="left"/>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r>
              <w:rPr>
                <w:rFonts w:hint="eastAsia" w:ascii="Arial"/>
                <w:color w:val="000000" w:themeColor="text1"/>
                <w:sz w:val="21"/>
                <w:lang w:val="en-US" w:eastAsia="zh-CN"/>
                <w14:textFill>
                  <w14:solidFill>
                    <w14:schemeClr w14:val="tx1"/>
                  </w14:solidFill>
                </w14:textFill>
              </w:rPr>
              <w:t>.</w:t>
            </w:r>
            <w:r>
              <w:rPr>
                <w:rFonts w:hint="eastAsia" w:ascii="Arial"/>
                <w:color w:val="000000" w:themeColor="text1"/>
                <w:sz w:val="21"/>
                <w:lang w:eastAsia="zh-CN"/>
                <w14:textFill>
                  <w14:solidFill>
                    <w14:schemeClr w14:val="tx1"/>
                  </w14:solidFill>
                </w14:textFill>
              </w:rPr>
              <w:t>编印主要统计产品</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=2项</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jc w:val="both"/>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r>
              <w:rPr>
                <w:rFonts w:hint="eastAsia" w:ascii="Arial"/>
                <w:color w:val="000000" w:themeColor="text1"/>
                <w:sz w:val="21"/>
                <w:lang w:eastAsia="zh-CN"/>
                <w14:textFill>
                  <w14:solidFill>
                    <w14:schemeClr w14:val="tx1"/>
                  </w14:solidFill>
                </w14:textFill>
              </w:rPr>
              <w:t>撰写统计分析报告</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10篇</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eastAsia" w:ascii="Arial" w:eastAsiaTheme="minorEastAsia"/>
                <w:color w:val="000000" w:themeColor="text1"/>
                <w:sz w:val="20"/>
                <w:lang w:eastAsia="zh-CN"/>
                <w14:textFill>
                  <w14:solidFill>
                    <w14:schemeClr w14:val="tx1"/>
                  </w14:solidFill>
                </w14:textFill>
              </w:rPr>
            </w:pPr>
            <w:r>
              <w:rPr>
                <w:rFonts w:hint="eastAsia"/>
                <w:lang w:val="en-US" w:eastAsia="zh-CN"/>
              </w:rPr>
              <w:t>3.</w:t>
            </w:r>
            <w:r>
              <w:rPr>
                <w:rFonts w:hint="eastAsia"/>
                <w:lang w:eastAsia="zh-CN"/>
              </w:rPr>
              <w:t>完成基层统计工作联系点建设</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=4个</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lang w:val="en-US" w:eastAsia="zh-CN"/>
              </w:rPr>
            </w:pPr>
            <w:r>
              <w:rPr>
                <w:rFonts w:hint="eastAsia"/>
                <w:lang w:val="en-US" w:eastAsia="zh-CN"/>
              </w:rPr>
              <w:t>4.</w:t>
            </w:r>
            <w:r>
              <w:rPr>
                <w:rFonts w:hint="eastAsia"/>
                <w:lang w:eastAsia="zh-CN"/>
              </w:rPr>
              <w:t>联网直报线路更新维护</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=1次</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lang w:val="en-US" w:eastAsia="zh-CN"/>
              </w:rPr>
            </w:pPr>
            <w:r>
              <w:rPr>
                <w:rFonts w:hint="eastAsia"/>
                <w:lang w:val="en-US" w:eastAsia="zh-CN"/>
              </w:rPr>
              <w:t>5.统计业务培训</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=2次</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lang w:val="en-US" w:eastAsia="zh-CN"/>
              </w:rPr>
            </w:pPr>
            <w:r>
              <w:rPr>
                <w:rFonts w:hint="eastAsia"/>
                <w:lang w:val="en-US" w:eastAsia="zh-CN"/>
              </w:rPr>
              <w:t>6.“四上”单位申报数量</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=62家</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62</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eastAsiaTheme="minorEastAsia"/>
                <w:lang w:eastAsia="zh-CN"/>
              </w:rPr>
            </w:pPr>
            <w:r>
              <w:rPr>
                <w:rFonts w:hint="eastAsia"/>
                <w:lang w:val="en-US" w:eastAsia="zh-CN"/>
              </w:rPr>
              <w:t>1.</w:t>
            </w:r>
            <w:r>
              <w:rPr>
                <w:rFonts w:hint="eastAsia"/>
                <w:lang w:eastAsia="zh-CN"/>
              </w:rPr>
              <w:t>联网直报报送率</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eastAsia="zh-CN"/>
              </w:rPr>
            </w:pPr>
            <w:r>
              <w:rPr>
                <w:rFonts w:hint="eastAsia"/>
                <w:lang w:val="en-US" w:eastAsia="zh-CN"/>
              </w:rPr>
              <w:t>2.</w:t>
            </w:r>
            <w:r>
              <w:rPr>
                <w:rFonts w:hint="eastAsia"/>
                <w:lang w:eastAsia="zh-CN"/>
              </w:rPr>
              <w:t>高质量发展指标基础数据质量</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lang w:val="en-US" w:eastAsia="zh-CN"/>
              </w:rPr>
            </w:pPr>
            <w:r>
              <w:rPr>
                <w:rFonts w:hint="eastAsia"/>
                <w:lang w:val="en-US" w:eastAsia="zh-CN"/>
              </w:rPr>
              <w:t>3.民生实事进度数据数据真实性和准确性</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真实、准确</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真实、准确</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7"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ascii="Arial"/>
                <w:color w:val="000000" w:themeColor="text1"/>
                <w:sz w:val="21"/>
                <w:lang w:val="en-US" w:eastAsia="zh-CN"/>
                <w14:textFill>
                  <w14:solidFill>
                    <w14:schemeClr w14:val="tx1"/>
                  </w14:solidFill>
                </w14:textFill>
              </w:rPr>
              <w:t>4.</w:t>
            </w:r>
            <w:r>
              <w:rPr>
                <w:rFonts w:hint="eastAsia" w:ascii="Arial"/>
                <w:color w:val="000000" w:themeColor="text1"/>
                <w:sz w:val="21"/>
                <w:lang w:eastAsia="zh-CN"/>
                <w14:textFill>
                  <w14:solidFill>
                    <w14:schemeClr w14:val="tx1"/>
                  </w14:solidFill>
                </w14:textFill>
              </w:rPr>
              <w:t>主要统计数据产品社会认可率，未产生不良影响</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1.住户调查样本轮换</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2022年12月31日</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2022年12月31日</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2.民生实事验收进度</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2022年12月31日</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2022年12月31日</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3.统计公报发布及时性</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及时发布</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及时发布</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4.2022年度“四上”申报企业新增任务</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2022年12月31日</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2022年12月31日</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5.2022年度统计示范站建设</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2022年12月31日</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2022年12月31日</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2"/>
                <w:sz w:val="21"/>
                <w:szCs w:val="21"/>
                <w:lang w:eastAsia="zh-CN"/>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成本指标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eastAsia"/>
                <w:lang w:val="en-US" w:eastAsia="zh-CN"/>
              </w:rPr>
            </w:pPr>
            <w:r>
              <w:rPr>
                <w:rFonts w:hint="eastAsia"/>
                <w:lang w:val="en-US" w:eastAsia="zh-CN"/>
              </w:rPr>
              <w:t>1.预算投入金额</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617.71万元</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617.71万元</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2"/>
                <w:sz w:val="21"/>
                <w:szCs w:val="21"/>
                <w:lang w:eastAsia="zh-CN"/>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lang w:val="en-US" w:eastAsia="zh-CN"/>
              </w:rPr>
            </w:pPr>
            <w:r>
              <w:rPr>
                <w:rFonts w:hint="eastAsia"/>
                <w:lang w:val="en-US" w:eastAsia="zh-CN"/>
              </w:rPr>
              <w:t>2.三公经费控制率</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8"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2"/>
                <w:sz w:val="21"/>
                <w:szCs w:val="21"/>
                <w:lang w:eastAsia="zh-CN"/>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经济效益指标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1.争取统计经费，超额上报新增“四上”企业</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170万元</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212万元</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3"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2"/>
                <w:sz w:val="21"/>
                <w:szCs w:val="21"/>
                <w:lang w:eastAsia="zh-CN"/>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2.通过经济运行监测促进GDP增长</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5.4%</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5.7%</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4"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1.统计台账规范化建设</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显著规范</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显著规范</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2.开展统计开放日宣传活动，扩大统计影响力</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影响扩大</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影响扩大</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33"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13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54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社会公众对统计数据的可信度</w:t>
            </w:r>
          </w:p>
        </w:tc>
        <w:tc>
          <w:tcPr>
            <w:tcW w:w="120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32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90%</w:t>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252"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20"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pacing w:val="-6"/>
                <w:sz w:val="21"/>
                <w:szCs w:val="21"/>
                <w:lang w:val="en-US" w:eastAsia="zh-CN"/>
                <w14:textFill>
                  <w14:solidFill>
                    <w14:schemeClr w14:val="tx1"/>
                  </w14:solidFill>
                </w14:textFill>
              </w:rPr>
              <w:t>100</w:t>
            </w:r>
          </w:p>
        </w:tc>
        <w:tc>
          <w:tcPr>
            <w:tcW w:w="588"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9"/>
          <w:sz w:val="22"/>
          <w:szCs w:val="22"/>
          <w:lang w:eastAsia="zh-CN"/>
          <w14:textFill>
            <w14:solidFill>
              <w14:schemeClr w14:val="tx1"/>
            </w14:solidFill>
          </w14:textFill>
        </w:rPr>
        <w:t>章梦蝶</w:t>
      </w:r>
      <w:r>
        <w:rPr>
          <w:rFonts w:hint="eastAsia" w:ascii="仿宋" w:hAnsi="仿宋" w:eastAsia="仿宋" w:cs="仿宋"/>
          <w:color w:val="000000" w:themeColor="text1"/>
          <w:spacing w:val="9"/>
          <w:sz w:val="22"/>
          <w:szCs w:val="22"/>
          <w:lang w:val="en-US" w:eastAsia="zh-CN"/>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8220063</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   </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eastAsia="zh-CN"/>
          <w14:textFill>
            <w14:solidFill>
              <w14:schemeClr w14:val="tx1"/>
            </w14:solidFill>
          </w14:textFill>
        </w:rPr>
        <w:t>陈宏伟</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22"/>
          <w:sz w:val="22"/>
          <w:szCs w:val="22"/>
          <w:lang w:val="en-US" w:eastAsia="zh-CN"/>
          <w14:textFill>
            <w14:solidFill>
              <w14:schemeClr w14:val="tx1"/>
            </w14:solidFill>
          </w14:textFill>
        </w:rPr>
        <w:t>2023年6月14日</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both"/>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岳阳市岳阳楼区统计局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部门(单位)名称：岳阳楼区统计局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2023年6月14日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2022年度岳阳市岳阳楼区统计局</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主要负责完成国家省、市区统计调查任务，承担全面小康综合考评统计、民生实事评估确认等工作，承担组织领导协调全区统计工作，组织实施本区国民经济核算制度，核算全区地方生产总值，会同有关部门拟定重大区情区力普查计划与方案，组织实施全区人口、经济、农业等重大区情区力普查，汇总、整理和提供有关区情区力方面的统计数据。加强对各街道（乡）和区直各部门统计工作的指导和综合协调。我局共设7个内设机构，下设两个二级机构。共有编制数29名，实有在编在岗人员28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2022年，我局公共财政预算支出共计617.71万元，其中：基本支出456.43万元，主要包括工资福利支出400.83万元、一般商品和服务支出48.08万元以及对个人和家庭的补助7.52万元。</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numPr>
          <w:ilvl w:val="0"/>
          <w:numId w:val="5"/>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账上项目支出为161.28万元，其中：第七次全国人口普查10.56万元；联网直报平台、名录库、年鉴工作42.89万元；调查队劳动力调查8.06万元；房地产企业“一套表”联网直报统计员补贴19.44万元；住户调查19.91万元；人口抽样调查0.3万元；疫情防控项目7.99万元；隔离点项目29.95万元；省运会项目0.36万元；运行维护经费21.82万元。</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政府性基金预算支出情况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本单位无政府性基金预算支出。</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本单位无国有资本经营预算支出。</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本单位无社会保险基金预算支出。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年，根据我局年初工作规划和重点工作，围绕市委、市政府的工作部署，积极履行职责，强化管理，圆满完成了年度工作目标，同时加强预算收支的管理，建立健全内部管理制度，严格内部管理流程，部门整体支出管理得到了提升。根据《部门整体支出绩效评价指标》评分，得分97分（详见附表1），财政支出绩效为“优”。部门整体支出绩效情况如下：</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（一）“三公”经费情况分析</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为更好地贯彻落实中央厉行节约的有关规定，财务管理不断加强。2022年区统计局“三公经费”预算支出0.5万元，实际开支0万元，是由于本单位厉行节俭，严格执行八项规定；本单位无因公出国（境）费用支出。</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（二）最大效益使用固定资产</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截止2022年12月31日固定资产83.69万元，按照厉行节约，物尽其用的原则，资产管理采取统一建账，统一核算管理，对每一件固定资产使用明确保管职责。资产的购置按照规定的程序报机关事务管理局批准购置，达到政府采购标准的报政府采购管理办公室进行政府采购，资产的处置报废，按照财政规定的审批程序报机关事务管理局审批后再处置，保证资产的安全高效，防止资产流失。</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（三）统计工作卓有成效</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1、持续提升统计监测服务效能。</w:t>
      </w:r>
      <w:r>
        <w:rPr>
          <w:rFonts w:hint="eastAsia" w:ascii="仿宋_GB2312" w:eastAsia="仿宋_GB2312"/>
          <w:sz w:val="32"/>
          <w:szCs w:val="32"/>
        </w:rPr>
        <w:t>一是强化统计监测预警。坚持每季度组织召开全区经济运行调度会，针对各主要经济指标尤其是高质量发展各项考核目标，密切关注指标数据的变化趋势，加强分析研判，及时与行业主管部门沟通，补足短板。二是提升统计服务水平。</w:t>
      </w:r>
      <w:r>
        <w:rPr>
          <w:rFonts w:hint="eastAsia" w:ascii="仿宋_GB2312" w:hAnsi="仿宋_GB2312" w:eastAsia="仿宋_GB2312" w:cs="仿宋_GB2312"/>
          <w:sz w:val="32"/>
          <w:szCs w:val="32"/>
        </w:rPr>
        <w:t>我局每月按时编印《经济动态》小册，定期分送给区级领导和主管部门，通过短信平台每月定时发送主要经济指标数据。按时发布《统计公报》，编撰《统计年鉴》，为社会公众提供详细的统计资料。</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2、大力加强全区统计联网直报监测工作。</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特别对工业、投资、社零、服务业、建筑业、能源等主要经济指标数据的监测分析,坚持做到事前有预测、事中强审核、事后重分析。</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3、强化统计监测，服务经济发展。</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多次建议区委、区政府召开经济运行分析会，加大与发改、工信、商务粮食、住建等部门协调配合力度，切实抓好经济运行监测工作，确保全区经济运行保持稳中有进态势。全区全年GDP增长5.7%，高于全市平均水平0.3%个百分点；规模工业增加值增长3%，增速区级排名第六，全市排名第十二；固定资产投资和社会消费品零售总额分别增长15.5%和3.1%，分别高于全市平均水平2.3和0.4个百分点。</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4、有序开展战略性新兴产业企业申报认定。</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xml:space="preserve">扎实做好高质量发展考核监测、中小微企业监测、民营经济、数字经济等新经济产业统计监测，全面真实反映全区新产业、新业态、新商业模式的发展情况。                 </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5、业务能力持续向好。</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今年以来，服务业及商贸业开展业务培训共2场，培训300余人次。基层统计业务水平进一步提升。</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6、企业入规量质并举。</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加强“四上”单位申报力度，严格执行企业升规入库条件，加强与税务、工商等部门名录对比，及时更新维护名录库，全面清理空壳、僵尸企业，做到应统尽统，应退尽退。一年来，全区“四上”单位申报新增入库62家，圆满完成2022年度全年目标任务。</w:t>
      </w:r>
    </w:p>
    <w:p>
      <w:pPr>
        <w:keepNext w:val="0"/>
        <w:keepLines w:val="0"/>
        <w:pageBreakBefore w:val="0"/>
        <w:widowControl w:val="0"/>
        <w:kinsoku/>
        <w:wordWrap/>
        <w:overflowPunct/>
        <w:topLinePunct w:val="0"/>
        <w:autoSpaceDE/>
        <w:autoSpaceDN/>
        <w:bidi w:val="0"/>
        <w:adjustRightInd/>
        <w:snapToGrid/>
        <w:spacing w:line="240" w:lineRule="auto"/>
        <w:ind w:firstLine="320" w:firstLineChars="100"/>
        <w:textAlignment w:val="auto"/>
        <w:rPr>
          <w:rFonts w:hint="eastAsia" w:ascii="仿宋_GB2312" w:hAnsi="仿宋_GB2312" w:eastAsia="仿宋_GB2312"/>
          <w:sz w:val="32"/>
          <w:szCs w:val="32"/>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7、不断强化统计法治和基础建设。</w:t>
      </w:r>
      <w:bookmarkStart w:id="0" w:name="_Hlk89243856"/>
      <w:r>
        <w:rPr>
          <w:rFonts w:hint="eastAsia" w:ascii="仿宋_GB2312" w:eastAsia="仿宋_GB2312"/>
          <w:sz w:val="32"/>
          <w:szCs w:val="32"/>
        </w:rPr>
        <w:t>一是我局开展了以“数说新时代 奋进新征程”为主题的“中国统计开放日”宣传活动，立足统计职能、运用统计成果，</w:t>
      </w:r>
      <w:r>
        <w:rPr>
          <w:rFonts w:hint="eastAsia" w:ascii="仿宋_GB2312" w:hAnsi="仿宋" w:eastAsia="仿宋_GB2312"/>
          <w:sz w:val="32"/>
          <w:szCs w:val="32"/>
        </w:rPr>
        <w:t>提升社会公众法制意识。</w:t>
      </w:r>
      <w:bookmarkEnd w:id="0"/>
      <w:r>
        <w:rPr>
          <w:rFonts w:hint="eastAsia" w:ascii="仿宋_GB2312" w:hAnsi="仿宋" w:eastAsia="仿宋_GB2312"/>
          <w:sz w:val="32"/>
          <w:szCs w:val="32"/>
        </w:rPr>
        <w:t>二是</w:t>
      </w:r>
      <w:r>
        <w:rPr>
          <w:rStyle w:val="16"/>
          <w:rFonts w:hint="eastAsia" w:ascii="仿宋_GB2312" w:hAnsi="仿宋_GB2312" w:eastAsia="仿宋_GB2312"/>
          <w:sz w:val="32"/>
          <w:szCs w:val="32"/>
        </w:rPr>
        <w:t>今年我局制定了执法检查工作计划，已全面完成计划任务28家“四上”单位和10家固定资产投资项目入库退库专项检查企业，进一步扛起统计监督责任。三是</w:t>
      </w:r>
      <w:r>
        <w:rPr>
          <w:rStyle w:val="17"/>
          <w:rFonts w:hint="eastAsia" w:ascii="仿宋_GB2312" w:eastAsia="仿宋_GB2312"/>
          <w:b w:val="0"/>
          <w:sz w:val="32"/>
          <w:szCs w:val="32"/>
        </w:rPr>
        <w:t>全力推进我区乡街统计规范化建设“全覆盖”工作，着力打造统计示范站建设，我局对岳阳楼、望岳路、枫桥湖、奇家岭4个目标建设街道重点关注、重点指导，改善基层统计工作条件，提升乡街道统计能力。</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spacing w:before="0" w:beforeAutospacing="0" w:after="0" w:afterAutospacing="0" w:line="240" w:lineRule="auto"/>
        <w:ind w:left="0" w:right="0" w:firstLine="42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8、坚持执法监督优化统计环境。</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认真落实“双随机”抽查制度，全年抽取联网直报单位进行统计执法检查，督促违法单位在规定时间内整改落实。对执行上级查询不力，个别专业数据异常的启动了通报、约谈制度。</w:t>
      </w:r>
    </w:p>
    <w:p>
      <w:pPr>
        <w:keepNext w:val="0"/>
        <w:keepLines w:val="0"/>
        <w:pageBreakBefore w:val="0"/>
        <w:widowControl w:val="0"/>
        <w:kinsoku/>
        <w:wordWrap/>
        <w:overflowPunct/>
        <w:topLinePunct w:val="0"/>
        <w:autoSpaceDE/>
        <w:autoSpaceDN/>
        <w:bidi w:val="0"/>
        <w:adjustRightInd w:val="0"/>
        <w:snapToGrid w:val="0"/>
        <w:spacing w:line="360" w:lineRule="auto"/>
        <w:ind w:firstLine="320" w:firstLineChars="1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9、紧盯经济高质量发展指标。</w:t>
      </w:r>
      <w:r>
        <w:rPr>
          <w:rFonts w:hint="eastAsia" w:ascii="仿宋_GB2312" w:hAnsi="仿宋_GB2312" w:eastAsia="仿宋_GB2312" w:cs="仿宋_GB2312"/>
          <w:sz w:val="32"/>
          <w:szCs w:val="32"/>
        </w:rPr>
        <w:t>2022年高质量发展指标中，涉统指标有38个，其中部门合成指标15个，市统计局测算指标18个，国家调查队测算指标5个，共计分值达到了70分。我局每月、每季开展监测预警，抓住时间节点，做好基础统计工作，及时了解数据申报情况，实时开展调度。同时，积极对接市级部门全面掌握考核信息和排名情况，通过与全市平均水平相对比、与其他县区相对比，来增强工作的预见性、针对性和主动</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10、民生实事顺利验收。</w:t>
      </w:r>
      <w:r>
        <w:rPr>
          <w:rFonts w:hint="eastAsia" w:ascii="仿宋_GB2312" w:hAnsi="仿宋_GB2312" w:eastAsia="仿宋_GB2312" w:cs="仿宋_GB2312"/>
          <w:sz w:val="32"/>
          <w:szCs w:val="32"/>
        </w:rPr>
        <w:t>今年我区有民生实事项目24项，其中省级项目8项，市级项目8项，区级项目8项，涉及区卫健、民政、教育、水利等11个部门。我局每月跟进项目进度，对项目进度数据进行评估认定，确保数据真实准确。到11月底，我区负责的省市重点民生实事项目完成率将达到100%，各项目目前正在进行网上公示。我局照验收标准通过现场核实、电话核查、查阅台账资料等方式，已在规定时间进度较好的完成了验收工作。</w:t>
      </w:r>
    </w:p>
    <w:p>
      <w:pPr>
        <w:keepNext w:val="0"/>
        <w:keepLines w:val="0"/>
        <w:pageBreakBefore w:val="0"/>
        <w:widowControl w:val="0"/>
        <w:kinsoku/>
        <w:wordWrap/>
        <w:overflowPunct/>
        <w:topLinePunct w:val="0"/>
        <w:autoSpaceDE/>
        <w:autoSpaceDN/>
        <w:bidi w:val="0"/>
        <w:spacing w:line="240" w:lineRule="auto"/>
        <w:ind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val="0"/>
          <w:bCs w:val="0"/>
          <w:color w:val="000000" w:themeColor="text1"/>
          <w:spacing w:val="0"/>
          <w:kern w:val="2"/>
          <w:position w:val="0"/>
          <w:sz w:val="32"/>
          <w:szCs w:val="32"/>
          <w:lang w:val="en-US" w:eastAsia="zh-CN" w:bidi="ar-SA"/>
          <w14:textFill>
            <w14:solidFill>
              <w14:schemeClr w14:val="tx1"/>
            </w14:solidFill>
          </w14:textFill>
        </w:rPr>
        <w:t>11、住户调查样本轮换圆满完成。</w:t>
      </w:r>
      <w:r>
        <w:rPr>
          <w:rStyle w:val="16"/>
          <w:rFonts w:hint="eastAsia" w:ascii="仿宋_GB2312" w:hAnsi="仿宋_GB2312" w:eastAsia="仿宋_GB2312"/>
          <w:sz w:val="32"/>
          <w:szCs w:val="32"/>
        </w:rPr>
        <w:t>今年是五年一次的住户调查大样本轮换年，全区抽中6个国家点和1个地方点开展轮换工作。9月开始，我局对7个社区各抽取的1</w:t>
      </w:r>
      <w:r>
        <w:rPr>
          <w:rStyle w:val="16"/>
          <w:rFonts w:hint="eastAsia" w:ascii="仿宋_GB2312" w:hAnsi="仿宋_GB2312" w:eastAsia="仿宋_GB2312"/>
          <w:sz w:val="32"/>
          <w:szCs w:val="32"/>
          <w:lang w:val="en-US"/>
        </w:rPr>
        <w:t>0</w:t>
      </w:r>
      <w:r>
        <w:rPr>
          <w:rStyle w:val="16"/>
          <w:rFonts w:hint="eastAsia" w:ascii="仿宋_GB2312" w:hAnsi="仿宋_GB2312" w:eastAsia="仿宋_GB2312"/>
          <w:sz w:val="32"/>
          <w:szCs w:val="32"/>
        </w:rPr>
        <w:t>50户进行摸底调查。通过入户面访直报调查问卷，客观准确登记调查户相关信息，摸底调查率已达到100%。</w:t>
      </w:r>
      <w:r>
        <w:rPr>
          <w:rFonts w:hint="eastAsia" w:ascii="仿宋_GB2312" w:eastAsia="仿宋_GB2312"/>
          <w:sz w:val="32"/>
          <w:szCs w:val="32"/>
        </w:rPr>
        <w:t>调查结果对宏观决策提供重要的参考作用，大样本轮换是未来五年住户调查数据质量的根基。12月，国家抽取的70户记账户已全面开启正式记账工作。</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（一）财务方面</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1、预算管理制度不够完善。相应的管理制度没有得到有效执行；</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2、资产管理不够规范。管理制度未得到有效执行，存在遗留问题；</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3、预算编制不够合理。一般预算经费较少，存在资金缺口。</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（二）业务层面</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乡街统计基础建设有待加强。基层统计人员变动频繁，统计人员配备少，兼职多、变动快，部分人员对统计业务生疏，、企业统计人员对统计工作的认识不够，对统计工作，报表拖延、上报不及时，有的还存在统计资料不完善，统计档案不规范，台帐资料不够健全等问题。</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2、固定资产投资指标难提升。因固定资产项目入统计库要求逐年提高，同时受疫情影响，我区房地产项目开发受到严重冲击，近几年我区极少有房地产项目开盘预售，导致库中项目少，数据难以提升。</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3、“四上”单位申报力度仍需加强。一是“四上”企业总量偏少。我区“四上”企业数量虽然逐年递增，但是总量偏少，经济总量缺少承载主体。这一现象将严重影响2023年第六次全国经济普查结果——导致我区的经济总量在县区中失去竞争优势。二是企业入规后劲不足。我区新入规“四上”企业数虽逐年上升，但与其他县区相比仍处于劣势，2021年完成新增任务64家，完成任务数在全市排名靠后，有的县区连续两年年新增数量在100家左右。同时新增企业规模整体偏小，大部分由第三方公司新增入库，入库企业报表数据急剧下降，对我区的经济发展支撑作用不明显，缺少发展后劲；三是企业入规意愿不高。目前，我市虽出台了新增“四上”企业入规奖励政策，但仍然存在部分达到入规标准的法人企业不愿申报入规。</w:t>
      </w:r>
    </w:p>
    <w:p>
      <w:pPr>
        <w:keepNext w:val="0"/>
        <w:keepLines w:val="0"/>
        <w:pageBreakBefore w:val="0"/>
        <w:widowControl w:val="0"/>
        <w:numPr>
          <w:ilvl w:val="0"/>
          <w:numId w:val="6"/>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（一）财务方面</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1、根据实际情况完善预算管理制度等财务制度，强化行政管理职能，确保预算管理制度得到贯彻落实；</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2、加强资产管理，编制固定资产卡片，定期进行资产盘点，编制资产盘点表，尽量做到实物与资产账一一对应；</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3、加强预算管理，定期做好预算执行情况分析，按照预算规定的项目和用途严格财务审核，经费支出严格按预算规定项目的支出内容进行财务核算，在预算金额内严格控制费用的支出。</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（二）业务方面</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1、加强乡街统计基础建设。</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通过现场培训和在线学习等方式抓好区统计人员和企事业单位统计员的培训工作，重点针对工业、投资、贸易、能源、服务业等专业开展专题培训，通过提高统计人员的业务能力，切实提高统计源头数据质量；</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（2）主动对标审计督察，普及宣传统计法律法规，指导企业统计人员熟悉掌握统计报表制度和统计台帐规范化建设，示范带动全区企业强化统计基础工作。</w:t>
      </w:r>
    </w:p>
    <w:p>
      <w:pPr>
        <w:pStyle w:val="3"/>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2、努力提升固定资产投资指标。</w:t>
      </w:r>
    </w:p>
    <w:p>
      <w:pPr>
        <w:pStyle w:val="3"/>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（1）全面摸清辖区范围内项目情况，储备好项目库，做到先有库，再有数，确保项目不漏统。对具备入库条件的新项目及时做好入统工作，为投资增长提供新的支撑；</w:t>
      </w:r>
    </w:p>
    <w:p>
      <w:pPr>
        <w:pStyle w:val="3"/>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（2）要紧盯政府投资项目，还要深入挖掘辖区范围内民营企业、国有企事业单位在装修改造、技术升级、设备采购等方面形成的固定资产投资，加强对接，做好入统工作，形成新的增长点。</w:t>
      </w:r>
    </w:p>
    <w:p>
      <w:pPr>
        <w:pStyle w:val="3"/>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（3）提高沟通协作意识，督促职能部门提前谋划，与各企业和项目业主单位加强沟通，帮助企业和项目业主单位做好投资上报凭证准备工作，切实反映项目投资推进情况。</w:t>
      </w:r>
    </w:p>
    <w:p>
      <w:pPr>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3、加大“四上申报力度”。</w:t>
      </w:r>
    </w:p>
    <w:p>
      <w:pPr>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1）强化部门协作，形成企业入规工作合力。建议由区工商联牵头，建立准“四上”企业库，各行业主管部门齐抓共管，加强对准“四上”企业的培育和监测工作，做好跟踪指导，确保达规企业及时入规，保证经济增长后续力量。同时成立联合执法组，对符合入规条件但拒不入库的企业开展联合执法，确保应入尽入。</w:t>
      </w:r>
    </w:p>
    <w:p>
      <w:pPr>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2）帮扶个体商户，全力促进个转企工作。由于我区个体户数量较多，其中不乏经营良好营业收入可观的个体户存在，个转企潜力较大，因此要加大个体户转企业的宣传力度，通过上门拜访、一对一跟踪服务、代办转企手续等方式帮助个体户转企，建议税务部门针对经营具有一定规模的个体工商户转为企业给予相应的奖励政策，进一步降低他们的税收成本，提高他们转企入规的积极性。</w:t>
      </w:r>
    </w:p>
    <w:p>
      <w:pPr>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3）开展清理整治，规范市场主体注册登记。建议由区市场监管局对市场主体开展一次清理，将依照法律法规和相关规定应登记为企业的行业中，仍以个体工商户组织形式经营的市场主体限期转型升级为企业，逾期未转型为企业的，须变更经营范围。</w:t>
      </w:r>
    </w:p>
    <w:p>
      <w:pPr>
        <w:ind w:firstLine="640"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val="0"/>
          <w:bCs w:val="0"/>
          <w:color w:val="auto"/>
          <w:kern w:val="2"/>
          <w:sz w:val="32"/>
          <w:szCs w:val="32"/>
          <w:lang w:val="en-US" w:eastAsia="zh-CN" w:bidi="ar-SA"/>
        </w:rPr>
        <w:t>（4）加大培育力度，激发新入规企业市场活力。重点扶持有发展潜力、附加值高的企业，制定“一企一策”精准扶持措施，在项目核准、企业融资、税费减免等方面给予倾斜，各相关部门及时帮助企业解决发展中的困难和问题，推动培育对象企业尽早入规；重点强化引导措施，推动民营经济发展，培育经济发展新动力；加大招商引资力度，吸引大品牌大企业入驻，把我区建成大品牌大企业的聚集区。</w:t>
      </w:r>
    </w:p>
    <w:p>
      <w:pPr>
        <w:ind w:firstLine="210" w:firstLineChars="100"/>
        <w:rPr>
          <w:rFonts w:hint="default"/>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（一）结果应用情况。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深化绩效评价工作，不断提高部门预算整体绩效目标管理水平。按照《预算法》按时完成预决算编制。在执行过程中有计划进行资金申报、使用，完善资金管理及内部控制制度，确保资金安全，做到账款、账账、账实相符。</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通过绩效自评建立节约型机关。严格执行中央八项规定，严格管控三公经费支出，厉行节约，“三公经费”支出按时在湖南“互联网+”监督平台上公示。扎实抓好机关节能降耗，一是严控用电管理。倡导在自然光照较好的条件下不使用照明灯具，使用照明工具时保证人走灯灭，杜绝"长明灯"等能耗空放现象。二是严控用水管理。人走时及时关闭关紧水龙头，杜绝"长流水"和"跑、冒、滴、漏"现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3.强化单位财务管理工作，提高资金使用效率。在资金的管理和使用上，严格遵守财经纪律，严格执行机关财务管理制度，及时进行会计核算，对预决算情况进行公开公示，接受群众监督。</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4.强化单位业务工作。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进一步做好经济预警监测。依托经济运行调度，定期召开经济形势分析会议，对每月统计数据做出评估分析，深度解读，综合分析全区经济运行情况，针对短板指标做问题研究，及时做出预警判断，努力当好“数据源、方法论、参谋部”。紧紧围绕中心工作，着力加强对重点行业、主导产业、重点企业的动态监测，深入了解企业生产经营情况，掌握行业发展动态，提高经济运行分析前瞻性，为区委、区政府决策提供参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做好第五次全国经济普查工作。提前谋划“五经普”工作，把普查各项工作想在前、做在前，扎实做好机构建立、经费预算、物资保障、单位清查等各项工作；加强统筹指导和协作配合，细化任务，形成合力,确保不重不漏，摸清全区经济“家底”。</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继续做好高质量发展综合绩效评价工作。严格落实市委、市政府关于高质量发展考核评价有关工作安排，不断健全统计监测制度，强化部门协作配合，及时做好指标数据的收集、测算和分析评价等基础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巩固基层统计工作规范化建设成果。继续落实“统计十条”，积极开展统计基层基础规范化建设，探索加稳定乡街统计人员统计能力的有效举措，制定完善统计基层基础工作指南和统计规范化建设标准，在人员力量、经费物资等方面继续加大对基层的扶持力度，不断提升统计基层基础建设水平。</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（5）抓好“四上”单位入规入统。实施基本单位名录库动态维护更新机制，重点做好国家、省、市下发的退库企业名录核实，推进与市场监管、税务等部门的数据共享，构建常态化合作机制。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（二）公开公示情况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为进一步深化事后绩效评价工作，不断提高部门预算整体绩效目标管理水平，每年按时在政府门户网站进行公示公开。</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79"/>
        <w:gridCol w:w="1110"/>
        <w:gridCol w:w="1080"/>
        <w:gridCol w:w="616"/>
        <w:gridCol w:w="644"/>
        <w:gridCol w:w="15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住户调查样本轮换经费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49"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岳阳市岳阳楼区人民政府</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776"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岳阳市岳阳楼区统计局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4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5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64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科学抽选符合精度设计要求，代表性好，能够稳定使用</w:t>
            </w:r>
            <w:r>
              <w:rPr>
                <w:rFonts w:hint="eastAsia" w:ascii="Arial"/>
                <w:color w:val="000000" w:themeColor="text1"/>
                <w:spacing w:val="0"/>
                <w:sz w:val="21"/>
                <w:szCs w:val="21"/>
                <w:lang w:val="en-US" w:eastAsia="zh-CN"/>
                <w14:textFill>
                  <w14:solidFill>
                    <w14:schemeClr w14:val="tx1"/>
                  </w14:solidFill>
                </w14:textFill>
              </w:rPr>
              <w:t>5年，满足国家、省、市、区4个层级住户调查数据需求的样本，建立新一轮五年周期住户调查样本体系。</w:t>
            </w:r>
          </w:p>
        </w:tc>
        <w:tc>
          <w:tcPr>
            <w:tcW w:w="385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全区抽中6个国家点和1个地方点开展轮换。</w:t>
            </w:r>
          </w:p>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9月开始我局对7个社区抽取的1050户进行摸底调查，摸底调查率已达到100%。</w:t>
            </w:r>
          </w:p>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12月，国家抽取的70户记账户已全面开启正式记账工作。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摸底调查户数</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1050户</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1050户</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区样本数</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70户</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70户</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国家样本数</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40万户</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40万户</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抽取样本社区的合理性</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完全合理</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较为合理</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样本区内抽取用户的合理性</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完全合理</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较为合理</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调查数据准确率</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95%</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样本抽取完成时间</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2022年10月31日</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2022年10月31日</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入户调查完成时间</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2022年11月30日</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2022年11月30日</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统计完成时间</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2022年11月30日</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2022年11月30日</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具体预算投入金额</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30万</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5"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w:t>
            </w:r>
          </w:p>
        </w:tc>
        <w:tc>
          <w:tcPr>
            <w:tcW w:w="1080" w:type="dxa"/>
            <w:vMerge w:val="restart"/>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7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反映区域城镇化变化</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较好的反映</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较好的反映</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37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人口流动变化</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较好的揭示</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较好的揭示</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075" w:type="dxa"/>
            <w:vMerge w:val="continue"/>
            <w:tcBorders>
              <w:top w:val="nil"/>
              <w:bottom w:val="nil"/>
              <w:right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创新抽样方法</w:t>
            </w:r>
          </w:p>
        </w:tc>
        <w:tc>
          <w:tcPr>
            <w:tcW w:w="111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创新性</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略有创新</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79" w:type="dxa"/>
            <w:noWrap w:val="0"/>
            <w:vAlign w:val="center"/>
          </w:tcPr>
          <w:p>
            <w:pPr>
              <w:widowControl/>
              <w:jc w:val="center"/>
              <w:rPr>
                <w:rFonts w:ascii="Times New Roman" w:hAnsi="Times New Roman" w:eastAsia="仿宋_GB2312" w:cs="Times New Roman"/>
                <w:color w:val="000000"/>
                <w:kern w:val="0"/>
                <w:sz w:val="21"/>
                <w:szCs w:val="21"/>
                <w:highlight w:val="none"/>
                <w:lang w:val="en-US" w:eastAsia="zh-CN" w:bidi="ar-SA"/>
              </w:rPr>
            </w:pPr>
            <w:r>
              <w:rPr>
                <w:rFonts w:hint="eastAsia" w:ascii="Arial"/>
                <w:color w:val="000000" w:themeColor="text1"/>
                <w:spacing w:val="0"/>
                <w:sz w:val="21"/>
                <w:szCs w:val="21"/>
                <w:lang w:eastAsia="zh-CN"/>
                <w14:textFill>
                  <w14:solidFill>
                    <w14:schemeClr w14:val="tx1"/>
                  </w14:solidFill>
                </w14:textFill>
              </w:rPr>
              <w:t>住户对调查的满意度</w:t>
            </w:r>
          </w:p>
        </w:tc>
        <w:tc>
          <w:tcPr>
            <w:tcW w:w="1110" w:type="dxa"/>
            <w:noWrap w:val="0"/>
            <w:vAlign w:val="center"/>
          </w:tcPr>
          <w:p>
            <w:pPr>
              <w:widowControl/>
              <w:jc w:val="center"/>
              <w:rPr>
                <w:rFonts w:ascii="Times New Roman" w:hAnsi="Times New Roman" w:eastAsia="仿宋_GB2312" w:cs="Times New Roman"/>
                <w:color w:val="000000"/>
                <w:kern w:val="0"/>
                <w:sz w:val="21"/>
                <w:szCs w:val="21"/>
                <w:highlight w:val="none"/>
                <w:lang w:val="en-US" w:eastAsia="zh-CN" w:bidi="ar-SA"/>
              </w:rPr>
            </w:pPr>
            <w:r>
              <w:rPr>
                <w:rFonts w:hint="eastAsia" w:ascii="Times New Roman" w:hAnsi="Times New Roman" w:eastAsia="仿宋_GB2312" w:cs="Times New Roman"/>
                <w:color w:val="000000"/>
                <w:kern w:val="0"/>
                <w:szCs w:val="21"/>
                <w:highlight w:val="none"/>
              </w:rPr>
              <w:t>100</w:t>
            </w:r>
            <w:r>
              <w:rPr>
                <w:rFonts w:ascii="Times New Roman" w:hAnsi="Times New Roman" w:eastAsia="仿宋_GB2312" w:cs="Times New Roman"/>
                <w:color w:val="000000"/>
                <w:kern w:val="0"/>
                <w:szCs w:val="21"/>
                <w:highlight w:val="none"/>
              </w:rPr>
              <w:t>%</w:t>
            </w:r>
          </w:p>
        </w:tc>
        <w:tc>
          <w:tcPr>
            <w:tcW w:w="1080" w:type="dxa"/>
            <w:noWrap w:val="0"/>
            <w:vAlign w:val="center"/>
          </w:tcPr>
          <w:p>
            <w:pPr>
              <w:widowControl/>
              <w:jc w:val="center"/>
              <w:rPr>
                <w:rFonts w:hint="default" w:ascii="Times New Roman" w:hAnsi="Times New Roman" w:eastAsia="仿宋_GB2312" w:cs="Times New Roman"/>
                <w:color w:val="000000"/>
                <w:kern w:val="0"/>
                <w:sz w:val="21"/>
                <w:szCs w:val="21"/>
                <w:highlight w:val="none"/>
                <w:lang w:val="en-US" w:eastAsia="zh-CN" w:bidi="ar-SA"/>
              </w:rPr>
            </w:pPr>
            <w:r>
              <w:rPr>
                <w:rFonts w:hint="eastAsia" w:ascii="Times New Roman" w:hAnsi="Times New Roman" w:eastAsia="仿宋_GB2312" w:cs="Times New Roman"/>
                <w:color w:val="000000"/>
                <w:kern w:val="0"/>
                <w:szCs w:val="21"/>
                <w:highlight w:val="none"/>
                <w:lang w:val="en-US" w:eastAsia="zh-CN"/>
              </w:rPr>
              <w:t>95%</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804"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16"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64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92</w:t>
            </w:r>
          </w:p>
        </w:tc>
        <w:tc>
          <w:tcPr>
            <w:tcW w:w="151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eastAsia="zh-CN"/>
          <w14:textFill>
            <w14:solidFill>
              <w14:schemeClr w14:val="tx1"/>
            </w14:solidFill>
          </w14:textFill>
        </w:rPr>
        <w:t>章梦蝶</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8220063</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陈宏伟 </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2023年6月14日</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719"/>
        <w:gridCol w:w="1590"/>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2021年度“四上”新增企业奖励经费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岳阳市岳阳楼区人民政府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岳阳市岳阳楼区统计局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179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79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85</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79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85</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79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79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numPr>
                <w:ilvl w:val="0"/>
                <w:numId w:val="0"/>
              </w:numPr>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2021年度“四上”</w:t>
            </w:r>
            <w:r>
              <w:rPr>
                <w:rFonts w:hint="eastAsia" w:ascii="宋体" w:hAnsi="宋体" w:eastAsia="宋体" w:cs="宋体"/>
                <w:sz w:val="21"/>
                <w:szCs w:val="21"/>
                <w:lang w:eastAsia="zh-CN"/>
              </w:rPr>
              <w:t>单位新增奖励目标任务为新增</w:t>
            </w:r>
            <w:r>
              <w:rPr>
                <w:rFonts w:hint="eastAsia" w:ascii="宋体" w:hAnsi="宋体" w:eastAsia="宋体" w:cs="宋体"/>
                <w:sz w:val="21"/>
                <w:szCs w:val="21"/>
                <w:lang w:val="en-US" w:eastAsia="zh-CN"/>
              </w:rPr>
              <w:t>53家，预计奖励金额为212万元，由市区级财政各负担106万元。</w:t>
            </w:r>
          </w:p>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3985" w:type="dxa"/>
            <w:gridSpan w:val="4"/>
            <w:noWrap w:val="0"/>
            <w:vAlign w:val="center"/>
          </w:tcPr>
          <w:p>
            <w:pPr>
              <w:numPr>
                <w:ilvl w:val="0"/>
                <w:numId w:val="0"/>
              </w:numPr>
              <w:ind w:leftChars="0" w:firstLine="420" w:firstLineChars="200"/>
              <w:jc w:val="both"/>
              <w:rPr>
                <w:rFonts w:hint="default" w:ascii="仿宋_GB2312" w:hAnsi="仿宋_GB2312" w:eastAsia="仿宋_GB2312" w:cs="仿宋_GB2312"/>
                <w:sz w:val="32"/>
                <w:szCs w:val="32"/>
                <w:lang w:val="en-US" w:eastAsia="zh-CN"/>
              </w:rPr>
            </w:pPr>
            <w:r>
              <w:rPr>
                <w:rFonts w:hint="eastAsia" w:ascii="Arial"/>
                <w:color w:val="000000" w:themeColor="text1"/>
                <w:spacing w:val="0"/>
                <w:sz w:val="21"/>
                <w:szCs w:val="21"/>
                <w:lang w:val="en-US" w:eastAsia="zh-CN"/>
                <w14:textFill>
                  <w14:solidFill>
                    <w14:schemeClr w14:val="tx1"/>
                  </w14:solidFill>
                </w14:textFill>
              </w:rPr>
              <w:t>2021年度区统计局“四上”单位新增53家，其中发改局新增19家，奖励金额76万元；商粮局新增21家，奖励金额84万元；文旅广电局新增10家，奖励金额40万元，科工局新增3家，奖励金额12万元。本款规定涉及的奖励资金由市、县区两级财政各负担50%，共计拨付212万元，由市区级财政各负担106万元，全部按时发放完毕。</w:t>
            </w:r>
          </w:p>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成本指标（</w:t>
            </w:r>
            <w:r>
              <w:rPr>
                <w:rFonts w:hint="eastAsia" w:ascii="Arial"/>
                <w:color w:val="000000" w:themeColor="text1"/>
                <w:spacing w:val="0"/>
                <w:sz w:val="21"/>
                <w:szCs w:val="21"/>
                <w:lang w:val="en-US" w:eastAsia="zh-CN"/>
                <w14:textFill>
                  <w14:solidFill>
                    <w14:schemeClr w14:val="tx1"/>
                  </w14:solidFill>
                </w14:textFill>
              </w:rPr>
              <w:t>50分</w:t>
            </w:r>
            <w:r>
              <w:rPr>
                <w:rFonts w:hint="eastAsia" w:ascii="Arial"/>
                <w:color w:val="000000" w:themeColor="text1"/>
                <w:spacing w:val="0"/>
                <w:sz w:val="21"/>
                <w:szCs w:val="21"/>
                <w:lang w:eastAsia="zh-CN"/>
                <w14:textFill>
                  <w14:solidFill>
                    <w14:schemeClr w14:val="tx1"/>
                  </w14:solidFill>
                </w14:textFill>
              </w:rPr>
              <w:t>）</w:t>
            </w:r>
          </w:p>
        </w:tc>
        <w:tc>
          <w:tcPr>
            <w:tcW w:w="71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数量指标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区级奖励发放数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Arial" w:eastAsiaTheme="minorEastAsia"/>
                <w:color w:val="000000" w:themeColor="text1"/>
                <w:spacing w:val="0"/>
                <w:sz w:val="21"/>
                <w:szCs w:val="21"/>
                <w:lang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市级奖励发放数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left"/>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新增单位企业奖励增长率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不变或增长</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不变</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奖励励发放完成时限</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2022年12月31日</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2022年12月31日</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支出预算控制</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85万元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补充统计工作经费</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部分填补</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部分填补</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促进企业高质量发展</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有效促进</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有效促进</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59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制定“四上”企业高质量培育发展扶持计划</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left"/>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出台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left"/>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出台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left"/>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left"/>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w:t>
            </w: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71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590" w:type="dxa"/>
            <w:noWrap w:val="0"/>
            <w:vAlign w:val="center"/>
          </w:tcPr>
          <w:p>
            <w:pPr>
              <w:widowControl/>
              <w:jc w:val="center"/>
              <w:rPr>
                <w:rFonts w:ascii="Times New Roman" w:hAnsi="Times New Roman" w:eastAsia="仿宋_GB2312" w:cs="Times New Roman"/>
                <w:color w:val="000000"/>
                <w:kern w:val="0"/>
                <w:sz w:val="21"/>
                <w:szCs w:val="21"/>
                <w:highlight w:val="none"/>
                <w:lang w:val="en-US" w:eastAsia="zh-CN" w:bidi="ar-SA"/>
              </w:rPr>
            </w:pPr>
            <w:r>
              <w:rPr>
                <w:rFonts w:hint="eastAsia" w:ascii="Arial"/>
                <w:color w:val="000000" w:themeColor="text1"/>
                <w:spacing w:val="0"/>
                <w:sz w:val="21"/>
                <w:szCs w:val="21"/>
                <w:lang w:eastAsia="zh-CN"/>
                <w14:textFill>
                  <w14:solidFill>
                    <w14:schemeClr w14:val="tx1"/>
                  </w14:solidFill>
                </w14:textFill>
              </w:rPr>
              <w:t>准“四上”企业满意度</w:t>
            </w:r>
          </w:p>
        </w:tc>
        <w:tc>
          <w:tcPr>
            <w:tcW w:w="1131" w:type="dxa"/>
            <w:noWrap w:val="0"/>
            <w:vAlign w:val="center"/>
          </w:tcPr>
          <w:p>
            <w:pPr>
              <w:widowControl/>
              <w:jc w:val="left"/>
              <w:rPr>
                <w:rFonts w:ascii="Times New Roman" w:hAnsi="Times New Roman" w:eastAsia="仿宋_GB2312" w:cs="Times New Roman"/>
                <w:color w:val="000000"/>
                <w:kern w:val="0"/>
                <w:sz w:val="21"/>
                <w:szCs w:val="21"/>
                <w:highlight w:val="none"/>
                <w:lang w:val="en-US" w:eastAsia="zh-CN" w:bidi="ar-SA"/>
              </w:rPr>
            </w:pPr>
            <w:r>
              <w:rPr>
                <w:rFonts w:ascii="Times New Roman" w:hAnsi="Times New Roman" w:eastAsia="仿宋_GB2312" w:cs="Times New Roman"/>
                <w:color w:val="000000"/>
                <w:kern w:val="0"/>
                <w:szCs w:val="21"/>
                <w:highlight w:val="none"/>
              </w:rPr>
              <w:t>　</w:t>
            </w:r>
            <w:r>
              <w:rPr>
                <w:rFonts w:hint="eastAsia" w:ascii="Times New Roman" w:hAnsi="Times New Roman" w:eastAsia="仿宋_GB2312" w:cs="Times New Roman"/>
                <w:color w:val="000000"/>
                <w:kern w:val="0"/>
                <w:szCs w:val="21"/>
                <w:highlight w:val="none"/>
              </w:rPr>
              <w:t>100</w:t>
            </w:r>
            <w:r>
              <w:rPr>
                <w:rFonts w:ascii="Times New Roman" w:hAnsi="Times New Roman" w:eastAsia="仿宋_GB2312" w:cs="Times New Roman"/>
                <w:color w:val="000000"/>
                <w:kern w:val="0"/>
                <w:szCs w:val="21"/>
                <w:highlight w:val="none"/>
              </w:rPr>
              <w:t>%</w:t>
            </w:r>
          </w:p>
        </w:tc>
        <w:tc>
          <w:tcPr>
            <w:tcW w:w="1140" w:type="dxa"/>
            <w:noWrap w:val="0"/>
            <w:vAlign w:val="center"/>
          </w:tcPr>
          <w:p>
            <w:pPr>
              <w:widowControl/>
              <w:jc w:val="left"/>
              <w:rPr>
                <w:rFonts w:hint="default" w:ascii="Times New Roman" w:hAnsi="Times New Roman" w:eastAsia="仿宋_GB2312" w:cs="Times New Roman"/>
                <w:color w:val="000000"/>
                <w:kern w:val="0"/>
                <w:sz w:val="21"/>
                <w:szCs w:val="21"/>
                <w:highlight w:val="none"/>
                <w:lang w:val="en-US" w:eastAsia="zh-CN" w:bidi="ar-SA"/>
              </w:rPr>
            </w:pPr>
            <w:r>
              <w:rPr>
                <w:rFonts w:hint="eastAsia" w:ascii="Times New Roman" w:hAnsi="Times New Roman" w:eastAsia="仿宋_GB2312" w:cs="Times New Roman"/>
                <w:color w:val="000000"/>
                <w:kern w:val="0"/>
                <w:szCs w:val="21"/>
                <w:highlight w:val="none"/>
                <w:lang w:val="en-US" w:eastAsia="zh-CN"/>
              </w:rPr>
              <w:t>90%</w:t>
            </w:r>
          </w:p>
        </w:tc>
        <w:tc>
          <w:tcPr>
            <w:tcW w:w="685" w:type="dxa"/>
            <w:noWrap w:val="0"/>
            <w:vAlign w:val="center"/>
          </w:tcPr>
          <w:p>
            <w:pPr>
              <w:widowControl/>
              <w:ind w:firstLine="210" w:firstLineChars="100"/>
              <w:jc w:val="left"/>
              <w:rPr>
                <w:rFonts w:ascii="Times New Roman" w:hAnsi="Times New Roman" w:eastAsia="仿宋_GB2312" w:cs="Times New Roman"/>
                <w:color w:val="000000"/>
                <w:kern w:val="0"/>
                <w:sz w:val="21"/>
                <w:szCs w:val="21"/>
                <w:highlight w:val="none"/>
                <w:lang w:val="en-US" w:eastAsia="zh-CN" w:bidi="ar-SA"/>
              </w:rPr>
            </w:pPr>
            <w:r>
              <w:rPr>
                <w:rFonts w:hint="eastAsia" w:ascii="Times New Roman" w:hAnsi="Times New Roman" w:eastAsia="仿宋_GB2312" w:cs="Times New Roman"/>
                <w:color w:val="000000"/>
                <w:kern w:val="0"/>
                <w:szCs w:val="21"/>
                <w:highlight w:val="none"/>
                <w:lang w:val="en-US" w:eastAsia="zh-CN"/>
              </w:rPr>
              <w:t>10</w:t>
            </w:r>
            <w:r>
              <w:rPr>
                <w:rFonts w:ascii="Times New Roman" w:hAnsi="Times New Roman" w:eastAsia="仿宋_GB2312" w:cs="Times New Roman"/>
                <w:color w:val="000000"/>
                <w:kern w:val="0"/>
                <w:szCs w:val="21"/>
                <w:highlight w:val="none"/>
              </w:rPr>
              <w:t>　</w:t>
            </w:r>
          </w:p>
        </w:tc>
        <w:tc>
          <w:tcPr>
            <w:tcW w:w="795" w:type="dxa"/>
            <w:noWrap w:val="0"/>
            <w:vAlign w:val="center"/>
          </w:tcPr>
          <w:p>
            <w:pPr>
              <w:widowControl/>
              <w:ind w:firstLine="210" w:firstLineChars="100"/>
              <w:jc w:val="left"/>
              <w:rPr>
                <w:rFonts w:ascii="Times New Roman" w:hAnsi="Times New Roman" w:eastAsia="仿宋_GB2312" w:cs="Times New Roman"/>
                <w:color w:val="000000"/>
                <w:kern w:val="0"/>
                <w:sz w:val="21"/>
                <w:szCs w:val="21"/>
                <w:highlight w:val="none"/>
                <w:lang w:val="en-US" w:eastAsia="zh-CN" w:bidi="ar-SA"/>
              </w:rPr>
            </w:pPr>
            <w:r>
              <w:rPr>
                <w:rFonts w:hint="eastAsia" w:ascii="Times New Roman" w:hAnsi="Times New Roman" w:eastAsia="仿宋_GB2312" w:cs="Times New Roman"/>
                <w:color w:val="000000"/>
                <w:kern w:val="0"/>
                <w:szCs w:val="21"/>
                <w:highlight w:val="none"/>
                <w:lang w:val="en-US" w:eastAsia="zh-CN"/>
              </w:rPr>
              <w:t>8</w:t>
            </w:r>
            <w:r>
              <w:rPr>
                <w:rFonts w:ascii="Times New Roman" w:hAnsi="Times New Roman" w:eastAsia="仿宋_GB2312" w:cs="Times New Roman"/>
                <w:color w:val="000000"/>
                <w:kern w:val="0"/>
                <w:szCs w:val="21"/>
                <w:highlight w:val="none"/>
              </w:rPr>
              <w:t>　</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eastAsia="zh-CN"/>
          <w14:textFill>
            <w14:solidFill>
              <w14:schemeClr w14:val="tx1"/>
            </w14:solidFill>
          </w14:textFill>
        </w:rPr>
        <w:t>章梦蝶</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8220063</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eastAsia="zh-CN"/>
          <w14:textFill>
            <w14:solidFill>
              <w14:schemeClr w14:val="tx1"/>
            </w14:solidFill>
          </w14:textFill>
        </w:rPr>
        <w:t>陈宏伟</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2023年6月14日</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1"/>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Cs w:val="21"/>
              </w:rPr>
            </w:pP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711060"/>
    <w:multiLevelType w:val="singleLevel"/>
    <w:tmpl w:val="82711060"/>
    <w:lvl w:ilvl="0" w:tentative="0">
      <w:start w:val="1"/>
      <w:numFmt w:val="decimal"/>
      <w:suff w:val="nothing"/>
      <w:lvlText w:val="%1、"/>
      <w:lvlJc w:val="left"/>
    </w:lvl>
  </w:abstractNum>
  <w:abstractNum w:abstractNumId="1">
    <w:nsid w:val="94B5EFA4"/>
    <w:multiLevelType w:val="singleLevel"/>
    <w:tmpl w:val="94B5EFA4"/>
    <w:lvl w:ilvl="0" w:tentative="0">
      <w:start w:val="1"/>
      <w:numFmt w:val="chineseCounting"/>
      <w:suff w:val="nothing"/>
      <w:lvlText w:val="%1、"/>
      <w:lvlJc w:val="left"/>
      <w:rPr>
        <w:rFonts w:hint="eastAsia"/>
      </w:rPr>
    </w:lvl>
  </w:abstractNum>
  <w:abstractNum w:abstractNumId="2">
    <w:nsid w:val="A7A703FD"/>
    <w:multiLevelType w:val="singleLevel"/>
    <w:tmpl w:val="A7A703FD"/>
    <w:lvl w:ilvl="0" w:tentative="0">
      <w:start w:val="8"/>
      <w:numFmt w:val="chineseCounting"/>
      <w:suff w:val="nothing"/>
      <w:lvlText w:val="%1、"/>
      <w:lvlJc w:val="left"/>
      <w:rPr>
        <w:rFonts w:hint="eastAsia"/>
      </w:rPr>
    </w:lvl>
  </w:abstractNum>
  <w:abstractNum w:abstractNumId="3">
    <w:nsid w:val="DC479622"/>
    <w:multiLevelType w:val="singleLevel"/>
    <w:tmpl w:val="DC479622"/>
    <w:lvl w:ilvl="0" w:tentative="0">
      <w:start w:val="2"/>
      <w:numFmt w:val="chineseCounting"/>
      <w:lvlText w:val="(%1)"/>
      <w:lvlJc w:val="left"/>
      <w:pPr>
        <w:tabs>
          <w:tab w:val="left" w:pos="312"/>
        </w:tabs>
      </w:pPr>
      <w:rPr>
        <w:rFonts w:hint="eastAsia"/>
      </w:rPr>
    </w:lvl>
  </w:abstractNum>
  <w:abstractNum w:abstractNumId="4">
    <w:nsid w:val="1E923499"/>
    <w:multiLevelType w:val="singleLevel"/>
    <w:tmpl w:val="1E923499"/>
    <w:lvl w:ilvl="0" w:tentative="0">
      <w:start w:val="7"/>
      <w:numFmt w:val="decimal"/>
      <w:lvlText w:val="%1."/>
      <w:lvlJc w:val="left"/>
      <w:pPr>
        <w:tabs>
          <w:tab w:val="left" w:pos="312"/>
        </w:tabs>
      </w:pPr>
    </w:lvl>
  </w:abstractNum>
  <w:abstractNum w:abstractNumId="5">
    <w:nsid w:val="7C26E65C"/>
    <w:multiLevelType w:val="singleLevel"/>
    <w:tmpl w:val="7C26E65C"/>
    <w:lvl w:ilvl="0" w:tentative="0">
      <w:start w:val="4"/>
      <w:numFmt w:val="decimal"/>
      <w:lvlText w:val="%1."/>
      <w:lvlJc w:val="left"/>
      <w:pPr>
        <w:tabs>
          <w:tab w:val="left" w:pos="312"/>
        </w:tabs>
      </w:pPr>
    </w:lvl>
  </w:abstractNum>
  <w:num w:numId="1">
    <w:abstractNumId w:val="5"/>
  </w:num>
  <w:num w:numId="2">
    <w:abstractNumId w:val="4"/>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 w:name="KSO_WPS_MARK_KEY" w:val="455420bc-ea3f-4ea0-aa15-27b77906ec10"/>
  </w:docVars>
  <w:rsids>
    <w:rsidRoot w:val="53FC3987"/>
    <w:rsid w:val="000A3765"/>
    <w:rsid w:val="001D7282"/>
    <w:rsid w:val="0039081D"/>
    <w:rsid w:val="005E6ECB"/>
    <w:rsid w:val="00744EA1"/>
    <w:rsid w:val="007625BF"/>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835E14"/>
    <w:rsid w:val="0DBE6AB7"/>
    <w:rsid w:val="0DBF116A"/>
    <w:rsid w:val="0DC00E38"/>
    <w:rsid w:val="0DC8400B"/>
    <w:rsid w:val="0DD34552"/>
    <w:rsid w:val="0DE03EAA"/>
    <w:rsid w:val="0DE12394"/>
    <w:rsid w:val="0DEA7DF9"/>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A07F2F"/>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08603D"/>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707584"/>
    <w:rsid w:val="298756CC"/>
    <w:rsid w:val="29A81FA5"/>
    <w:rsid w:val="29AB297C"/>
    <w:rsid w:val="29C535D7"/>
    <w:rsid w:val="29C65905"/>
    <w:rsid w:val="29DA5777"/>
    <w:rsid w:val="29DF2425"/>
    <w:rsid w:val="2A0E6FDD"/>
    <w:rsid w:val="2A142C99"/>
    <w:rsid w:val="2A1B3EF1"/>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B40F5A"/>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905A31"/>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A859AF"/>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1319C"/>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BB5A1A"/>
    <w:rsid w:val="39C20795"/>
    <w:rsid w:val="39E90E2B"/>
    <w:rsid w:val="39E94D86"/>
    <w:rsid w:val="39F1638E"/>
    <w:rsid w:val="3A001C79"/>
    <w:rsid w:val="3A1513BA"/>
    <w:rsid w:val="3A2E618D"/>
    <w:rsid w:val="3A34501A"/>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270B72"/>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04E8B"/>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63553"/>
    <w:rsid w:val="4B0B3617"/>
    <w:rsid w:val="4B19238E"/>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CFF4044"/>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ED2963"/>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601B83"/>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B1BD9"/>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950257"/>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0CFA"/>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065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B519C7"/>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550E8E"/>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2900"/>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7F55B4"/>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A788E"/>
    <w:rsid w:val="7EBB0DC0"/>
    <w:rsid w:val="7EC42E15"/>
    <w:rsid w:val="7EC50C54"/>
    <w:rsid w:val="7ED11A3C"/>
    <w:rsid w:val="7ED91C72"/>
    <w:rsid w:val="7EEB5BB3"/>
    <w:rsid w:val="7F1568D7"/>
    <w:rsid w:val="7F2E0D24"/>
    <w:rsid w:val="7F312E91"/>
    <w:rsid w:val="7F33645C"/>
    <w:rsid w:val="7F4E4DC2"/>
    <w:rsid w:val="7F566146"/>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7"/>
    <w:qFormat/>
    <w:uiPriority w:val="0"/>
    <w:pPr>
      <w:keepNext/>
      <w:keepLines/>
      <w:spacing w:before="340" w:after="330" w:line="578" w:lineRule="auto"/>
      <w:outlineLvl w:val="0"/>
    </w:pPr>
    <w:rPr>
      <w:b/>
      <w:bCs/>
      <w:kern w:val="44"/>
      <w:sz w:val="44"/>
      <w:szCs w:val="44"/>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toa heading"/>
    <w:basedOn w:val="1"/>
    <w:next w:val="1"/>
    <w:qFormat/>
    <w:uiPriority w:val="99"/>
    <w:pPr>
      <w:spacing w:before="120" w:after="200" w:line="276" w:lineRule="auto"/>
    </w:pPr>
    <w:rPr>
      <w:rFonts w:ascii="Arial" w:hAnsi="Arial"/>
      <w:sz w:val="24"/>
    </w:rPr>
  </w:style>
  <w:style w:type="paragraph" w:styleId="4">
    <w:name w:val="annotation text"/>
    <w:basedOn w:val="1"/>
    <w:qFormat/>
    <w:uiPriority w:val="0"/>
    <w:pPr>
      <w:jc w:val="left"/>
    </w:pPr>
  </w:style>
  <w:style w:type="paragraph" w:styleId="5">
    <w:name w:val="Body Text"/>
    <w:basedOn w:val="1"/>
    <w:next w:val="6"/>
    <w:qFormat/>
    <w:uiPriority w:val="0"/>
    <w:pPr>
      <w:spacing w:after="120"/>
    </w:pPr>
    <w:rPr>
      <w:rFonts w:ascii="Calibri" w:hAnsi="Calibri" w:eastAsia="仿宋_GB2312" w:cs="Times New Roman"/>
      <w:sz w:val="32"/>
      <w:szCs w:val="24"/>
    </w:rPr>
  </w:style>
  <w:style w:type="paragraph" w:customStyle="1" w:styleId="6">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18030" w:hAnsi="???-18030" w:cs="???-18030"/>
      <w:kern w:val="0"/>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0">
    <w:name w:val="Body Text First Indent"/>
    <w:basedOn w:val="5"/>
    <w:qFormat/>
    <w:uiPriority w:val="0"/>
    <w:pPr>
      <w:ind w:firstLine="420" w:firstLineChars="1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basedOn w:val="13"/>
    <w:qFormat/>
    <w:uiPriority w:val="0"/>
  </w:style>
  <w:style w:type="table" w:customStyle="1" w:styleId="15">
    <w:name w:val="Table Normal"/>
    <w:unhideWhenUsed/>
    <w:qFormat/>
    <w:uiPriority w:val="0"/>
    <w:tblPr>
      <w:tblCellMar>
        <w:top w:w="0" w:type="dxa"/>
        <w:left w:w="0" w:type="dxa"/>
        <w:bottom w:w="0" w:type="dxa"/>
        <w:right w:w="0" w:type="dxa"/>
      </w:tblCellMar>
    </w:tblPr>
  </w:style>
  <w:style w:type="character" w:customStyle="1" w:styleId="16">
    <w:name w:val="NormalCharacter"/>
    <w:semiHidden/>
    <w:qFormat/>
    <w:uiPriority w:val="0"/>
    <w:rPr>
      <w:rFonts w:ascii="Calibri" w:hAnsi="Calibri" w:eastAsia="宋体" w:cs="Times New Roman"/>
      <w:kern w:val="2"/>
      <w:sz w:val="21"/>
      <w:szCs w:val="24"/>
      <w:lang w:val="en-US" w:eastAsia="zh-CN" w:bidi="ar-SA"/>
    </w:rPr>
  </w:style>
  <w:style w:type="character" w:customStyle="1" w:styleId="17">
    <w:name w:val="标题 1 Char"/>
    <w:basedOn w:val="13"/>
    <w:link w:val="2"/>
    <w:qFormat/>
    <w:uiPriority w:val="0"/>
    <w:rPr>
      <w:b/>
      <w:bCs/>
      <w:kern w:val="44"/>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10540</Words>
  <Characters>11318</Characters>
  <Lines>0</Lines>
  <Paragraphs>0</Paragraphs>
  <TotalTime>7</TotalTime>
  <ScaleCrop>false</ScaleCrop>
  <LinksUpToDate>false</LinksUpToDate>
  <CharactersWithSpaces>11482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necrolyte</cp:lastModifiedBy>
  <cp:lastPrinted>2023-07-04T01:20:00Z</cp:lastPrinted>
  <dcterms:modified xsi:type="dcterms:W3CDTF">2024-06-21T08:09:51Z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A5EE94617E574458A3DE97A542BB65E9_13</vt:lpwstr>
  </property>
</Properties>
</file>