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10"/>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岳阳市岳阳楼区枫桥湖街道办事处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60</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60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9.6</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9.6</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787.6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firstLine="242" w:firstLineChars="1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3850" w:type="dxa"/>
            <w:noWrap w:val="0"/>
            <w:vAlign w:val="top"/>
          </w:tcPr>
          <w:p>
            <w:pPr>
              <w:spacing w:before="143" w:line="209" w:lineRule="auto"/>
              <w:ind w:firstLine="242" w:firstLineChars="1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50" w:hRule="atLeast"/>
        </w:trPr>
        <w:tc>
          <w:tcPr>
            <w:tcW w:w="3850" w:type="dxa"/>
            <w:noWrap w:val="0"/>
            <w:vAlign w:val="top"/>
          </w:tcPr>
          <w:p>
            <w:pPr>
              <w:spacing w:before="93" w:line="219" w:lineRule="auto"/>
              <w:ind w:firstLine="244" w:firstLineChars="100"/>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临时救助</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tabs>
                <w:tab w:val="center" w:pos="1920"/>
              </w:tabs>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退役军人事务</w:t>
            </w: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ab/>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100.36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燃油补贴</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残联专干工资</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3.34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9" w:hRule="atLeast"/>
        </w:trPr>
        <w:tc>
          <w:tcPr>
            <w:tcW w:w="3850" w:type="dxa"/>
            <w:noWrap w:val="0"/>
            <w:vAlign w:val="top"/>
          </w:tcPr>
          <w:p>
            <w:pPr>
              <w:tabs>
                <w:tab w:val="left" w:pos="734"/>
              </w:tabs>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残疾人评定</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0.32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信访岗位补贴</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0.79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精神病人监护人看护补贴</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4.76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独生子女奖励费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失独对象春节慰问</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困难家庭春节慰问</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生育关怀</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2022年就业创业服务补贴</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5.84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环卫工人工资</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511.87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jc w:val="both"/>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环卫工人五险一金</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87.1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tabs>
                <w:tab w:val="left" w:pos="1384"/>
              </w:tabs>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环卫经费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6.52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tabs>
                <w:tab w:val="left" w:pos="1384"/>
              </w:tabs>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防疫经费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28.61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tabs>
                <w:tab w:val="left" w:pos="1384"/>
              </w:tabs>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巡逻人员工资</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5.72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tabs>
                <w:tab w:val="left" w:pos="1384"/>
              </w:tabs>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禁违执法经费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16.77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5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44.8</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22.52</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42.85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27.8</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30.33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4.52</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12.29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50"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0.23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144.8</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164.6</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448.55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tcBorders>
              <w:bottom w:val="single" w:color="auto" w:sz="4" w:space="0"/>
            </w:tcBorders>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59" w:hRule="atLeast"/>
        </w:trPr>
        <w:tc>
          <w:tcPr>
            <w:tcW w:w="3850" w:type="dxa"/>
            <w:vMerge w:val="restart"/>
            <w:tcBorders>
              <w:top w:val="single" w:color="auto" w:sz="4" w:space="0"/>
              <w:left w:val="single" w:color="auto" w:sz="4" w:space="0"/>
              <w:bottom w:val="single" w:color="auto" w:sz="4" w:space="0"/>
              <w:right w:val="single" w:color="auto" w:sz="4" w:space="0"/>
            </w:tcBorders>
            <w:noWrap w:val="0"/>
            <w:vAlign w:val="top"/>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tabs>
                <w:tab w:val="left" w:pos="1321"/>
              </w:tabs>
              <w:ind w:firstLine="984" w:firstLineChars="400"/>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50" w:hRule="atLeast"/>
        </w:trPr>
        <w:tc>
          <w:tcPr>
            <w:tcW w:w="3850" w:type="dxa"/>
            <w:vMerge w:val="continue"/>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tcBorders>
              <w:left w:val="single" w:color="auto" w:sz="4" w:space="0"/>
            </w:tcBorders>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40"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85" w:type="dxa"/>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10" w:type="dxa"/>
            <w:noWrap w:val="0"/>
            <w:vAlign w:val="top"/>
          </w:tcPr>
          <w:p>
            <w:pPr>
              <w:ind w:firstLine="469" w:firstLineChars="0"/>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69"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9" w:hRule="atLeast"/>
        </w:trPr>
        <w:tc>
          <w:tcPr>
            <w:tcW w:w="3850" w:type="dxa"/>
            <w:tcBorders>
              <w:top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一是严格控制支出，降低行政运行成本，提高公用经费使用效率；二是严控楼堂馆所建设；三是推进节能减排。</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彭路遥</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15292015575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10"/>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984"/>
        <w:gridCol w:w="604"/>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jc w:val="center"/>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岳阳市岳阳楼区枫桥湖街道办事处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604"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1111.46</w:t>
            </w:r>
          </w:p>
        </w:tc>
        <w:tc>
          <w:tcPr>
            <w:tcW w:w="604"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2237.59</w:t>
            </w:r>
          </w:p>
        </w:tc>
        <w:tc>
          <w:tcPr>
            <w:tcW w:w="1259" w:type="dxa"/>
            <w:noWrap w:val="0"/>
            <w:vAlign w:val="center"/>
          </w:tcPr>
          <w:p>
            <w:pPr>
              <w:keepNext w:val="0"/>
              <w:keepLines w:val="0"/>
              <w:pageBreakBefore w:val="0"/>
              <w:widowControl w:val="0"/>
              <w:tabs>
                <w:tab w:val="left" w:pos="466"/>
              </w:tabs>
              <w:kinsoku/>
              <w:wordWrap/>
              <w:overflowPunct/>
              <w:topLinePunct w:val="0"/>
              <w:autoSpaceDE/>
              <w:autoSpaceDN/>
              <w:bidi w:val="0"/>
              <w:adjustRightInd/>
              <w:snapToGrid/>
              <w:spacing w:line="239" w:lineRule="exact"/>
              <w:ind w:left="0"/>
              <w:jc w:val="left"/>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eastAsia="zh-CN"/>
                <w14:textFill>
                  <w14:solidFill>
                    <w14:schemeClr w14:val="tx1"/>
                  </w14:solidFill>
                </w14:textFill>
              </w:rPr>
              <w:tab/>
            </w:r>
            <w:r>
              <w:rPr>
                <w:rFonts w:hint="eastAsia" w:ascii="Arial"/>
                <w:color w:val="000000" w:themeColor="text1"/>
                <w:spacing w:val="0"/>
                <w:sz w:val="20"/>
                <w:lang w:val="en-US" w:eastAsia="zh-CN"/>
                <w14:textFill>
                  <w14:solidFill>
                    <w14:schemeClr w14:val="tx1"/>
                  </w14:solidFill>
                </w14:textFill>
              </w:rPr>
              <w:t>2237.59</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935.08</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1449.99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787.6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tabs>
                <w:tab w:val="right" w:pos="3636"/>
              </w:tabs>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r>
              <w:rPr>
                <w:rFonts w:hint="eastAsia" w:ascii="宋体" w:hAnsi="宋体" w:eastAsia="宋体" w:cs="宋体"/>
                <w:color w:val="000000" w:themeColor="text1"/>
                <w:spacing w:val="0"/>
                <w:sz w:val="21"/>
                <w:szCs w:val="21"/>
                <w:lang w:eastAsia="zh-CN"/>
                <w14:textFill>
                  <w14:solidFill>
                    <w14:schemeClr w14:val="tx1"/>
                  </w14:solidFill>
                </w14:textFill>
              </w:rPr>
              <w:tab/>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1302.51</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5" w:hRule="atLeast"/>
        </w:trPr>
        <w:tc>
          <w:tcPr>
            <w:tcW w:w="1084" w:type="dxa"/>
            <w:vMerge w:val="continue"/>
            <w:tcBorders>
              <w:top w:val="nil"/>
              <w:bottom w:val="single" w:color="auto" w:sz="4" w:space="0"/>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spacing w:line="240" w:lineRule="exact"/>
              <w:jc w:val="left"/>
              <w:rPr>
                <w:rFonts w:cs="黑体" w:asciiTheme="majorEastAsia" w:hAnsiTheme="majorEastAsia" w:eastAsiaTheme="majorEastAsia"/>
                <w:color w:val="000000"/>
                <w:szCs w:val="21"/>
              </w:rPr>
            </w:pPr>
            <w:r>
              <w:rPr>
                <w:rFonts w:hint="eastAsia" w:cs="黑体" w:asciiTheme="majorEastAsia" w:hAnsiTheme="majorEastAsia" w:eastAsiaTheme="majorEastAsia"/>
                <w:color w:val="000000"/>
                <w:szCs w:val="21"/>
                <w:lang w:val="en-US" w:eastAsia="zh-CN"/>
              </w:rPr>
              <w:t>1</w:t>
            </w:r>
            <w:r>
              <w:rPr>
                <w:rFonts w:hint="eastAsia" w:cs="黑体" w:asciiTheme="majorEastAsia" w:hAnsiTheme="majorEastAsia" w:eastAsiaTheme="majorEastAsia"/>
                <w:color w:val="000000"/>
                <w:szCs w:val="21"/>
              </w:rPr>
              <w:t>.强化基层组织建设</w:t>
            </w:r>
          </w:p>
          <w:p>
            <w:pPr>
              <w:spacing w:line="240" w:lineRule="exact"/>
              <w:jc w:val="left"/>
              <w:rPr>
                <w:rFonts w:cs="黑体" w:asciiTheme="majorEastAsia" w:hAnsiTheme="majorEastAsia" w:eastAsiaTheme="majorEastAsia"/>
                <w:color w:val="000000"/>
                <w:szCs w:val="21"/>
              </w:rPr>
            </w:pPr>
            <w:r>
              <w:rPr>
                <w:rFonts w:hint="eastAsia" w:cs="黑体" w:asciiTheme="majorEastAsia" w:hAnsiTheme="majorEastAsia" w:eastAsiaTheme="majorEastAsia"/>
                <w:color w:val="000000"/>
                <w:szCs w:val="21"/>
              </w:rPr>
              <w:t>2.推进产业提质增效</w:t>
            </w:r>
          </w:p>
          <w:p>
            <w:pPr>
              <w:spacing w:line="240" w:lineRule="exact"/>
              <w:jc w:val="left"/>
              <w:rPr>
                <w:rFonts w:cs="黑体" w:asciiTheme="majorEastAsia" w:hAnsiTheme="majorEastAsia" w:eastAsiaTheme="majorEastAsia"/>
                <w:color w:val="000000"/>
                <w:szCs w:val="21"/>
              </w:rPr>
            </w:pPr>
            <w:r>
              <w:rPr>
                <w:rFonts w:hint="eastAsia" w:cs="黑体" w:asciiTheme="majorEastAsia" w:hAnsiTheme="majorEastAsia" w:eastAsiaTheme="majorEastAsia"/>
                <w:color w:val="000000"/>
                <w:szCs w:val="21"/>
              </w:rPr>
              <w:t>3.坚持保障和改善民生</w:t>
            </w:r>
          </w:p>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cs="黑体" w:asciiTheme="majorEastAsia" w:hAnsiTheme="majorEastAsia" w:eastAsiaTheme="majorEastAsia"/>
                <w:color w:val="000000"/>
                <w:szCs w:val="21"/>
              </w:rPr>
              <w:t>4.持续深化和创新基层治理</w:t>
            </w:r>
          </w:p>
        </w:tc>
        <w:tc>
          <w:tcPr>
            <w:tcW w:w="4055" w:type="dxa"/>
            <w:gridSpan w:val="4"/>
            <w:noWrap w:val="0"/>
            <w:vAlign w:val="center"/>
          </w:tcPr>
          <w:p>
            <w:pPr>
              <w:jc w:val="left"/>
              <w:rPr>
                <w:rFonts w:hint="eastAsia" w:cs="楷体" w:asciiTheme="minorEastAsia" w:hAnsiTheme="minorEastAsia"/>
                <w:bCs/>
                <w:color w:val="000000"/>
                <w:szCs w:val="21"/>
              </w:rPr>
            </w:pPr>
            <w:r>
              <w:rPr>
                <w:rFonts w:hint="eastAsia" w:asciiTheme="minorEastAsia" w:hAnsiTheme="minorEastAsia"/>
                <w:color w:val="000000" w:themeColor="text1"/>
                <w:szCs w:val="21"/>
                <w14:textFill>
                  <w14:solidFill>
                    <w14:schemeClr w14:val="tx1"/>
                  </w14:solidFill>
                </w14:textFill>
              </w:rPr>
              <w:t>1.</w:t>
            </w:r>
            <w:r>
              <w:rPr>
                <w:rFonts w:hint="eastAsia" w:cs="楷体" w:asciiTheme="minorEastAsia" w:hAnsiTheme="minorEastAsia"/>
                <w:bCs/>
                <w:color w:val="000000"/>
                <w:szCs w:val="21"/>
              </w:rPr>
              <w:t>加强政治理论学习,发挥党员先锋模范作用,纪检监督从严从实,全</w:t>
            </w:r>
            <w:r>
              <w:rPr>
                <w:rFonts w:hint="eastAsia" w:cs="楷体" w:asciiTheme="minorEastAsia" w:hAnsiTheme="minorEastAsia"/>
                <w:bCs/>
                <w:color w:val="000000"/>
                <w:szCs w:val="21"/>
                <w:lang w:eastAsia="zh-CN"/>
              </w:rPr>
              <w:t>街道</w:t>
            </w:r>
            <w:r>
              <w:rPr>
                <w:rFonts w:hint="eastAsia" w:cs="楷体" w:asciiTheme="minorEastAsia" w:hAnsiTheme="minorEastAsia"/>
                <w:bCs/>
                <w:color w:val="000000"/>
                <w:szCs w:val="21"/>
              </w:rPr>
              <w:t>党员干部遵规守纪意识进一步增强。</w:t>
            </w:r>
          </w:p>
          <w:p>
            <w:pPr>
              <w:jc w:val="left"/>
              <w:rPr>
                <w:rFonts w:hint="default" w:cs="楷体" w:asciiTheme="minorEastAsia" w:hAnsiTheme="minorEastAsia" w:eastAsiaTheme="minorEastAsia"/>
                <w:bCs/>
                <w:color w:val="000000"/>
                <w:szCs w:val="21"/>
                <w:lang w:val="en-US" w:eastAsia="zh-CN"/>
              </w:rPr>
            </w:pPr>
            <w:r>
              <w:rPr>
                <w:rFonts w:hint="eastAsia" w:cs="楷体" w:asciiTheme="minorEastAsia" w:hAnsiTheme="minorEastAsia"/>
                <w:bCs/>
                <w:color w:val="000000"/>
                <w:szCs w:val="21"/>
              </w:rPr>
              <w:t>2.</w:t>
            </w:r>
            <w:r>
              <w:rPr>
                <w:rFonts w:hint="eastAsia" w:cs="楷体" w:asciiTheme="minorEastAsia" w:hAnsiTheme="minorEastAsia"/>
                <w:bCs/>
                <w:color w:val="000000"/>
                <w:szCs w:val="21"/>
                <w:lang w:eastAsia="zh-CN"/>
              </w:rPr>
              <w:t>税收</w:t>
            </w:r>
            <w:r>
              <w:rPr>
                <w:rFonts w:hint="eastAsia" w:cs="楷体" w:asciiTheme="minorEastAsia" w:hAnsiTheme="minorEastAsia"/>
                <w:bCs/>
                <w:color w:val="000000"/>
                <w:szCs w:val="21"/>
              </w:rPr>
              <w:t>指标</w:t>
            </w:r>
            <w:r>
              <w:rPr>
                <w:rFonts w:hint="eastAsia" w:cs="楷体" w:asciiTheme="minorEastAsia" w:hAnsiTheme="minorEastAsia"/>
                <w:bCs/>
                <w:color w:val="000000"/>
                <w:szCs w:val="21"/>
                <w:lang w:val="en-US" w:eastAsia="zh-CN"/>
              </w:rPr>
              <w:t>已足额</w:t>
            </w:r>
            <w:r>
              <w:rPr>
                <w:rFonts w:hint="eastAsia" w:cs="楷体" w:asciiTheme="minorEastAsia" w:hAnsiTheme="minorEastAsia"/>
                <w:bCs/>
                <w:color w:val="000000"/>
                <w:szCs w:val="21"/>
                <w:lang w:eastAsia="zh-CN"/>
              </w:rPr>
              <w:t>完成</w:t>
            </w:r>
            <w:r>
              <w:rPr>
                <w:rFonts w:hint="eastAsia" w:cs="楷体" w:asciiTheme="minorEastAsia" w:hAnsiTheme="minorEastAsia"/>
                <w:bCs/>
                <w:color w:val="000000"/>
                <w:szCs w:val="21"/>
              </w:rPr>
              <w:t>，</w:t>
            </w:r>
            <w:r>
              <w:rPr>
                <w:rFonts w:hint="eastAsia" w:cs="楷体" w:asciiTheme="minorEastAsia" w:hAnsiTheme="minorEastAsia"/>
                <w:bCs/>
                <w:color w:val="000000"/>
                <w:szCs w:val="21"/>
                <w:lang w:val="en-US" w:eastAsia="zh-CN"/>
              </w:rPr>
              <w:t>8513.51万元。</w:t>
            </w:r>
          </w:p>
          <w:p>
            <w:pPr>
              <w:jc w:val="left"/>
              <w:rPr>
                <w:rFonts w:hint="eastAsia" w:cs="楷体" w:asciiTheme="minorEastAsia" w:hAnsiTheme="minorEastAsia"/>
                <w:bCs/>
                <w:color w:val="000000"/>
                <w:szCs w:val="21"/>
              </w:rPr>
            </w:pPr>
            <w:r>
              <w:rPr>
                <w:rFonts w:hint="eastAsia" w:cs="楷体" w:asciiTheme="minorEastAsia" w:hAnsiTheme="minorEastAsia"/>
                <w:bCs/>
                <w:color w:val="000000"/>
                <w:szCs w:val="21"/>
              </w:rPr>
              <w:t>3.人居环境再提质，社会事业稳步发展。</w:t>
            </w:r>
          </w:p>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r>
              <w:rPr>
                <w:rFonts w:hint="eastAsia" w:cs="楷体" w:asciiTheme="minorEastAsia" w:hAnsiTheme="minorEastAsia"/>
                <w:bCs/>
                <w:color w:val="000000"/>
                <w:szCs w:val="21"/>
              </w:rPr>
              <w:t>4.疫情防控平稳可控，综治维稳措施有力，控违治违管控到位，安全隐患整治到位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top w:val="single" w:color="auto" w:sz="4" w:space="0"/>
              <w:left w:val="single" w:color="auto" w:sz="4" w:space="0"/>
              <w:bottom w:val="single" w:color="auto" w:sz="4" w:space="0"/>
              <w:right w:val="single" w:color="auto" w:sz="4" w:space="0"/>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60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全年预算执行率</w:t>
            </w:r>
          </w:p>
        </w:tc>
        <w:tc>
          <w:tcPr>
            <w:tcW w:w="604" w:type="dxa"/>
            <w:noWrap w:val="0"/>
            <w:vAlign w:val="center"/>
          </w:tcPr>
          <w:p>
            <w:pPr>
              <w:spacing w:line="23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spacing w:line="23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spacing w:line="23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802" w:type="dxa"/>
            <w:noWrap w:val="0"/>
            <w:vAlign w:val="center"/>
          </w:tcPr>
          <w:p>
            <w:pPr>
              <w:spacing w:line="23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2"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“三公”经费控制率</w:t>
            </w:r>
          </w:p>
        </w:tc>
        <w:tc>
          <w:tcPr>
            <w:tcW w:w="604"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14:textFill>
                  <w14:solidFill>
                    <w14:schemeClr w14:val="tx1"/>
                  </w14:solidFill>
                </w14:textFill>
              </w:rPr>
              <w:t>5</w:t>
            </w:r>
          </w:p>
        </w:tc>
        <w:tc>
          <w:tcPr>
            <w:tcW w:w="802"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政府采购执行率</w:t>
            </w:r>
          </w:p>
        </w:tc>
        <w:tc>
          <w:tcPr>
            <w:tcW w:w="604" w:type="dxa"/>
            <w:noWrap w:val="0"/>
            <w:vAlign w:val="center"/>
          </w:tcPr>
          <w:p>
            <w:pPr>
              <w:spacing w:line="239"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spacing w:line="239"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spacing w:line="239"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802" w:type="dxa"/>
            <w:noWrap w:val="0"/>
            <w:vAlign w:val="center"/>
          </w:tcPr>
          <w:p>
            <w:pPr>
              <w:spacing w:line="239"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绩效考评覆盖机关、站所及社区</w:t>
            </w:r>
          </w:p>
        </w:tc>
        <w:tc>
          <w:tcPr>
            <w:tcW w:w="604"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802"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707"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街道被评为市级信访工作先进单位、安全生产先进单位；3个以上社区进入区考评优秀、良好行列</w:t>
            </w:r>
          </w:p>
        </w:tc>
        <w:tc>
          <w:tcPr>
            <w:tcW w:w="604"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14:textFill>
                  <w14:solidFill>
                    <w14:schemeClr w14:val="tx1"/>
                  </w14:solidFill>
                </w14:textFill>
              </w:rPr>
              <w:t>5</w:t>
            </w:r>
          </w:p>
        </w:tc>
        <w:tc>
          <w:tcPr>
            <w:tcW w:w="802"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预算编制完整性</w:t>
            </w:r>
          </w:p>
        </w:tc>
        <w:tc>
          <w:tcPr>
            <w:tcW w:w="604" w:type="dxa"/>
            <w:noWrap w:val="0"/>
            <w:vAlign w:val="center"/>
          </w:tcPr>
          <w:p>
            <w:pPr>
              <w:spacing w:line="220" w:lineRule="exact"/>
              <w:jc w:val="center"/>
              <w:rPr>
                <w:rFonts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spacing w:line="220" w:lineRule="exact"/>
              <w:jc w:val="center"/>
              <w:rPr>
                <w:rFonts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spacing w:line="220" w:lineRule="exact"/>
              <w:jc w:val="center"/>
              <w:rPr>
                <w:rFonts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19"/>
                <w14:textFill>
                  <w14:solidFill>
                    <w14:schemeClr w14:val="tx1"/>
                  </w14:solidFill>
                </w14:textFill>
              </w:rPr>
              <w:t>5</w:t>
            </w:r>
          </w:p>
        </w:tc>
        <w:tc>
          <w:tcPr>
            <w:tcW w:w="802" w:type="dxa"/>
            <w:noWrap w:val="0"/>
            <w:vAlign w:val="center"/>
          </w:tcPr>
          <w:p>
            <w:pPr>
              <w:spacing w:line="220" w:lineRule="exact"/>
              <w:jc w:val="center"/>
              <w:rPr>
                <w:rFonts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19"/>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履职工作任务及时完成</w:t>
            </w:r>
          </w:p>
        </w:tc>
        <w:tc>
          <w:tcPr>
            <w:tcW w:w="604" w:type="dxa"/>
            <w:noWrap w:val="0"/>
            <w:vAlign w:val="center"/>
          </w:tcPr>
          <w:p>
            <w:pPr>
              <w:spacing w:line="239"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spacing w:line="239"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spacing w:line="239"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802" w:type="dxa"/>
            <w:noWrap w:val="0"/>
            <w:vAlign w:val="center"/>
          </w:tcPr>
          <w:p>
            <w:pPr>
              <w:spacing w:line="239"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预决算信息及时公开</w:t>
            </w:r>
          </w:p>
        </w:tc>
        <w:tc>
          <w:tcPr>
            <w:tcW w:w="604"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14:textFill>
                  <w14:solidFill>
                    <w14:schemeClr w14:val="tx1"/>
                  </w14:solidFill>
                </w14:textFill>
              </w:rPr>
              <w:t>4</w:t>
            </w:r>
          </w:p>
        </w:tc>
        <w:tc>
          <w:tcPr>
            <w:tcW w:w="802"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旧改项目如期完成</w:t>
            </w:r>
          </w:p>
        </w:tc>
        <w:tc>
          <w:tcPr>
            <w:tcW w:w="604"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802"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984"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民生专项资金全部足额发放</w:t>
            </w:r>
          </w:p>
        </w:tc>
        <w:tc>
          <w:tcPr>
            <w:tcW w:w="604" w:type="dxa"/>
            <w:noWrap w:val="0"/>
            <w:vAlign w:val="center"/>
          </w:tcPr>
          <w:p>
            <w:pPr>
              <w:spacing w:line="239"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spacing w:line="239"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spacing w:line="239"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802" w:type="dxa"/>
            <w:noWrap w:val="0"/>
            <w:vAlign w:val="center"/>
          </w:tcPr>
          <w:p>
            <w:pPr>
              <w:spacing w:line="239"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0"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vMerge w:val="restart"/>
            <w:tcBorders>
              <w:top w:val="single" w:color="auto" w:sz="4" w:space="0"/>
              <w:left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全年新增5个在建项目入库，申报四上企业2家，新增个体户709户，企业216家，完成社会固定资产投资15.155亿元</w:t>
            </w:r>
          </w:p>
        </w:tc>
        <w:tc>
          <w:tcPr>
            <w:tcW w:w="604"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14:textFill>
                  <w14:solidFill>
                    <w14:schemeClr w14:val="tx1"/>
                  </w14:solidFill>
                </w14:textFill>
              </w:rPr>
              <w:t>5</w:t>
            </w:r>
          </w:p>
        </w:tc>
        <w:tc>
          <w:tcPr>
            <w:tcW w:w="802"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single" w:color="auto" w:sz="4" w:space="0"/>
              <w:left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服务15家重点税源企业，确保无一外迁</w:t>
            </w:r>
          </w:p>
        </w:tc>
        <w:tc>
          <w:tcPr>
            <w:tcW w:w="604"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802"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top w:val="single" w:color="auto" w:sz="4" w:space="0"/>
              <w:left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社会治安稳定</w:t>
            </w:r>
          </w:p>
        </w:tc>
        <w:tc>
          <w:tcPr>
            <w:tcW w:w="604"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802"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single" w:color="auto" w:sz="4" w:space="0"/>
              <w:left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全年无重大安全事故</w:t>
            </w:r>
          </w:p>
        </w:tc>
        <w:tc>
          <w:tcPr>
            <w:tcW w:w="604"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802"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top w:val="single" w:color="auto" w:sz="4" w:space="0"/>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确保东风湖3.9公里沿线生态环境持续向好</w:t>
            </w:r>
          </w:p>
        </w:tc>
        <w:tc>
          <w:tcPr>
            <w:tcW w:w="604"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802" w:type="dxa"/>
            <w:noWrap w:val="0"/>
            <w:vAlign w:val="center"/>
          </w:tcPr>
          <w:p>
            <w:pPr>
              <w:spacing w:line="240"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大力推进项目建设，改善辖区居民居住环境</w:t>
            </w:r>
          </w:p>
        </w:tc>
        <w:tc>
          <w:tcPr>
            <w:tcW w:w="604"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14:textFill>
                  <w14:solidFill>
                    <w14:schemeClr w14:val="tx1"/>
                  </w14:solidFill>
                </w14:textFill>
              </w:rPr>
              <w:t>5</w:t>
            </w:r>
          </w:p>
        </w:tc>
        <w:tc>
          <w:tcPr>
            <w:tcW w:w="802"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9" w:hRule="atLeast"/>
        </w:trPr>
        <w:tc>
          <w:tcPr>
            <w:tcW w:w="1084" w:type="dxa"/>
            <w:vMerge w:val="continue"/>
            <w:tcBorders>
              <w:top w:val="single" w:color="auto" w:sz="4" w:space="0"/>
              <w:left w:val="single" w:color="auto" w:sz="4" w:space="0"/>
              <w:bottom w:val="single" w:color="auto" w:sz="4" w:space="0"/>
              <w:right w:val="single" w:color="auto" w:sz="4" w:space="0"/>
            </w:tcBorders>
            <w:noWrap w:val="0"/>
            <w:textDirection w:val="tbRlV"/>
            <w:vAlign w:val="top"/>
          </w:tcPr>
          <w:p>
            <w:pPr>
              <w:rPr>
                <w:rFonts w:ascii="Arial"/>
                <w:color w:val="000000" w:themeColor="text1"/>
                <w:sz w:val="21"/>
                <w14:textFill>
                  <w14:solidFill>
                    <w14:schemeClr w14:val="tx1"/>
                  </w14:solidFill>
                </w14:textFill>
              </w:rPr>
            </w:pPr>
          </w:p>
        </w:tc>
        <w:tc>
          <w:tcPr>
            <w:tcW w:w="1079" w:type="dxa"/>
            <w:tcBorders>
              <w:top w:val="single" w:color="auto" w:sz="4" w:space="0"/>
              <w:left w:val="single" w:color="auto" w:sz="4" w:space="0"/>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984" w:type="dxa"/>
            <w:noWrap w:val="0"/>
            <w:vAlign w:val="center"/>
          </w:tcPr>
          <w:p>
            <w:pPr>
              <w:keepNext w:val="0"/>
              <w:keepLines w:val="0"/>
              <w:pageBreakBefore w:val="0"/>
              <w:widowControl w:val="0"/>
              <w:kinsoku/>
              <w:wordWrap/>
              <w:overflowPunct/>
              <w:topLinePunct w:val="0"/>
              <w:autoSpaceDE/>
              <w:autoSpaceDN/>
              <w:bidi w:val="0"/>
              <w:adjustRightInd/>
              <w:snapToGrid/>
              <w:spacing w:line="193" w:lineRule="auto"/>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综治民调提质，公众安全感满意度提高</w:t>
            </w:r>
          </w:p>
        </w:tc>
        <w:tc>
          <w:tcPr>
            <w:tcW w:w="604" w:type="dxa"/>
            <w:noWrap w:val="0"/>
            <w:vAlign w:val="center"/>
          </w:tcPr>
          <w:p>
            <w:pPr>
              <w:spacing w:line="239"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59" w:type="dxa"/>
            <w:noWrap w:val="0"/>
            <w:vAlign w:val="center"/>
          </w:tcPr>
          <w:p>
            <w:pPr>
              <w:spacing w:line="239" w:lineRule="exact"/>
              <w:jc w:val="center"/>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98%</w:t>
            </w:r>
          </w:p>
        </w:tc>
        <w:tc>
          <w:tcPr>
            <w:tcW w:w="719"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14:textFill>
                  <w14:solidFill>
                    <w14:schemeClr w14:val="tx1"/>
                  </w14:solidFill>
                </w14:textFill>
              </w:rPr>
              <w:t>10</w:t>
            </w:r>
          </w:p>
        </w:tc>
        <w:tc>
          <w:tcPr>
            <w:tcW w:w="802"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14:textFill>
                  <w14:solidFill>
                    <w14:schemeClr w14:val="tx1"/>
                  </w14:solidFill>
                </w14:textFill>
              </w:rPr>
              <w:t>9</w:t>
            </w:r>
          </w:p>
        </w:tc>
        <w:tc>
          <w:tcPr>
            <w:tcW w:w="1275" w:type="dxa"/>
            <w:noWrap w:val="0"/>
            <w:vAlign w:val="center"/>
          </w:tcPr>
          <w:p>
            <w:pPr>
              <w:jc w:val="center"/>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14:textFill>
                  <w14:solidFill>
                    <w14:schemeClr w14:val="tx1"/>
                  </w14:solidFill>
                </w14:textFill>
              </w:rPr>
              <w:t>公众感测评提升不够明显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2"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99</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hint="eastAsia" w:ascii="仿宋" w:hAnsi="仿宋" w:eastAsia="仿宋" w:cs="仿宋"/>
          <w:color w:val="000000" w:themeColor="text1"/>
          <w:spacing w:val="-22"/>
          <w:sz w:val="22"/>
          <w:szCs w:val="22"/>
          <w:lang w:val="en-US" w:eastAsia="zh-CN"/>
          <w14:textFill>
            <w14:solidFill>
              <w14:schemeClr w14:val="tx1"/>
            </w14:solidFill>
          </w14:textFill>
        </w:rPr>
        <w:t>彭路遥</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ascii="仿宋" w:hAnsi="仿宋" w:eastAsia="仿宋" w:cs="仿宋"/>
          <w:color w:val="000000" w:themeColor="text1"/>
          <w:spacing w:val="2"/>
          <w:sz w:val="22"/>
          <w:szCs w:val="22"/>
          <w14:textFill>
            <w14:solidFill>
              <w14:schemeClr w14:val="tx1"/>
            </w14:solidFill>
          </w14:textFill>
        </w:rPr>
        <w:t xml:space="preserve"> </w:t>
      </w:r>
      <w:r>
        <w:rPr>
          <w:rFonts w:hint="eastAsia" w:ascii="仿宋" w:hAnsi="仿宋" w:eastAsia="仿宋" w:cs="仿宋"/>
          <w:color w:val="000000" w:themeColor="text1"/>
          <w:spacing w:val="2"/>
          <w:sz w:val="22"/>
          <w:szCs w:val="22"/>
          <w:lang w:val="en-US" w:eastAsia="zh-CN"/>
          <w14:textFill>
            <w14:solidFill>
              <w14:schemeClr w14:val="tx1"/>
            </w14:solidFill>
          </w14:textFill>
        </w:rPr>
        <w:t>15292015575</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岳阳楼区枫桥湖街道办事处</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6月 12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default"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2022年度岳阳楼区枫桥湖街道办事处</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default" w:ascii="仿宋" w:hAnsi="仿宋" w:eastAsia="仿宋" w:cs="仿宋"/>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0"/>
        </w:numPr>
        <w:tabs>
          <w:tab w:val="left" w:pos="514"/>
        </w:tabs>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一、单位基本情况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default"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（一）基本概况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宋体" w:hAnsi="宋体" w:eastAsia="宋体" w:cs="宋体"/>
          <w:b w:val="0"/>
          <w:bCs w:val="0"/>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 xml:space="preserve"> </w:t>
      </w:r>
      <w:r>
        <w:rPr>
          <w:rFonts w:hint="eastAsia" w:ascii="宋体" w:hAnsi="宋体" w:eastAsia="宋体" w:cs="宋体"/>
          <w:b w:val="0"/>
          <w:bCs w:val="0"/>
          <w:color w:val="000000" w:themeColor="text1"/>
          <w:spacing w:val="0"/>
          <w:position w:val="0"/>
          <w:sz w:val="32"/>
          <w:szCs w:val="32"/>
          <w:lang w:val="en-US" w:eastAsia="zh-CN"/>
          <w14:textFill>
            <w14:solidFill>
              <w14:schemeClr w14:val="tx1"/>
            </w14:solidFill>
          </w14:textFill>
        </w:rPr>
        <w:t xml:space="preserve">  </w:t>
      </w:r>
      <w:r>
        <w:rPr>
          <w:rFonts w:hint="eastAsia" w:ascii="仿宋" w:hAnsi="仿宋" w:eastAsia="仿宋" w:cs="仿宋"/>
          <w:b w:val="0"/>
          <w:bCs w:val="0"/>
          <w:color w:val="000000" w:themeColor="text1"/>
          <w:spacing w:val="0"/>
          <w:position w:val="0"/>
          <w:sz w:val="32"/>
          <w:szCs w:val="32"/>
          <w:lang w:val="en-US" w:eastAsia="zh-CN"/>
          <w14:textFill>
            <w14:solidFill>
              <w14:schemeClr w14:val="tx1"/>
            </w14:solidFill>
          </w14:textFill>
        </w:rPr>
        <w:t>枫桥湖街道办事处现有人数105人，其中:在职编制60人，离退休45人。根据编办核定，我办事处机构设置共设有6个内设股室（党政办公室、党建办公室、经济发展办公室、社会事务办公室、应急管理办公室、综合信访办公室）；4个事业站所（社会事业综合服务中心、产业项目综合服务中心、公共服务和网格化中心、退役军人服务站），综合行政执法大队），其他机构：(环境卫生服务中心、司法所、财政所）。</w:t>
      </w:r>
    </w:p>
    <w:p>
      <w:pPr>
        <w:keepNext w:val="0"/>
        <w:keepLines w:val="0"/>
        <w:pageBreakBefore w:val="0"/>
        <w:widowControl w:val="0"/>
        <w:numPr>
          <w:ilvl w:val="0"/>
          <w:numId w:val="0"/>
        </w:numPr>
        <w:kinsoku/>
        <w:wordWrap/>
        <w:overflowPunct/>
        <w:topLinePunct w:val="0"/>
        <w:autoSpaceDE/>
        <w:autoSpaceDN/>
        <w:bidi w:val="0"/>
        <w:adjustRightInd/>
        <w:snapToGrid/>
        <w:ind w:leftChars="4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（二）职能职责</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3" w:lineRule="atLeast"/>
        <w:ind w:left="0" w:right="0" w:firstLine="640" w:firstLineChars="200"/>
        <w:jc w:val="both"/>
        <w:textAlignment w:val="center"/>
        <w:rPr>
          <w:rFonts w:hint="eastAsia" w:ascii="仿宋" w:hAnsi="仿宋" w:eastAsia="仿宋" w:cs="仿宋"/>
          <w:i w:val="0"/>
          <w:iCs w:val="0"/>
          <w:caps w:val="0"/>
          <w:color w:val="333333"/>
          <w:spacing w:val="0"/>
          <w:sz w:val="32"/>
          <w:szCs w:val="32"/>
          <w:shd w:val="clear" w:fill="FFFFFF"/>
        </w:rPr>
      </w:pPr>
      <w:r>
        <w:rPr>
          <w:rFonts w:hint="eastAsia" w:ascii="仿宋" w:hAnsi="仿宋" w:eastAsia="仿宋" w:cs="仿宋"/>
          <w:i w:val="0"/>
          <w:iCs w:val="0"/>
          <w:caps w:val="0"/>
          <w:color w:val="333333"/>
          <w:spacing w:val="0"/>
          <w:sz w:val="32"/>
          <w:szCs w:val="32"/>
          <w:shd w:val="clear" w:fill="FFFFFF"/>
          <w:lang w:eastAsia="zh-CN"/>
        </w:rPr>
        <w:t>（</w:t>
      </w:r>
      <w:r>
        <w:rPr>
          <w:rFonts w:hint="eastAsia" w:ascii="仿宋" w:hAnsi="仿宋" w:eastAsia="仿宋" w:cs="仿宋"/>
          <w:i w:val="0"/>
          <w:iCs w:val="0"/>
          <w:caps w:val="0"/>
          <w:color w:val="333333"/>
          <w:spacing w:val="0"/>
          <w:sz w:val="32"/>
          <w:szCs w:val="32"/>
          <w:shd w:val="clear" w:fill="FFFFFF"/>
          <w:lang w:val="en-US" w:eastAsia="zh-CN"/>
        </w:rPr>
        <w:t>1）</w:t>
      </w:r>
      <w:r>
        <w:rPr>
          <w:rFonts w:hint="eastAsia" w:ascii="仿宋" w:hAnsi="仿宋" w:eastAsia="仿宋" w:cs="仿宋"/>
          <w:i w:val="0"/>
          <w:iCs w:val="0"/>
          <w:caps w:val="0"/>
          <w:color w:val="333333"/>
          <w:spacing w:val="0"/>
          <w:sz w:val="32"/>
          <w:szCs w:val="32"/>
          <w:shd w:val="clear" w:fill="FFFFFF"/>
        </w:rPr>
        <w:t>协助街道（乡）领导处理党务和政务日常事务；负责机关文电、重要文稿、信息、档案、网信、机要、保密、会务、接待、后勤等工作；负责综合协调、综合调研、督察督办、综合考核等工作。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3" w:lineRule="atLeast"/>
        <w:ind w:right="0" w:firstLine="320" w:firstLineChars="100"/>
        <w:jc w:val="both"/>
        <w:textAlignment w:val="center"/>
        <w:rPr>
          <w:rFonts w:hint="eastAsia" w:ascii="仿宋" w:hAnsi="仿宋" w:eastAsia="仿宋" w:cs="仿宋"/>
          <w:i w:val="0"/>
          <w:iCs w:val="0"/>
          <w:caps w:val="0"/>
          <w:color w:val="333333"/>
          <w:spacing w:val="0"/>
          <w:sz w:val="32"/>
          <w:szCs w:val="32"/>
          <w:shd w:val="clear" w:fill="FFFFFF"/>
        </w:rPr>
      </w:pPr>
      <w:r>
        <w:rPr>
          <w:rFonts w:hint="eastAsia" w:ascii="仿宋" w:hAnsi="仿宋" w:eastAsia="仿宋" w:cs="仿宋"/>
          <w:i w:val="0"/>
          <w:iCs w:val="0"/>
          <w:caps w:val="0"/>
          <w:color w:val="333333"/>
          <w:spacing w:val="0"/>
          <w:sz w:val="32"/>
          <w:szCs w:val="32"/>
          <w:shd w:val="clear" w:fill="FFFFFF"/>
          <w:lang w:eastAsia="zh-CN"/>
        </w:rPr>
        <w:t>（</w:t>
      </w:r>
      <w:r>
        <w:rPr>
          <w:rFonts w:hint="eastAsia" w:ascii="仿宋" w:hAnsi="仿宋" w:eastAsia="仿宋" w:cs="仿宋"/>
          <w:i w:val="0"/>
          <w:iCs w:val="0"/>
          <w:caps w:val="0"/>
          <w:color w:val="333333"/>
          <w:spacing w:val="0"/>
          <w:sz w:val="32"/>
          <w:szCs w:val="32"/>
          <w:shd w:val="clear" w:fill="FFFFFF"/>
          <w:lang w:val="en-US" w:eastAsia="zh-CN"/>
        </w:rPr>
        <w:t>2）</w:t>
      </w:r>
      <w:r>
        <w:rPr>
          <w:rFonts w:hint="eastAsia" w:ascii="仿宋" w:hAnsi="仿宋" w:eastAsia="仿宋" w:cs="仿宋"/>
          <w:i w:val="0"/>
          <w:iCs w:val="0"/>
          <w:caps w:val="0"/>
          <w:color w:val="333333"/>
          <w:spacing w:val="0"/>
          <w:sz w:val="32"/>
          <w:szCs w:val="32"/>
          <w:shd w:val="clear" w:fill="FFFFFF"/>
        </w:rPr>
        <w:t>负责基层组织建设和党员队伍建设工作；负责干部人事、思想宣传、意识形态、文明创建、统一战线、民宗侨务、机构编制等工作；负责离退休干部管理服务等工作。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3" w:lineRule="atLeast"/>
        <w:ind w:right="0"/>
        <w:jc w:val="both"/>
        <w:textAlignment w:val="center"/>
        <w:rPr>
          <w:rFonts w:hint="eastAsia" w:ascii="仿宋" w:hAnsi="仿宋" w:eastAsia="仿宋" w:cs="仿宋"/>
          <w:i w:val="0"/>
          <w:iCs w:val="0"/>
          <w:caps w:val="0"/>
          <w:color w:val="333333"/>
          <w:spacing w:val="0"/>
          <w:sz w:val="32"/>
          <w:szCs w:val="32"/>
        </w:rPr>
      </w:pPr>
      <w:r>
        <w:rPr>
          <w:rFonts w:hint="eastAsia" w:ascii="微软雅黑" w:hAnsi="微软雅黑" w:eastAsia="微软雅黑" w:cs="微软雅黑"/>
          <w:i w:val="0"/>
          <w:iCs w:val="0"/>
          <w:caps w:val="0"/>
          <w:color w:val="333333"/>
          <w:spacing w:val="0"/>
          <w:sz w:val="24"/>
          <w:szCs w:val="24"/>
          <w:shd w:val="clear" w:fill="FFFFFF"/>
        </w:rPr>
        <w:t>　</w:t>
      </w:r>
      <w:r>
        <w:rPr>
          <w:rFonts w:hint="eastAsia" w:ascii="仿宋" w:hAnsi="仿宋" w:eastAsia="仿宋" w:cs="仿宋"/>
          <w:i w:val="0"/>
          <w:iCs w:val="0"/>
          <w:caps w:val="0"/>
          <w:color w:val="333333"/>
          <w:spacing w:val="0"/>
          <w:sz w:val="32"/>
          <w:szCs w:val="32"/>
          <w:shd w:val="clear" w:fill="FFFFFF"/>
          <w:lang w:eastAsia="zh-CN"/>
        </w:rPr>
        <w:t>（</w:t>
      </w:r>
      <w:r>
        <w:rPr>
          <w:rFonts w:hint="eastAsia" w:ascii="仿宋" w:hAnsi="仿宋" w:eastAsia="仿宋" w:cs="仿宋"/>
          <w:i w:val="0"/>
          <w:iCs w:val="0"/>
          <w:caps w:val="0"/>
          <w:color w:val="333333"/>
          <w:spacing w:val="0"/>
          <w:sz w:val="32"/>
          <w:szCs w:val="32"/>
          <w:shd w:val="clear" w:fill="FFFFFF"/>
          <w:lang w:val="en-US" w:eastAsia="zh-CN"/>
        </w:rPr>
        <w:t>3）</w:t>
      </w:r>
      <w:r>
        <w:rPr>
          <w:rFonts w:hint="eastAsia" w:ascii="仿宋" w:hAnsi="仿宋" w:eastAsia="仿宋" w:cs="仿宋"/>
          <w:i w:val="0"/>
          <w:iCs w:val="0"/>
          <w:caps w:val="0"/>
          <w:color w:val="333333"/>
          <w:spacing w:val="0"/>
          <w:sz w:val="32"/>
          <w:szCs w:val="32"/>
          <w:shd w:val="clear" w:fill="FFFFFF"/>
        </w:rPr>
        <w:t>负责社区治理、基层政权建设、社会救助、养老服务、特困供养、社会福利、社会组织服务、孤残等特殊群体救助、残疾人管理等行政性事务工作。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3" w:lineRule="atLeast"/>
        <w:ind w:right="0" w:firstLine="320" w:firstLineChars="100"/>
        <w:jc w:val="both"/>
        <w:textAlignment w:val="center"/>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333333"/>
          <w:spacing w:val="0"/>
          <w:sz w:val="32"/>
          <w:szCs w:val="32"/>
          <w:shd w:val="clear" w:fill="FFFFFF"/>
          <w:lang w:eastAsia="zh-CN"/>
        </w:rPr>
        <w:t>（</w:t>
      </w:r>
      <w:r>
        <w:rPr>
          <w:rFonts w:hint="eastAsia" w:ascii="仿宋" w:hAnsi="仿宋" w:eastAsia="仿宋" w:cs="仿宋"/>
          <w:i w:val="0"/>
          <w:iCs w:val="0"/>
          <w:caps w:val="0"/>
          <w:color w:val="333333"/>
          <w:spacing w:val="0"/>
          <w:sz w:val="32"/>
          <w:szCs w:val="32"/>
          <w:shd w:val="clear" w:fill="FFFFFF"/>
          <w:lang w:val="en-US" w:eastAsia="zh-CN"/>
        </w:rPr>
        <w:t>4）</w:t>
      </w:r>
      <w:r>
        <w:rPr>
          <w:rFonts w:hint="eastAsia" w:ascii="仿宋" w:hAnsi="仿宋" w:eastAsia="仿宋" w:cs="仿宋"/>
          <w:i w:val="0"/>
          <w:iCs w:val="0"/>
          <w:caps w:val="0"/>
          <w:color w:val="333333"/>
          <w:spacing w:val="0"/>
          <w:sz w:val="32"/>
          <w:szCs w:val="32"/>
          <w:shd w:val="clear" w:fill="FFFFFF"/>
        </w:rPr>
        <w:t>负责自然灾害、防汛抗旱、安全事故、群体性事件等突发公共事件的应急管理预防与处置；负责安全生产监督管理工作；组织社会应急救援力量建设；协助上级应急管理部门做好灾害事故预防预警、核查评估、救灾救助、安置善后等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3" w:lineRule="atLeast"/>
        <w:ind w:right="0"/>
        <w:jc w:val="both"/>
        <w:textAlignment w:val="center"/>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333333"/>
          <w:spacing w:val="0"/>
          <w:sz w:val="32"/>
          <w:szCs w:val="32"/>
          <w:shd w:val="clear" w:fill="FFFFFF"/>
        </w:rPr>
        <w:t>　</w:t>
      </w:r>
      <w:r>
        <w:rPr>
          <w:rFonts w:hint="eastAsia" w:ascii="仿宋" w:hAnsi="仿宋" w:eastAsia="仿宋" w:cs="仿宋"/>
          <w:i w:val="0"/>
          <w:iCs w:val="0"/>
          <w:caps w:val="0"/>
          <w:color w:val="333333"/>
          <w:spacing w:val="0"/>
          <w:sz w:val="32"/>
          <w:szCs w:val="32"/>
          <w:shd w:val="clear" w:fill="FFFFFF"/>
          <w:lang w:eastAsia="zh-CN"/>
        </w:rPr>
        <w:t>（</w:t>
      </w:r>
      <w:r>
        <w:rPr>
          <w:rFonts w:hint="eastAsia" w:ascii="仿宋" w:hAnsi="仿宋" w:eastAsia="仿宋" w:cs="仿宋"/>
          <w:i w:val="0"/>
          <w:iCs w:val="0"/>
          <w:caps w:val="0"/>
          <w:color w:val="333333"/>
          <w:spacing w:val="0"/>
          <w:sz w:val="32"/>
          <w:szCs w:val="32"/>
          <w:shd w:val="clear" w:fill="FFFFFF"/>
          <w:lang w:val="en-US" w:eastAsia="zh-CN"/>
        </w:rPr>
        <w:t>5）</w:t>
      </w:r>
      <w:r>
        <w:rPr>
          <w:rFonts w:hint="eastAsia" w:ascii="仿宋" w:hAnsi="仿宋" w:eastAsia="仿宋" w:cs="仿宋"/>
          <w:i w:val="0"/>
          <w:iCs w:val="0"/>
          <w:caps w:val="0"/>
          <w:color w:val="333333"/>
          <w:spacing w:val="0"/>
          <w:sz w:val="32"/>
          <w:szCs w:val="32"/>
          <w:shd w:val="clear" w:fill="FFFFFF"/>
        </w:rPr>
        <w:t>负责社会治安综合治理、维护稳定、信访、防范邪教、平安建设等工作。 人大、政协、纪检（监察）、人民武装等机构和工会、共青团、妇联、机关党支部等组织按有关规定或章程设置。</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3" w:lineRule="atLeast"/>
        <w:ind w:right="0" w:firstLine="320" w:firstLineChars="100"/>
        <w:jc w:val="both"/>
        <w:textAlignment w:val="center"/>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333333"/>
          <w:spacing w:val="0"/>
          <w:sz w:val="32"/>
          <w:szCs w:val="32"/>
          <w:shd w:val="clear" w:fill="FFFFFF"/>
          <w:lang w:eastAsia="zh-CN"/>
        </w:rPr>
        <w:t>（</w:t>
      </w:r>
      <w:r>
        <w:rPr>
          <w:rFonts w:hint="eastAsia" w:ascii="仿宋" w:hAnsi="仿宋" w:eastAsia="仿宋" w:cs="仿宋"/>
          <w:i w:val="0"/>
          <w:iCs w:val="0"/>
          <w:caps w:val="0"/>
          <w:color w:val="333333"/>
          <w:spacing w:val="0"/>
          <w:sz w:val="32"/>
          <w:szCs w:val="32"/>
          <w:shd w:val="clear" w:fill="FFFFFF"/>
          <w:lang w:val="en-US" w:eastAsia="zh-CN"/>
        </w:rPr>
        <w:t>6）</w:t>
      </w:r>
      <w:r>
        <w:rPr>
          <w:rFonts w:hint="eastAsia" w:ascii="仿宋" w:hAnsi="仿宋" w:eastAsia="仿宋" w:cs="仿宋"/>
          <w:i w:val="0"/>
          <w:iCs w:val="0"/>
          <w:caps w:val="0"/>
          <w:color w:val="333333"/>
          <w:spacing w:val="0"/>
          <w:sz w:val="32"/>
          <w:szCs w:val="32"/>
          <w:shd w:val="clear" w:fill="FFFFFF"/>
        </w:rPr>
        <w:t>负责承办人力资源和社会保障、医疗保障、卫生健康与计划生育、职业健康、教育、文化旅游广电体育、红十字等方面的事务性工作和公益性服务。</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3" w:lineRule="atLeast"/>
        <w:ind w:right="0" w:firstLine="320" w:firstLineChars="100"/>
        <w:jc w:val="both"/>
        <w:textAlignment w:val="center"/>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333333"/>
          <w:spacing w:val="0"/>
          <w:sz w:val="32"/>
          <w:szCs w:val="32"/>
          <w:shd w:val="clear" w:fill="FFFFFF"/>
          <w:lang w:eastAsia="zh-CN"/>
        </w:rPr>
        <w:t>（</w:t>
      </w:r>
      <w:r>
        <w:rPr>
          <w:rFonts w:hint="eastAsia" w:ascii="仿宋" w:hAnsi="仿宋" w:eastAsia="仿宋" w:cs="仿宋"/>
          <w:i w:val="0"/>
          <w:iCs w:val="0"/>
          <w:caps w:val="0"/>
          <w:color w:val="333333"/>
          <w:spacing w:val="0"/>
          <w:sz w:val="32"/>
          <w:szCs w:val="32"/>
          <w:shd w:val="clear" w:fill="FFFFFF"/>
          <w:lang w:val="en-US" w:eastAsia="zh-CN"/>
        </w:rPr>
        <w:t>7）</w:t>
      </w:r>
      <w:r>
        <w:rPr>
          <w:rFonts w:hint="eastAsia" w:ascii="仿宋" w:hAnsi="仿宋" w:eastAsia="仿宋" w:cs="仿宋"/>
          <w:i w:val="0"/>
          <w:iCs w:val="0"/>
          <w:caps w:val="0"/>
          <w:color w:val="333333"/>
          <w:spacing w:val="0"/>
          <w:sz w:val="32"/>
          <w:szCs w:val="32"/>
          <w:shd w:val="clear" w:fill="FFFFFF"/>
        </w:rPr>
        <w:t>协助经济发展办公室的工作，负责协调推进二、三产业的服务工作，承办辖区内征地拆迁、棚改安置、危房改造等方面重点建设项目的事务性工作和公益性服务；负责辖区内农业、林业、畜牧水产等方面的事务性工作和公益性服务。</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3" w:lineRule="atLeast"/>
        <w:ind w:right="0" w:firstLine="320" w:firstLineChars="100"/>
        <w:jc w:val="both"/>
        <w:textAlignment w:val="center"/>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333333"/>
          <w:spacing w:val="0"/>
          <w:sz w:val="32"/>
          <w:szCs w:val="32"/>
          <w:shd w:val="clear" w:fill="FFFFFF"/>
          <w:lang w:eastAsia="zh-CN"/>
        </w:rPr>
        <w:t>（</w:t>
      </w:r>
      <w:r>
        <w:rPr>
          <w:rFonts w:hint="eastAsia" w:ascii="仿宋" w:hAnsi="仿宋" w:eastAsia="仿宋" w:cs="仿宋"/>
          <w:i w:val="0"/>
          <w:iCs w:val="0"/>
          <w:caps w:val="0"/>
          <w:color w:val="333333"/>
          <w:spacing w:val="0"/>
          <w:sz w:val="32"/>
          <w:szCs w:val="32"/>
          <w:shd w:val="clear" w:fill="FFFFFF"/>
          <w:lang w:val="en-US" w:eastAsia="zh-CN"/>
        </w:rPr>
        <w:t>8）</w:t>
      </w:r>
      <w:r>
        <w:rPr>
          <w:rFonts w:hint="eastAsia" w:ascii="仿宋" w:hAnsi="仿宋" w:eastAsia="仿宋" w:cs="仿宋"/>
          <w:i w:val="0"/>
          <w:iCs w:val="0"/>
          <w:caps w:val="0"/>
          <w:color w:val="333333"/>
          <w:spacing w:val="0"/>
          <w:sz w:val="32"/>
          <w:szCs w:val="32"/>
          <w:shd w:val="clear" w:fill="FFFFFF"/>
        </w:rPr>
        <w:t>负责承办辖区内群众、单位相关政务、社会服务事项，充分发挥便民服务作用；负责办事窗口服务质量与办事效率考核，受理办事群众投诉；负责统筹协调“互联网+政务服务”工作，承担网格化管理的巡查、指挥、调度、督办和12345热线等平台的事务性工作；指导社区开展政务和网格化服务；进一步拓展服务党组织和党员群众的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333333"/>
          <w:spacing w:val="0"/>
          <w:sz w:val="32"/>
          <w:szCs w:val="32"/>
          <w:shd w:val="clear" w:fill="FFFFFF"/>
          <w:lang w:eastAsia="zh-CN"/>
        </w:rPr>
        <w:t>（</w:t>
      </w:r>
      <w:r>
        <w:rPr>
          <w:rFonts w:hint="eastAsia" w:ascii="仿宋" w:hAnsi="仿宋" w:eastAsia="仿宋" w:cs="仿宋"/>
          <w:i w:val="0"/>
          <w:iCs w:val="0"/>
          <w:caps w:val="0"/>
          <w:color w:val="333333"/>
          <w:spacing w:val="0"/>
          <w:sz w:val="32"/>
          <w:szCs w:val="32"/>
          <w:shd w:val="clear" w:fill="FFFFFF"/>
          <w:lang w:val="en-US" w:eastAsia="zh-CN"/>
        </w:rPr>
        <w:t>9）</w:t>
      </w:r>
      <w:r>
        <w:rPr>
          <w:rFonts w:hint="eastAsia" w:ascii="仿宋" w:hAnsi="仿宋" w:eastAsia="仿宋" w:cs="仿宋"/>
          <w:i w:val="0"/>
          <w:iCs w:val="0"/>
          <w:caps w:val="0"/>
          <w:color w:val="333333"/>
          <w:spacing w:val="0"/>
          <w:sz w:val="32"/>
          <w:szCs w:val="32"/>
          <w:shd w:val="clear" w:fill="FFFFFF"/>
        </w:rPr>
        <w:t>负责辖区内退役军人及军烈属就业创业、优抚帮扶、权益保障、走访慰问、信访接待、政策法律服务等方面的事务性工作；协助做好涉退役军人舆情的收集、引导工作；协助开展退役军人和其他优抚对象信息数据采集、资料管理、汇总分析等工作；指导社区（村）退役军人服务站做好退役军人教育管理服务工作。</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微软雅黑" w:hAnsi="微软雅黑" w:eastAsia="微软雅黑" w:cs="微软雅黑"/>
          <w:i w:val="0"/>
          <w:iCs w:val="0"/>
          <w:caps w:val="0"/>
          <w:color w:val="333333"/>
          <w:spacing w:val="0"/>
          <w:sz w:val="24"/>
          <w:szCs w:val="24"/>
          <w:shd w:val="clear" w:fill="FFFFFF"/>
        </w:rPr>
      </w:pPr>
      <w:r>
        <w:rPr>
          <w:rFonts w:hint="eastAsia" w:ascii="仿宋" w:hAnsi="仿宋" w:eastAsia="仿宋" w:cs="仿宋"/>
          <w:i w:val="0"/>
          <w:iCs w:val="0"/>
          <w:caps w:val="0"/>
          <w:color w:val="333333"/>
          <w:spacing w:val="0"/>
          <w:sz w:val="32"/>
          <w:szCs w:val="32"/>
          <w:shd w:val="clear" w:fill="FFFFFF"/>
          <w:lang w:eastAsia="zh-CN"/>
        </w:rPr>
        <w:t>（</w:t>
      </w:r>
      <w:r>
        <w:rPr>
          <w:rFonts w:hint="eastAsia" w:ascii="仿宋" w:hAnsi="仿宋" w:eastAsia="仿宋" w:cs="仿宋"/>
          <w:i w:val="0"/>
          <w:iCs w:val="0"/>
          <w:caps w:val="0"/>
          <w:color w:val="333333"/>
          <w:spacing w:val="0"/>
          <w:sz w:val="32"/>
          <w:szCs w:val="32"/>
          <w:shd w:val="clear" w:fill="FFFFFF"/>
          <w:lang w:val="en-US" w:eastAsia="zh-CN"/>
        </w:rPr>
        <w:t>10）</w:t>
      </w:r>
      <w:r>
        <w:rPr>
          <w:rFonts w:hint="eastAsia" w:ascii="仿宋" w:hAnsi="仿宋" w:eastAsia="仿宋" w:cs="仿宋"/>
          <w:i w:val="0"/>
          <w:iCs w:val="0"/>
          <w:caps w:val="0"/>
          <w:color w:val="333333"/>
          <w:spacing w:val="0"/>
          <w:sz w:val="32"/>
          <w:szCs w:val="32"/>
          <w:shd w:val="clear" w:fill="FFFFFF"/>
        </w:rPr>
        <w:t>环境卫生服务中心实行区街道（乡）两级共管，以街道（乡）管理为主。主要负责辖区内环境卫生、爱国卫生、爱卫创建和小街巷的市政维护和市容管理等工作</w:t>
      </w:r>
      <w:r>
        <w:rPr>
          <w:rFonts w:hint="eastAsia" w:ascii="微软雅黑" w:hAnsi="微软雅黑" w:eastAsia="微软雅黑" w:cs="微软雅黑"/>
          <w:i w:val="0"/>
          <w:iCs w:val="0"/>
          <w:caps w:val="0"/>
          <w:color w:val="333333"/>
          <w:spacing w:val="0"/>
          <w:sz w:val="24"/>
          <w:szCs w:val="24"/>
          <w:shd w:val="clear" w:fill="FFFFFF"/>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 w:hAnsi="仿宋" w:eastAsia="仿宋" w:cs="仿宋"/>
          <w:i w:val="0"/>
          <w:iCs w:val="0"/>
          <w:caps w:val="0"/>
          <w:color w:val="333333"/>
          <w:spacing w:val="0"/>
          <w:sz w:val="32"/>
          <w:szCs w:val="32"/>
          <w:shd w:val="clear" w:fill="FFFFFF"/>
          <w:lang w:eastAsia="zh-CN"/>
        </w:rPr>
      </w:pPr>
      <w:r>
        <w:rPr>
          <w:rFonts w:hint="eastAsia" w:ascii="仿宋" w:hAnsi="仿宋" w:eastAsia="仿宋" w:cs="仿宋"/>
          <w:i w:val="0"/>
          <w:iCs w:val="0"/>
          <w:caps w:val="0"/>
          <w:color w:val="333333"/>
          <w:spacing w:val="0"/>
          <w:sz w:val="32"/>
          <w:szCs w:val="32"/>
          <w:lang w:eastAsia="zh-CN"/>
        </w:rPr>
        <w:t>（</w:t>
      </w:r>
      <w:r>
        <w:rPr>
          <w:rFonts w:hint="eastAsia" w:ascii="仿宋" w:hAnsi="仿宋" w:eastAsia="仿宋" w:cs="仿宋"/>
          <w:i w:val="0"/>
          <w:iCs w:val="0"/>
          <w:caps w:val="0"/>
          <w:color w:val="333333"/>
          <w:spacing w:val="0"/>
          <w:sz w:val="32"/>
          <w:szCs w:val="32"/>
          <w:lang w:val="en-US" w:eastAsia="zh-CN"/>
        </w:rPr>
        <w:t>11)</w:t>
      </w:r>
      <w:r>
        <w:rPr>
          <w:rFonts w:hint="eastAsia" w:ascii="仿宋" w:hAnsi="仿宋" w:eastAsia="仿宋" w:cs="仿宋"/>
          <w:i w:val="0"/>
          <w:iCs w:val="0"/>
          <w:caps w:val="0"/>
          <w:color w:val="333333"/>
          <w:spacing w:val="0"/>
          <w:sz w:val="32"/>
          <w:szCs w:val="32"/>
          <w:shd w:val="clear" w:fill="FFFFFF"/>
        </w:rPr>
        <w:t>负责街道（乡）司法、禁毒、法制宣传、人民调解、法律服务、社区矫正等工作</w:t>
      </w:r>
      <w:r>
        <w:rPr>
          <w:rFonts w:hint="eastAsia" w:ascii="仿宋" w:hAnsi="仿宋" w:eastAsia="仿宋" w:cs="仿宋"/>
          <w:i w:val="0"/>
          <w:iCs w:val="0"/>
          <w:caps w:val="0"/>
          <w:color w:val="333333"/>
          <w:spacing w:val="0"/>
          <w:sz w:val="32"/>
          <w:szCs w:val="32"/>
          <w:shd w:val="clear" w:fill="FFFFFF"/>
          <w:lang w:eastAsia="zh-CN"/>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333333"/>
          <w:spacing w:val="0"/>
          <w:sz w:val="32"/>
          <w:szCs w:val="32"/>
          <w:shd w:val="clear" w:fill="FFFFFF"/>
          <w:lang w:eastAsia="zh-CN"/>
        </w:rPr>
        <w:t>（</w:t>
      </w:r>
      <w:r>
        <w:rPr>
          <w:rFonts w:hint="eastAsia" w:ascii="仿宋" w:hAnsi="仿宋" w:eastAsia="仿宋" w:cs="仿宋"/>
          <w:i w:val="0"/>
          <w:iCs w:val="0"/>
          <w:caps w:val="0"/>
          <w:color w:val="333333"/>
          <w:spacing w:val="0"/>
          <w:sz w:val="32"/>
          <w:szCs w:val="32"/>
          <w:shd w:val="clear" w:fill="FFFFFF"/>
          <w:lang w:val="en-US" w:eastAsia="zh-CN"/>
        </w:rPr>
        <w:t>12）</w:t>
      </w:r>
      <w:r>
        <w:rPr>
          <w:rFonts w:hint="eastAsia" w:ascii="仿宋" w:hAnsi="仿宋" w:eastAsia="仿宋" w:cs="仿宋"/>
          <w:i w:val="0"/>
          <w:iCs w:val="0"/>
          <w:caps w:val="0"/>
          <w:color w:val="333333"/>
          <w:spacing w:val="0"/>
          <w:sz w:val="32"/>
          <w:szCs w:val="32"/>
          <w:shd w:val="clear" w:fill="FFFFFF"/>
        </w:rPr>
        <w:t>负责街道（乡）财政、税务、审计、经管等工作，指导和监管社区（村）财务工作。</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微软雅黑" w:hAnsi="微软雅黑" w:eastAsia="微软雅黑" w:cs="微软雅黑"/>
          <w:i w:val="0"/>
          <w:iCs w:val="0"/>
          <w:caps w:val="0"/>
          <w:color w:val="333333"/>
          <w:spacing w:val="0"/>
          <w:sz w:val="24"/>
          <w:szCs w:val="24"/>
        </w:rPr>
      </w:pPr>
      <w:r>
        <w:rPr>
          <w:rFonts w:hint="eastAsia" w:ascii="仿宋" w:hAnsi="仿宋" w:eastAsia="仿宋" w:cs="仿宋"/>
          <w:i w:val="0"/>
          <w:iCs w:val="0"/>
          <w:caps w:val="0"/>
          <w:color w:val="333333"/>
          <w:spacing w:val="0"/>
          <w:sz w:val="32"/>
          <w:szCs w:val="32"/>
          <w:shd w:val="clear" w:fill="FFFFFF"/>
        </w:rPr>
        <w:t>　　</w:t>
      </w:r>
      <w:r>
        <w:rPr>
          <w:rFonts w:hint="eastAsia" w:ascii="仿宋" w:hAnsi="仿宋" w:eastAsia="仿宋" w:cs="仿宋"/>
          <w:i w:val="0"/>
          <w:iCs w:val="0"/>
          <w:caps w:val="0"/>
          <w:color w:val="333333"/>
          <w:spacing w:val="0"/>
          <w:sz w:val="32"/>
          <w:szCs w:val="32"/>
          <w:shd w:val="clear" w:fill="FFFFFF"/>
          <w:lang w:eastAsia="zh-CN"/>
        </w:rPr>
        <w:t>（</w:t>
      </w:r>
      <w:r>
        <w:rPr>
          <w:rFonts w:hint="eastAsia" w:ascii="仿宋" w:hAnsi="仿宋" w:eastAsia="仿宋" w:cs="仿宋"/>
          <w:i w:val="0"/>
          <w:iCs w:val="0"/>
          <w:caps w:val="0"/>
          <w:color w:val="333333"/>
          <w:spacing w:val="0"/>
          <w:sz w:val="32"/>
          <w:szCs w:val="32"/>
          <w:shd w:val="clear" w:fill="FFFFFF"/>
          <w:lang w:val="en-US" w:eastAsia="zh-CN"/>
        </w:rPr>
        <w:t>13）</w:t>
      </w:r>
      <w:r>
        <w:rPr>
          <w:rFonts w:hint="eastAsia" w:ascii="仿宋" w:hAnsi="仿宋" w:eastAsia="仿宋" w:cs="仿宋"/>
          <w:i w:val="0"/>
          <w:iCs w:val="0"/>
          <w:caps w:val="0"/>
          <w:color w:val="333333"/>
          <w:spacing w:val="0"/>
          <w:sz w:val="32"/>
          <w:szCs w:val="32"/>
          <w:shd w:val="clear" w:fill="FFFFFF"/>
        </w:rPr>
        <w:t>负责本辖区日常执法活动和重大案件线索巡查，区级以上执法部门主要负责重大案件查处和跨街道（乡）执法活动。</w:t>
      </w:r>
    </w:p>
    <w:p>
      <w:pPr>
        <w:keepNext w:val="0"/>
        <w:keepLines w:val="0"/>
        <w:pageBreakBefore w:val="0"/>
        <w:widowControl w:val="0"/>
        <w:numPr>
          <w:ilvl w:val="0"/>
          <w:numId w:val="0"/>
        </w:numPr>
        <w:kinsoku/>
        <w:wordWrap/>
        <w:overflowPunct/>
        <w:topLinePunct w:val="0"/>
        <w:autoSpaceDE/>
        <w:autoSpaceDN/>
        <w:bidi w:val="0"/>
        <w:adjustRightInd/>
        <w:snapToGrid/>
        <w:ind w:leftChars="400"/>
        <w:jc w:val="left"/>
        <w:textAlignment w:val="auto"/>
        <w:rPr>
          <w:rFonts w:hint="default" w:ascii="黑体" w:hAnsi="黑体" w:eastAsia="黑体" w:cs="黑体"/>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default"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一般公共预算支出情况</w:t>
      </w:r>
    </w:p>
    <w:p>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基本支出情况</w:t>
      </w:r>
    </w:p>
    <w:p>
      <w:pPr>
        <w:keepNext w:val="0"/>
        <w:keepLines w:val="0"/>
        <w:pageBreakBefore w:val="0"/>
        <w:widowControl w:val="0"/>
        <w:numPr>
          <w:ilvl w:val="0"/>
          <w:numId w:val="3"/>
        </w:numPr>
        <w:kinsoku/>
        <w:wordWrap/>
        <w:overflowPunct/>
        <w:topLinePunct w:val="0"/>
        <w:autoSpaceDE/>
        <w:autoSpaceDN/>
        <w:bidi w:val="0"/>
        <w:adjustRightInd/>
        <w:snapToGrid/>
        <w:ind w:leftChars="200"/>
        <w:jc w:val="left"/>
        <w:textAlignment w:val="auto"/>
        <w:rPr>
          <w:rFonts w:hint="eastAsia" w:ascii="仿宋" w:hAnsi="仿宋" w:eastAsia="仿宋" w:cs="仿宋"/>
          <w:b w:val="0"/>
          <w:bCs w:val="0"/>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 xml:space="preserve">预算配置情况评价分析 </w:t>
      </w:r>
      <w:r>
        <w:rPr>
          <w:rFonts w:hint="eastAsia" w:ascii="仿宋" w:hAnsi="仿宋" w:eastAsia="仿宋" w:cs="仿宋"/>
          <w:b w:val="0"/>
          <w:bCs w:val="0"/>
          <w:color w:val="000000" w:themeColor="text1"/>
          <w:spacing w:val="0"/>
          <w:position w:val="0"/>
          <w:sz w:val="32"/>
          <w:szCs w:val="32"/>
          <w:lang w:val="en-US" w:eastAsia="zh-CN"/>
          <w14:textFill>
            <w14:solidFill>
              <w14:schemeClr w14:val="tx1"/>
            </w14:solidFill>
          </w14:textFill>
        </w:rPr>
        <w:t xml:space="preserve"> 根据岳阳楼区编制部门文件规定，岳阳楼区枫桥湖街道办事处人员编制60人，2022年决算报表反映实际在职人员60人，财政供养人员控制率为100%。</w:t>
      </w:r>
    </w:p>
    <w:p>
      <w:pPr>
        <w:keepNext w:val="0"/>
        <w:keepLines w:val="0"/>
        <w:pageBreakBefore w:val="0"/>
        <w:widowControl w:val="0"/>
        <w:numPr>
          <w:ilvl w:val="0"/>
          <w:numId w:val="3"/>
        </w:numPr>
        <w:kinsoku/>
        <w:wordWrap/>
        <w:overflowPunct/>
        <w:topLinePunct w:val="0"/>
        <w:autoSpaceDE/>
        <w:autoSpaceDN/>
        <w:bidi w:val="0"/>
        <w:adjustRightInd/>
        <w:snapToGrid/>
        <w:ind w:left="420" w:leftChars="200" w:firstLine="0" w:firstLineChars="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整体支出情况分析</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仿宋" w:hAnsi="仿宋" w:eastAsia="仿宋" w:cs="仿宋"/>
          <w:b/>
          <w:bCs/>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kern w:val="0"/>
          <w:sz w:val="32"/>
          <w:szCs w:val="32"/>
          <w:lang w:val="en-US" w:eastAsia="zh-CN"/>
        </w:rPr>
        <w:t>2022年度基本支出1449.99万元，其中：工资福利支出800.52万元，占基本支出的35.78%。主要包括基本工资、津贴补贴、</w:t>
      </w:r>
      <w:r>
        <w:rPr>
          <w:rFonts w:hint="eastAsia" w:ascii="仿宋" w:hAnsi="仿宋" w:eastAsia="仿宋" w:cs="仿宋"/>
          <w:kern w:val="0"/>
          <w:sz w:val="32"/>
          <w:szCs w:val="32"/>
          <w:lang w:val="zh-CN" w:eastAsia="zh-CN"/>
        </w:rPr>
        <w:t>奖金、绩效工资、机关事业单位基本养老保险缴费、职工基本医疗保险缴费、公务员医疗补助缴费、其他社会保障缴费、住房公积金、其他工资福利支出。</w:t>
      </w:r>
      <w:r>
        <w:rPr>
          <w:rFonts w:hint="eastAsia" w:ascii="仿宋" w:hAnsi="仿宋" w:eastAsia="仿宋" w:cs="仿宋"/>
          <w:kern w:val="0"/>
          <w:sz w:val="32"/>
          <w:szCs w:val="32"/>
          <w:lang w:val="en-US" w:eastAsia="zh-CN"/>
        </w:rPr>
        <w:t>商品和服务支出1387.56万元，占基本支出的62.02%。主要包括办公费、印刷费、水费、电费、邮电费、差旅费、维修（护）费、会议费、培训费、公务接待费、劳务费、工会经费、其他交通费用、其他商品和服务支出。对个人和家庭的补助49.51万元，占基本支出的2.2%。主要包括</w:t>
      </w:r>
      <w:r>
        <w:rPr>
          <w:rFonts w:hint="eastAsia" w:ascii="仿宋" w:hAnsi="仿宋" w:eastAsia="仿宋" w:cs="仿宋"/>
          <w:kern w:val="0"/>
          <w:sz w:val="32"/>
          <w:szCs w:val="32"/>
          <w:lang w:val="zh-CN" w:eastAsia="zh-CN"/>
        </w:rPr>
        <w:t>抚恤金、生活补助、医疗费补助、奖励金、其他对个人和家庭的补助</w:t>
      </w:r>
      <w:r>
        <w:rPr>
          <w:rFonts w:hint="eastAsia" w:ascii="仿宋" w:hAnsi="仿宋" w:eastAsia="仿宋" w:cs="仿宋"/>
          <w:kern w:val="0"/>
          <w:sz w:val="32"/>
          <w:szCs w:val="32"/>
          <w:lang w:val="en-US" w:eastAsia="zh-CN"/>
        </w:rPr>
        <w:t>。</w:t>
      </w:r>
    </w:p>
    <w:p>
      <w:pPr>
        <w:keepNext w:val="0"/>
        <w:keepLines w:val="0"/>
        <w:pageBreakBefore w:val="0"/>
        <w:widowControl w:val="0"/>
        <w:numPr>
          <w:ilvl w:val="0"/>
          <w:numId w:val="2"/>
        </w:numPr>
        <w:kinsoku/>
        <w:wordWrap/>
        <w:overflowPunct/>
        <w:topLinePunct w:val="0"/>
        <w:autoSpaceDE/>
        <w:autoSpaceDN/>
        <w:bidi w:val="0"/>
        <w:adjustRightInd/>
        <w:snapToGrid/>
        <w:ind w:left="0" w:leftChars="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pPr>
        <w:keepNext w:val="0"/>
        <w:keepLines w:val="0"/>
        <w:pageBreakBefore w:val="0"/>
        <w:widowControl w:val="0"/>
        <w:numPr>
          <w:ilvl w:val="0"/>
          <w:numId w:val="4"/>
        </w:numPr>
        <w:kinsoku/>
        <w:wordWrap/>
        <w:overflowPunct/>
        <w:topLinePunct w:val="0"/>
        <w:autoSpaceDE/>
        <w:autoSpaceDN/>
        <w:bidi w:val="0"/>
        <w:adjustRightInd/>
        <w:snapToGrid/>
        <w:ind w:leftChars="200"/>
        <w:jc w:val="left"/>
        <w:textAlignment w:val="auto"/>
        <w:rPr>
          <w:rFonts w:hint="eastAsia" w:ascii="Times New Roman" w:hAnsi="Times New Roman" w:eastAsia="仿宋_GB2312" w:cs="仿宋_GB2312"/>
          <w:kern w:val="0"/>
          <w:sz w:val="32"/>
          <w:szCs w:val="32"/>
          <w:lang w:val="en-US" w:eastAsia="zh-CN"/>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项目资金拨入情况分析</w:t>
      </w:r>
      <w:r>
        <w:rPr>
          <w:rFonts w:hint="eastAsia" w:ascii="宋体" w:hAnsi="宋体" w:eastAsia="宋体" w:cs="宋体"/>
          <w:b/>
          <w:bCs/>
          <w:sz w:val="28"/>
          <w:szCs w:val="28"/>
          <w:shd w:val="clear" w:color="auto" w:fill="FFFFFF"/>
          <w:lang w:val="en-US" w:eastAsia="zh-CN"/>
        </w:rPr>
        <w:t xml:space="preserve">  </w:t>
      </w:r>
      <w:r>
        <w:rPr>
          <w:rFonts w:hint="eastAsia" w:ascii="仿宋" w:hAnsi="仿宋" w:eastAsia="仿宋" w:cs="仿宋"/>
          <w:kern w:val="0"/>
          <w:sz w:val="32"/>
          <w:szCs w:val="32"/>
          <w:lang w:val="en-US" w:eastAsia="zh-CN"/>
        </w:rPr>
        <w:t>2022年岳阳楼区枫桥湖街道办事处项目资金到位率100％</w:t>
      </w:r>
      <w:r>
        <w:rPr>
          <w:rFonts w:hint="eastAsia" w:ascii="Times New Roman" w:hAnsi="Times New Roman" w:eastAsia="仿宋_GB2312" w:cs="仿宋_GB2312"/>
          <w:kern w:val="0"/>
          <w:sz w:val="32"/>
          <w:szCs w:val="32"/>
          <w:lang w:val="en-US" w:eastAsia="zh-CN"/>
        </w:rPr>
        <w:t>。</w:t>
      </w:r>
    </w:p>
    <w:p>
      <w:pPr>
        <w:pStyle w:val="2"/>
        <w:numPr>
          <w:ilvl w:val="0"/>
          <w:numId w:val="4"/>
        </w:numPr>
        <w:ind w:left="420" w:leftChars="200" w:firstLine="0" w:firstLineChars="0"/>
        <w:rPr>
          <w:rFonts w:hint="eastAsia" w:ascii="仿宋" w:hAnsi="仿宋" w:eastAsia="仿宋" w:cs="仿宋"/>
          <w:color w:val="000000" w:themeColor="text1"/>
          <w:ker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kern w:val="2"/>
          <w:position w:val="0"/>
          <w:sz w:val="32"/>
          <w:szCs w:val="32"/>
          <w:lang w:val="en-US" w:eastAsia="zh-CN" w:bidi="ar-SA"/>
          <w14:textFill>
            <w14:solidFill>
              <w14:schemeClr w14:val="tx1"/>
            </w14:solidFill>
          </w14:textFill>
        </w:rPr>
        <w:t xml:space="preserve">项目资金使用情况分析  </w:t>
      </w:r>
      <w:r>
        <w:rPr>
          <w:rFonts w:hint="eastAsia" w:ascii="仿宋" w:hAnsi="仿宋" w:eastAsia="仿宋" w:cs="仿宋"/>
          <w:color w:val="000000" w:themeColor="text1"/>
          <w:kern w:val="0"/>
          <w:sz w:val="32"/>
          <w:szCs w:val="32"/>
          <w:lang w:val="en-US" w:eastAsia="zh-CN" w:bidi="ar-SA"/>
          <w14:textFill>
            <w14:solidFill>
              <w14:schemeClr w14:val="tx1"/>
            </w14:solidFill>
          </w14:textFill>
        </w:rPr>
        <w:t>2022年度项目支出787.6万元，其中超30万元的项目支出共计699.32万元，占总项目支出88.79%。其中环卫工人工资及社保经费598.96万元，用于2022年环卫环卫工人发放工资及社会保险费缴纳；退伍军人事务100.36万元，用于退役军人慰问帮扶、义务兵家庭补贴、特殊困难退役军人财政补贴（就业援助人员）、义务兵家庭优待金、退役军人春节慰问款、退役军人“八一”慰问款。</w:t>
      </w:r>
    </w:p>
    <w:p>
      <w:pPr>
        <w:keepNext w:val="0"/>
        <w:keepLines w:val="0"/>
        <w:pageBreakBefore w:val="0"/>
        <w:widowControl w:val="0"/>
        <w:numPr>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default" w:ascii="黑体" w:hAnsi="黑体" w:eastAsia="黑体" w:cs="黑体"/>
          <w:b w:val="0"/>
          <w:bCs w:val="0"/>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0"/>
          <w:position w:val="0"/>
          <w:sz w:val="32"/>
          <w:szCs w:val="32"/>
          <w:lang w:val="en-US" w:eastAsia="zh-CN"/>
          <w14:textFill>
            <w14:solidFill>
              <w14:schemeClr w14:val="tx1"/>
            </w14:solidFill>
          </w14:textFill>
        </w:rPr>
        <w:t>2022年度本单位无政府性基金预算支出。</w:t>
      </w:r>
    </w:p>
    <w:p>
      <w:pPr>
        <w:keepNext w:val="0"/>
        <w:keepLines w:val="0"/>
        <w:pageBreakBefore w:val="0"/>
        <w:widowControl w:val="0"/>
        <w:numPr>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2022年度本单位无国有资本经营预算支出</w:t>
      </w:r>
    </w:p>
    <w:p>
      <w:pPr>
        <w:keepNext w:val="0"/>
        <w:keepLines w:val="0"/>
        <w:pageBreakBefore w:val="0"/>
        <w:widowControl w:val="0"/>
        <w:numPr>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2022年度本单位社会保险基金预算支出</w:t>
      </w:r>
    </w:p>
    <w:p>
      <w:pPr>
        <w:keepNext w:val="0"/>
        <w:keepLines w:val="0"/>
        <w:pageBreakBefore w:val="0"/>
        <w:widowControl w:val="0"/>
        <w:numPr>
          <w:numId w:val="0"/>
        </w:numPr>
        <w:kinsoku/>
        <w:wordWrap/>
        <w:overflowPunct/>
        <w:topLinePunct w:val="0"/>
        <w:autoSpaceDE/>
        <w:autoSpaceDN/>
        <w:bidi w:val="0"/>
        <w:adjustRightInd/>
        <w:snapToGrid/>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（一）年度工作履职目标及履职情况</w:t>
      </w:r>
    </w:p>
    <w:p>
      <w:pPr>
        <w:autoSpaceDE w:val="0"/>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今年来，面对宏观经济持续下行、新冠疫情持续反复、遗留问题错综复杂等诸多挑战，在区委、区政府的坚强领导下，在街道党员干部群众的共同努力下，我们凝心聚力、克难奋进，各项事业取得新成效，辖区发展再上新台阶。</w:t>
      </w:r>
    </w:p>
    <w:p>
      <w:pPr>
        <w:autoSpaceDE w:val="0"/>
        <w:spacing w:line="600" w:lineRule="exact"/>
        <w:ind w:firstLine="643" w:firstLineChars="200"/>
        <w:rPr>
          <w:rFonts w:hint="eastAsia" w:ascii="仿宋" w:hAnsi="仿宋" w:eastAsia="仿宋" w:cs="仿宋"/>
          <w:spacing w:val="-2"/>
          <w:sz w:val="32"/>
          <w:szCs w:val="32"/>
        </w:rPr>
      </w:pPr>
      <w:r>
        <w:rPr>
          <w:rFonts w:hint="eastAsia" w:ascii="楷体_GB2312" w:hAnsi="楷体" w:eastAsia="楷体_GB2312" w:cs="Times New Roman"/>
          <w:b/>
          <w:bCs/>
          <w:sz w:val="32"/>
          <w:szCs w:val="32"/>
        </w:rPr>
        <w:t>1．突出项目为大，经济发展迈出新步伐。</w:t>
      </w:r>
      <w:r>
        <w:rPr>
          <w:rFonts w:hint="eastAsia" w:ascii="仿宋" w:hAnsi="仿宋" w:eastAsia="仿宋" w:cs="仿宋"/>
          <w:sz w:val="32"/>
          <w:szCs w:val="32"/>
        </w:rPr>
        <w:t>坚持把老旧小区改造作为改变辖区面貌、造福居民群众的头等大事来抓，通过积极争取、主动作为，街道被确定为2022年老旧小区改造先行单位，落地实施改造项目21个，总投资达3522万元。建立健全旧改项目班子联点负责、项目推进每周例会等工作机制，争分夺秒赶进度、解难题，所有项目均在全区实现第一批拆除违建、第一批启动建设、第一批竣工验收、第一批结算送审。高标准打造国税新村小区提升类、环盛小区基础类、佘家垅生态游园配套类等一批有实效、有特色、有口碑的示范工程，实现了旧改数量、投资体量、改造质量“三量齐升”、历史突破，工作经验做法被新华社等媒体报道推介。加快推进棚改项目由拆转建，蛋禽市场A地块、德胜北路延伸线两侧等5个棚改项目实现遗留问题处理、项目成本结算清零，建设北路、枫桥湖停车场地块挂牌出让。</w:t>
      </w:r>
      <w:r>
        <w:rPr>
          <w:rFonts w:hint="eastAsia" w:ascii="仿宋" w:hAnsi="仿宋" w:eastAsia="仿宋" w:cs="仿宋"/>
          <w:bCs/>
          <w:sz w:val="32"/>
          <w:szCs w:val="32"/>
        </w:rPr>
        <w:t>优质服务辖区企业发展，枫庭佳苑、湘岳兰庭二期、悦湖湾、市中医院综合楼、枫桥湖派出所、枫桥湖卫生服务中心等重点项目相继竣工，天伦湖与树建设营销全面推进。</w:t>
      </w:r>
      <w:r>
        <w:rPr>
          <w:rFonts w:hint="eastAsia" w:ascii="仿宋" w:hAnsi="仿宋" w:eastAsia="仿宋" w:cs="仿宋"/>
          <w:spacing w:val="-2"/>
          <w:sz w:val="32"/>
          <w:szCs w:val="32"/>
        </w:rPr>
        <w:t>全年新增入库在建项目5个、“四上”企业2家，</w:t>
      </w:r>
      <w:r>
        <w:rPr>
          <w:rFonts w:hint="eastAsia" w:ascii="仿宋" w:hAnsi="仿宋" w:eastAsia="仿宋" w:cs="仿宋"/>
          <w:sz w:val="32"/>
          <w:szCs w:val="32"/>
        </w:rPr>
        <w:t>新增市场</w:t>
      </w:r>
      <w:r>
        <w:rPr>
          <w:rFonts w:hint="eastAsia" w:ascii="仿宋" w:hAnsi="仿宋" w:eastAsia="仿宋" w:cs="仿宋"/>
          <w:spacing w:val="-2"/>
          <w:sz w:val="32"/>
          <w:szCs w:val="32"/>
        </w:rPr>
        <w:t>主体925家。前11个月实现固定资产投资16.8亿元，超额完成年度任务，增幅达158.7%、位列全区第一。</w:t>
      </w:r>
    </w:p>
    <w:p>
      <w:pPr>
        <w:autoSpaceDE w:val="0"/>
        <w:spacing w:line="600" w:lineRule="exact"/>
        <w:ind w:firstLine="643" w:firstLineChars="200"/>
        <w:rPr>
          <w:rFonts w:hint="eastAsia" w:ascii="仿宋" w:hAnsi="仿宋" w:eastAsia="仿宋" w:cs="仿宋"/>
          <w:sz w:val="32"/>
          <w:szCs w:val="32"/>
        </w:rPr>
      </w:pPr>
      <w:r>
        <w:rPr>
          <w:rFonts w:hint="eastAsia" w:ascii="楷体_GB2312" w:hAnsi="楷体" w:eastAsia="楷体_GB2312" w:cs="Times New Roman"/>
          <w:b/>
          <w:bCs/>
          <w:sz w:val="32"/>
          <w:szCs w:val="32"/>
        </w:rPr>
        <w:t>2．突出以人为本，民生服务交出新答卷。</w:t>
      </w:r>
      <w:r>
        <w:rPr>
          <w:rFonts w:hint="eastAsia" w:ascii="仿宋" w:hAnsi="仿宋" w:eastAsia="仿宋" w:cs="仿宋"/>
          <w:spacing w:val="-4"/>
          <w:sz w:val="32"/>
          <w:szCs w:val="32"/>
        </w:rPr>
        <w:t>牢固树立以人民为中心的发展思想，坚持在加快发展中保障和改善民生。</w:t>
      </w:r>
      <w:r>
        <w:rPr>
          <w:rFonts w:hint="eastAsia" w:ascii="仿宋" w:hAnsi="仿宋" w:eastAsia="仿宋" w:cs="仿宋"/>
          <w:bCs/>
          <w:sz w:val="32"/>
          <w:szCs w:val="32"/>
        </w:rPr>
        <w:t>今年来，街</w:t>
      </w:r>
      <w:r>
        <w:rPr>
          <w:rFonts w:hint="eastAsia" w:ascii="仿宋" w:hAnsi="仿宋" w:eastAsia="仿宋" w:cs="仿宋"/>
          <w:color w:val="000000"/>
          <w:kern w:val="0"/>
          <w:sz w:val="32"/>
          <w:szCs w:val="32"/>
        </w:rPr>
        <w:t>道救助慰问辖区困难群众、弱势群体、优抚对象829人次，发放救助慰问资金39.2万元。全面推进社会救助“阳光工程”，实行低保动态管理，现有低保户686户1093人，月保障金44.7万元，牢牢兜住了民生保障网。全力以赴稳就业保就业，新增城镇就业726人，超额完成全年目标任务。</w:t>
      </w:r>
      <w:r>
        <w:rPr>
          <w:rFonts w:hint="eastAsia" w:ascii="仿宋" w:hAnsi="仿宋" w:eastAsia="仿宋" w:cs="仿宋"/>
          <w:sz w:val="32"/>
          <w:szCs w:val="32"/>
        </w:rPr>
        <w:t>主动回应群众关切，动态更新网格基础信息1.76万条，办结网格事件3968件，一大批居民身边的烦心事、焦心事得到有效解决，真正用干部的辛苦指数换来了居民的幸福指数。</w:t>
      </w:r>
      <w:r>
        <w:rPr>
          <w:rFonts w:hint="eastAsia" w:ascii="仿宋" w:hAnsi="仿宋" w:eastAsia="仿宋" w:cs="仿宋"/>
          <w:color w:val="000000"/>
          <w:kern w:val="0"/>
          <w:sz w:val="32"/>
          <w:szCs w:val="32"/>
        </w:rPr>
        <w:t>高位推动</w:t>
      </w:r>
      <w:r>
        <w:rPr>
          <w:rFonts w:hint="eastAsia" w:ascii="仿宋" w:hAnsi="仿宋" w:eastAsia="仿宋" w:cs="仿宋"/>
          <w:sz w:val="32"/>
          <w:szCs w:val="32"/>
        </w:rPr>
        <w:t>医保征缴，完成缴费近2.6万人，如期如量完成任务。扎实做好省运会服务保障工作，获得参赛人员一致好评、市级通报表彰。持之以恒抓好疫情防控，累计接种新冠疫苗2.98万剂次；完成8轮区域全员核酸检测，检测38万人次；排查风险地区来（返）岳人员2.1万人次，居家管控风险人员超过0.6万人次，构筑起风雨同舟、抗击疫情的坚固防线。</w:t>
      </w:r>
    </w:p>
    <w:p>
      <w:pPr>
        <w:autoSpaceDE w:val="0"/>
        <w:spacing w:line="600" w:lineRule="exact"/>
        <w:ind w:firstLine="643" w:firstLineChars="200"/>
        <w:rPr>
          <w:rFonts w:hint="eastAsia" w:ascii="仿宋_GB2312" w:hAnsi="黑体" w:eastAsia="仿宋_GB2312" w:cs="Times New Roman"/>
          <w:sz w:val="32"/>
          <w:szCs w:val="32"/>
        </w:rPr>
      </w:pPr>
      <w:r>
        <w:rPr>
          <w:rFonts w:hint="eastAsia" w:ascii="楷体_GB2312" w:hAnsi="楷体" w:eastAsia="楷体_GB2312" w:cs="Times New Roman"/>
          <w:b/>
          <w:bCs/>
          <w:sz w:val="32"/>
          <w:szCs w:val="32"/>
        </w:rPr>
        <w:t>3．突出品质为先，城市治理再上新台阶。</w:t>
      </w:r>
      <w:r>
        <w:rPr>
          <w:rFonts w:hint="eastAsia" w:ascii="仿宋" w:hAnsi="仿宋" w:eastAsia="仿宋" w:cs="仿宋"/>
          <w:sz w:val="32"/>
          <w:szCs w:val="32"/>
        </w:rPr>
        <w:t>持续抓实城市“六治”，制定出台《社区及所属网格环境卫生考核工作方案》，建立城管、环卫、社区整体联动和逐月考评机制，对照文明城市建设要求巩固拓展铁路沿线、无物业小区环境整治、污染防治成果，辖区市容环境持续向好。结合楼顶“扫雷”和消防通道保畅行动，强力拆除马壕路、海坡巷等周边违建462处7.4万平方米，一批多年想拆不敢拆的存量违建得到彻底铲除，居民群众拍手称快，成功实现禁违工作摘帽晋位。马壕东路、天图路建成通车，岳城路两侧违建全面拆除；投入资金20多万元，在云山街、岳州路、许家坡路等重点拥堵路段安装隔离护栏、监控系统，新建社区停车场4个，治堵成效明显。坚持用法治思维和法治方式维护平安稳定，依法依规调处矛盾纠纷122起，办理信访案件32件，化解信访积案11件，荣获市级信访工作先进单位，琵琶王社区获评省级民主法治示范社区。高效完成3847栋自建房逐户排查、逐栋建档，18栋存在重大安全隐患房屋得到整治。坚决拆除直排式燃气热水器460多台，持续保持辖区社会大局平安稳定，获评区级安全生产优秀街道。</w:t>
      </w:r>
    </w:p>
    <w:p>
      <w:pPr>
        <w:autoSpaceDE w:val="0"/>
        <w:spacing w:line="600" w:lineRule="exact"/>
        <w:ind w:firstLine="643" w:firstLineChars="200"/>
        <w:rPr>
          <w:rFonts w:hint="eastAsia" w:ascii="仿宋" w:hAnsi="仿宋" w:eastAsia="仿宋" w:cs="仿宋"/>
          <w:sz w:val="32"/>
          <w:szCs w:val="32"/>
        </w:rPr>
      </w:pPr>
      <w:r>
        <w:rPr>
          <w:rFonts w:hint="eastAsia" w:ascii="楷体_GB2312" w:hAnsi="楷体" w:eastAsia="楷体_GB2312" w:cs="Times New Roman"/>
          <w:b/>
          <w:bCs/>
          <w:sz w:val="32"/>
          <w:szCs w:val="32"/>
        </w:rPr>
        <w:t>4．突出实干为要，干部队伍展示新面貌。</w:t>
      </w:r>
      <w:r>
        <w:rPr>
          <w:rFonts w:hint="eastAsia" w:ascii="仿宋" w:hAnsi="仿宋" w:eastAsia="仿宋" w:cs="仿宋"/>
          <w:sz w:val="32"/>
          <w:szCs w:val="32"/>
        </w:rPr>
        <w:t>牢固树立“重基层、重干部、重作风”的工作理念，大张旗鼓表彰先进集体17个、先进个人55人次。开年率先在全区开展为期一天的干部作风建设培训班，成立督查考评办，常态化开展干部作风、重点工作督查，</w:t>
      </w:r>
      <w:r>
        <w:rPr>
          <w:rFonts w:hint="eastAsia" w:ascii="仿宋" w:hAnsi="仿宋" w:eastAsia="仿宋" w:cs="仿宋"/>
          <w:kern w:val="1"/>
          <w:sz w:val="32"/>
          <w:szCs w:val="32"/>
        </w:rPr>
        <w:t>下发督查通报20期，处理干部39人次，</w:t>
      </w:r>
      <w:r>
        <w:rPr>
          <w:rFonts w:hint="eastAsia" w:ascii="仿宋" w:hAnsi="仿宋" w:eastAsia="仿宋" w:cs="仿宋"/>
          <w:sz w:val="32"/>
          <w:szCs w:val="32"/>
        </w:rPr>
        <w:t>党员干部规矩意识、纪律意识不断增强。始终坚持正确的选人用人导向，成功推荐1名社区书记解决事业编制身份，全力推动24名事业编制机关干部职级晋升；13名机关站所、社区干部得到调整交流，其中提拔重用7名，进一步激发了干部队伍干事创业活力。旗帜鲜明树立“重社区、重实绩”的工作理念</w:t>
      </w:r>
      <w:r>
        <w:rPr>
          <w:rFonts w:hint="eastAsia" w:ascii="仿宋_GB2312" w:hAnsi="Times New Roman" w:eastAsia="仿宋_GB2312" w:cs="Times New Roman"/>
          <w:sz w:val="32"/>
          <w:szCs w:val="32"/>
        </w:rPr>
        <w:t>，</w:t>
      </w:r>
      <w:r>
        <w:rPr>
          <w:rFonts w:hint="eastAsia" w:ascii="仿宋" w:hAnsi="仿宋" w:eastAsia="仿宋" w:cs="仿宋"/>
          <w:sz w:val="32"/>
          <w:szCs w:val="32"/>
        </w:rPr>
        <w:t>今年来通过向上争资、街道筹资，采取以奖代投的形式，对在环卫治脏、疫情防控、信访维稳等重点工作中敢于担当、业绩突出、成效明显的社区予以重点支持、重点奖补，真正</w:t>
      </w: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HYPERLINK "https://www.so.com/link?m=bn26MLV%2F%2FUj4IkOLCzZPq3uXxNX0tnPCHfDjZ5NNGNl1K5MhNLr0gZV9e1FhHVTSsZYrNGBjTjkYheJIj1ZMMD7%2BesFCbdK9v4CmXNOuMG1R1iJmXNpBTNlGi99ZLtt0fGlsAXimuJA07P%2Bh2qauhF3G%2FtNJeAetDuq1pLmCVnLsEwQnrNJ4aTdzlHo%2FFeFTyLz7MA%2FrH9CtDGdF%2FKFajkA%3D%3D" \t "_blank" </w:instrText>
      </w:r>
      <w:r>
        <w:rPr>
          <w:rFonts w:hint="eastAsia" w:ascii="仿宋" w:hAnsi="仿宋" w:eastAsia="仿宋" w:cs="仿宋"/>
          <w:sz w:val="32"/>
          <w:szCs w:val="32"/>
        </w:rPr>
        <w:fldChar w:fldCharType="separate"/>
      </w:r>
      <w:r>
        <w:rPr>
          <w:rFonts w:hint="eastAsia" w:ascii="仿宋" w:hAnsi="仿宋" w:eastAsia="仿宋" w:cs="仿宋"/>
          <w:sz w:val="32"/>
          <w:szCs w:val="32"/>
        </w:rPr>
        <w:t>让干事者有动力，干成者得实惠</w:t>
      </w:r>
      <w:r>
        <w:rPr>
          <w:rFonts w:hint="eastAsia" w:ascii="仿宋" w:hAnsi="仿宋" w:eastAsia="仿宋" w:cs="仿宋"/>
          <w:sz w:val="32"/>
          <w:szCs w:val="32"/>
        </w:rPr>
        <w:fldChar w:fldCharType="end"/>
      </w:r>
      <w:r>
        <w:rPr>
          <w:rFonts w:hint="eastAsia" w:ascii="仿宋" w:hAnsi="仿宋" w:eastAsia="仿宋" w:cs="仿宋"/>
          <w:sz w:val="32"/>
          <w:szCs w:val="32"/>
        </w:rPr>
        <w:t>，真正集中财力保重点、办大事。</w:t>
      </w:r>
    </w:p>
    <w:p>
      <w:pPr>
        <w:spacing w:line="600" w:lineRule="exact"/>
        <w:ind w:firstLine="640" w:firstLineChars="200"/>
        <w:rPr>
          <w:rFonts w:hint="eastAsia" w:ascii="黑体" w:hAnsi="黑体" w:eastAsia="黑体" w:cs="Times New Roman"/>
          <w:sz w:val="32"/>
          <w:szCs w:val="32"/>
        </w:rPr>
      </w:pPr>
      <w:r>
        <w:rPr>
          <w:rFonts w:hint="eastAsia" w:ascii="黑体" w:hAnsi="黑体" w:eastAsia="黑体" w:cs="Times New Roman"/>
          <w:sz w:val="32"/>
          <w:szCs w:val="32"/>
          <w:lang w:eastAsia="zh-CN"/>
        </w:rPr>
        <w:t>（</w:t>
      </w:r>
      <w:r>
        <w:rPr>
          <w:rFonts w:hint="eastAsia" w:ascii="黑体" w:hAnsi="黑体" w:eastAsia="黑体" w:cs="Times New Roman"/>
          <w:sz w:val="32"/>
          <w:szCs w:val="32"/>
        </w:rPr>
        <w:t>二</w:t>
      </w:r>
      <w:r>
        <w:rPr>
          <w:rFonts w:hint="eastAsia" w:ascii="黑体" w:hAnsi="黑体" w:eastAsia="黑体" w:cs="Times New Roman"/>
          <w:sz w:val="32"/>
          <w:szCs w:val="32"/>
          <w:lang w:eastAsia="zh-CN"/>
        </w:rPr>
        <w:t>）</w:t>
      </w:r>
      <w:r>
        <w:rPr>
          <w:rFonts w:hint="eastAsia" w:ascii="黑体" w:hAnsi="黑体" w:eastAsia="黑体" w:cs="Times New Roman"/>
          <w:sz w:val="32"/>
          <w:szCs w:val="32"/>
        </w:rPr>
        <w:t>当前存在的主要问题不足</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在总结成绩的同时，我们也清醒地看到，当前枫桥湖街道高质量发展也还面临一些问题短板，需要不断发扬斗争精神，持续用力加以解决。</w:t>
      </w:r>
    </w:p>
    <w:p>
      <w:pPr>
        <w:spacing w:line="600" w:lineRule="exact"/>
        <w:ind w:firstLine="643" w:firstLineChars="200"/>
        <w:rPr>
          <w:rFonts w:hint="eastAsia" w:ascii="仿宋" w:hAnsi="仿宋" w:eastAsia="仿宋" w:cs="仿宋"/>
          <w:sz w:val="32"/>
          <w:szCs w:val="32"/>
        </w:rPr>
      </w:pPr>
      <w:r>
        <w:rPr>
          <w:rFonts w:hint="eastAsia" w:ascii="楷体_GB2312" w:hAnsi="Times New Roman" w:eastAsia="楷体_GB2312" w:cs="Times New Roman"/>
          <w:b/>
          <w:sz w:val="32"/>
          <w:szCs w:val="32"/>
        </w:rPr>
        <w:t>1．产业后劲不强。</w:t>
      </w:r>
      <w:r>
        <w:rPr>
          <w:rFonts w:hint="eastAsia" w:ascii="仿宋" w:hAnsi="仿宋" w:eastAsia="仿宋" w:cs="仿宋"/>
          <w:sz w:val="32"/>
          <w:szCs w:val="32"/>
        </w:rPr>
        <w:t>近几年来，随着棚改的大面积征拆，辖区腾出了400多亩宝贵的土地，但由于当前房地产市场持续走低，新兴产业难以落地，导致辖区有土地却无项目、无产业、无税收。</w:t>
      </w:r>
    </w:p>
    <w:p>
      <w:pPr>
        <w:spacing w:line="600" w:lineRule="exact"/>
        <w:ind w:firstLine="643" w:firstLineChars="200"/>
        <w:rPr>
          <w:rFonts w:hint="eastAsia" w:ascii="仿宋_GB2312" w:hAnsi="Times New Roman" w:eastAsia="仿宋_GB2312" w:cs="Times New Roman"/>
          <w:sz w:val="32"/>
          <w:szCs w:val="32"/>
        </w:rPr>
      </w:pPr>
      <w:r>
        <w:rPr>
          <w:rFonts w:hint="eastAsia" w:ascii="楷体_GB2312" w:hAnsi="Times New Roman" w:eastAsia="楷体_GB2312" w:cs="Times New Roman"/>
          <w:b/>
          <w:sz w:val="32"/>
          <w:szCs w:val="32"/>
        </w:rPr>
        <w:t>2．城市治理不精。</w:t>
      </w:r>
      <w:r>
        <w:rPr>
          <w:rFonts w:hint="eastAsia" w:ascii="仿宋" w:hAnsi="仿宋" w:eastAsia="仿宋" w:cs="仿宋"/>
          <w:sz w:val="32"/>
          <w:szCs w:val="32"/>
        </w:rPr>
        <w:t>城市建设、管理停留于低标准、老标准，不能与时俱进、求变求新、精准精细、精益求精，没有做到全覆盖全域化全过程全天候。</w:t>
      </w:r>
    </w:p>
    <w:p>
      <w:pPr>
        <w:spacing w:line="600" w:lineRule="exact"/>
        <w:ind w:firstLine="643" w:firstLineChars="200"/>
        <w:rPr>
          <w:rFonts w:hint="eastAsia" w:ascii="仿宋_GB2312" w:hAnsi="Times New Roman" w:eastAsia="仿宋_GB2312" w:cs="Times New Roman"/>
          <w:sz w:val="32"/>
          <w:szCs w:val="32"/>
        </w:rPr>
      </w:pPr>
      <w:r>
        <w:rPr>
          <w:rFonts w:hint="eastAsia" w:ascii="楷体_GB2312" w:hAnsi="Times New Roman" w:eastAsia="楷体_GB2312" w:cs="Times New Roman"/>
          <w:b/>
          <w:sz w:val="32"/>
          <w:szCs w:val="32"/>
        </w:rPr>
        <w:t>3．工作作风不优。</w:t>
      </w:r>
      <w:r>
        <w:rPr>
          <w:rFonts w:hint="eastAsia" w:ascii="仿宋" w:hAnsi="仿宋" w:eastAsia="仿宋" w:cs="仿宋"/>
          <w:sz w:val="32"/>
          <w:szCs w:val="32"/>
        </w:rPr>
        <w:t>少数干部群众的思维还停留在过去跟着干、等着干的阶段，主动想事、超前谋事、创新干部的思想观念不浓，导致争先创优、解决遗留问题有时处于被动局面。</w:t>
      </w:r>
    </w:p>
    <w:p>
      <w:pPr>
        <w:spacing w:line="600" w:lineRule="exact"/>
        <w:ind w:firstLine="640" w:firstLineChars="200"/>
        <w:rPr>
          <w:rFonts w:ascii="黑体" w:hAnsi="黑体" w:eastAsia="黑体" w:cs="Times New Roman"/>
          <w:sz w:val="32"/>
          <w:szCs w:val="32"/>
        </w:rPr>
      </w:pPr>
      <w:r>
        <w:rPr>
          <w:rFonts w:hint="eastAsia" w:ascii="黑体" w:hAnsi="黑体" w:eastAsia="黑体" w:cs="Times New Roman"/>
          <w:sz w:val="32"/>
          <w:szCs w:val="32"/>
          <w:lang w:eastAsia="zh-CN"/>
        </w:rPr>
        <w:t>（</w:t>
      </w:r>
      <w:r>
        <w:rPr>
          <w:rFonts w:hint="eastAsia" w:ascii="黑体" w:hAnsi="黑体" w:eastAsia="黑体" w:cs="Times New Roman"/>
          <w:sz w:val="32"/>
          <w:szCs w:val="32"/>
          <w:lang w:val="en-US" w:eastAsia="zh-CN"/>
        </w:rPr>
        <w:t>三）</w:t>
      </w:r>
      <w:r>
        <w:rPr>
          <w:rFonts w:hint="eastAsia" w:ascii="黑体" w:hAnsi="黑体" w:eastAsia="黑体" w:cs="Times New Roman"/>
          <w:sz w:val="32"/>
          <w:szCs w:val="32"/>
        </w:rPr>
        <w:t>2023年工作计划思路</w:t>
      </w:r>
    </w:p>
    <w:p>
      <w:pPr>
        <w:spacing w:line="600" w:lineRule="exact"/>
        <w:ind w:firstLine="643" w:firstLineChars="200"/>
        <w:rPr>
          <w:rFonts w:hint="eastAsia" w:ascii="仿宋" w:hAnsi="仿宋" w:eastAsia="仿宋" w:cs="仿宋"/>
          <w:sz w:val="32"/>
          <w:szCs w:val="32"/>
        </w:rPr>
      </w:pPr>
      <w:r>
        <w:rPr>
          <w:rFonts w:hint="eastAsia" w:ascii="楷体_GB2312" w:hAnsi="楷体_GB2312" w:eastAsia="楷体_GB2312" w:cs="楷体_GB2312"/>
          <w:b/>
          <w:bCs/>
          <w:sz w:val="32"/>
          <w:szCs w:val="32"/>
        </w:rPr>
        <w:t>1．紧扣一个目标（建设名副其实省域副中心城市的核心引领区和首善之区）谋发展。</w:t>
      </w:r>
      <w:r>
        <w:rPr>
          <w:rFonts w:hint="eastAsia" w:ascii="仿宋" w:hAnsi="仿宋" w:eastAsia="仿宋" w:cs="仿宋"/>
          <w:sz w:val="32"/>
          <w:szCs w:val="32"/>
        </w:rPr>
        <w:t>继续按照干部作风建设年、工作标准提升年要求，全面拉高坐标、争先创优、勇争一流，推动各项工作在全区当先进、做表率。重点要在老旧小区改造、重点项目建设、城市“六治”等工作中出成绩、树样板，真正在推动楼区高质量发展新征程上当表率、作贡献。</w:t>
      </w:r>
    </w:p>
    <w:p>
      <w:pPr>
        <w:spacing w:line="600" w:lineRule="exact"/>
        <w:ind w:firstLine="643" w:firstLineChars="200"/>
        <w:rPr>
          <w:rFonts w:hint="eastAsia" w:ascii="仿宋" w:hAnsi="仿宋" w:eastAsia="仿宋" w:cs="仿宋"/>
          <w:sz w:val="32"/>
          <w:szCs w:val="32"/>
        </w:rPr>
      </w:pPr>
      <w:r>
        <w:rPr>
          <w:rFonts w:hint="eastAsia" w:ascii="楷体_GB2312" w:hAnsi="楷体_GB2312" w:eastAsia="楷体_GB2312" w:cs="楷体_GB2312"/>
          <w:b/>
          <w:bCs/>
          <w:sz w:val="32"/>
          <w:szCs w:val="32"/>
        </w:rPr>
        <w:t>2．用好两大机遇（老旧小区改造、棚改地块出让）抓发展。</w:t>
      </w:r>
      <w:r>
        <w:rPr>
          <w:rFonts w:hint="eastAsia" w:ascii="仿宋_GB2312" w:hAnsi="仿宋_GB2312" w:eastAsia="仿宋_GB2312" w:cs="仿宋_GB2312"/>
          <w:b/>
          <w:sz w:val="32"/>
          <w:szCs w:val="32"/>
        </w:rPr>
        <w:t>一是抓住老旧小区改造的难得机遇。</w:t>
      </w:r>
      <w:r>
        <w:rPr>
          <w:rFonts w:hint="eastAsia" w:ascii="仿宋" w:hAnsi="仿宋" w:eastAsia="仿宋" w:cs="仿宋"/>
          <w:sz w:val="32"/>
          <w:szCs w:val="32"/>
        </w:rPr>
        <w:t>紧紧围绕科学规划设计、统筹资源力量、强化质量监管、规范后续管理下功夫，全面实施一批老旧小区及基础配套项目，真正借助城市更新政策机遇，最大限度改变枫桥湖街道老破旧的落后面貌</w:t>
      </w:r>
      <w:r>
        <w:rPr>
          <w:rFonts w:hint="eastAsia" w:ascii="仿宋_GB2312" w:hAnsi="华文中宋" w:eastAsia="仿宋_GB2312" w:cs="Times New Roman"/>
          <w:sz w:val="32"/>
          <w:szCs w:val="32"/>
        </w:rPr>
        <w:t>。</w:t>
      </w:r>
      <w:r>
        <w:rPr>
          <w:rFonts w:hint="eastAsia" w:ascii="仿宋_GB2312" w:hAnsi="仿宋_GB2312" w:eastAsia="仿宋_GB2312" w:cs="仿宋_GB2312"/>
          <w:b/>
          <w:sz w:val="32"/>
          <w:szCs w:val="32"/>
        </w:rPr>
        <w:t>二是抓住棚改地块出让的机遇。</w:t>
      </w:r>
      <w:r>
        <w:rPr>
          <w:rFonts w:hint="eastAsia" w:ascii="仿宋" w:hAnsi="仿宋" w:eastAsia="仿宋" w:cs="仿宋"/>
          <w:sz w:val="32"/>
          <w:szCs w:val="32"/>
        </w:rPr>
        <w:t>主动担当作为，全面推动蛋禽市场、枫桥湖路南侧、德胜北路延伸线两侧等土地挂牌出让、招商引资，真正把土地优势转化成发展胜势。</w:t>
      </w:r>
    </w:p>
    <w:p>
      <w:pPr>
        <w:spacing w:line="600" w:lineRule="exact"/>
        <w:ind w:firstLine="643" w:firstLineChars="200"/>
        <w:rPr>
          <w:rFonts w:hint="eastAsia" w:ascii="仿宋_GB2312" w:hAnsi="Times New Roman" w:eastAsia="仿宋_GB2312" w:cs="Times New Roman"/>
          <w:color w:val="000000"/>
          <w:sz w:val="32"/>
          <w:szCs w:val="32"/>
        </w:rPr>
      </w:pPr>
      <w:r>
        <w:rPr>
          <w:rFonts w:hint="eastAsia" w:ascii="楷体_GB2312" w:hAnsi="楷体_GB2312" w:eastAsia="楷体_GB2312" w:cs="楷体_GB2312"/>
          <w:b/>
          <w:bCs/>
          <w:sz w:val="32"/>
          <w:szCs w:val="32"/>
        </w:rPr>
        <w:t>3．突出三大任务（项目建设、网格管理、平安稳定）推发展。</w:t>
      </w:r>
      <w:r>
        <w:rPr>
          <w:rFonts w:hint="eastAsia" w:ascii="仿宋_GB2312" w:hAnsi="仿宋_GB2312" w:eastAsia="仿宋_GB2312" w:cs="仿宋_GB2312"/>
          <w:b/>
          <w:sz w:val="32"/>
          <w:szCs w:val="32"/>
        </w:rPr>
        <w:t>一是突出项目建设。</w:t>
      </w:r>
      <w:r>
        <w:rPr>
          <w:rFonts w:hint="eastAsia" w:ascii="仿宋" w:hAnsi="仿宋" w:eastAsia="仿宋" w:cs="仿宋"/>
          <w:sz w:val="32"/>
          <w:szCs w:val="32"/>
        </w:rPr>
        <w:t>全力以赴推动天伦湖与树、城北路等重点项目建设，真正借助各方资金、依托各种项目推动枫办华丽转型。</w:t>
      </w:r>
      <w:r>
        <w:rPr>
          <w:rFonts w:hint="eastAsia" w:ascii="仿宋_GB2312" w:hAnsi="仿宋_GB2312" w:eastAsia="仿宋_GB2312" w:cs="仿宋_GB2312"/>
          <w:b/>
          <w:sz w:val="32"/>
          <w:szCs w:val="32"/>
        </w:rPr>
        <w:t>二是突出网格化微治理。</w:t>
      </w:r>
      <w:r>
        <w:rPr>
          <w:rFonts w:hint="eastAsia" w:ascii="仿宋" w:hAnsi="仿宋" w:eastAsia="仿宋" w:cs="仿宋"/>
          <w:color w:val="000000"/>
          <w:sz w:val="32"/>
          <w:szCs w:val="32"/>
        </w:rPr>
        <w:t>进一步调优配强管好网格员队伍，健全完善网格信息更新、网格员“一日双巡”等常态化考评机制，真正把网格化管理工作做细做实</w:t>
      </w:r>
      <w:r>
        <w:rPr>
          <w:rFonts w:hint="eastAsia" w:ascii="仿宋_GB2312" w:hAnsi="Times New Roman" w:eastAsia="仿宋_GB2312" w:cs="Times New Roman"/>
          <w:color w:val="000000"/>
          <w:sz w:val="32"/>
          <w:szCs w:val="32"/>
        </w:rPr>
        <w:t>。</w:t>
      </w:r>
      <w:r>
        <w:rPr>
          <w:rFonts w:hint="eastAsia" w:ascii="仿宋_GB2312" w:hAnsi="仿宋_GB2312" w:eastAsia="仿宋_GB2312" w:cs="仿宋_GB2312"/>
          <w:b/>
          <w:sz w:val="32"/>
          <w:szCs w:val="32"/>
        </w:rPr>
        <w:t>三是突出平安稳定。</w:t>
      </w:r>
      <w:r>
        <w:rPr>
          <w:rFonts w:hint="eastAsia" w:ascii="仿宋" w:hAnsi="仿宋" w:eastAsia="仿宋" w:cs="仿宋"/>
          <w:color w:val="000000"/>
          <w:sz w:val="32"/>
          <w:szCs w:val="32"/>
        </w:rPr>
        <w:t>统筹发展与安全，全面加强自建房、消防等领域的安全监管，争创全市安全生产工作先进街道。严格按照“三到位一处理”要求，推动矛盾纠纷多元化解，确保社会大局平安稳定。</w:t>
      </w:r>
    </w:p>
    <w:p>
      <w:pPr>
        <w:spacing w:line="600" w:lineRule="exact"/>
        <w:ind w:firstLine="643" w:firstLineChars="200"/>
        <w:rPr>
          <w:rFonts w:hint="eastAsia" w:ascii="仿宋" w:hAnsi="仿宋" w:eastAsia="仿宋" w:cs="仿宋"/>
          <w:color w:val="000000"/>
          <w:sz w:val="32"/>
          <w:szCs w:val="32"/>
        </w:rPr>
      </w:pPr>
      <w:r>
        <w:rPr>
          <w:rFonts w:hint="eastAsia" w:ascii="楷体_GB2312" w:hAnsi="楷体_GB2312" w:eastAsia="楷体_GB2312" w:cs="楷体_GB2312"/>
          <w:b/>
          <w:bCs/>
          <w:sz w:val="32"/>
          <w:szCs w:val="32"/>
        </w:rPr>
        <w:t>4．担当四项主责（城市建设、城市管理、城市服务、城市运营）促发展。</w:t>
      </w:r>
      <w:r>
        <w:rPr>
          <w:rFonts w:hint="eastAsia" w:ascii="仿宋_GB2312" w:hAnsi="仿宋_GB2312" w:eastAsia="仿宋_GB2312" w:cs="仿宋_GB2312"/>
          <w:b/>
          <w:sz w:val="32"/>
          <w:szCs w:val="32"/>
        </w:rPr>
        <w:t>一是担当城市建设主责。</w:t>
      </w:r>
      <w:r>
        <w:rPr>
          <w:rFonts w:hint="eastAsia" w:ascii="仿宋" w:hAnsi="仿宋" w:eastAsia="仿宋" w:cs="仿宋"/>
          <w:color w:val="000000"/>
          <w:sz w:val="32"/>
          <w:szCs w:val="32"/>
        </w:rPr>
        <w:t>牢固树立辖区意识、服务意识，严格按照“六联六包”要求，对落户街道的企业个人投资项目、政府财政投资项目一视同仁，全力搞好建设服务，竭尽全力优化环境、留住企业、稳住税源</w:t>
      </w:r>
      <w:r>
        <w:rPr>
          <w:rFonts w:hint="eastAsia" w:ascii="仿宋_GB2312" w:hAnsi="Times New Roman" w:eastAsia="仿宋_GB2312" w:cs="Times New Roman"/>
          <w:color w:val="000000"/>
          <w:sz w:val="32"/>
          <w:szCs w:val="32"/>
        </w:rPr>
        <w:t>。</w:t>
      </w:r>
      <w:r>
        <w:rPr>
          <w:rFonts w:hint="eastAsia" w:ascii="仿宋_GB2312" w:hAnsi="仿宋_GB2312" w:eastAsia="仿宋_GB2312" w:cs="仿宋_GB2312"/>
          <w:b/>
          <w:sz w:val="32"/>
          <w:szCs w:val="32"/>
        </w:rPr>
        <w:t>二是担当城市管理主责。</w:t>
      </w:r>
      <w:r>
        <w:rPr>
          <w:rFonts w:hint="eastAsia" w:ascii="仿宋" w:hAnsi="仿宋" w:eastAsia="仿宋" w:cs="仿宋"/>
          <w:color w:val="000000"/>
          <w:sz w:val="32"/>
          <w:szCs w:val="32"/>
        </w:rPr>
        <w:t>严格按照文明城市建设的标准要求，聚焦“常态长效、精致精美”标准要求，系统推进“环卫治脏、市容治乱、禁违治违、交通治堵、环保治污、治安治差”工作</w:t>
      </w:r>
      <w:r>
        <w:rPr>
          <w:rFonts w:hint="eastAsia" w:ascii="仿宋_GB2312" w:hAnsi="Times New Roman" w:eastAsia="仿宋_GB2312" w:cs="Times New Roman"/>
          <w:color w:val="000000"/>
          <w:sz w:val="32"/>
          <w:szCs w:val="32"/>
        </w:rPr>
        <w:t>。</w:t>
      </w:r>
      <w:r>
        <w:rPr>
          <w:rFonts w:hint="eastAsia" w:ascii="仿宋_GB2312" w:hAnsi="仿宋_GB2312" w:eastAsia="仿宋_GB2312" w:cs="仿宋_GB2312"/>
          <w:b/>
          <w:sz w:val="32"/>
          <w:szCs w:val="32"/>
        </w:rPr>
        <w:t>三是担当城市服务主责。</w:t>
      </w:r>
      <w:r>
        <w:rPr>
          <w:rFonts w:hint="eastAsia" w:ascii="仿宋" w:hAnsi="仿宋" w:eastAsia="仿宋" w:cs="仿宋"/>
          <w:color w:val="000000"/>
          <w:sz w:val="32"/>
          <w:szCs w:val="32"/>
        </w:rPr>
        <w:t>精准精细做好各项民生服务，用心用情解决群众“急难愁盼”问题，真正通过高效服务赢得居民群众认可。</w:t>
      </w:r>
      <w:r>
        <w:rPr>
          <w:rFonts w:hint="eastAsia" w:ascii="仿宋_GB2312" w:hAnsi="仿宋_GB2312" w:eastAsia="仿宋_GB2312" w:cs="仿宋_GB2312"/>
          <w:b/>
          <w:sz w:val="32"/>
          <w:szCs w:val="32"/>
        </w:rPr>
        <w:t>四是担当城市运营主责。</w:t>
      </w:r>
      <w:r>
        <w:rPr>
          <w:rFonts w:hint="eastAsia" w:ascii="仿宋" w:hAnsi="仿宋" w:eastAsia="仿宋" w:cs="仿宋"/>
          <w:color w:val="000000"/>
          <w:sz w:val="32"/>
          <w:szCs w:val="32"/>
        </w:rPr>
        <w:t>牢固树立经营城市的理念，全面盘活街道、社区资产资源，既要实现资产保值增值，更要防止资产流失、资金损失。加速加力推进历史遗留征拆项目部关停并转，从严从实抓好成本管控，促进项目提质增效。</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黑体" w:hAnsi="黑体" w:eastAsia="黑体" w:cs="黑体"/>
          <w:color w:val="auto"/>
          <w:spacing w:val="0"/>
          <w:position w:val="0"/>
          <w:sz w:val="32"/>
          <w:szCs w:val="32"/>
          <w:lang w:val="en-US" w:eastAsia="zh-CN"/>
        </w:rPr>
      </w:pPr>
      <w:r>
        <w:rPr>
          <w:rFonts w:hint="eastAsia" w:ascii="黑体" w:hAnsi="黑体" w:eastAsia="黑体" w:cs="黑体"/>
          <w:color w:val="auto"/>
          <w:spacing w:val="0"/>
          <w:position w:val="0"/>
          <w:sz w:val="32"/>
          <w:szCs w:val="32"/>
          <w:lang w:val="en-US" w:eastAsia="zh-CN"/>
        </w:rPr>
        <w:t>七、存在的问题及原因分析</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_GB2312" w:hAnsi="仿宋_GB2312" w:eastAsia="仿宋_GB2312" w:cs="仿宋_GB2312"/>
          <w:color w:val="auto"/>
          <w:spacing w:val="0"/>
          <w:position w:val="0"/>
          <w:sz w:val="32"/>
          <w:szCs w:val="32"/>
          <w:lang w:val="en-US" w:eastAsia="zh-CN"/>
        </w:rPr>
      </w:pPr>
      <w:r>
        <w:rPr>
          <w:rFonts w:hint="eastAsia" w:ascii="仿宋" w:hAnsi="仿宋" w:eastAsia="仿宋" w:cs="仿宋"/>
          <w:color w:val="auto"/>
          <w:spacing w:val="0"/>
          <w:position w:val="0"/>
          <w:sz w:val="32"/>
          <w:szCs w:val="32"/>
          <w:lang w:val="en-US" w:eastAsia="zh-CN"/>
        </w:rPr>
        <w:t>本单位对于预算绩效管理概念不清、定位不明确、参与度不高、对财政预算不够重视、存在对财政资金的使用疏于管理的情况，单位还未从被动局面转到主动局面上来，阻碍了预算绩效管理在单位内部的参与度，使绩效管理游于形式。</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auto"/>
          <w:spacing w:val="0"/>
          <w:position w:val="0"/>
          <w:sz w:val="32"/>
          <w:szCs w:val="32"/>
          <w:lang w:val="en-US" w:eastAsia="zh-CN"/>
        </w:rPr>
      </w:pPr>
      <w:r>
        <w:rPr>
          <w:rFonts w:hint="eastAsia" w:ascii="黑体" w:hAnsi="黑体" w:eastAsia="黑体" w:cs="黑体"/>
          <w:color w:val="auto"/>
          <w:spacing w:val="0"/>
          <w:position w:val="0"/>
          <w:sz w:val="32"/>
          <w:szCs w:val="32"/>
          <w:lang w:val="en-US" w:eastAsia="zh-CN"/>
        </w:rPr>
        <w:t>八、下一步改进措施</w:t>
      </w: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jc w:val="left"/>
        <w:rPr>
          <w:rFonts w:hint="eastAsia" w:ascii="仿宋" w:hAnsi="仿宋" w:eastAsia="仿宋" w:cs="仿宋"/>
          <w:kern w:val="0"/>
          <w:sz w:val="32"/>
          <w:szCs w:val="32"/>
          <w:lang w:val="en-US" w:eastAsia="zh-CN" w:bidi="ar-SA"/>
        </w:rPr>
      </w:pPr>
      <w:r>
        <w:rPr>
          <w:rFonts w:hint="eastAsia" w:ascii="Times New Roman" w:hAnsi="Times New Roman" w:eastAsia="宋体" w:cs="Times New Roman"/>
          <w:color w:val="auto"/>
          <w:kern w:val="0"/>
          <w:sz w:val="24"/>
          <w:szCs w:val="24"/>
          <w:lang w:val="en-US" w:eastAsia="zh-CN" w:bidi="ar"/>
        </w:rPr>
        <w:t xml:space="preserve">  </w:t>
      </w:r>
      <w:r>
        <w:rPr>
          <w:rFonts w:hint="eastAsia" w:ascii="Times New Roman" w:hAnsi="Times New Roman" w:eastAsia="仿宋_GB2312" w:cs="仿宋_GB2312"/>
          <w:color w:val="auto"/>
          <w:kern w:val="0"/>
          <w:sz w:val="32"/>
          <w:szCs w:val="32"/>
          <w:lang w:val="en-US" w:eastAsia="zh-CN" w:bidi="ar-SA"/>
        </w:rPr>
        <w:t xml:space="preserve"> </w:t>
      </w:r>
      <w:r>
        <w:rPr>
          <w:rFonts w:hint="eastAsia" w:ascii="仿宋" w:hAnsi="仿宋" w:eastAsia="仿宋" w:cs="仿宋"/>
          <w:color w:val="auto"/>
          <w:kern w:val="0"/>
          <w:sz w:val="32"/>
          <w:szCs w:val="32"/>
          <w:lang w:val="en-US" w:eastAsia="zh-CN" w:bidi="ar-SA"/>
        </w:rPr>
        <w:t>1.加大宣传力度，强化部</w:t>
      </w:r>
      <w:r>
        <w:rPr>
          <w:rFonts w:hint="eastAsia" w:ascii="仿宋" w:hAnsi="仿宋" w:eastAsia="仿宋" w:cs="仿宋"/>
          <w:kern w:val="0"/>
          <w:sz w:val="32"/>
          <w:szCs w:val="32"/>
          <w:lang w:val="en-US" w:eastAsia="zh-CN" w:bidi="ar-SA"/>
        </w:rPr>
        <w:t>门预算绩效管理意识。采取集中学习、培训等方式，加大对各站所预算绩效管理的培训力度，提高预算绩效管理的重要性认识，加强业务知识学习，让预算绩效管理渗透到各项资金中，发挥资金使用效益。</w:t>
      </w: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jc w:val="left"/>
        <w:rPr>
          <w:rFonts w:hint="eastAsia" w:ascii="仿宋" w:hAnsi="仿宋" w:eastAsia="仿宋" w:cs="仿宋"/>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　</w:t>
      </w:r>
      <w:r>
        <w:rPr>
          <w:rFonts w:hint="eastAsia" w:ascii="仿宋" w:hAnsi="仿宋" w:eastAsia="仿宋" w:cs="仿宋"/>
          <w:kern w:val="0"/>
          <w:sz w:val="32"/>
          <w:szCs w:val="32"/>
          <w:lang w:val="en-US" w:eastAsia="zh-CN" w:bidi="ar-SA"/>
        </w:rPr>
        <w:t>　2.在项目实施过程中，需不断改进和细化绩效目标内容及指标体系，根据工作重心作出相应调整，切实推动绩效目标任务的顺利完成。</w:t>
      </w: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640" w:firstLineChars="200"/>
        <w:jc w:val="left"/>
        <w:rPr>
          <w:rFonts w:hint="eastAsia" w:ascii="仿宋" w:hAnsi="仿宋" w:eastAsia="仿宋" w:cs="仿宋"/>
          <w:kern w:val="0"/>
          <w:sz w:val="32"/>
          <w:szCs w:val="32"/>
          <w:lang w:val="en-US" w:eastAsia="zh-CN" w:bidi="ar-SA"/>
        </w:rPr>
      </w:pPr>
      <w:r>
        <w:rPr>
          <w:rFonts w:hint="eastAsia" w:ascii="仿宋" w:hAnsi="仿宋" w:eastAsia="仿宋" w:cs="仿宋"/>
          <w:kern w:val="0"/>
          <w:sz w:val="32"/>
          <w:szCs w:val="32"/>
          <w:lang w:val="en-US" w:eastAsia="zh-CN" w:bidi="ar-SA"/>
        </w:rPr>
        <w:t>3、初步树立了绩效理念，通过开展绩效评价，我街道全体工作人员开始转变观念，开始重视支出绩效问题，由重资金争取，重过程管理，向重支出责任，重产出和结果转变。以提高资金使用绩效为目标、以结果为导向的管理理念正逐步形成。</w:t>
      </w: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jc w:val="left"/>
        <w:rPr>
          <w:rFonts w:hint="eastAsia" w:ascii="仿宋" w:hAnsi="仿宋" w:eastAsia="仿宋" w:cs="仿宋"/>
          <w:kern w:val="0"/>
          <w:sz w:val="32"/>
          <w:szCs w:val="32"/>
          <w:lang w:val="en-US" w:eastAsia="zh-CN" w:bidi="ar-SA"/>
        </w:rPr>
      </w:pPr>
      <w:r>
        <w:rPr>
          <w:rFonts w:hint="eastAsia" w:ascii="仿宋" w:hAnsi="仿宋" w:eastAsia="仿宋" w:cs="仿宋"/>
          <w:kern w:val="0"/>
          <w:sz w:val="32"/>
          <w:szCs w:val="32"/>
          <w:lang w:val="en-US" w:eastAsia="zh-CN" w:bidi="ar-SA"/>
        </w:rPr>
        <w:t>　　4、强化责任意识，通过设定明确可衡量的绩效目标，各部门更清楚地了解财政资金支出所要取得的社会和经济效益，其职能和目标得到进一步明确；通过绩效评价，考核各科室绩效目标实际完成情况和取得的成效，并与下年度预算安排挂钩，用财要问效，无效要问责，在一定程度上强化了单位整体和部门的财经纪律约束意识和责任意识。</w:t>
      </w: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jc w:val="left"/>
        <w:rPr>
          <w:rFonts w:hint="eastAsia" w:ascii="仿宋" w:hAnsi="仿宋" w:eastAsia="仿宋" w:cs="仿宋"/>
          <w:kern w:val="0"/>
          <w:sz w:val="32"/>
          <w:szCs w:val="32"/>
          <w:lang w:val="en-US" w:eastAsia="zh-CN" w:bidi="ar-SA"/>
        </w:rPr>
      </w:pPr>
      <w:r>
        <w:rPr>
          <w:rFonts w:hint="eastAsia" w:ascii="仿宋" w:hAnsi="仿宋" w:eastAsia="仿宋" w:cs="仿宋"/>
          <w:kern w:val="0"/>
          <w:sz w:val="32"/>
          <w:szCs w:val="32"/>
          <w:lang w:val="en-US" w:eastAsia="zh-CN" w:bidi="ar-SA"/>
        </w:rPr>
        <w:t>　　5、提高财政资金的使用效益，各站所的工作规划和年度工作计划有机结合起来，并进行运行监控，有利于整合财政资金，优化支出结构，减少支出的随意性和盲目性，最大限度地将有限资源配置到效益最佳的部门并发挥最大效益。</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仿宋" w:hAnsi="仿宋" w:eastAsia="仿宋" w:cs="仿宋"/>
          <w:color w:val="FF0000"/>
          <w:spacing w:val="0"/>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ind w:firstLine="640" w:firstLineChars="200"/>
        <w:jc w:val="left"/>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我单位高度重视此项绩效自评工作，积极落实主体责任，切实加强了组织领导，按照绩效评价相关制度规定，明确了具体责任人，认真开展自评，并撰写了绩效评价报告，确保绩效自评工作顺利实施，并将按照要求进行信息公开，对存在的问题积极整改。</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0"/>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446"/>
        <w:gridCol w:w="914"/>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退役军人事务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岳阳楼区退役军人事务局</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枫桥湖街道办事处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44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446"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100.36</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100.36</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446"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100.36</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100.36</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446"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446"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8"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2022年计划对参战、残疾军人、烈属、老复员军人、带病回乡、特困志愿兵、义务兵家庭进行慰问帮扶。一是“元旦、春节”期间慰问帮扶232人次，发放资金215600无；二是“八一”期间计划慰问帮扶176人次，发放资金142700元；三是对33名义务兵及入伍大学生家庭发放奖励金588000元；四是就业援助对象社会保险和补贴的发放计划，共计4人，发放资金84720元。</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2022年按照计划对参战、残疾军人、烈属、老复员军人、带病回乡、特困志愿兵、义务兵家庭进行慰问帮扶，资金全部专款专用；其中：一是“元旦、春节”期间慰问帮扶231人次，发放资金215100无；二是“八一”期间计划慰问帮扶176人次，发放资金142700元；三是对33名义务兵及入伍大学生家庭发放奖励金588000元；四是就业援助对象社会保险和补贴的已发放4人次，发放资金78400元。资金全部发放到位，切实让对象感受到党和政府的关怀，增强了退役军人的荣誉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top w:val="single" w:color="auto" w:sz="4" w:space="0"/>
              <w:left w:val="single" w:color="auto" w:sz="4" w:space="0"/>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tcBorders>
              <w:top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446"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7" w:hRule="atLeast"/>
        </w:trPr>
        <w:tc>
          <w:tcPr>
            <w:tcW w:w="1075" w:type="dxa"/>
            <w:vMerge w:val="continue"/>
            <w:tcBorders>
              <w:top w:val="nil"/>
              <w:left w:val="single" w:color="auto" w:sz="4" w:space="0"/>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446"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退役军人慰问、帮扶、义务兵补贴</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1075" w:type="dxa"/>
            <w:vMerge w:val="continue"/>
            <w:tcBorders>
              <w:top w:val="nil"/>
              <w:left w:val="single" w:color="auto" w:sz="4" w:space="0"/>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446"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特殊困难退役军人财政补贴数</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atLeast"/>
        </w:trPr>
        <w:tc>
          <w:tcPr>
            <w:tcW w:w="1075" w:type="dxa"/>
            <w:vMerge w:val="continue"/>
            <w:tcBorders>
              <w:top w:val="nil"/>
              <w:left w:val="single" w:color="auto" w:sz="4" w:space="0"/>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446"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入伍义务兵家庭优待金</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atLeast"/>
        </w:trPr>
        <w:tc>
          <w:tcPr>
            <w:tcW w:w="1075" w:type="dxa"/>
            <w:vMerge w:val="continue"/>
            <w:tcBorders>
              <w:top w:val="nil"/>
              <w:left w:val="single" w:color="auto" w:sz="4" w:space="0"/>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446"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left"/>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慰问款发放覆盖8个社区</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080" w:hRule="atLeast"/>
        </w:trPr>
        <w:tc>
          <w:tcPr>
            <w:tcW w:w="1075" w:type="dxa"/>
            <w:vMerge w:val="continue"/>
            <w:tcBorders>
              <w:top w:val="nil"/>
              <w:left w:val="single" w:color="auto" w:sz="4" w:space="0"/>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446"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资金全部专款专用，无截留</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99.3%</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就业援助对象户籍迁走，停发补助及保险缴纳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4" w:hRule="atLeast"/>
        </w:trPr>
        <w:tc>
          <w:tcPr>
            <w:tcW w:w="1075" w:type="dxa"/>
            <w:vMerge w:val="continue"/>
            <w:tcBorders>
              <w:top w:val="nil"/>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446"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补贴、慰问款、优待金按时效、按要求发放到位</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stheme="minorBidi"/>
                <w:color w:val="000000" w:themeColor="text1"/>
                <w:spacing w:val="0"/>
                <w:kern w:val="2"/>
                <w:sz w:val="21"/>
                <w:szCs w:val="21"/>
                <w:lang w:val="en-US" w:eastAsia="zh-CN" w:bidi="ar-SA"/>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1075" w:type="dxa"/>
            <w:vMerge w:val="continue"/>
            <w:tcBorders>
              <w:top w:val="single" w:color="auto" w:sz="4" w:space="0"/>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446"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社会保险每月按时缴纳</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trPr>
        <w:tc>
          <w:tcPr>
            <w:tcW w:w="1075" w:type="dxa"/>
            <w:vMerge w:val="continue"/>
            <w:tcBorders>
              <w:top w:val="single" w:color="auto" w:sz="4" w:space="0"/>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446"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发放按时效、按要求公示</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1075" w:type="dxa"/>
            <w:vMerge w:val="continue"/>
            <w:tcBorders>
              <w:top w:val="single" w:color="auto" w:sz="4" w:space="0"/>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446" w:type="dxa"/>
            <w:noWrap w:val="0"/>
            <w:vAlign w:val="center"/>
          </w:tcPr>
          <w:p>
            <w:pPr>
              <w:keepNext w:val="0"/>
              <w:keepLines w:val="0"/>
              <w:pageBreakBefore w:val="0"/>
              <w:widowControl w:val="0"/>
              <w:tabs>
                <w:tab w:val="left" w:pos="453"/>
              </w:tabs>
              <w:kinsoku/>
              <w:wordWrap/>
              <w:overflowPunct/>
              <w:topLinePunct w:val="0"/>
              <w:autoSpaceDE/>
              <w:autoSpaceDN/>
              <w:bidi w:val="0"/>
              <w:adjustRightInd/>
              <w:snapToGrid/>
              <w:spacing w:line="239"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补贴对象为特殊困难退役军人</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5" w:hRule="atLeast"/>
        </w:trPr>
        <w:tc>
          <w:tcPr>
            <w:tcW w:w="1075" w:type="dxa"/>
            <w:vMerge w:val="continue"/>
            <w:tcBorders>
              <w:top w:val="single" w:color="auto" w:sz="4" w:space="0"/>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446"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发放对象为2020年、2021年、2022年入伍义务兵</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2" w:hRule="atLeast"/>
        </w:trPr>
        <w:tc>
          <w:tcPr>
            <w:tcW w:w="1075" w:type="dxa"/>
            <w:vMerge w:val="continue"/>
            <w:tcBorders>
              <w:top w:val="single" w:color="auto" w:sz="4" w:space="0"/>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446" w:type="dxa"/>
            <w:noWrap w:val="0"/>
            <w:vAlign w:val="center"/>
          </w:tcPr>
          <w:p>
            <w:pPr>
              <w:keepNext w:val="0"/>
              <w:keepLines w:val="0"/>
              <w:pageBreakBefore w:val="0"/>
              <w:widowControl w:val="0"/>
              <w:tabs>
                <w:tab w:val="left" w:pos="528"/>
              </w:tabs>
              <w:kinsoku/>
              <w:wordWrap/>
              <w:overflowPunct/>
              <w:topLinePunct w:val="0"/>
              <w:autoSpaceDE/>
              <w:autoSpaceDN/>
              <w:bidi w:val="0"/>
              <w:adjustRightInd/>
              <w:snapToGrid/>
              <w:spacing w:line="239"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ab/>
            </w:r>
            <w:r>
              <w:rPr>
                <w:rFonts w:hint="eastAsia" w:ascii="Arial"/>
                <w:color w:val="000000" w:themeColor="text1"/>
                <w:spacing w:val="0"/>
                <w:sz w:val="21"/>
                <w:szCs w:val="21"/>
                <w:lang w:val="en-US" w:eastAsia="zh-CN"/>
                <w14:textFill>
                  <w14:solidFill>
                    <w14:schemeClr w14:val="tx1"/>
                  </w14:solidFill>
                </w14:textFill>
              </w:rPr>
              <w:t>辖区内困难退役军人及现役义务兵</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trPr>
        <w:tc>
          <w:tcPr>
            <w:tcW w:w="1075" w:type="dxa"/>
            <w:vMerge w:val="continue"/>
            <w:tcBorders>
              <w:top w:val="single" w:color="auto" w:sz="4" w:space="0"/>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446"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加大了困难退役军人帮扶解困力度</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1075" w:type="dxa"/>
            <w:vMerge w:val="continue"/>
            <w:tcBorders>
              <w:top w:val="single" w:color="auto" w:sz="4" w:space="0"/>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446"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加大征兵宣传力度</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7" w:hRule="atLeast"/>
        </w:trPr>
        <w:tc>
          <w:tcPr>
            <w:tcW w:w="1075" w:type="dxa"/>
            <w:vMerge w:val="continue"/>
            <w:tcBorders>
              <w:top w:val="single" w:color="auto" w:sz="4" w:space="0"/>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446"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加大退役军人帮扶解困及征兵宣传力度</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5" w:hRule="atLeast"/>
        </w:trPr>
        <w:tc>
          <w:tcPr>
            <w:tcW w:w="1075" w:type="dxa"/>
            <w:vMerge w:val="continue"/>
            <w:tcBorders>
              <w:top w:val="single" w:color="auto" w:sz="4" w:space="0"/>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446"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解决了部分困难退役军人就业</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3" w:hRule="atLeast"/>
        </w:trPr>
        <w:tc>
          <w:tcPr>
            <w:tcW w:w="1075" w:type="dxa"/>
            <w:vMerge w:val="continue"/>
            <w:tcBorders>
              <w:top w:val="single" w:color="auto" w:sz="4" w:space="0"/>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446" w:type="dxa"/>
            <w:noWrap w:val="0"/>
            <w:vAlign w:val="center"/>
          </w:tcPr>
          <w:p>
            <w:pPr>
              <w:keepNext w:val="0"/>
              <w:keepLines w:val="0"/>
              <w:pageBreakBefore w:val="0"/>
              <w:widowControl w:val="0"/>
              <w:tabs>
                <w:tab w:val="left" w:pos="328"/>
              </w:tabs>
              <w:kinsoku/>
              <w:wordWrap/>
              <w:overflowPunct/>
              <w:topLinePunct w:val="0"/>
              <w:autoSpaceDE/>
              <w:autoSpaceDN/>
              <w:bidi w:val="0"/>
              <w:adjustRightInd/>
              <w:snapToGrid/>
              <w:spacing w:line="22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ab/>
            </w:r>
            <w:r>
              <w:rPr>
                <w:rFonts w:hint="eastAsia" w:ascii="Arial"/>
                <w:color w:val="000000" w:themeColor="text1"/>
                <w:spacing w:val="0"/>
                <w:sz w:val="21"/>
                <w:szCs w:val="21"/>
                <w:lang w:val="en-US" w:eastAsia="zh-CN"/>
                <w14:textFill>
                  <w14:solidFill>
                    <w14:schemeClr w14:val="tx1"/>
                  </w14:solidFill>
                </w14:textFill>
              </w:rPr>
              <w:t>优化了社区综合治理</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7" w:hRule="atLeast"/>
        </w:trPr>
        <w:tc>
          <w:tcPr>
            <w:tcW w:w="1075" w:type="dxa"/>
            <w:vMerge w:val="continue"/>
            <w:tcBorders>
              <w:top w:val="single" w:color="auto" w:sz="4" w:space="0"/>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446"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优化了社区综合治理</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7" w:hRule="atLeast"/>
        </w:trPr>
        <w:tc>
          <w:tcPr>
            <w:tcW w:w="1075" w:type="dxa"/>
            <w:vMerge w:val="continue"/>
            <w:tcBorders>
              <w:top w:val="single" w:color="auto" w:sz="4" w:space="0"/>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446"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化解了困难群众社会矛盾，提升了群众国防意识</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5" w:hRule="atLeast"/>
        </w:trPr>
        <w:tc>
          <w:tcPr>
            <w:tcW w:w="1075" w:type="dxa"/>
            <w:vMerge w:val="continue"/>
            <w:tcBorders>
              <w:top w:val="single" w:color="auto" w:sz="4" w:space="0"/>
              <w:left w:val="single" w:color="auto" w:sz="4" w:space="0"/>
              <w:bottom w:val="single" w:color="auto" w:sz="4" w:space="0"/>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44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慰问群众、发放家庭对街道、社区满意度提升</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99</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彭路遥</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lang w:val="en-US" w:eastAsia="zh-CN"/>
          <w14:textFill>
            <w14:solidFill>
              <w14:schemeClr w14:val="tx1"/>
            </w14:solidFill>
          </w14:textFill>
        </w:rPr>
        <w:t>15292015575</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tabs>
          <w:tab w:val="left" w:pos="2436"/>
        </w:tabs>
        <w:bidi w:val="0"/>
        <w:jc w:val="left"/>
        <w:rPr>
          <w:rFonts w:hint="default"/>
          <w:lang w:val="en-US" w:eastAsia="zh-CN"/>
        </w:rPr>
        <w:sectPr>
          <w:pgSz w:w="11906" w:h="16838"/>
          <w:pgMar w:top="1417" w:right="1417" w:bottom="1417" w:left="1417"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ind w:firstLine="1320" w:firstLineChars="300"/>
        <w:jc w:val="both"/>
        <w:rPr>
          <w:rFonts w:hint="eastAsia"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0"/>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06" w:hRule="atLeast"/>
        </w:trPr>
        <w:tc>
          <w:tcPr>
            <w:tcW w:w="1075" w:type="dxa"/>
            <w:vAlign w:val="center"/>
          </w:tcPr>
          <w:p>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环卫工人工资以及五险一金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46" w:hRule="atLeast"/>
        </w:trPr>
        <w:tc>
          <w:tcPr>
            <w:tcW w:w="1075" w:type="dxa"/>
            <w:vAlign w:val="center"/>
          </w:tcPr>
          <w:p>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岳阳楼区环卫中心</w:t>
            </w:r>
          </w:p>
        </w:tc>
        <w:tc>
          <w:tcPr>
            <w:tcW w:w="1140" w:type="dxa"/>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枫桥湖街道办事处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spacing w:line="254" w:lineRule="auto"/>
              <w:jc w:val="center"/>
              <w:rPr>
                <w:rFonts w:ascii="Arial"/>
                <w:color w:val="000000" w:themeColor="text1"/>
                <w:szCs w:val="21"/>
                <w14:textFill>
                  <w14:solidFill>
                    <w14:schemeClr w14:val="tx1"/>
                  </w14:solidFill>
                </w14:textFill>
              </w:rPr>
            </w:pPr>
          </w:p>
          <w:p>
            <w:pPr>
              <w:spacing w:line="255" w:lineRule="auto"/>
              <w:jc w:val="center"/>
              <w:rPr>
                <w:rFonts w:ascii="Arial"/>
                <w:color w:val="000000" w:themeColor="text1"/>
                <w:szCs w:val="21"/>
                <w14:textFill>
                  <w14:solidFill>
                    <w14:schemeClr w14:val="tx1"/>
                  </w14:solidFill>
                </w14:textFill>
              </w:rPr>
            </w:pP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vAlign w:val="center"/>
          </w:tcPr>
          <w:p>
            <w:pPr>
              <w:spacing w:line="300" w:lineRule="exact"/>
              <w:jc w:val="center"/>
              <w:rPr>
                <w:rFonts w:ascii="Arial"/>
                <w:color w:val="000000" w:themeColor="text1"/>
                <w:szCs w:val="21"/>
                <w14:textFill>
                  <w14:solidFill>
                    <w14:schemeClr w14:val="tx1"/>
                  </w14:solidFill>
                </w14:textFill>
              </w:rPr>
            </w:pPr>
          </w:p>
        </w:tc>
        <w:tc>
          <w:tcPr>
            <w:tcW w:w="1229"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31"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47" w:hRule="atLeast"/>
        </w:trPr>
        <w:tc>
          <w:tcPr>
            <w:tcW w:w="1075"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2160" w:type="dxa"/>
            <w:gridSpan w:val="2"/>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229" w:type="dxa"/>
            <w:vAlign w:val="center"/>
          </w:tcPr>
          <w:p>
            <w:pPr>
              <w:jc w:val="center"/>
              <w:rPr>
                <w:rFonts w:hint="eastAsia"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0</w:t>
            </w:r>
          </w:p>
        </w:tc>
        <w:tc>
          <w:tcPr>
            <w:tcW w:w="1131" w:type="dxa"/>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598.96</w:t>
            </w:r>
          </w:p>
        </w:tc>
        <w:tc>
          <w:tcPr>
            <w:tcW w:w="1140" w:type="dxa"/>
            <w:vAlign w:val="center"/>
          </w:tcPr>
          <w:p>
            <w:pPr>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598.96</w:t>
            </w:r>
          </w:p>
        </w:tc>
        <w:tc>
          <w:tcPr>
            <w:tcW w:w="685" w:type="dxa"/>
            <w:vAlign w:val="center"/>
          </w:tcPr>
          <w:p>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100%</w:t>
            </w:r>
          </w:p>
        </w:tc>
        <w:tc>
          <w:tcPr>
            <w:tcW w:w="1365" w:type="dxa"/>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90" w:hRule="atLeast"/>
        </w:trPr>
        <w:tc>
          <w:tcPr>
            <w:tcW w:w="1075"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2160" w:type="dxa"/>
            <w:gridSpan w:val="2"/>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229" w:type="dxa"/>
            <w:vAlign w:val="center"/>
          </w:tcPr>
          <w:p>
            <w:pPr>
              <w:jc w:val="center"/>
              <w:rPr>
                <w:rFonts w:hint="eastAsia"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0</w:t>
            </w:r>
          </w:p>
        </w:tc>
        <w:tc>
          <w:tcPr>
            <w:tcW w:w="1131" w:type="dxa"/>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598.96</w:t>
            </w:r>
          </w:p>
        </w:tc>
        <w:tc>
          <w:tcPr>
            <w:tcW w:w="1140" w:type="dxa"/>
            <w:vAlign w:val="center"/>
          </w:tcPr>
          <w:p>
            <w:pPr>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598.96</w:t>
            </w:r>
          </w:p>
        </w:tc>
        <w:tc>
          <w:tcPr>
            <w:tcW w:w="685" w:type="dxa"/>
            <w:vAlign w:val="center"/>
          </w:tcPr>
          <w:p>
            <w:pPr>
              <w:jc w:val="center"/>
              <w:rPr>
                <w:rFonts w:ascii="Arial"/>
                <w:color w:val="000000" w:themeColor="text1"/>
                <w:szCs w:val="21"/>
                <w14:textFill>
                  <w14:solidFill>
                    <w14:schemeClr w14:val="tx1"/>
                  </w14:solidFill>
                </w14:textFill>
              </w:rPr>
            </w:pPr>
          </w:p>
        </w:tc>
        <w:tc>
          <w:tcPr>
            <w:tcW w:w="795" w:type="dxa"/>
            <w:vAlign w:val="center"/>
          </w:tcPr>
          <w:p>
            <w:pPr>
              <w:jc w:val="center"/>
              <w:rPr>
                <w:rFonts w:ascii="Arial"/>
                <w:color w:val="000000" w:themeColor="text1"/>
                <w:szCs w:val="21"/>
                <w14:textFill>
                  <w14:solidFill>
                    <w14:schemeClr w14:val="tx1"/>
                  </w14:solidFill>
                </w14:textFill>
              </w:rPr>
            </w:pPr>
          </w:p>
        </w:tc>
        <w:tc>
          <w:tcPr>
            <w:tcW w:w="1365" w:type="dxa"/>
            <w:vAlign w:val="center"/>
          </w:tcPr>
          <w:p>
            <w:pPr>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2160" w:type="dxa"/>
            <w:gridSpan w:val="2"/>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上年结转资金</w:t>
            </w:r>
          </w:p>
        </w:tc>
        <w:tc>
          <w:tcPr>
            <w:tcW w:w="1229" w:type="dxa"/>
            <w:vAlign w:val="center"/>
          </w:tcPr>
          <w:p>
            <w:pPr>
              <w:jc w:val="center"/>
              <w:rPr>
                <w:rFonts w:hint="eastAsia"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0</w:t>
            </w:r>
          </w:p>
        </w:tc>
        <w:tc>
          <w:tcPr>
            <w:tcW w:w="1131" w:type="dxa"/>
            <w:vAlign w:val="center"/>
          </w:tcPr>
          <w:p>
            <w:pPr>
              <w:jc w:val="center"/>
              <w:rPr>
                <w:rFonts w:hint="eastAsia"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0</w:t>
            </w:r>
          </w:p>
        </w:tc>
        <w:tc>
          <w:tcPr>
            <w:tcW w:w="1140" w:type="dxa"/>
            <w:vAlign w:val="center"/>
          </w:tcPr>
          <w:p>
            <w:pPr>
              <w:jc w:val="center"/>
              <w:rPr>
                <w:rFonts w:hint="eastAsia"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0</w:t>
            </w:r>
          </w:p>
        </w:tc>
        <w:tc>
          <w:tcPr>
            <w:tcW w:w="685" w:type="dxa"/>
            <w:vAlign w:val="center"/>
          </w:tcPr>
          <w:p>
            <w:pPr>
              <w:jc w:val="center"/>
              <w:rPr>
                <w:rFonts w:ascii="Arial"/>
                <w:color w:val="000000" w:themeColor="text1"/>
                <w:szCs w:val="21"/>
                <w14:textFill>
                  <w14:solidFill>
                    <w14:schemeClr w14:val="tx1"/>
                  </w14:solidFill>
                </w14:textFill>
              </w:rPr>
            </w:pPr>
          </w:p>
        </w:tc>
        <w:tc>
          <w:tcPr>
            <w:tcW w:w="795" w:type="dxa"/>
            <w:vAlign w:val="center"/>
          </w:tcPr>
          <w:p>
            <w:pPr>
              <w:jc w:val="center"/>
              <w:rPr>
                <w:rFonts w:ascii="Arial"/>
                <w:color w:val="000000" w:themeColor="text1"/>
                <w:szCs w:val="21"/>
                <w14:textFill>
                  <w14:solidFill>
                    <w14:schemeClr w14:val="tx1"/>
                  </w14:solidFill>
                </w14:textFill>
              </w:rPr>
            </w:pPr>
          </w:p>
        </w:tc>
        <w:tc>
          <w:tcPr>
            <w:tcW w:w="1365" w:type="dxa"/>
            <w:vAlign w:val="center"/>
          </w:tcPr>
          <w:p>
            <w:pPr>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jc w:val="center"/>
              <w:rPr>
                <w:rFonts w:ascii="Arial"/>
                <w:color w:val="000000" w:themeColor="text1"/>
                <w:szCs w:val="21"/>
                <w14:textFill>
                  <w14:solidFill>
                    <w14:schemeClr w14:val="tx1"/>
                  </w14:solidFill>
                </w14:textFill>
              </w:rPr>
            </w:pPr>
          </w:p>
        </w:tc>
        <w:tc>
          <w:tcPr>
            <w:tcW w:w="2160" w:type="dxa"/>
            <w:gridSpan w:val="2"/>
            <w:vAlign w:val="center"/>
          </w:tcPr>
          <w:p>
            <w:pPr>
              <w:spacing w:line="20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其他资金</w:t>
            </w:r>
          </w:p>
        </w:tc>
        <w:tc>
          <w:tcPr>
            <w:tcW w:w="1229" w:type="dxa"/>
            <w:vAlign w:val="center"/>
          </w:tcPr>
          <w:p>
            <w:pPr>
              <w:jc w:val="center"/>
              <w:rPr>
                <w:rFonts w:hint="eastAsia"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0</w:t>
            </w:r>
          </w:p>
        </w:tc>
        <w:tc>
          <w:tcPr>
            <w:tcW w:w="1131" w:type="dxa"/>
            <w:vAlign w:val="center"/>
          </w:tcPr>
          <w:p>
            <w:pPr>
              <w:jc w:val="center"/>
              <w:rPr>
                <w:rFonts w:hint="eastAsia"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0</w:t>
            </w:r>
          </w:p>
        </w:tc>
        <w:tc>
          <w:tcPr>
            <w:tcW w:w="1140" w:type="dxa"/>
            <w:vAlign w:val="center"/>
          </w:tcPr>
          <w:p>
            <w:pPr>
              <w:jc w:val="center"/>
              <w:rPr>
                <w:rFonts w:hint="eastAsia"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0</w:t>
            </w:r>
          </w:p>
        </w:tc>
        <w:tc>
          <w:tcPr>
            <w:tcW w:w="685" w:type="dxa"/>
            <w:vAlign w:val="center"/>
          </w:tcPr>
          <w:p>
            <w:pPr>
              <w:jc w:val="center"/>
              <w:rPr>
                <w:rFonts w:ascii="Arial"/>
                <w:color w:val="000000" w:themeColor="text1"/>
                <w:szCs w:val="21"/>
                <w14:textFill>
                  <w14:solidFill>
                    <w14:schemeClr w14:val="tx1"/>
                  </w14:solidFill>
                </w14:textFill>
              </w:rPr>
            </w:pPr>
          </w:p>
        </w:tc>
        <w:tc>
          <w:tcPr>
            <w:tcW w:w="795" w:type="dxa"/>
            <w:vAlign w:val="center"/>
          </w:tcPr>
          <w:p>
            <w:pPr>
              <w:jc w:val="center"/>
              <w:rPr>
                <w:rFonts w:ascii="Arial"/>
                <w:color w:val="000000" w:themeColor="text1"/>
                <w:szCs w:val="21"/>
                <w14:textFill>
                  <w14:solidFill>
                    <w14:schemeClr w14:val="tx1"/>
                  </w14:solidFill>
                </w14:textFill>
              </w:rPr>
            </w:pPr>
          </w:p>
        </w:tc>
        <w:tc>
          <w:tcPr>
            <w:tcW w:w="1365" w:type="dxa"/>
            <w:vAlign w:val="center"/>
          </w:tcPr>
          <w:p>
            <w:pPr>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vAlign w:val="center"/>
          </w:tcPr>
          <w:p>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4"/>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1" w:hRule="atLeast"/>
        </w:trPr>
        <w:tc>
          <w:tcPr>
            <w:tcW w:w="1075" w:type="dxa"/>
            <w:vMerge w:val="continue"/>
            <w:tcBorders>
              <w:top w:val="nil"/>
              <w:bottom w:val="single" w:color="auto" w:sz="4" w:space="0"/>
            </w:tcBorders>
            <w:vAlign w:val="center"/>
          </w:tcPr>
          <w:p>
            <w:pPr>
              <w:jc w:val="center"/>
              <w:rPr>
                <w:rFonts w:ascii="Arial"/>
                <w:color w:val="000000" w:themeColor="text1"/>
                <w:szCs w:val="21"/>
                <w14:textFill>
                  <w14:solidFill>
                    <w14:schemeClr w14:val="tx1"/>
                  </w14:solidFill>
                </w14:textFill>
              </w:rPr>
            </w:pPr>
          </w:p>
        </w:tc>
        <w:tc>
          <w:tcPr>
            <w:tcW w:w="4520" w:type="dxa"/>
            <w:gridSpan w:val="4"/>
            <w:vAlign w:val="center"/>
          </w:tcPr>
          <w:p>
            <w:pPr>
              <w:numPr>
                <w:ilvl w:val="0"/>
                <w:numId w:val="5"/>
              </w:numPr>
              <w:spacing w:line="240" w:lineRule="exact"/>
              <w:jc w:val="center"/>
              <w:rPr>
                <w:rFonts w:hint="eastAsia" w:ascii="Arial"/>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每月确保环卫工资按时正常发放</w:t>
            </w:r>
          </w:p>
          <w:p>
            <w:pPr>
              <w:numPr>
                <w:ilvl w:val="0"/>
                <w:numId w:val="5"/>
              </w:numPr>
              <w:spacing w:line="240" w:lineRule="exact"/>
              <w:jc w:val="center"/>
              <w:rPr>
                <w:rFonts w:hint="default" w:ascii="Arial"/>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每月按时缴纳环卫工人养老、医疗、工伤及失业保险</w:t>
            </w:r>
          </w:p>
          <w:p>
            <w:pPr>
              <w:numPr>
                <w:ilvl w:val="0"/>
                <w:numId w:val="5"/>
              </w:numPr>
              <w:spacing w:line="240" w:lineRule="exact"/>
              <w:jc w:val="center"/>
              <w:rPr>
                <w:rFonts w:hint="default" w:ascii="Arial"/>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专项资金使用，无截留</w:t>
            </w:r>
          </w:p>
        </w:tc>
        <w:tc>
          <w:tcPr>
            <w:tcW w:w="3985" w:type="dxa"/>
            <w:gridSpan w:val="4"/>
            <w:vAlign w:val="center"/>
          </w:tcPr>
          <w:p>
            <w:pPr>
              <w:numPr>
                <w:ilvl w:val="0"/>
                <w:numId w:val="6"/>
              </w:numPr>
              <w:spacing w:line="240" w:lineRule="exact"/>
              <w:jc w:val="center"/>
              <w:rPr>
                <w:rFonts w:hint="eastAsia" w:ascii="Arial"/>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每月15日前环卫工资按时发放</w:t>
            </w:r>
          </w:p>
          <w:p>
            <w:pPr>
              <w:numPr>
                <w:ilvl w:val="0"/>
                <w:numId w:val="6"/>
              </w:numPr>
              <w:spacing w:line="240" w:lineRule="exact"/>
              <w:jc w:val="center"/>
              <w:rPr>
                <w:rFonts w:hint="default" w:ascii="Arial"/>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每月15日前按时缴纳养老、医疗、工伤及失业保险</w:t>
            </w:r>
          </w:p>
          <w:p>
            <w:pPr>
              <w:numPr>
                <w:ilvl w:val="0"/>
                <w:numId w:val="6"/>
              </w:numPr>
              <w:spacing w:line="240" w:lineRule="exact"/>
              <w:jc w:val="center"/>
              <w:rPr>
                <w:rFonts w:hint="default" w:ascii="Arial"/>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专项资金已使用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top w:val="single" w:color="auto" w:sz="4" w:space="0"/>
              <w:left w:val="single" w:color="auto" w:sz="4" w:space="0"/>
              <w:bottom w:val="single" w:color="auto" w:sz="4" w:space="0"/>
              <w:right w:val="single" w:color="auto" w:sz="4" w:space="0"/>
            </w:tcBorders>
            <w:textDirection w:val="tbRlV"/>
            <w:vAlign w:val="center"/>
          </w:tcPr>
          <w:p>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效</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指</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标</w:t>
            </w:r>
          </w:p>
        </w:tc>
        <w:tc>
          <w:tcPr>
            <w:tcW w:w="1080" w:type="dxa"/>
            <w:tcBorders>
              <w:left w:val="single" w:color="auto" w:sz="4" w:space="0"/>
            </w:tcBorders>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229"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131"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4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65" w:type="dxa"/>
            <w:vAlign w:val="center"/>
          </w:tcPr>
          <w:p>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3"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restart"/>
            <w:tcBorders>
              <w:left w:val="single" w:color="auto" w:sz="4" w:space="0"/>
              <w:bottom w:val="nil"/>
            </w:tcBorders>
            <w:vAlign w:val="center"/>
          </w:tcPr>
          <w:p>
            <w:pPr>
              <w:spacing w:line="256" w:lineRule="auto"/>
              <w:jc w:val="center"/>
              <w:rPr>
                <w:rFonts w:ascii="Arial"/>
                <w:color w:val="000000" w:themeColor="text1"/>
                <w:szCs w:val="21"/>
                <w14:textFill>
                  <w14:solidFill>
                    <w14:schemeClr w14:val="tx1"/>
                  </w14:solidFill>
                </w14:textFill>
              </w:rPr>
            </w:pPr>
          </w:p>
          <w:p>
            <w:pPr>
              <w:spacing w:line="257" w:lineRule="auto"/>
              <w:jc w:val="center"/>
              <w:rPr>
                <w:rFonts w:ascii="Arial"/>
                <w:color w:val="000000" w:themeColor="text1"/>
                <w:szCs w:val="21"/>
                <w14:textFill>
                  <w14:solidFill>
                    <w14:schemeClr w14:val="tx1"/>
                  </w14:solidFill>
                </w14:textFill>
              </w:rPr>
            </w:pPr>
          </w:p>
          <w:p>
            <w:pPr>
              <w:spacing w:line="257" w:lineRule="auto"/>
              <w:jc w:val="center"/>
              <w:rPr>
                <w:rFonts w:ascii="Arial"/>
                <w:color w:val="000000" w:themeColor="text1"/>
                <w:szCs w:val="21"/>
                <w14:textFill>
                  <w14:solidFill>
                    <w14:schemeClr w14:val="tx1"/>
                  </w14:solidFill>
                </w14:textFill>
              </w:rPr>
            </w:pPr>
          </w:p>
          <w:p>
            <w:pPr>
              <w:spacing w:line="257" w:lineRule="auto"/>
              <w:jc w:val="center"/>
              <w:rPr>
                <w:rFonts w:ascii="Arial"/>
                <w:color w:val="000000" w:themeColor="text1"/>
                <w:szCs w:val="21"/>
                <w14:textFill>
                  <w14:solidFill>
                    <w14:schemeClr w14:val="tx1"/>
                  </w14:solidFill>
                </w14:textFill>
              </w:rPr>
            </w:pPr>
          </w:p>
          <w:p>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tcBorders>
              <w:bottom w:val="nil"/>
            </w:tcBorders>
            <w:vAlign w:val="center"/>
          </w:tcPr>
          <w:p>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229" w:type="dxa"/>
            <w:vAlign w:val="center"/>
          </w:tcPr>
          <w:p>
            <w:pPr>
              <w:tabs>
                <w:tab w:val="left" w:pos="207"/>
              </w:tabs>
              <w:spacing w:line="21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辖区环卫工人每月工资发放及社会保险费缴纳人数</w:t>
            </w:r>
          </w:p>
        </w:tc>
        <w:tc>
          <w:tcPr>
            <w:tcW w:w="1131" w:type="dxa"/>
            <w:vAlign w:val="center"/>
          </w:tcPr>
          <w:p>
            <w:pPr>
              <w:spacing w:line="219" w:lineRule="exact"/>
              <w:jc w:val="center"/>
              <w:rPr>
                <w:rFonts w:hint="default" w:ascii="Arial" w:eastAsiaTheme="minorEastAsia"/>
                <w:color w:val="000000" w:themeColor="text1"/>
                <w:szCs w:val="21"/>
                <w:lang w:val="en-US" w:eastAsia="zh-CN"/>
                <w14:textFill>
                  <w14:solidFill>
                    <w14:schemeClr w14:val="tx1"/>
                  </w14:solidFill>
                </w14:textFill>
              </w:rPr>
            </w:pPr>
            <w:r>
              <w:rPr>
                <w:rFonts w:hint="default" w:ascii="Arial" w:hAnsi="Arial" w:cs="Arial" w:eastAsiaTheme="minorEastAsia"/>
                <w:color w:val="000000" w:themeColor="text1"/>
                <w:szCs w:val="21"/>
                <w:lang w:val="en-US" w:eastAsia="zh-CN"/>
                <w14:textFill>
                  <w14:solidFill>
                    <w14:schemeClr w14:val="tx1"/>
                  </w14:solidFill>
                </w14:textFill>
              </w:rPr>
              <w:t>≥</w:t>
            </w:r>
            <w:r>
              <w:rPr>
                <w:rFonts w:hint="eastAsia" w:ascii="Arial"/>
                <w:color w:val="000000" w:themeColor="text1"/>
                <w:szCs w:val="21"/>
                <w:lang w:val="en-US" w:eastAsia="zh-CN"/>
                <w14:textFill>
                  <w14:solidFill>
                    <w14:schemeClr w14:val="tx1"/>
                  </w14:solidFill>
                </w14:textFill>
              </w:rPr>
              <w:t>175人</w:t>
            </w:r>
          </w:p>
        </w:tc>
        <w:tc>
          <w:tcPr>
            <w:tcW w:w="1140" w:type="dxa"/>
            <w:vAlign w:val="center"/>
          </w:tcPr>
          <w:p>
            <w:pPr>
              <w:spacing w:line="21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175人</w:t>
            </w:r>
          </w:p>
        </w:tc>
        <w:tc>
          <w:tcPr>
            <w:tcW w:w="685" w:type="dxa"/>
            <w:vAlign w:val="center"/>
          </w:tcPr>
          <w:p>
            <w:pPr>
              <w:spacing w:line="21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795" w:type="dxa"/>
            <w:vAlign w:val="center"/>
          </w:tcPr>
          <w:p>
            <w:pPr>
              <w:spacing w:line="21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1365" w:type="dxa"/>
            <w:vAlign w:val="center"/>
          </w:tcPr>
          <w:p>
            <w:pPr>
              <w:spacing w:line="219"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left w:val="single" w:color="auto" w:sz="4" w:space="0"/>
              <w:bottom w:val="nil"/>
            </w:tcBorders>
            <w:vAlign w:val="center"/>
          </w:tcPr>
          <w:p>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229" w:type="dxa"/>
            <w:vAlign w:val="center"/>
          </w:tcPr>
          <w:p>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资金全部转款专用，无截留</w:t>
            </w:r>
          </w:p>
        </w:tc>
        <w:tc>
          <w:tcPr>
            <w:tcW w:w="1131" w:type="dxa"/>
            <w:vAlign w:val="center"/>
          </w:tcPr>
          <w:p>
            <w:pPr>
              <w:spacing w:line="23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=100%</w:t>
            </w:r>
          </w:p>
        </w:tc>
        <w:tc>
          <w:tcPr>
            <w:tcW w:w="1140" w:type="dxa"/>
            <w:vAlign w:val="center"/>
          </w:tcPr>
          <w:p>
            <w:pPr>
              <w:spacing w:line="23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100%</w:t>
            </w:r>
          </w:p>
        </w:tc>
        <w:tc>
          <w:tcPr>
            <w:tcW w:w="685" w:type="dxa"/>
            <w:vAlign w:val="center"/>
          </w:tcPr>
          <w:p>
            <w:pPr>
              <w:spacing w:line="23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795" w:type="dxa"/>
            <w:vAlign w:val="center"/>
          </w:tcPr>
          <w:p>
            <w:pPr>
              <w:spacing w:line="23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5"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left w:val="single" w:color="auto" w:sz="4" w:space="0"/>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229" w:type="dxa"/>
            <w:vAlign w:val="center"/>
          </w:tcPr>
          <w:p>
            <w:pPr>
              <w:spacing w:line="23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环卫工人工资发放及时率</w:t>
            </w:r>
          </w:p>
        </w:tc>
        <w:tc>
          <w:tcPr>
            <w:tcW w:w="1131" w:type="dxa"/>
            <w:vAlign w:val="center"/>
          </w:tcPr>
          <w:p>
            <w:pPr>
              <w:spacing w:line="23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每月15日前足额发放</w:t>
            </w:r>
          </w:p>
        </w:tc>
        <w:tc>
          <w:tcPr>
            <w:tcW w:w="1140" w:type="dxa"/>
            <w:vAlign w:val="center"/>
          </w:tcPr>
          <w:p>
            <w:pPr>
              <w:spacing w:line="239" w:lineRule="exact"/>
              <w:jc w:val="center"/>
              <w:rPr>
                <w:rFonts w:hint="eastAsia"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定时</w:t>
            </w:r>
          </w:p>
        </w:tc>
        <w:tc>
          <w:tcPr>
            <w:tcW w:w="685" w:type="dxa"/>
            <w:vAlign w:val="center"/>
          </w:tcPr>
          <w:p>
            <w:pPr>
              <w:spacing w:line="23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795" w:type="dxa"/>
            <w:vAlign w:val="center"/>
          </w:tcPr>
          <w:p>
            <w:pPr>
              <w:spacing w:line="23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1365" w:type="dxa"/>
            <w:vAlign w:val="center"/>
          </w:tcPr>
          <w:p>
            <w:pPr>
              <w:spacing w:line="239"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37"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left w:val="single" w:color="auto" w:sz="4" w:space="0"/>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spacing w:line="23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环卫工人保险每月及时缴纳率</w:t>
            </w:r>
          </w:p>
        </w:tc>
        <w:tc>
          <w:tcPr>
            <w:tcW w:w="1131" w:type="dxa"/>
            <w:vAlign w:val="center"/>
          </w:tcPr>
          <w:p>
            <w:pPr>
              <w:spacing w:line="239"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每月15日前足额发放</w:t>
            </w:r>
          </w:p>
        </w:tc>
        <w:tc>
          <w:tcPr>
            <w:tcW w:w="1140" w:type="dxa"/>
            <w:vAlign w:val="center"/>
          </w:tcPr>
          <w:p>
            <w:pPr>
              <w:spacing w:line="239" w:lineRule="exact"/>
              <w:jc w:val="center"/>
              <w:rPr>
                <w:rFonts w:hint="eastAsia"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定时</w:t>
            </w:r>
          </w:p>
        </w:tc>
        <w:tc>
          <w:tcPr>
            <w:tcW w:w="685" w:type="dxa"/>
            <w:vAlign w:val="center"/>
          </w:tcPr>
          <w:p>
            <w:pPr>
              <w:spacing w:line="239"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795" w:type="dxa"/>
            <w:vAlign w:val="center"/>
          </w:tcPr>
          <w:p>
            <w:pPr>
              <w:spacing w:line="239"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left w:val="single" w:color="auto" w:sz="4" w:space="0"/>
              <w:bottom w:val="nil"/>
            </w:tcBorders>
            <w:vAlign w:val="center"/>
          </w:tcPr>
          <w:p>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229" w:type="dxa"/>
            <w:vAlign w:val="center"/>
          </w:tcPr>
          <w:p>
            <w:pPr>
              <w:spacing w:line="22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专项资金支出</w:t>
            </w:r>
          </w:p>
        </w:tc>
        <w:tc>
          <w:tcPr>
            <w:tcW w:w="1131" w:type="dxa"/>
            <w:vAlign w:val="center"/>
          </w:tcPr>
          <w:p>
            <w:pPr>
              <w:spacing w:line="220" w:lineRule="exact"/>
              <w:jc w:val="center"/>
              <w:rPr>
                <w:rFonts w:hint="default" w:ascii="Arial" w:eastAsiaTheme="minorEastAsia"/>
                <w:color w:val="000000" w:themeColor="text1"/>
                <w:szCs w:val="21"/>
                <w:lang w:val="en-US" w:eastAsia="zh-CN"/>
                <w14:textFill>
                  <w14:solidFill>
                    <w14:schemeClr w14:val="tx1"/>
                  </w14:solidFill>
                </w14:textFill>
              </w:rPr>
            </w:pPr>
            <w:r>
              <w:rPr>
                <w:rFonts w:hint="default" w:ascii="Arial" w:hAnsi="Arial" w:cs="Arial"/>
                <w:color w:val="000000" w:themeColor="text1"/>
                <w:szCs w:val="21"/>
                <w14:textFill>
                  <w14:solidFill>
                    <w14:schemeClr w14:val="tx1"/>
                  </w14:solidFill>
                </w14:textFill>
              </w:rPr>
              <w:t>≥</w:t>
            </w:r>
            <w:r>
              <w:rPr>
                <w:rFonts w:hint="eastAsia" w:ascii="Arial"/>
                <w:color w:val="000000" w:themeColor="text1"/>
                <w:szCs w:val="21"/>
                <w:lang w:val="en-US" w:eastAsia="zh-CN"/>
                <w14:textFill>
                  <w14:solidFill>
                    <w14:schemeClr w14:val="tx1"/>
                  </w14:solidFill>
                </w14:textFill>
              </w:rPr>
              <w:t>598.96万元</w:t>
            </w:r>
          </w:p>
        </w:tc>
        <w:tc>
          <w:tcPr>
            <w:tcW w:w="1140" w:type="dxa"/>
            <w:vAlign w:val="center"/>
          </w:tcPr>
          <w:p>
            <w:pPr>
              <w:spacing w:line="22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598.96万元</w:t>
            </w:r>
          </w:p>
        </w:tc>
        <w:tc>
          <w:tcPr>
            <w:tcW w:w="685" w:type="dxa"/>
            <w:vAlign w:val="center"/>
          </w:tcPr>
          <w:p>
            <w:pPr>
              <w:spacing w:line="22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795" w:type="dxa"/>
            <w:vAlign w:val="center"/>
          </w:tcPr>
          <w:p>
            <w:pPr>
              <w:spacing w:line="22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1365" w:type="dxa"/>
            <w:vAlign w:val="center"/>
          </w:tcPr>
          <w:p>
            <w:pPr>
              <w:spacing w:line="22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5"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restart"/>
            <w:tcBorders>
              <w:left w:val="single" w:color="auto" w:sz="4" w:space="0"/>
              <w:bottom w:val="nil"/>
            </w:tcBorders>
            <w:vAlign w:val="center"/>
          </w:tcPr>
          <w:p>
            <w:pPr>
              <w:spacing w:line="300" w:lineRule="auto"/>
              <w:jc w:val="center"/>
              <w:rPr>
                <w:rFonts w:ascii="Arial"/>
                <w:color w:val="000000" w:themeColor="text1"/>
                <w:szCs w:val="21"/>
                <w14:textFill>
                  <w14:solidFill>
                    <w14:schemeClr w14:val="tx1"/>
                  </w14:solidFill>
                </w14:textFill>
              </w:rPr>
            </w:pPr>
          </w:p>
          <w:p>
            <w:pPr>
              <w:spacing w:line="301" w:lineRule="auto"/>
              <w:jc w:val="center"/>
              <w:rPr>
                <w:rFonts w:ascii="Arial"/>
                <w:color w:val="000000" w:themeColor="text1"/>
                <w:szCs w:val="21"/>
                <w14:textFill>
                  <w14:solidFill>
                    <w14:schemeClr w14:val="tx1"/>
                  </w14:solidFill>
                </w14:textFill>
              </w:rPr>
            </w:pPr>
          </w:p>
          <w:p>
            <w:pPr>
              <w:spacing w:line="301" w:lineRule="auto"/>
              <w:jc w:val="center"/>
              <w:rPr>
                <w:rFonts w:ascii="Arial"/>
                <w:color w:val="000000" w:themeColor="text1"/>
                <w:szCs w:val="21"/>
                <w14:textFill>
                  <w14:solidFill>
                    <w14:schemeClr w14:val="tx1"/>
                  </w14:solidFill>
                </w14:textFill>
              </w:rPr>
            </w:pPr>
          </w:p>
          <w:p>
            <w:pPr>
              <w:spacing w:line="49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1"/>
                <w:szCs w:val="21"/>
                <w14:textFill>
                  <w14:solidFill>
                    <w14:schemeClr w14:val="tx1"/>
                  </w14:solidFill>
                </w14:textFill>
              </w:rPr>
              <w:t>效益指标</w:t>
            </w: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(30分)</w:t>
            </w:r>
          </w:p>
        </w:tc>
        <w:tc>
          <w:tcPr>
            <w:tcW w:w="1080" w:type="dxa"/>
            <w:tcBorders>
              <w:bottom w:val="nil"/>
            </w:tcBorders>
            <w:vAlign w:val="center"/>
          </w:tcPr>
          <w:p>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4"/>
                <w:szCs w:val="21"/>
                <w14:textFill>
                  <w14:solidFill>
                    <w14:schemeClr w14:val="tx1"/>
                  </w14:solidFill>
                </w14:textFill>
              </w:rPr>
              <w:t>经济效</w:t>
            </w: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pPr>
              <w:spacing w:line="23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加大社区帮扶解困力度</w:t>
            </w:r>
          </w:p>
        </w:tc>
        <w:tc>
          <w:tcPr>
            <w:tcW w:w="1131" w:type="dxa"/>
            <w:vAlign w:val="center"/>
          </w:tcPr>
          <w:p>
            <w:pPr>
              <w:spacing w:line="220"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default" w:ascii="Arial" w:hAnsi="Arial" w:cs="Arial"/>
                <w:color w:val="000000" w:themeColor="text1"/>
                <w:szCs w:val="21"/>
                <w14:textFill>
                  <w14:solidFill>
                    <w14:schemeClr w14:val="tx1"/>
                  </w14:solidFill>
                </w14:textFill>
              </w:rPr>
              <w:t>≥</w:t>
            </w:r>
            <w:r>
              <w:rPr>
                <w:rFonts w:hint="eastAsia" w:ascii="Arial"/>
                <w:color w:val="000000" w:themeColor="text1"/>
                <w:szCs w:val="21"/>
                <w:lang w:val="en-US" w:eastAsia="zh-CN"/>
                <w14:textFill>
                  <w14:solidFill>
                    <w14:schemeClr w14:val="tx1"/>
                  </w14:solidFill>
                </w14:textFill>
              </w:rPr>
              <w:t>598.96万元</w:t>
            </w:r>
          </w:p>
        </w:tc>
        <w:tc>
          <w:tcPr>
            <w:tcW w:w="1140" w:type="dxa"/>
            <w:vAlign w:val="center"/>
          </w:tcPr>
          <w:p>
            <w:pPr>
              <w:spacing w:line="220"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598.96万元</w:t>
            </w:r>
          </w:p>
        </w:tc>
        <w:tc>
          <w:tcPr>
            <w:tcW w:w="685" w:type="dxa"/>
            <w:vAlign w:val="center"/>
          </w:tcPr>
          <w:p>
            <w:pPr>
              <w:spacing w:line="220"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795" w:type="dxa"/>
            <w:vAlign w:val="center"/>
          </w:tcPr>
          <w:p>
            <w:pPr>
              <w:spacing w:line="220"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1365" w:type="dxa"/>
            <w:vAlign w:val="center"/>
          </w:tcPr>
          <w:p>
            <w:pPr>
              <w:spacing w:line="239"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left w:val="single" w:color="auto" w:sz="4" w:space="0"/>
              <w:bottom w:val="nil"/>
            </w:tcBorders>
            <w:vAlign w:val="center"/>
          </w:tcPr>
          <w:p>
            <w:pPr>
              <w:jc w:val="center"/>
              <w:rPr>
                <w:rFonts w:ascii="Arial"/>
                <w:color w:val="000000" w:themeColor="text1"/>
                <w:szCs w:val="21"/>
                <w14:textFill>
                  <w14:solidFill>
                    <w14:schemeClr w14:val="tx1"/>
                  </w14:solidFill>
                </w14:textFill>
              </w:rPr>
            </w:pPr>
          </w:p>
        </w:tc>
        <w:tc>
          <w:tcPr>
            <w:tcW w:w="1080" w:type="dxa"/>
            <w:tcBorders>
              <w:bottom w:val="single" w:color="auto" w:sz="4" w:space="0"/>
            </w:tcBorders>
            <w:vAlign w:val="center"/>
          </w:tcPr>
          <w:p>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pPr>
              <w:spacing w:line="23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优化了社区环境治理</w:t>
            </w:r>
          </w:p>
        </w:tc>
        <w:tc>
          <w:tcPr>
            <w:tcW w:w="1131" w:type="dxa"/>
            <w:vAlign w:val="center"/>
          </w:tcPr>
          <w:p>
            <w:pPr>
              <w:spacing w:line="23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100%</w:t>
            </w:r>
          </w:p>
        </w:tc>
        <w:tc>
          <w:tcPr>
            <w:tcW w:w="1140" w:type="dxa"/>
            <w:vAlign w:val="center"/>
          </w:tcPr>
          <w:p>
            <w:pPr>
              <w:spacing w:line="23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100%</w:t>
            </w:r>
          </w:p>
        </w:tc>
        <w:tc>
          <w:tcPr>
            <w:tcW w:w="685" w:type="dxa"/>
            <w:vAlign w:val="center"/>
          </w:tcPr>
          <w:p>
            <w:pPr>
              <w:spacing w:line="23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795" w:type="dxa"/>
            <w:vAlign w:val="center"/>
          </w:tcPr>
          <w:p>
            <w:pPr>
              <w:spacing w:line="23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8"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left w:val="single" w:color="auto" w:sz="4" w:space="0"/>
              <w:bottom w:val="single" w:color="auto" w:sz="4" w:space="0"/>
              <w:right w:val="single" w:color="auto" w:sz="4" w:space="0"/>
            </w:tcBorders>
            <w:vAlign w:val="center"/>
          </w:tcPr>
          <w:p>
            <w:pPr>
              <w:jc w:val="center"/>
              <w:rPr>
                <w:rFonts w:ascii="Arial"/>
                <w:color w:val="000000" w:themeColor="text1"/>
                <w:szCs w:val="21"/>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229" w:type="dxa"/>
            <w:tcBorders>
              <w:left w:val="single" w:color="auto" w:sz="4" w:space="0"/>
            </w:tcBorders>
            <w:vAlign w:val="center"/>
          </w:tcPr>
          <w:p>
            <w:pPr>
              <w:spacing w:line="23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改善了辖区居民居住环境</w:t>
            </w:r>
          </w:p>
        </w:tc>
        <w:tc>
          <w:tcPr>
            <w:tcW w:w="1131" w:type="dxa"/>
            <w:vAlign w:val="center"/>
          </w:tcPr>
          <w:p>
            <w:pPr>
              <w:spacing w:line="230"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100%</w:t>
            </w:r>
          </w:p>
        </w:tc>
        <w:tc>
          <w:tcPr>
            <w:tcW w:w="1140" w:type="dxa"/>
            <w:vAlign w:val="center"/>
          </w:tcPr>
          <w:p>
            <w:pPr>
              <w:spacing w:line="230"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100%</w:t>
            </w:r>
          </w:p>
        </w:tc>
        <w:tc>
          <w:tcPr>
            <w:tcW w:w="685" w:type="dxa"/>
            <w:vAlign w:val="center"/>
          </w:tcPr>
          <w:p>
            <w:pPr>
              <w:spacing w:line="230"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795" w:type="dxa"/>
            <w:vAlign w:val="center"/>
          </w:tcPr>
          <w:p>
            <w:pPr>
              <w:spacing w:line="230"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tcBorders>
              <w:top w:val="single" w:color="auto" w:sz="4" w:space="0"/>
              <w:left w:val="single" w:color="auto" w:sz="4" w:space="0"/>
              <w:bottom w:val="nil"/>
            </w:tcBorders>
            <w:vAlign w:val="center"/>
          </w:tcPr>
          <w:p>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229" w:type="dxa"/>
            <w:vAlign w:val="center"/>
          </w:tcPr>
          <w:p>
            <w:pPr>
              <w:spacing w:line="24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群众对街道、社区满意度提升</w:t>
            </w:r>
          </w:p>
        </w:tc>
        <w:tc>
          <w:tcPr>
            <w:tcW w:w="1131" w:type="dxa"/>
            <w:vAlign w:val="center"/>
          </w:tcPr>
          <w:p>
            <w:pPr>
              <w:spacing w:line="230"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100%</w:t>
            </w:r>
          </w:p>
        </w:tc>
        <w:tc>
          <w:tcPr>
            <w:tcW w:w="1140" w:type="dxa"/>
            <w:vAlign w:val="center"/>
          </w:tcPr>
          <w:p>
            <w:pPr>
              <w:spacing w:line="230"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100%</w:t>
            </w:r>
          </w:p>
        </w:tc>
        <w:tc>
          <w:tcPr>
            <w:tcW w:w="685" w:type="dxa"/>
            <w:vAlign w:val="center"/>
          </w:tcPr>
          <w:p>
            <w:pPr>
              <w:spacing w:line="230"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795" w:type="dxa"/>
            <w:vAlign w:val="center"/>
          </w:tcPr>
          <w:p>
            <w:pPr>
              <w:spacing w:line="230" w:lineRule="exact"/>
              <w:jc w:val="center"/>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1365" w:type="dxa"/>
            <w:vAlign w:val="center"/>
          </w:tcPr>
          <w:p>
            <w:pPr>
              <w:spacing w:line="24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vAlign w:val="center"/>
          </w:tcPr>
          <w:p>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100</w:t>
            </w:r>
          </w:p>
        </w:tc>
        <w:tc>
          <w:tcPr>
            <w:tcW w:w="1365" w:type="dxa"/>
            <w:vAlign w:val="center"/>
          </w:tcPr>
          <w:p>
            <w:pPr>
              <w:jc w:val="center"/>
              <w:rPr>
                <w:rFonts w:ascii="Arial"/>
                <w:color w:val="000000" w:themeColor="text1"/>
                <w:szCs w:val="21"/>
                <w14:textFill>
                  <w14:solidFill>
                    <w14:schemeClr w14:val="tx1"/>
                  </w14:solidFill>
                </w14:textFill>
              </w:rPr>
            </w:pPr>
          </w:p>
        </w:tc>
      </w:tr>
    </w:tbl>
    <w:p>
      <w:pPr>
        <w:ind w:firstLine="534" w:firstLineChars="300"/>
        <w:jc w:val="both"/>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彭路遥</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15292015575</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6"/>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18</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13</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bookmarkStart w:id="0" w:name="_GoBack"/>
            <w:bookmarkEnd w:id="0"/>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96</w:t>
            </w:r>
          </w:p>
        </w:tc>
      </w:tr>
    </w:tbl>
    <w:p>
      <w:pPr>
        <w:ind w:firstLine="1392" w:firstLineChars="400"/>
        <w:jc w:val="both"/>
        <w:rPr>
          <w:rFonts w:eastAsia="方正小标宋简体"/>
          <w:spacing w:val="-6"/>
          <w:sz w:val="36"/>
          <w:szCs w:val="36"/>
        </w:rPr>
      </w:pP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5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10" w:usb3="00000000" w:csb0="0004009F" w:csb1="00000000"/>
  </w:font>
  <w:font w:name="Arial">
    <w:panose1 w:val="020B0604020202020204"/>
    <w:charset w:val="00"/>
    <w:family w:val="auto"/>
    <w:pitch w:val="default"/>
    <w:sig w:usb0="E0002E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3BB615"/>
    <w:multiLevelType w:val="singleLevel"/>
    <w:tmpl w:val="943BB615"/>
    <w:lvl w:ilvl="0" w:tentative="0">
      <w:start w:val="1"/>
      <w:numFmt w:val="decimal"/>
      <w:suff w:val="nothing"/>
      <w:lvlText w:val="%1、"/>
      <w:lvlJc w:val="left"/>
    </w:lvl>
  </w:abstractNum>
  <w:abstractNum w:abstractNumId="1">
    <w:nsid w:val="98DB1A80"/>
    <w:multiLevelType w:val="singleLevel"/>
    <w:tmpl w:val="98DB1A80"/>
    <w:lvl w:ilvl="0" w:tentative="0">
      <w:start w:val="1"/>
      <w:numFmt w:val="decimal"/>
      <w:suff w:val="nothing"/>
      <w:lvlText w:val="%1、"/>
      <w:lvlJc w:val="left"/>
    </w:lvl>
  </w:abstractNum>
  <w:abstractNum w:abstractNumId="2">
    <w:nsid w:val="E29E3648"/>
    <w:multiLevelType w:val="singleLevel"/>
    <w:tmpl w:val="E29E3648"/>
    <w:lvl w:ilvl="0" w:tentative="0">
      <w:start w:val="1"/>
      <w:numFmt w:val="chineseCounting"/>
      <w:lvlText w:val="(%1)"/>
      <w:lvlJc w:val="left"/>
      <w:pPr>
        <w:tabs>
          <w:tab w:val="left" w:pos="312"/>
        </w:tabs>
      </w:pPr>
      <w:rPr>
        <w:rFonts w:hint="eastAsia"/>
      </w:rPr>
    </w:lvl>
  </w:abstractNum>
  <w:abstractNum w:abstractNumId="3">
    <w:nsid w:val="1521B34F"/>
    <w:multiLevelType w:val="singleLevel"/>
    <w:tmpl w:val="1521B34F"/>
    <w:lvl w:ilvl="0" w:tentative="0">
      <w:start w:val="1"/>
      <w:numFmt w:val="decimal"/>
      <w:suff w:val="nothing"/>
      <w:lvlText w:val="%1、"/>
      <w:lvlJc w:val="left"/>
    </w:lvl>
  </w:abstractNum>
  <w:abstractNum w:abstractNumId="4">
    <w:nsid w:val="50E57D61"/>
    <w:multiLevelType w:val="singleLevel"/>
    <w:tmpl w:val="50E57D61"/>
    <w:lvl w:ilvl="0" w:tentative="0">
      <w:start w:val="1"/>
      <w:numFmt w:val="chineseCounting"/>
      <w:suff w:val="nothing"/>
      <w:lvlText w:val="%1、"/>
      <w:lvlJc w:val="left"/>
      <w:rPr>
        <w:rFonts w:hint="eastAsia"/>
      </w:rPr>
    </w:lvl>
  </w:abstractNum>
  <w:abstractNum w:abstractNumId="5">
    <w:nsid w:val="7A4C62C6"/>
    <w:multiLevelType w:val="singleLevel"/>
    <w:tmpl w:val="7A4C62C6"/>
    <w:lvl w:ilvl="0" w:tentative="0">
      <w:start w:val="1"/>
      <w:numFmt w:val="decimal"/>
      <w:suff w:val="nothing"/>
      <w:lvlText w:val="%1、"/>
      <w:lvlJc w:val="left"/>
    </w:lvl>
  </w:abstractNum>
  <w:num w:numId="1">
    <w:abstractNumId w:val="4"/>
  </w:num>
  <w:num w:numId="2">
    <w:abstractNumId w:val="2"/>
  </w:num>
  <w:num w:numId="3">
    <w:abstractNumId w:val="0"/>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U2MWFhYzQ5MGQ3ZjM4ZTQ4NThlM2NiMGFlZTBmZWM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195AA9"/>
    <w:rsid w:val="01201E6A"/>
    <w:rsid w:val="012D57C0"/>
    <w:rsid w:val="01457029"/>
    <w:rsid w:val="014900E3"/>
    <w:rsid w:val="014F5749"/>
    <w:rsid w:val="01521E95"/>
    <w:rsid w:val="016F45ED"/>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9B77BA"/>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6F27CC"/>
    <w:rsid w:val="04816E5C"/>
    <w:rsid w:val="048924DD"/>
    <w:rsid w:val="04914D95"/>
    <w:rsid w:val="0495144B"/>
    <w:rsid w:val="04AC07A1"/>
    <w:rsid w:val="04C52BED"/>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B80C59"/>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1A149F"/>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C448E"/>
    <w:rsid w:val="084D20E7"/>
    <w:rsid w:val="08674899"/>
    <w:rsid w:val="08754155"/>
    <w:rsid w:val="087B77E7"/>
    <w:rsid w:val="087D3D34"/>
    <w:rsid w:val="0889236C"/>
    <w:rsid w:val="088E051E"/>
    <w:rsid w:val="08935A7B"/>
    <w:rsid w:val="089D7C92"/>
    <w:rsid w:val="08A91E6C"/>
    <w:rsid w:val="08BA1B19"/>
    <w:rsid w:val="08D059DD"/>
    <w:rsid w:val="08DC08E7"/>
    <w:rsid w:val="092D1C9E"/>
    <w:rsid w:val="09377E5E"/>
    <w:rsid w:val="09383E9F"/>
    <w:rsid w:val="0939426E"/>
    <w:rsid w:val="09504F8C"/>
    <w:rsid w:val="09616470"/>
    <w:rsid w:val="096C1F5A"/>
    <w:rsid w:val="096C76C1"/>
    <w:rsid w:val="09714770"/>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7809B7"/>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BF16C73"/>
    <w:rsid w:val="0C03261E"/>
    <w:rsid w:val="0C0439FA"/>
    <w:rsid w:val="0C0B17DF"/>
    <w:rsid w:val="0C0F382B"/>
    <w:rsid w:val="0C160980"/>
    <w:rsid w:val="0C1B4EF7"/>
    <w:rsid w:val="0C1C297E"/>
    <w:rsid w:val="0C1D4988"/>
    <w:rsid w:val="0C297E69"/>
    <w:rsid w:val="0C4D5E73"/>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AE6C9D"/>
    <w:rsid w:val="0DBE6AB7"/>
    <w:rsid w:val="0DBF116A"/>
    <w:rsid w:val="0DC00E38"/>
    <w:rsid w:val="0DC8400B"/>
    <w:rsid w:val="0DD34552"/>
    <w:rsid w:val="0DE03EAA"/>
    <w:rsid w:val="0DE12394"/>
    <w:rsid w:val="0DF36262"/>
    <w:rsid w:val="0E1E619E"/>
    <w:rsid w:val="0E267F81"/>
    <w:rsid w:val="0E365DE9"/>
    <w:rsid w:val="0E440BB0"/>
    <w:rsid w:val="0E4822EE"/>
    <w:rsid w:val="0E4D3891"/>
    <w:rsid w:val="0E4E185D"/>
    <w:rsid w:val="0E522FBE"/>
    <w:rsid w:val="0E5D141B"/>
    <w:rsid w:val="0E8648D6"/>
    <w:rsid w:val="0E8C08DC"/>
    <w:rsid w:val="0E8E43C0"/>
    <w:rsid w:val="0E964CBE"/>
    <w:rsid w:val="0EB05323"/>
    <w:rsid w:val="0EBE40CB"/>
    <w:rsid w:val="0EC36A56"/>
    <w:rsid w:val="0EC62499"/>
    <w:rsid w:val="0ECE4E6F"/>
    <w:rsid w:val="0EDA5C56"/>
    <w:rsid w:val="0EDB7766"/>
    <w:rsid w:val="0EFE4287"/>
    <w:rsid w:val="0F0D525E"/>
    <w:rsid w:val="0F2A2A37"/>
    <w:rsid w:val="0F2E6C95"/>
    <w:rsid w:val="0F4675CA"/>
    <w:rsid w:val="0F471A79"/>
    <w:rsid w:val="0F500384"/>
    <w:rsid w:val="0F5B4015"/>
    <w:rsid w:val="0F6071C8"/>
    <w:rsid w:val="0F784FB5"/>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4D771E"/>
    <w:rsid w:val="105552F6"/>
    <w:rsid w:val="108449FF"/>
    <w:rsid w:val="108B34B0"/>
    <w:rsid w:val="109E2943"/>
    <w:rsid w:val="10C8346E"/>
    <w:rsid w:val="10CB7366"/>
    <w:rsid w:val="10F13271"/>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C646FD"/>
    <w:rsid w:val="11EA3CA0"/>
    <w:rsid w:val="11F403BB"/>
    <w:rsid w:val="11FA6A1C"/>
    <w:rsid w:val="120B6973"/>
    <w:rsid w:val="12155876"/>
    <w:rsid w:val="12183A1B"/>
    <w:rsid w:val="122A11A6"/>
    <w:rsid w:val="123D1BD2"/>
    <w:rsid w:val="123E6D4D"/>
    <w:rsid w:val="125613C2"/>
    <w:rsid w:val="125D4EF7"/>
    <w:rsid w:val="12637C4E"/>
    <w:rsid w:val="127030C8"/>
    <w:rsid w:val="127B54E8"/>
    <w:rsid w:val="128123D2"/>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1547DB"/>
    <w:rsid w:val="163D4862"/>
    <w:rsid w:val="163E3AB2"/>
    <w:rsid w:val="165E3F72"/>
    <w:rsid w:val="166D0110"/>
    <w:rsid w:val="167050F1"/>
    <w:rsid w:val="16713DA7"/>
    <w:rsid w:val="16797776"/>
    <w:rsid w:val="16952546"/>
    <w:rsid w:val="16AB3FBF"/>
    <w:rsid w:val="16AC1654"/>
    <w:rsid w:val="16B12C6E"/>
    <w:rsid w:val="16BC7326"/>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C3646D"/>
    <w:rsid w:val="17D80CE7"/>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770C7"/>
    <w:rsid w:val="18BD3DC4"/>
    <w:rsid w:val="18C149F3"/>
    <w:rsid w:val="18D233DB"/>
    <w:rsid w:val="18DC433F"/>
    <w:rsid w:val="18DD0C18"/>
    <w:rsid w:val="18DE4BF6"/>
    <w:rsid w:val="18E216F1"/>
    <w:rsid w:val="18EC1CA5"/>
    <w:rsid w:val="18F23C9D"/>
    <w:rsid w:val="18F554AB"/>
    <w:rsid w:val="18FE49D5"/>
    <w:rsid w:val="190F3527"/>
    <w:rsid w:val="19100497"/>
    <w:rsid w:val="19183CAC"/>
    <w:rsid w:val="193964B7"/>
    <w:rsid w:val="19521C94"/>
    <w:rsid w:val="195657BB"/>
    <w:rsid w:val="196B19EB"/>
    <w:rsid w:val="19717C66"/>
    <w:rsid w:val="19856C4C"/>
    <w:rsid w:val="198E7C2B"/>
    <w:rsid w:val="19954B87"/>
    <w:rsid w:val="199945D5"/>
    <w:rsid w:val="199B5065"/>
    <w:rsid w:val="19D37D58"/>
    <w:rsid w:val="19DD0438"/>
    <w:rsid w:val="1A0A04E6"/>
    <w:rsid w:val="1A115AEE"/>
    <w:rsid w:val="1A187AC0"/>
    <w:rsid w:val="1A213466"/>
    <w:rsid w:val="1A3F3F76"/>
    <w:rsid w:val="1A4B4BAE"/>
    <w:rsid w:val="1A5F35C0"/>
    <w:rsid w:val="1A7A6085"/>
    <w:rsid w:val="1A8006B2"/>
    <w:rsid w:val="1A8D640E"/>
    <w:rsid w:val="1A974192"/>
    <w:rsid w:val="1ACA62AD"/>
    <w:rsid w:val="1ADA675E"/>
    <w:rsid w:val="1AE11CDA"/>
    <w:rsid w:val="1B113A6D"/>
    <w:rsid w:val="1B144B8D"/>
    <w:rsid w:val="1B17013D"/>
    <w:rsid w:val="1B1B14D3"/>
    <w:rsid w:val="1B1E5236"/>
    <w:rsid w:val="1B1F6AF1"/>
    <w:rsid w:val="1B250DAE"/>
    <w:rsid w:val="1B2A34EB"/>
    <w:rsid w:val="1B2B0F4C"/>
    <w:rsid w:val="1B2D2734"/>
    <w:rsid w:val="1B3860E1"/>
    <w:rsid w:val="1B3F36F6"/>
    <w:rsid w:val="1B422830"/>
    <w:rsid w:val="1B4B369E"/>
    <w:rsid w:val="1B5271D4"/>
    <w:rsid w:val="1B6D7C0D"/>
    <w:rsid w:val="1B84594F"/>
    <w:rsid w:val="1B884364"/>
    <w:rsid w:val="1BA912AB"/>
    <w:rsid w:val="1BBF3A31"/>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EB14BC"/>
    <w:rsid w:val="1CEB326A"/>
    <w:rsid w:val="1CF810AC"/>
    <w:rsid w:val="1D0B3755"/>
    <w:rsid w:val="1D124C24"/>
    <w:rsid w:val="1D2C6C65"/>
    <w:rsid w:val="1D402518"/>
    <w:rsid w:val="1D464944"/>
    <w:rsid w:val="1D4D5CD3"/>
    <w:rsid w:val="1D4E7169"/>
    <w:rsid w:val="1D554265"/>
    <w:rsid w:val="1D69344A"/>
    <w:rsid w:val="1D6B31E8"/>
    <w:rsid w:val="1D6B7F83"/>
    <w:rsid w:val="1D6D1789"/>
    <w:rsid w:val="1D776C3D"/>
    <w:rsid w:val="1D95321A"/>
    <w:rsid w:val="1DB85E5C"/>
    <w:rsid w:val="1DBE097F"/>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27BFE"/>
    <w:rsid w:val="1E8879EE"/>
    <w:rsid w:val="1EB95D76"/>
    <w:rsid w:val="1EC54236"/>
    <w:rsid w:val="1ED464CA"/>
    <w:rsid w:val="1EDA5DF7"/>
    <w:rsid w:val="1EED4A44"/>
    <w:rsid w:val="1EFA39EA"/>
    <w:rsid w:val="1F00206F"/>
    <w:rsid w:val="1F0177DA"/>
    <w:rsid w:val="1F026E49"/>
    <w:rsid w:val="1F18467A"/>
    <w:rsid w:val="1F232A42"/>
    <w:rsid w:val="1F2645A8"/>
    <w:rsid w:val="1F3D1AEC"/>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BD07F9"/>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276411"/>
    <w:rsid w:val="22383B4D"/>
    <w:rsid w:val="22466CD3"/>
    <w:rsid w:val="225D1D49"/>
    <w:rsid w:val="225D33C8"/>
    <w:rsid w:val="226239FE"/>
    <w:rsid w:val="22626562"/>
    <w:rsid w:val="226A76AE"/>
    <w:rsid w:val="226E1D0D"/>
    <w:rsid w:val="22721D38"/>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24271"/>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4A2AF8"/>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036A"/>
    <w:rsid w:val="25FD11FA"/>
    <w:rsid w:val="25FF3210"/>
    <w:rsid w:val="2611098A"/>
    <w:rsid w:val="264221C6"/>
    <w:rsid w:val="265D3370"/>
    <w:rsid w:val="26666555"/>
    <w:rsid w:val="268B7C99"/>
    <w:rsid w:val="268C4A4A"/>
    <w:rsid w:val="269A7501"/>
    <w:rsid w:val="26A3584F"/>
    <w:rsid w:val="26A66B0A"/>
    <w:rsid w:val="26A73989"/>
    <w:rsid w:val="26A86D42"/>
    <w:rsid w:val="26AD240F"/>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7FC457D"/>
    <w:rsid w:val="280D297A"/>
    <w:rsid w:val="28276A98"/>
    <w:rsid w:val="285710C8"/>
    <w:rsid w:val="285C4BAF"/>
    <w:rsid w:val="285D0F42"/>
    <w:rsid w:val="28703320"/>
    <w:rsid w:val="289539A5"/>
    <w:rsid w:val="289F019A"/>
    <w:rsid w:val="28CC6ED5"/>
    <w:rsid w:val="28E17ACF"/>
    <w:rsid w:val="28F010D9"/>
    <w:rsid w:val="28F05C88"/>
    <w:rsid w:val="29082E70"/>
    <w:rsid w:val="291343EF"/>
    <w:rsid w:val="29166F16"/>
    <w:rsid w:val="293C27AC"/>
    <w:rsid w:val="294D5371"/>
    <w:rsid w:val="295A5964"/>
    <w:rsid w:val="29606395"/>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4647E"/>
    <w:rsid w:val="2B5D0E3B"/>
    <w:rsid w:val="2B5E2134"/>
    <w:rsid w:val="2B6F3EEE"/>
    <w:rsid w:val="2B70774D"/>
    <w:rsid w:val="2B7D446F"/>
    <w:rsid w:val="2B8D4A3E"/>
    <w:rsid w:val="2BCC1BD6"/>
    <w:rsid w:val="2BDF0CFB"/>
    <w:rsid w:val="2BE234F2"/>
    <w:rsid w:val="2BE33AA6"/>
    <w:rsid w:val="2BE40B44"/>
    <w:rsid w:val="2BEF68A7"/>
    <w:rsid w:val="2BF22DBE"/>
    <w:rsid w:val="2BF35C97"/>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68256D"/>
    <w:rsid w:val="2D7343C9"/>
    <w:rsid w:val="2DD45E54"/>
    <w:rsid w:val="2DE44256"/>
    <w:rsid w:val="2DE557EB"/>
    <w:rsid w:val="2E0E6D42"/>
    <w:rsid w:val="2E0F4249"/>
    <w:rsid w:val="2E2D1F88"/>
    <w:rsid w:val="2E2F0A58"/>
    <w:rsid w:val="2E447583"/>
    <w:rsid w:val="2E4B4467"/>
    <w:rsid w:val="2E5520B9"/>
    <w:rsid w:val="2E63548C"/>
    <w:rsid w:val="2E640C1C"/>
    <w:rsid w:val="2E6B523D"/>
    <w:rsid w:val="2E6E7857"/>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0D3357"/>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CA749A"/>
    <w:rsid w:val="31F61F62"/>
    <w:rsid w:val="320358D0"/>
    <w:rsid w:val="32052FE4"/>
    <w:rsid w:val="320B77FD"/>
    <w:rsid w:val="321976B1"/>
    <w:rsid w:val="321B1AA4"/>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105381"/>
    <w:rsid w:val="33262CBA"/>
    <w:rsid w:val="332B323C"/>
    <w:rsid w:val="332E3189"/>
    <w:rsid w:val="333D5A4A"/>
    <w:rsid w:val="335B62EC"/>
    <w:rsid w:val="335E79BA"/>
    <w:rsid w:val="3360061D"/>
    <w:rsid w:val="336549AB"/>
    <w:rsid w:val="33782709"/>
    <w:rsid w:val="3392025F"/>
    <w:rsid w:val="33A8285D"/>
    <w:rsid w:val="33AC1E29"/>
    <w:rsid w:val="33B17041"/>
    <w:rsid w:val="33B202F3"/>
    <w:rsid w:val="33B20F64"/>
    <w:rsid w:val="33EE53FA"/>
    <w:rsid w:val="33FD7485"/>
    <w:rsid w:val="34012F1B"/>
    <w:rsid w:val="34394C63"/>
    <w:rsid w:val="34467089"/>
    <w:rsid w:val="34523AB5"/>
    <w:rsid w:val="346B4B47"/>
    <w:rsid w:val="346E4F77"/>
    <w:rsid w:val="34762AAC"/>
    <w:rsid w:val="348402A8"/>
    <w:rsid w:val="34B510BB"/>
    <w:rsid w:val="34BB2714"/>
    <w:rsid w:val="34C25EF7"/>
    <w:rsid w:val="34D20F28"/>
    <w:rsid w:val="34E22DC0"/>
    <w:rsid w:val="350233D4"/>
    <w:rsid w:val="35195F01"/>
    <w:rsid w:val="35313A72"/>
    <w:rsid w:val="353C420B"/>
    <w:rsid w:val="35493C91"/>
    <w:rsid w:val="355C0228"/>
    <w:rsid w:val="357800DF"/>
    <w:rsid w:val="358527FB"/>
    <w:rsid w:val="358B5BCF"/>
    <w:rsid w:val="359A77E8"/>
    <w:rsid w:val="35A1790B"/>
    <w:rsid w:val="35A45B99"/>
    <w:rsid w:val="35B01090"/>
    <w:rsid w:val="35C67F79"/>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AF19C0"/>
    <w:rsid w:val="36D21A02"/>
    <w:rsid w:val="37104DEB"/>
    <w:rsid w:val="372D0977"/>
    <w:rsid w:val="37337382"/>
    <w:rsid w:val="37441A9D"/>
    <w:rsid w:val="374D5647"/>
    <w:rsid w:val="374F42A7"/>
    <w:rsid w:val="37506DBE"/>
    <w:rsid w:val="3759338C"/>
    <w:rsid w:val="37654002"/>
    <w:rsid w:val="377D379C"/>
    <w:rsid w:val="378E3E66"/>
    <w:rsid w:val="37C244FC"/>
    <w:rsid w:val="37D95C79"/>
    <w:rsid w:val="37E81F7B"/>
    <w:rsid w:val="38026A1B"/>
    <w:rsid w:val="38197832"/>
    <w:rsid w:val="383903C6"/>
    <w:rsid w:val="383C423B"/>
    <w:rsid w:val="38415136"/>
    <w:rsid w:val="386B4E07"/>
    <w:rsid w:val="386C1D38"/>
    <w:rsid w:val="387A25A5"/>
    <w:rsid w:val="38963295"/>
    <w:rsid w:val="389D2F53"/>
    <w:rsid w:val="38A945B7"/>
    <w:rsid w:val="38AF5476"/>
    <w:rsid w:val="38CC2A09"/>
    <w:rsid w:val="38D677A2"/>
    <w:rsid w:val="38D770AE"/>
    <w:rsid w:val="38DF7CCF"/>
    <w:rsid w:val="38F70050"/>
    <w:rsid w:val="38FC33FC"/>
    <w:rsid w:val="38FD0E84"/>
    <w:rsid w:val="38FF1B5B"/>
    <w:rsid w:val="390273B1"/>
    <w:rsid w:val="39153767"/>
    <w:rsid w:val="39225CA9"/>
    <w:rsid w:val="3923070B"/>
    <w:rsid w:val="392C49BB"/>
    <w:rsid w:val="39381E2B"/>
    <w:rsid w:val="3942282F"/>
    <w:rsid w:val="3953338B"/>
    <w:rsid w:val="396B7002"/>
    <w:rsid w:val="396C2A15"/>
    <w:rsid w:val="397C551E"/>
    <w:rsid w:val="399C796E"/>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3C2396"/>
    <w:rsid w:val="3D5A60CA"/>
    <w:rsid w:val="3D987AD7"/>
    <w:rsid w:val="3D9F4364"/>
    <w:rsid w:val="3DA702BF"/>
    <w:rsid w:val="3DA74876"/>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75CD9"/>
    <w:rsid w:val="3F3A1B65"/>
    <w:rsid w:val="3F3A5EB9"/>
    <w:rsid w:val="3F522210"/>
    <w:rsid w:val="3F544AF6"/>
    <w:rsid w:val="3F5C361D"/>
    <w:rsid w:val="3F5E64F5"/>
    <w:rsid w:val="3F656E2C"/>
    <w:rsid w:val="3F6D5029"/>
    <w:rsid w:val="3F76414B"/>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5D597D"/>
    <w:rsid w:val="40733CBA"/>
    <w:rsid w:val="407A4DF7"/>
    <w:rsid w:val="40B16CC2"/>
    <w:rsid w:val="40B81BAD"/>
    <w:rsid w:val="40BB2365"/>
    <w:rsid w:val="40CD48B1"/>
    <w:rsid w:val="40D23962"/>
    <w:rsid w:val="40D61BC8"/>
    <w:rsid w:val="40DC4F1D"/>
    <w:rsid w:val="40DF2097"/>
    <w:rsid w:val="40E71ABD"/>
    <w:rsid w:val="40FE4A6B"/>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5608D6"/>
    <w:rsid w:val="428D1B97"/>
    <w:rsid w:val="42A41642"/>
    <w:rsid w:val="42B608A5"/>
    <w:rsid w:val="42BC6C8F"/>
    <w:rsid w:val="42C5446D"/>
    <w:rsid w:val="42E94337"/>
    <w:rsid w:val="42E94B3E"/>
    <w:rsid w:val="43031943"/>
    <w:rsid w:val="430F4F3C"/>
    <w:rsid w:val="431327F1"/>
    <w:rsid w:val="43182DB2"/>
    <w:rsid w:val="43251253"/>
    <w:rsid w:val="433C5211"/>
    <w:rsid w:val="4368794F"/>
    <w:rsid w:val="436D0FB5"/>
    <w:rsid w:val="437518D1"/>
    <w:rsid w:val="438D1E49"/>
    <w:rsid w:val="43B23B98"/>
    <w:rsid w:val="43C80076"/>
    <w:rsid w:val="43D8550E"/>
    <w:rsid w:val="43DC0C7D"/>
    <w:rsid w:val="43EA69D8"/>
    <w:rsid w:val="44356D2F"/>
    <w:rsid w:val="44390E25"/>
    <w:rsid w:val="443E5DC2"/>
    <w:rsid w:val="44433468"/>
    <w:rsid w:val="44437F9F"/>
    <w:rsid w:val="444F5C68"/>
    <w:rsid w:val="44613E6E"/>
    <w:rsid w:val="446A5324"/>
    <w:rsid w:val="446F7A2D"/>
    <w:rsid w:val="447E7804"/>
    <w:rsid w:val="44943661"/>
    <w:rsid w:val="44A05C5C"/>
    <w:rsid w:val="44AC7417"/>
    <w:rsid w:val="44B16853"/>
    <w:rsid w:val="450D5FAD"/>
    <w:rsid w:val="45172F07"/>
    <w:rsid w:val="451D5184"/>
    <w:rsid w:val="452F3716"/>
    <w:rsid w:val="453C65FD"/>
    <w:rsid w:val="454B256E"/>
    <w:rsid w:val="455D76E4"/>
    <w:rsid w:val="45632BA4"/>
    <w:rsid w:val="45646F33"/>
    <w:rsid w:val="45671007"/>
    <w:rsid w:val="456C331B"/>
    <w:rsid w:val="45A26739"/>
    <w:rsid w:val="45B07140"/>
    <w:rsid w:val="45C43431"/>
    <w:rsid w:val="45EE3358"/>
    <w:rsid w:val="46066722"/>
    <w:rsid w:val="461976C3"/>
    <w:rsid w:val="461C0664"/>
    <w:rsid w:val="463D42BA"/>
    <w:rsid w:val="4642364B"/>
    <w:rsid w:val="46521A41"/>
    <w:rsid w:val="465D50F1"/>
    <w:rsid w:val="46752FBA"/>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261B2"/>
    <w:rsid w:val="47783B12"/>
    <w:rsid w:val="477D5156"/>
    <w:rsid w:val="477F2265"/>
    <w:rsid w:val="47890AD6"/>
    <w:rsid w:val="478D2FF6"/>
    <w:rsid w:val="478F6037"/>
    <w:rsid w:val="479809C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3E19A4"/>
    <w:rsid w:val="48606A0B"/>
    <w:rsid w:val="486D78BB"/>
    <w:rsid w:val="48915636"/>
    <w:rsid w:val="48985F31"/>
    <w:rsid w:val="48AC6E35"/>
    <w:rsid w:val="48BD43A0"/>
    <w:rsid w:val="48C90054"/>
    <w:rsid w:val="48C96968"/>
    <w:rsid w:val="48EE3617"/>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AE7501"/>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E3E8B"/>
    <w:rsid w:val="4CCF426B"/>
    <w:rsid w:val="4CFE069C"/>
    <w:rsid w:val="4D033F9C"/>
    <w:rsid w:val="4D055E23"/>
    <w:rsid w:val="4D2433AC"/>
    <w:rsid w:val="4D4A4A28"/>
    <w:rsid w:val="4D5D7D7F"/>
    <w:rsid w:val="4D5E14B7"/>
    <w:rsid w:val="4D625C01"/>
    <w:rsid w:val="4D7C4E47"/>
    <w:rsid w:val="4D8F350E"/>
    <w:rsid w:val="4D924E46"/>
    <w:rsid w:val="4D9877E4"/>
    <w:rsid w:val="4DBD22E7"/>
    <w:rsid w:val="4DC73507"/>
    <w:rsid w:val="4DDA6A5F"/>
    <w:rsid w:val="4DDB7205"/>
    <w:rsid w:val="4DDF772B"/>
    <w:rsid w:val="4DEB15AD"/>
    <w:rsid w:val="4DF87443"/>
    <w:rsid w:val="4E023BB8"/>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8771A"/>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2107E"/>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7868FE"/>
    <w:rsid w:val="538434F5"/>
    <w:rsid w:val="5385006E"/>
    <w:rsid w:val="538A4A6D"/>
    <w:rsid w:val="53AB0A82"/>
    <w:rsid w:val="53B45677"/>
    <w:rsid w:val="53DD2466"/>
    <w:rsid w:val="53E34323"/>
    <w:rsid w:val="53FC3987"/>
    <w:rsid w:val="5427381E"/>
    <w:rsid w:val="543B788E"/>
    <w:rsid w:val="54447CBB"/>
    <w:rsid w:val="545062A7"/>
    <w:rsid w:val="545C3555"/>
    <w:rsid w:val="54617320"/>
    <w:rsid w:val="547A28DC"/>
    <w:rsid w:val="54827775"/>
    <w:rsid w:val="54AC5134"/>
    <w:rsid w:val="54B05891"/>
    <w:rsid w:val="54DE6078"/>
    <w:rsid w:val="54E1482F"/>
    <w:rsid w:val="54E86EBD"/>
    <w:rsid w:val="54F2526E"/>
    <w:rsid w:val="55075D9B"/>
    <w:rsid w:val="55085A60"/>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B714EC"/>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9046EA"/>
    <w:rsid w:val="58C07CA9"/>
    <w:rsid w:val="58DE5A38"/>
    <w:rsid w:val="58FA7B16"/>
    <w:rsid w:val="58FB22A6"/>
    <w:rsid w:val="59003437"/>
    <w:rsid w:val="59182EE7"/>
    <w:rsid w:val="5921212C"/>
    <w:rsid w:val="59395687"/>
    <w:rsid w:val="595B49B0"/>
    <w:rsid w:val="596F472F"/>
    <w:rsid w:val="5974345D"/>
    <w:rsid w:val="597534AA"/>
    <w:rsid w:val="59951C91"/>
    <w:rsid w:val="59982867"/>
    <w:rsid w:val="59A11ED6"/>
    <w:rsid w:val="59AB0DFC"/>
    <w:rsid w:val="59C1557F"/>
    <w:rsid w:val="59C8615E"/>
    <w:rsid w:val="59D12C4C"/>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82E9B"/>
    <w:rsid w:val="5B0B5334"/>
    <w:rsid w:val="5B1B7ACD"/>
    <w:rsid w:val="5B247C71"/>
    <w:rsid w:val="5B2A406A"/>
    <w:rsid w:val="5B2B06FA"/>
    <w:rsid w:val="5B392BD6"/>
    <w:rsid w:val="5B561D67"/>
    <w:rsid w:val="5B774FD6"/>
    <w:rsid w:val="5B7F45A2"/>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3E72CF"/>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7F0889"/>
    <w:rsid w:val="5D8A240A"/>
    <w:rsid w:val="5D8A4019"/>
    <w:rsid w:val="5D9907FA"/>
    <w:rsid w:val="5DCD4FAD"/>
    <w:rsid w:val="5DD01E39"/>
    <w:rsid w:val="5DD45E20"/>
    <w:rsid w:val="5DD77F01"/>
    <w:rsid w:val="5DF376B4"/>
    <w:rsid w:val="5DF974C4"/>
    <w:rsid w:val="5E150E16"/>
    <w:rsid w:val="5E156702"/>
    <w:rsid w:val="5E2C3CE8"/>
    <w:rsid w:val="5E480DBB"/>
    <w:rsid w:val="5E532C32"/>
    <w:rsid w:val="5E59732C"/>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14744E"/>
    <w:rsid w:val="602423C7"/>
    <w:rsid w:val="603F2394"/>
    <w:rsid w:val="604407B5"/>
    <w:rsid w:val="60487E62"/>
    <w:rsid w:val="605A5C34"/>
    <w:rsid w:val="60630B92"/>
    <w:rsid w:val="606E4C0D"/>
    <w:rsid w:val="606F4BE5"/>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764951"/>
    <w:rsid w:val="62857471"/>
    <w:rsid w:val="62AE05DB"/>
    <w:rsid w:val="62B31701"/>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2071E"/>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01784"/>
    <w:rsid w:val="65F22562"/>
    <w:rsid w:val="65F65692"/>
    <w:rsid w:val="660C7338"/>
    <w:rsid w:val="663C37BC"/>
    <w:rsid w:val="66407FD5"/>
    <w:rsid w:val="665346CA"/>
    <w:rsid w:val="6661498D"/>
    <w:rsid w:val="666B3926"/>
    <w:rsid w:val="66860EDB"/>
    <w:rsid w:val="668C5B9C"/>
    <w:rsid w:val="66A421AD"/>
    <w:rsid w:val="66C77BCC"/>
    <w:rsid w:val="66CD2048"/>
    <w:rsid w:val="66CF58C8"/>
    <w:rsid w:val="66D00FF0"/>
    <w:rsid w:val="66E50A5C"/>
    <w:rsid w:val="66E5305A"/>
    <w:rsid w:val="66E83943"/>
    <w:rsid w:val="66FA0A76"/>
    <w:rsid w:val="670314C2"/>
    <w:rsid w:val="670A28DD"/>
    <w:rsid w:val="671F2137"/>
    <w:rsid w:val="67256725"/>
    <w:rsid w:val="672C3830"/>
    <w:rsid w:val="672C3BD3"/>
    <w:rsid w:val="67441F0C"/>
    <w:rsid w:val="674465E9"/>
    <w:rsid w:val="67594618"/>
    <w:rsid w:val="675B3954"/>
    <w:rsid w:val="676B6466"/>
    <w:rsid w:val="679159A4"/>
    <w:rsid w:val="67954429"/>
    <w:rsid w:val="67C47F84"/>
    <w:rsid w:val="67D85572"/>
    <w:rsid w:val="67DD10E7"/>
    <w:rsid w:val="67E22141"/>
    <w:rsid w:val="67E51A4F"/>
    <w:rsid w:val="67E81C89"/>
    <w:rsid w:val="67F16AAB"/>
    <w:rsid w:val="67FC2A34"/>
    <w:rsid w:val="68022928"/>
    <w:rsid w:val="68163291"/>
    <w:rsid w:val="68244FDF"/>
    <w:rsid w:val="682634A6"/>
    <w:rsid w:val="68335612"/>
    <w:rsid w:val="683D75EE"/>
    <w:rsid w:val="683F6341"/>
    <w:rsid w:val="68413BF7"/>
    <w:rsid w:val="6848469A"/>
    <w:rsid w:val="684A3899"/>
    <w:rsid w:val="68516552"/>
    <w:rsid w:val="685D249D"/>
    <w:rsid w:val="68600066"/>
    <w:rsid w:val="6861776A"/>
    <w:rsid w:val="687222C2"/>
    <w:rsid w:val="6879445C"/>
    <w:rsid w:val="687A5897"/>
    <w:rsid w:val="687D194E"/>
    <w:rsid w:val="68945561"/>
    <w:rsid w:val="689D6C87"/>
    <w:rsid w:val="68A05E34"/>
    <w:rsid w:val="68A4599C"/>
    <w:rsid w:val="68AD0074"/>
    <w:rsid w:val="68C27FAE"/>
    <w:rsid w:val="68D4182F"/>
    <w:rsid w:val="68DA458B"/>
    <w:rsid w:val="68E565D8"/>
    <w:rsid w:val="68ED4DA7"/>
    <w:rsid w:val="68FC5EBD"/>
    <w:rsid w:val="69122538"/>
    <w:rsid w:val="69194FE8"/>
    <w:rsid w:val="691F4315"/>
    <w:rsid w:val="69544350"/>
    <w:rsid w:val="69703FA0"/>
    <w:rsid w:val="69997B9C"/>
    <w:rsid w:val="699B2EEF"/>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445178"/>
    <w:rsid w:val="6C456C08"/>
    <w:rsid w:val="6C5555D7"/>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DF78FF"/>
    <w:rsid w:val="6FE17D06"/>
    <w:rsid w:val="6FF536DD"/>
    <w:rsid w:val="6FF81286"/>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A37ADC"/>
    <w:rsid w:val="71B55DFD"/>
    <w:rsid w:val="71B834E8"/>
    <w:rsid w:val="71D0750E"/>
    <w:rsid w:val="71D803D1"/>
    <w:rsid w:val="71E501C6"/>
    <w:rsid w:val="71F40A44"/>
    <w:rsid w:val="7202163F"/>
    <w:rsid w:val="723B04C8"/>
    <w:rsid w:val="724E6817"/>
    <w:rsid w:val="72600D68"/>
    <w:rsid w:val="72604620"/>
    <w:rsid w:val="726B02C1"/>
    <w:rsid w:val="726D2C67"/>
    <w:rsid w:val="729A0F74"/>
    <w:rsid w:val="72BD7A32"/>
    <w:rsid w:val="72E50EF8"/>
    <w:rsid w:val="72F03574"/>
    <w:rsid w:val="72F77CB6"/>
    <w:rsid w:val="73025852"/>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D14CD"/>
    <w:rsid w:val="745F06BF"/>
    <w:rsid w:val="746C713B"/>
    <w:rsid w:val="74793E2D"/>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770D1"/>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05EA0"/>
    <w:rsid w:val="79987ED2"/>
    <w:rsid w:val="79AE1AE3"/>
    <w:rsid w:val="79AE77FB"/>
    <w:rsid w:val="79B85AA8"/>
    <w:rsid w:val="79BB70E5"/>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E73354"/>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5305F"/>
    <w:rsid w:val="7F4E4DC2"/>
    <w:rsid w:val="7F66205C"/>
    <w:rsid w:val="7FA8327A"/>
    <w:rsid w:val="7FB32EED"/>
    <w:rsid w:val="7FB6358D"/>
    <w:rsid w:val="7FE076F1"/>
    <w:rsid w:val="7FEC46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page number"/>
    <w:qFormat/>
    <w:uiPriority w:val="0"/>
  </w:style>
  <w:style w:type="table" w:customStyle="1" w:styleId="10">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23</Pages>
  <Words>9813</Words>
  <Characters>10766</Characters>
  <Lines>0</Lines>
  <Paragraphs>0</Paragraphs>
  <TotalTime>0</TotalTime>
  <ScaleCrop>false</ScaleCrop>
  <LinksUpToDate>false</LinksUpToDate>
  <CharactersWithSpaces>11017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Administrator</cp:lastModifiedBy>
  <cp:lastPrinted>2023-05-26T08:11:00Z</cp:lastPrinted>
  <dcterms:modified xsi:type="dcterms:W3CDTF">2023-06-14T08:53:22Z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CC65D30C0E4D476CAAE1058C29C5F6FE_13</vt:lpwstr>
  </property>
</Properties>
</file>