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pPr>
        <w:spacing w:line="115" w:lineRule="exact"/>
        <w:rPr>
          <w:color w:val="000000" w:themeColor="text1"/>
          <w14:textFill>
            <w14:solidFill>
              <w14:schemeClr w14:val="tx1"/>
            </w14:solidFill>
          </w14:textFill>
        </w:rPr>
      </w:pPr>
    </w:p>
    <w:tbl>
      <w:tblPr>
        <w:tblStyle w:val="8"/>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pPr>
              <w:spacing w:before="103" w:line="219" w:lineRule="auto"/>
              <w:ind w:left="708"/>
              <w:rPr>
                <w:rFonts w:hint="default"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岳阳市岳阳楼区自然资源事务中心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679" w:type="dxa"/>
            <w:gridSpan w:val="2"/>
            <w:noWrap w:val="0"/>
            <w:vAlign w:val="top"/>
          </w:tcPr>
          <w:p>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15</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15</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noWrap w:val="0"/>
            <w:vAlign w:val="top"/>
          </w:tcPr>
          <w:p>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136.99</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136.99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86.4</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86.4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w:t>
            </w: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2021年拆迁档案数字化项目经费</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26.29</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26.29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ind w:firstLine="488"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w:t>
            </w: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2022年拆迁档案数字化项目经费</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24.3</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24.3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13.23</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13.23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8.66</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8.66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c>
          <w:tcPr>
            <w:tcW w:w="232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48.65</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48.65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2.29</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c>
          <w:tcPr>
            <w:tcW w:w="990" w:type="dxa"/>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c>
          <w:tcPr>
            <w:tcW w:w="1140" w:type="dxa"/>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c>
          <w:tcPr>
            <w:tcW w:w="1185" w:type="dxa"/>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c>
          <w:tcPr>
            <w:tcW w:w="810" w:type="dxa"/>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c>
          <w:tcPr>
            <w:tcW w:w="869" w:type="dxa"/>
            <w:noWrap w:val="0"/>
            <w:vAlign w:val="top"/>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严格缩减经费开支</w:t>
            </w: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胡斯敏</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18073093607</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w:t>
      </w: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评价</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表</w:t>
      </w:r>
    </w:p>
    <w:p>
      <w:pPr>
        <w:spacing w:line="168" w:lineRule="exact"/>
        <w:rPr>
          <w:color w:val="000000" w:themeColor="text1"/>
          <w14:textFill>
            <w14:solidFill>
              <w14:schemeClr w14:val="tx1"/>
            </w14:solidFill>
          </w14:textFill>
        </w:rPr>
      </w:pPr>
    </w:p>
    <w:tbl>
      <w:tblPr>
        <w:tblStyle w:val="8"/>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top"/>
          </w:tcPr>
          <w:p>
            <w:pPr>
              <w:jc w:val="center"/>
              <w:rPr>
                <w:rFonts w:ascii="Arial"/>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岳阳市岳阳楼区自然资源事务中心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136.57</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209.84</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209.84</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r>
              <w:rPr>
                <w:rFonts w:hint="eastAsia" w:ascii="宋体" w:hAnsi="宋体" w:eastAsia="宋体" w:cs="宋体"/>
                <w:color w:val="000000" w:themeColor="text1"/>
                <w:spacing w:val="0"/>
                <w:sz w:val="21"/>
                <w:szCs w:val="21"/>
                <w:lang w:val="en-US" w:eastAsia="zh-CN"/>
                <w14:textFill>
                  <w14:solidFill>
                    <w14:schemeClr w14:val="tx1"/>
                  </w14:solidFill>
                </w14:textFill>
              </w:rPr>
              <w:t>209.84</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r>
              <w:rPr>
                <w:rFonts w:hint="eastAsia" w:ascii="宋体" w:hAnsi="宋体" w:eastAsia="宋体" w:cs="宋体"/>
                <w:color w:val="000000" w:themeColor="text1"/>
                <w:spacing w:val="0"/>
                <w:sz w:val="21"/>
                <w:szCs w:val="21"/>
                <w:lang w:val="en-US" w:eastAsia="zh-CN"/>
                <w14:textFill>
                  <w14:solidFill>
                    <w14:schemeClr w14:val="tx1"/>
                  </w14:solidFill>
                </w14:textFill>
              </w:rPr>
              <w:t>209.84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209.84</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72.85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136.99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ascii="Arial"/>
                <w:color w:val="000000" w:themeColor="text1"/>
                <w:spacing w:val="0"/>
                <w:sz w:val="20"/>
                <w14:textFill>
                  <w14:solidFill>
                    <w14:schemeClr w14:val="tx1"/>
                  </w14:solidFill>
                </w14:textFill>
              </w:rPr>
            </w:pPr>
            <w:r>
              <w:rPr>
                <w:rFonts w:hint="eastAsia" w:ascii="Arial"/>
                <w:color w:val="000000" w:themeColor="text1"/>
                <w:spacing w:val="0"/>
                <w:sz w:val="20"/>
                <w14:textFill>
                  <w14:solidFill>
                    <w14:schemeClr w14:val="tx1"/>
                  </w14:solidFill>
                </w14:textFill>
              </w:rPr>
              <w:t>一、依法履行全民所有土地、矿产、森林、湿地等自然资源资产所有者职责。二、负责辖区自然资源资产有偿使用工作。三、负责辖区自然资源的合理开发利用。四、具体实施辖区内国有土地使用权收回、集体土地征收、房屋拆迁和安置补偿工作。五、负责辖区内集体土地征收启动公告、征地拆迁安置方案、土地征收公告的审查呈报工作。</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ascii="Arial"/>
                <w:color w:val="000000" w:themeColor="text1"/>
                <w:spacing w:val="0"/>
                <w:sz w:val="20"/>
                <w14:textFill>
                  <w14:solidFill>
                    <w14:schemeClr w14:val="tx1"/>
                  </w14:solidFill>
                </w14:textFill>
              </w:rPr>
            </w:pPr>
            <w:r>
              <w:rPr>
                <w:rFonts w:hint="eastAsia" w:ascii="Arial"/>
                <w:color w:val="000000" w:themeColor="text1"/>
                <w:spacing w:val="0"/>
                <w:sz w:val="20"/>
                <w14:textFill>
                  <w14:solidFill>
                    <w14:schemeClr w14:val="tx1"/>
                  </w14:solidFill>
                </w14:textFill>
              </w:rPr>
              <w:t>一、依法履行全民所有土地、矿产、森林、湿地等自然资源资产所有者职责。二、负责辖区自然资源资产有偿使用工作。三、负责辖区自然资源的合理开发利用。四、具体实施辖区内国有土地使用权收回、集体土地征收、房屋拆迁和安置补偿工作。五、负责辖区内集体土地征收启动公告、征地拆迁安置方案、土地征收公告的审查呈报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val="0"/>
            <w:textDirection w:val="tbRlV"/>
            <w:vAlign w:val="top"/>
          </w:tcPr>
          <w:p>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70" w:lineRule="auto"/>
              <w:ind w:left="0"/>
              <w:jc w:val="both"/>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数量指标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征拆款项拨付情况</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30248万元</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30248万元</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12.5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12.5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征拆补偿标准审查工作质量保障</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质检合格</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质检合格</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12.5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12.5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征拆业务工作完成时间</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1年</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1年</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12.5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12.5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年度资金</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209.84</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209.84</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12.5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12.5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1" w:lineRule="auto"/>
              <w:ind w:left="0"/>
              <w:jc w:val="both"/>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(30分)</w:t>
            </w: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促进楼区城市化进程</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促进经济发展，改善城建投资环境，促进招商引资顺利进行</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促进发展</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进一步加强工作对接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促进社会发展，城市建设</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配合老旧小区改造，促进社会发展，提升建设楼区整体形象</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促进社会发展</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进一步加强工作对接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不适用</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14:textFill>
                  <w14:solidFill>
                    <w14:schemeClr w14:val="tx1"/>
                  </w14:solidFill>
                </w14:textFill>
              </w:rPr>
              <w:t>对城市建设发展有可持续影响</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对老旧小区改造、城市招商引资及城市规划建设有可持续影响</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可持续发展</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进一步加强工作对接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14:textFill>
                  <w14:solidFill>
                    <w14:schemeClr w14:val="tx1"/>
                  </w14:solidFill>
                </w14:textFill>
              </w:rPr>
              <w:t>社会公众满意度</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95%</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95%</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98.5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22"/>
          <w:position w:val="-1"/>
          <w:sz w:val="22"/>
          <w:szCs w:val="22"/>
          <w:lang w:val="en-US" w:eastAsia="zh-CN"/>
          <w14:textFill>
            <w14:solidFill>
              <w14:schemeClr w14:val="tx1"/>
            </w14:solidFill>
          </w14:textFill>
        </w:rPr>
      </w:pPr>
      <w:r>
        <w:rPr>
          <w:rFonts w:ascii="仿宋" w:hAnsi="仿宋" w:eastAsia="仿宋" w:cs="仿宋"/>
          <w:color w:val="000000" w:themeColor="text1"/>
          <w:spacing w:val="-22"/>
          <w:sz w:val="22"/>
          <w:szCs w:val="22"/>
          <w14:textFill>
            <w14:solidFill>
              <w14:schemeClr w14:val="tx1"/>
            </w14:solidFill>
          </w14:textFill>
        </w:rPr>
        <w:t>填表人：</w:t>
      </w:r>
      <w:r>
        <w:rPr>
          <w:rFonts w:ascii="仿宋" w:hAnsi="仿宋" w:eastAsia="仿宋" w:cs="仿宋"/>
          <w:color w:val="000000" w:themeColor="text1"/>
          <w:spacing w:val="9"/>
          <w:sz w:val="22"/>
          <w:szCs w:val="22"/>
          <w14:textFill>
            <w14:solidFill>
              <w14:schemeClr w14:val="tx1"/>
            </w14:solidFill>
          </w14:textFill>
        </w:rPr>
        <w:t xml:space="preserve"> </w:t>
      </w:r>
      <w:r>
        <w:rPr>
          <w:rFonts w:hint="eastAsia" w:ascii="仿宋" w:hAnsi="仿宋" w:eastAsia="仿宋" w:cs="仿宋"/>
          <w:color w:val="000000" w:themeColor="text1"/>
          <w:spacing w:val="9"/>
          <w:sz w:val="22"/>
          <w:szCs w:val="22"/>
          <w:lang w:val="en-US" w:eastAsia="zh-CN"/>
          <w14:textFill>
            <w14:solidFill>
              <w14:schemeClr w14:val="tx1"/>
            </w14:solidFill>
          </w14:textFill>
        </w:rPr>
        <w:t>胡斯敏</w:t>
      </w:r>
      <w:r>
        <w:rPr>
          <w:rFonts w:ascii="仿宋" w:hAnsi="仿宋" w:eastAsia="仿宋" w:cs="仿宋"/>
          <w:color w:val="000000" w:themeColor="text1"/>
          <w:spacing w:val="3"/>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联系电话：</w:t>
      </w:r>
      <w:r>
        <w:rPr>
          <w:rFonts w:hint="eastAsia" w:ascii="仿宋" w:hAnsi="仿宋" w:eastAsia="仿宋" w:cs="仿宋"/>
          <w:color w:val="000000" w:themeColor="text1"/>
          <w:spacing w:val="2"/>
          <w:sz w:val="22"/>
          <w:szCs w:val="22"/>
          <w:lang w:val="en-US" w:eastAsia="zh-CN"/>
          <w14:textFill>
            <w14:solidFill>
              <w14:schemeClr w14:val="tx1"/>
            </w14:solidFill>
          </w14:textFill>
        </w:rPr>
        <w:t>18073093607</w:t>
      </w:r>
      <w:r>
        <w:rPr>
          <w:rFonts w:ascii="仿宋" w:hAnsi="仿宋" w:eastAsia="仿宋" w:cs="仿宋"/>
          <w:color w:val="000000" w:themeColor="text1"/>
          <w:spacing w:val="2"/>
          <w:sz w:val="22"/>
          <w:szCs w:val="22"/>
          <w14:textFill>
            <w14:solidFill>
              <w14:schemeClr w14:val="tx1"/>
            </w14:solidFill>
          </w14:textFill>
        </w:rPr>
        <w:t xml:space="preserve">  </w:t>
      </w:r>
      <w:r>
        <w:rPr>
          <w:rFonts w:ascii="仿宋" w:hAnsi="仿宋" w:eastAsia="仿宋" w:cs="仿宋"/>
          <w:color w:val="000000" w:themeColor="text1"/>
          <w:spacing w:val="-22"/>
          <w:position w:val="-1"/>
          <w:sz w:val="22"/>
          <w:szCs w:val="22"/>
          <w14:textFill>
            <w14:solidFill>
              <w14:schemeClr w14:val="tx1"/>
            </w14:solidFill>
          </w14:textFill>
        </w:rPr>
        <w:t>单位负责人签字：</w:t>
      </w:r>
      <w:r>
        <w:rPr>
          <w:rFonts w:hint="eastAsia" w:ascii="仿宋" w:hAnsi="仿宋" w:eastAsia="仿宋" w:cs="仿宋"/>
          <w:color w:val="000000" w:themeColor="text1"/>
          <w:spacing w:val="-22"/>
          <w:position w:val="-1"/>
          <w:sz w:val="22"/>
          <w:szCs w:val="22"/>
          <w:lang w:val="en-US" w:eastAsia="zh-CN"/>
          <w14:textFill>
            <w14:solidFill>
              <w14:schemeClr w14:val="tx1"/>
            </w14:solidFill>
          </w14:textFill>
        </w:rPr>
        <w:t xml:space="preserve">                      </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填报日期：</w:t>
      </w:r>
      <w:r>
        <w:rPr>
          <w:rFonts w:ascii="仿宋" w:hAnsi="仿宋" w:eastAsia="仿宋" w:cs="仿宋"/>
          <w:color w:val="000000" w:themeColor="text1"/>
          <w:spacing w:val="3"/>
          <w:sz w:val="22"/>
          <w:szCs w:val="22"/>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pgSz w:w="11906" w:h="16838"/>
          <w:pgMar w:top="1134" w:right="1417" w:bottom="1134" w:left="1134" w:header="851" w:footer="992" w:gutter="0"/>
          <w:pgNumType w:fmt="decimal"/>
          <w:cols w:space="0" w:num="1"/>
          <w:rtlGutter w:val="0"/>
          <w:docGrid w:type="lines" w:linePitch="312" w:charSpace="0"/>
        </w:sectPr>
      </w:pP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岳阳市岳阳楼区自然资源</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事务中心</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单位整体支出</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绩效</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评价</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2023年06月15日</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default"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2022年度岳阳楼区自然资源事务中心</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单位整体支出绩效评价报告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widowControl/>
        <w:numPr>
          <w:ilvl w:val="0"/>
          <w:numId w:val="1"/>
        </w:numPr>
        <w:spacing w:line="600" w:lineRule="exact"/>
        <w:ind w:firstLine="640" w:firstLineChars="200"/>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pPr>
        <w:widowControl/>
        <w:numPr>
          <w:ilvl w:val="0"/>
          <w:numId w:val="0"/>
        </w:numPr>
        <w:spacing w:line="600" w:lineRule="exact"/>
        <w:ind w:firstLine="562" w:firstLineChars="200"/>
        <w:rPr>
          <w:rFonts w:hint="eastAsia" w:ascii="仿宋" w:hAnsi="仿宋" w:eastAsia="仿宋" w:cs="仿宋_GB2312"/>
          <w:b/>
          <w:bCs/>
          <w:kern w:val="0"/>
          <w:sz w:val="28"/>
          <w:szCs w:val="28"/>
        </w:rPr>
      </w:pPr>
      <w:r>
        <w:rPr>
          <w:rFonts w:hint="eastAsia" w:ascii="仿宋" w:hAnsi="仿宋" w:eastAsia="仿宋" w:cs="仿宋_GB2312"/>
          <w:b/>
          <w:bCs/>
          <w:kern w:val="0"/>
          <w:sz w:val="28"/>
          <w:szCs w:val="28"/>
        </w:rPr>
        <w:t>（一）职能职责</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1、承担辖区内土地收储及前期开发工作；承办辖区内国家建设征收集体土地的补偿、房屋拆迁和安置等事务性工作； 2、负责国有土地使用权、矿产资源探矿权采矿权的招拍挂交易的具体工作； 3、负责公益性地价评估和地籍测绘工作；管理国有土地出租、土地抵押登记事务、代收土地收益金； 4、负责辖区内国土空间综合整治、生态修复工程项目的设计和实施；为辖区内城乡规划编制、修建性详细规划及建设工程设计方案、各类项目选址与用地预审、规划条件核实和用地核验核查等工作提供技术服务； 5、负责信息化建设、教育培训、档案管理工作；完成上级交办的其他事务性工作。</w:t>
      </w:r>
    </w:p>
    <w:p>
      <w:pPr>
        <w:widowControl/>
        <w:spacing w:line="600" w:lineRule="exact"/>
        <w:ind w:firstLine="562" w:firstLineChars="200"/>
        <w:rPr>
          <w:rFonts w:hint="eastAsia" w:ascii="仿宋" w:hAnsi="仿宋" w:eastAsia="仿宋" w:cs="仿宋_GB2312"/>
          <w:b/>
          <w:bCs/>
          <w:kern w:val="0"/>
          <w:sz w:val="28"/>
          <w:szCs w:val="28"/>
        </w:rPr>
      </w:pPr>
      <w:r>
        <w:rPr>
          <w:rFonts w:hint="eastAsia" w:ascii="仿宋" w:hAnsi="仿宋" w:eastAsia="仿宋" w:cs="仿宋_GB2312"/>
          <w:b/>
          <w:bCs/>
          <w:kern w:val="0"/>
          <w:sz w:val="28"/>
          <w:szCs w:val="28"/>
        </w:rPr>
        <w:t>（二）机构设置</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1、内设机构设置：办公室、财务室、业务一组、业务二组、业务三组、个案组；2、本单位现有干部职工15人，其中事业编制人数15人；3、本单位无下属单位。</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(一)基本支出情况：</w:t>
      </w: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基本支出72.85万元：1）人员支出59.62万元，2）公用支出13.23万元。</w:t>
      </w:r>
    </w:p>
    <w:p>
      <w:pPr>
        <w:numPr>
          <w:ilvl w:val="0"/>
          <w:numId w:val="0"/>
        </w:numPr>
        <w:ind w:firstLine="643" w:firstLineChars="200"/>
        <w:rPr>
          <w:rFonts w:hint="eastAsia" w:ascii="楷体_GB2312" w:hAnsi="楷体_GB2312" w:eastAsia="楷体_GB2312" w:cs="楷体_GB2312"/>
          <w:b/>
          <w:bCs/>
          <w:color w:val="auto"/>
          <w:spacing w:val="0"/>
          <w:position w:val="0"/>
          <w:sz w:val="32"/>
          <w:szCs w:val="32"/>
          <w:lang w:val="en-US" w:eastAsia="zh-CN"/>
        </w:rPr>
      </w:pPr>
      <w:r>
        <w:rPr>
          <w:rFonts w:hint="eastAsia" w:ascii="楷体_GB2312" w:hAnsi="楷体_GB2312" w:eastAsia="楷体_GB2312" w:cs="楷体_GB2312"/>
          <w:b/>
          <w:bCs/>
          <w:color w:val="auto"/>
          <w:spacing w:val="0"/>
          <w:position w:val="0"/>
          <w:sz w:val="32"/>
          <w:szCs w:val="32"/>
          <w:lang w:val="en-US" w:eastAsia="zh-CN"/>
        </w:rPr>
        <w:t>(二)项目支出情况：</w:t>
      </w:r>
      <w:r>
        <w:rPr>
          <w:rFonts w:hint="eastAsia" w:ascii="仿宋_GB2312" w:hAnsi="仿宋_GB2312" w:eastAsia="仿宋_GB2312" w:cs="仿宋_GB2312"/>
          <w:bCs/>
          <w:color w:val="auto"/>
          <w:sz w:val="28"/>
          <w:szCs w:val="28"/>
          <w:lang w:val="en-US" w:eastAsia="zh-CN"/>
        </w:rPr>
        <w:t>项目支出136.99万元。</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default"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三、政府性基金预算支出情况：无；</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default"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四、国有资本经营预算支出情况：无；</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default"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五、社会保险基金预算支出情况：无；</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pPr>
        <w:numPr>
          <w:ilvl w:val="0"/>
          <w:numId w:val="0"/>
        </w:numPr>
        <w:ind w:firstLine="640" w:firstLineChars="200"/>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1、总结归纳本单位“四本预算”支出的绩效目标完成情况：一般公共预算支出209.84万元，政府性基金拨款0元，纳入专户管理的非税收入拨款0元，其他资金0元；</w:t>
      </w:r>
    </w:p>
    <w:p>
      <w:pPr>
        <w:numPr>
          <w:ilvl w:val="0"/>
          <w:numId w:val="0"/>
        </w:numPr>
        <w:ind w:firstLine="640" w:firstLineChars="200"/>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实现产出和取得效益的情况：征地拆迁款拨付情况达到100%，征拆补偿标准审查工作质量合格率达到了100%，征拆业务工作完成率88%，由于极个别征拆情况存在争议，影响项目完成及时性。3、围绕单位职责、行业发展规划，以预算资金管理为主线，总结单位资产管理和开展业务情况：我单位在资产管理中严格按照文件规定，不管是资产资金的使用及采购流程及资产管理上都做到了完整统一的管理目标；我单位在自然资源业务工作中，其主要涵盖的征地拆迁补偿及补偿标准审查工作等都严格按照事权下放的要求，恪尽职守。</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4、从运行成本、管理效率、履职效能、 社会效应、可持续发展能力和服务对象满意度等方面，衡量单位整体及核心业务实施效果：我单位承担的自然资源工作具有促进发展的效益，有效保障机关正常运转，有效保障楼区范围内自然资源保护工作，自然资源政策宣传到位，社会公众满意度较高。</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七、存在的问题及原因分析</w:t>
      </w:r>
    </w:p>
    <w:p>
      <w:pPr>
        <w:numPr>
          <w:ilvl w:val="0"/>
          <w:numId w:val="0"/>
        </w:numPr>
        <w:ind w:firstLine="640" w:firstLineChars="200"/>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1、自然资源相关业务部门年度专项工作无下拨经费或经费不足；2、事权下放承接较困难。</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八、下一步改进措施：</w:t>
      </w: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目前我单位主管部门自然资源局无专项业务经费或经费不够部分，从我单位非税收入返还款资金中调剂使用；2、多向单位工作人员宣传专项资金及时使用的重要性，重视采购内控制度的宣传把握，资金使用和采购流程必须人人清楚。3、对接好事权下放工作。转变观念，理清思路，积极汇报，争取上级的重视和支持，搞好事权属地改革。</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九、部门整体支出绩效评价结果拟应用和公开情况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无</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报告需要以下附件：</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1、部门整体支出绩效评价基础数据表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2、部门整体支出绩效评价表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3、项目支出绩效评价表(一个一级项目支出一张表)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4、政府性基金预算支出情况表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5、国有资本经营预算支出情况表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6、社会保险基金预算支出情况表</w:t>
      </w:r>
    </w:p>
    <w:p>
      <w:pPr>
        <w:spacing w:before="169" w:line="776" w:lineRule="exact"/>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2022年度项目支出绩效评价表</w:t>
      </w:r>
    </w:p>
    <w:tbl>
      <w:tblPr>
        <w:tblStyle w:val="8"/>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4"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自然资源业务工作经费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1"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岳阳市岳阳楼区自然资源局</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岳阳市岳阳楼区自然资源事务中心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66</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86.4</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86.4</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66</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86.4</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86.4</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征地拆迁概算编制，征拆补偿标准审查，征拆款项拨付，征拆公告发布，征拆档案管理利用，信访矛盾调处，政策宣传培训等。</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征地拆迁概算编制，征拆补偿标准审查，征拆款项拨付，征拆公告发布，征拆档案管理利用，信访矛盾调处，政策宣传培训等。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7" w:lineRule="auto"/>
              <w:ind w:left="0" w:right="0"/>
              <w:jc w:val="both"/>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征拆款项拨付情况</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30248万元</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30248万元</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12.5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12.5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征拆补偿标准审查工作质量保障</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质检合格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质检合格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12.5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12.5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征拆业务工作完成时间</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1年</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1年</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12.5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12.5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年度资金</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86.4万元</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86.4万元</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12.5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12.5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1" w:lineRule="auto"/>
              <w:ind w:left="0" w:right="0"/>
              <w:jc w:val="both"/>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促进楼区城市化进程</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促进经济发展，改善城建投资环境，促进招商引资顺利进行</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促进发展</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进一步加强工作对接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促进社会发展，城市建设</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配合老旧小区改造，促进社会发展，提升建设楼区整体形象</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促进社会发展</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9.5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进一步加强工作对接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不适用</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14:textFill>
                  <w14:solidFill>
                    <w14:schemeClr w14:val="tx1"/>
                  </w14:solidFill>
                </w14:textFill>
              </w:rPr>
              <w:t>对城市建设发展有可持续影响</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对老旧小区改造、城市招商引资及城市规划建设有可持续影响</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可持续发展</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进一步加强工作对接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14:textFill>
                  <w14:solidFill>
                    <w14:schemeClr w14:val="tx1"/>
                  </w14:solidFill>
                </w14:textFill>
              </w:rPr>
              <w:t>社会公众满意度</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95%</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95%</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98.5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hint="eastAsia" w:ascii="仿宋" w:hAnsi="仿宋" w:eastAsia="仿宋" w:cs="仿宋"/>
          <w:color w:val="000000" w:themeColor="text1"/>
          <w:spacing w:val="15"/>
          <w:sz w:val="23"/>
          <w:szCs w:val="23"/>
          <w:lang w:val="en-US" w:eastAsia="zh-CN"/>
          <w14:textFill>
            <w14:solidFill>
              <w14:schemeClr w14:val="tx1"/>
            </w14:solidFill>
          </w14:textFill>
        </w:rPr>
        <w:t>胡斯敏</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3"/>
          <w:sz w:val="23"/>
          <w:szCs w:val="23"/>
          <w:lang w:val="en-US" w:eastAsia="zh-CN"/>
          <w14:textFill>
            <w14:solidFill>
              <w14:schemeClr w14:val="tx1"/>
            </w14:solidFill>
          </w14:textFill>
        </w:rPr>
        <w:t>18073093607</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pPr>
        <w:ind w:firstLine="1440" w:firstLineChars="400"/>
        <w:jc w:val="both"/>
        <w:rPr>
          <w:rFonts w:hint="eastAsia" w:eastAsia="方正小标宋简体"/>
          <w:sz w:val="36"/>
          <w:szCs w:val="36"/>
          <w:lang w:eastAsia="zh-CN"/>
        </w:rPr>
      </w:pPr>
    </w:p>
    <w:p>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w:t>
      </w:r>
      <w:r>
        <w:rPr>
          <w:rFonts w:hint="eastAsia" w:eastAsia="方正小标宋简体"/>
          <w:spacing w:val="-6"/>
          <w:sz w:val="36"/>
          <w:szCs w:val="36"/>
          <w:lang w:val="en-US" w:eastAsia="zh-CN"/>
        </w:rPr>
        <w:t>评价</w:t>
      </w:r>
      <w:r>
        <w:rPr>
          <w:rFonts w:eastAsia="方正小标宋简体"/>
          <w:spacing w:val="-6"/>
          <w:sz w:val="36"/>
          <w:szCs w:val="36"/>
        </w:rPr>
        <w:t>工作考核评分表</w:t>
      </w:r>
    </w:p>
    <w:tbl>
      <w:tblPr>
        <w:tblStyle w:val="5"/>
        <w:tblW w:w="9510" w:type="dxa"/>
        <w:jc w:val="center"/>
        <w:tblLayout w:type="fixed"/>
        <w:tblCellMar>
          <w:top w:w="0" w:type="dxa"/>
          <w:left w:w="108" w:type="dxa"/>
          <w:bottom w:w="0" w:type="dxa"/>
          <w:right w:w="108" w:type="dxa"/>
        </w:tblCellMar>
      </w:tblPr>
      <w:tblGrid>
        <w:gridCol w:w="774"/>
        <w:gridCol w:w="1501"/>
        <w:gridCol w:w="6482"/>
        <w:gridCol w:w="753"/>
      </w:tblGrid>
      <w:tr>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w:t>
            </w:r>
          </w:p>
        </w:tc>
      </w:tr>
      <w:tr>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pPr>
              <w:spacing w:line="320" w:lineRule="exact"/>
              <w:jc w:val="center"/>
              <w:rPr>
                <w:rFonts w:hint="eastAsia" w:asciiTheme="majorEastAsia" w:hAnsiTheme="majorEastAsia" w:eastAsiaTheme="majorEastAsia" w:cstheme="majorEastAsia"/>
                <w:szCs w:val="21"/>
              </w:rPr>
            </w:pPr>
          </w:p>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kern w:val="2"/>
                <w:sz w:val="21"/>
                <w:szCs w:val="21"/>
                <w:lang w:val="en-US" w:eastAsia="zh-CN" w:bidi="ar-SA"/>
              </w:rPr>
            </w:pPr>
            <w:r>
              <w:rPr>
                <w:rFonts w:hint="eastAsia" w:asciiTheme="majorEastAsia" w:hAnsiTheme="majorEastAsia" w:eastAsiaTheme="majorEastAsia" w:cstheme="majorEastAsia"/>
                <w:szCs w:val="21"/>
                <w:lang w:val="en-US" w:eastAsia="zh-CN"/>
              </w:rPr>
              <w:t>20</w:t>
            </w:r>
          </w:p>
        </w:tc>
      </w:tr>
      <w:tr>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kern w:val="2"/>
                <w:sz w:val="21"/>
                <w:szCs w:val="21"/>
                <w:lang w:val="en-US" w:eastAsia="zh-CN" w:bidi="ar-SA"/>
              </w:rPr>
            </w:pPr>
            <w:r>
              <w:rPr>
                <w:rFonts w:hint="eastAsia" w:asciiTheme="majorEastAsia" w:hAnsiTheme="majorEastAsia" w:eastAsiaTheme="majorEastAsia" w:cstheme="majorEastAsia"/>
                <w:szCs w:val="21"/>
                <w:lang w:val="en-US" w:eastAsia="zh-CN"/>
              </w:rPr>
              <w:t>10</w:t>
            </w:r>
          </w:p>
        </w:tc>
      </w:tr>
      <w:tr>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pPr>
              <w:spacing w:line="240" w:lineRule="exact"/>
              <w:jc w:val="center"/>
              <w:rPr>
                <w:rFonts w:hint="eastAsia" w:asciiTheme="majorEastAsia" w:hAnsiTheme="majorEastAsia" w:eastAsiaTheme="majorEastAsia" w:cstheme="majorEastAsia"/>
                <w:szCs w:val="21"/>
              </w:rPr>
            </w:pPr>
          </w:p>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val="en-US" w:eastAsia="zh-CN"/>
              </w:rPr>
              <w:t>评价</w:t>
            </w:r>
            <w:r>
              <w:rPr>
                <w:rFonts w:hint="eastAsia" w:asciiTheme="majorEastAsia" w:hAnsiTheme="majorEastAsia" w:eastAsiaTheme="majorEastAsia" w:cstheme="majorEastAsia"/>
                <w:sz w:val="21"/>
                <w:szCs w:val="21"/>
              </w:rPr>
              <w:t>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w:t>
            </w:r>
            <w:r>
              <w:rPr>
                <w:rFonts w:hint="eastAsia" w:asciiTheme="majorEastAsia" w:hAnsiTheme="majorEastAsia" w:eastAsiaTheme="majorEastAsia" w:cstheme="majorEastAsia"/>
                <w:sz w:val="21"/>
                <w:szCs w:val="21"/>
                <w:lang w:val="en-US" w:eastAsia="zh-CN"/>
              </w:rPr>
              <w:t>评价</w:t>
            </w:r>
            <w:r>
              <w:rPr>
                <w:rFonts w:hint="eastAsia" w:asciiTheme="majorEastAsia" w:hAnsiTheme="majorEastAsia" w:eastAsiaTheme="majorEastAsia" w:cstheme="majorEastAsia"/>
                <w:sz w:val="21"/>
                <w:szCs w:val="21"/>
              </w:rPr>
              <w:t>报告正文部分内容齐全的，得8分；否则每少一个部分扣2分，最多扣8分。</w:t>
            </w:r>
          </w:p>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w:t>
            </w:r>
            <w:r>
              <w:rPr>
                <w:rFonts w:hint="eastAsia" w:asciiTheme="majorEastAsia" w:hAnsiTheme="majorEastAsia" w:eastAsiaTheme="majorEastAsia" w:cstheme="majorEastAsia"/>
                <w:sz w:val="21"/>
                <w:szCs w:val="21"/>
                <w:lang w:val="en-US" w:eastAsia="zh-CN"/>
              </w:rPr>
              <w:t>评价</w:t>
            </w:r>
            <w:r>
              <w:rPr>
                <w:rFonts w:hint="eastAsia" w:asciiTheme="majorEastAsia" w:hAnsiTheme="majorEastAsia" w:eastAsiaTheme="majorEastAsia" w:cstheme="majorEastAsia"/>
                <w:sz w:val="21"/>
                <w:szCs w:val="21"/>
              </w:rPr>
              <w:t>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kern w:val="2"/>
                <w:sz w:val="21"/>
                <w:szCs w:val="21"/>
                <w:lang w:val="en-US" w:eastAsia="zh-CN" w:bidi="ar-SA"/>
              </w:rPr>
            </w:pPr>
            <w:r>
              <w:rPr>
                <w:rFonts w:hint="eastAsia" w:asciiTheme="majorEastAsia" w:hAnsiTheme="majorEastAsia" w:eastAsiaTheme="majorEastAsia" w:cstheme="majorEastAsia"/>
                <w:szCs w:val="21"/>
                <w:lang w:val="en-US" w:eastAsia="zh-CN"/>
              </w:rPr>
              <w:t>15</w:t>
            </w:r>
          </w:p>
        </w:tc>
      </w:tr>
      <w:tr>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w:t>
            </w:r>
            <w:r>
              <w:rPr>
                <w:rFonts w:hint="eastAsia" w:asciiTheme="majorEastAsia" w:hAnsiTheme="majorEastAsia" w:eastAsiaTheme="majorEastAsia" w:cstheme="majorEastAsia"/>
                <w:sz w:val="21"/>
                <w:szCs w:val="21"/>
                <w:lang w:val="en-US" w:eastAsia="zh-CN"/>
              </w:rPr>
              <w:t>评价</w:t>
            </w:r>
            <w:r>
              <w:rPr>
                <w:rFonts w:hint="eastAsia" w:asciiTheme="majorEastAsia" w:hAnsiTheme="majorEastAsia" w:eastAsiaTheme="majorEastAsia" w:cstheme="majorEastAsia"/>
                <w:sz w:val="21"/>
                <w:szCs w:val="21"/>
              </w:rPr>
              <w:t>表</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w:t>
            </w:r>
            <w:r>
              <w:rPr>
                <w:rFonts w:hint="eastAsia" w:asciiTheme="majorEastAsia" w:hAnsiTheme="majorEastAsia" w:eastAsiaTheme="majorEastAsia" w:cstheme="majorEastAsia"/>
                <w:sz w:val="21"/>
                <w:szCs w:val="21"/>
                <w:lang w:val="en-US" w:eastAsia="zh-CN"/>
              </w:rPr>
              <w:t>评价</w:t>
            </w:r>
            <w:bookmarkStart w:id="0" w:name="_GoBack"/>
            <w:bookmarkEnd w:id="0"/>
            <w:r>
              <w:rPr>
                <w:rFonts w:hint="eastAsia" w:asciiTheme="majorEastAsia" w:hAnsiTheme="majorEastAsia" w:eastAsiaTheme="majorEastAsia" w:cstheme="majorEastAsia"/>
                <w:sz w:val="21"/>
                <w:szCs w:val="21"/>
              </w:rPr>
              <w:t>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kern w:val="2"/>
                <w:sz w:val="21"/>
                <w:szCs w:val="21"/>
                <w:lang w:val="en-US" w:eastAsia="zh-CN" w:bidi="ar-SA"/>
              </w:rPr>
            </w:pPr>
            <w:r>
              <w:rPr>
                <w:rFonts w:hint="eastAsia" w:asciiTheme="majorEastAsia" w:hAnsiTheme="majorEastAsia" w:eastAsiaTheme="majorEastAsia" w:cstheme="majorEastAsia"/>
                <w:szCs w:val="21"/>
                <w:lang w:val="en-US" w:eastAsia="zh-CN"/>
              </w:rPr>
              <w:t>20</w:t>
            </w:r>
          </w:p>
        </w:tc>
      </w:tr>
      <w:tr>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kern w:val="2"/>
                <w:sz w:val="21"/>
                <w:szCs w:val="21"/>
                <w:lang w:val="en-US" w:eastAsia="zh-CN" w:bidi="ar-SA"/>
              </w:rPr>
            </w:pPr>
            <w:r>
              <w:rPr>
                <w:rFonts w:hint="eastAsia" w:asciiTheme="majorEastAsia" w:hAnsiTheme="majorEastAsia" w:eastAsiaTheme="majorEastAsia" w:cstheme="majorEastAsia"/>
                <w:szCs w:val="21"/>
                <w:lang w:val="en-US" w:eastAsia="zh-CN"/>
              </w:rPr>
              <w:t>19</w:t>
            </w:r>
          </w:p>
        </w:tc>
      </w:tr>
      <w:tr>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kern w:val="2"/>
                <w:sz w:val="21"/>
                <w:szCs w:val="21"/>
                <w:lang w:val="en-US" w:eastAsia="zh-CN" w:bidi="ar-SA"/>
              </w:rPr>
            </w:pPr>
            <w:r>
              <w:rPr>
                <w:rFonts w:hint="eastAsia" w:asciiTheme="majorEastAsia" w:hAnsiTheme="majorEastAsia" w:eastAsiaTheme="majorEastAsia" w:cstheme="majorEastAsia"/>
                <w:szCs w:val="21"/>
                <w:lang w:val="en-US" w:eastAsia="zh-CN"/>
              </w:rPr>
              <w:t>14</w:t>
            </w:r>
          </w:p>
        </w:tc>
      </w:tr>
      <w:tr>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kern w:val="2"/>
                <w:sz w:val="21"/>
                <w:szCs w:val="21"/>
                <w:lang w:val="en-US" w:eastAsia="zh-CN" w:bidi="ar-SA"/>
              </w:rPr>
            </w:pPr>
            <w:r>
              <w:rPr>
                <w:rFonts w:hint="eastAsia" w:asciiTheme="majorEastAsia" w:hAnsiTheme="majorEastAsia" w:eastAsiaTheme="majorEastAsia" w:cstheme="majorEastAsia"/>
                <w:szCs w:val="21"/>
                <w:lang w:val="en-US" w:eastAsia="zh-CN"/>
              </w:rPr>
              <w:t>98</w:t>
            </w:r>
          </w:p>
        </w:tc>
      </w:tr>
    </w:tbl>
    <w:p>
      <w:pPr>
        <w:keepNext w:val="0"/>
        <w:keepLines w:val="0"/>
        <w:pageBreakBefore w:val="0"/>
        <w:widowControl w:val="0"/>
        <w:kinsoku/>
        <w:wordWrap/>
        <w:overflowPunct/>
        <w:topLinePunct w:val="0"/>
        <w:autoSpaceDE/>
        <w:autoSpaceDN/>
        <w:bidi w:val="0"/>
        <w:adjustRightInd/>
        <w:snapToGrid/>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Arial Unicode MS"/>
    <w:panose1 w:val="00000600000000000000"/>
    <w:charset w:val="86"/>
    <w:family w:val="auto"/>
    <w:pitch w:val="default"/>
    <w:sig w:usb0="00000000" w:usb1="00000000" w:usb2="00000012" w:usb3="00000000" w:csb0="00160001" w:csb1="1203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3"/>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26D48C2"/>
    <w:multiLevelType w:val="singleLevel"/>
    <w:tmpl w:val="626D48C2"/>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VlZjI4MmJjMDZkMmQyYjU0NDZkYzc1NWI2NTA0OWQifQ=="/>
  </w:docVars>
  <w:rsids>
    <w:rsidRoot w:val="53FC3987"/>
    <w:rsid w:val="000A3765"/>
    <w:rsid w:val="001D7282"/>
    <w:rsid w:val="0039081D"/>
    <w:rsid w:val="005E6ECB"/>
    <w:rsid w:val="00726300"/>
    <w:rsid w:val="00744EA1"/>
    <w:rsid w:val="009419CA"/>
    <w:rsid w:val="00955854"/>
    <w:rsid w:val="009C7330"/>
    <w:rsid w:val="00A00FBB"/>
    <w:rsid w:val="00BF0721"/>
    <w:rsid w:val="00C03795"/>
    <w:rsid w:val="00CE3756"/>
    <w:rsid w:val="00D27A74"/>
    <w:rsid w:val="00E831C8"/>
    <w:rsid w:val="00EF287A"/>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A048B9"/>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47190C"/>
    <w:rsid w:val="034760CE"/>
    <w:rsid w:val="03487959"/>
    <w:rsid w:val="03505BE1"/>
    <w:rsid w:val="036D41A2"/>
    <w:rsid w:val="037F229C"/>
    <w:rsid w:val="03911277"/>
    <w:rsid w:val="039A540B"/>
    <w:rsid w:val="03BD010E"/>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2243CB"/>
    <w:rsid w:val="054037EF"/>
    <w:rsid w:val="054E7FFF"/>
    <w:rsid w:val="05621117"/>
    <w:rsid w:val="058C5045"/>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A1B19"/>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A002E0D"/>
    <w:rsid w:val="0A140987"/>
    <w:rsid w:val="0A241A5C"/>
    <w:rsid w:val="0A2E3566"/>
    <w:rsid w:val="0A393280"/>
    <w:rsid w:val="0A5F2F6C"/>
    <w:rsid w:val="0A670B4E"/>
    <w:rsid w:val="0A851E03"/>
    <w:rsid w:val="0A985A6F"/>
    <w:rsid w:val="0AA808AF"/>
    <w:rsid w:val="0ABD142C"/>
    <w:rsid w:val="0AC644AE"/>
    <w:rsid w:val="0ACB61B4"/>
    <w:rsid w:val="0ACD4157"/>
    <w:rsid w:val="0AE964B0"/>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ED500D"/>
    <w:rsid w:val="0EFE4287"/>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FE6AB1"/>
    <w:rsid w:val="1112624E"/>
    <w:rsid w:val="11153798"/>
    <w:rsid w:val="11297158"/>
    <w:rsid w:val="114B2C9B"/>
    <w:rsid w:val="115D78BB"/>
    <w:rsid w:val="116001E2"/>
    <w:rsid w:val="116E041E"/>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B310FA"/>
    <w:rsid w:val="12B7582D"/>
    <w:rsid w:val="12C621E8"/>
    <w:rsid w:val="12CF0716"/>
    <w:rsid w:val="12D95227"/>
    <w:rsid w:val="12E33197"/>
    <w:rsid w:val="12EE1C9C"/>
    <w:rsid w:val="12F863E6"/>
    <w:rsid w:val="13094CA6"/>
    <w:rsid w:val="132156D8"/>
    <w:rsid w:val="132911E2"/>
    <w:rsid w:val="133868AE"/>
    <w:rsid w:val="134726A7"/>
    <w:rsid w:val="135133AE"/>
    <w:rsid w:val="13807518"/>
    <w:rsid w:val="13914897"/>
    <w:rsid w:val="13960100"/>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E339CC"/>
    <w:rsid w:val="17F33C57"/>
    <w:rsid w:val="17FF44C5"/>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B19EB"/>
    <w:rsid w:val="19717C66"/>
    <w:rsid w:val="198862BF"/>
    <w:rsid w:val="198E7C2B"/>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B3755"/>
    <w:rsid w:val="1D124C24"/>
    <w:rsid w:val="1D2C6C6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1F33730"/>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A4570"/>
    <w:rsid w:val="27217FF0"/>
    <w:rsid w:val="27242893"/>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CC6ED5"/>
    <w:rsid w:val="28F010D9"/>
    <w:rsid w:val="28F05C88"/>
    <w:rsid w:val="28F11C0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B0D55"/>
    <w:rsid w:val="2CCC5126"/>
    <w:rsid w:val="2CF756B7"/>
    <w:rsid w:val="2CF9252D"/>
    <w:rsid w:val="2CF97782"/>
    <w:rsid w:val="2D107154"/>
    <w:rsid w:val="2D143281"/>
    <w:rsid w:val="2D1C79F8"/>
    <w:rsid w:val="2D324177"/>
    <w:rsid w:val="2D5A7835"/>
    <w:rsid w:val="2D6578A0"/>
    <w:rsid w:val="2D7343C9"/>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E1C14"/>
    <w:rsid w:val="2F366FC1"/>
    <w:rsid w:val="2F3C4A2B"/>
    <w:rsid w:val="2F5034C7"/>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FA2D7F"/>
    <w:rsid w:val="32FC6C4E"/>
    <w:rsid w:val="33085CC5"/>
    <w:rsid w:val="33262CBA"/>
    <w:rsid w:val="332B323C"/>
    <w:rsid w:val="332E3189"/>
    <w:rsid w:val="335B62EC"/>
    <w:rsid w:val="335E79BA"/>
    <w:rsid w:val="3360061D"/>
    <w:rsid w:val="336549AB"/>
    <w:rsid w:val="33782709"/>
    <w:rsid w:val="3392025F"/>
    <w:rsid w:val="33985878"/>
    <w:rsid w:val="33A8285D"/>
    <w:rsid w:val="33AC1E29"/>
    <w:rsid w:val="33B17041"/>
    <w:rsid w:val="33B202F3"/>
    <w:rsid w:val="33B20F64"/>
    <w:rsid w:val="33EE53FA"/>
    <w:rsid w:val="33FD7485"/>
    <w:rsid w:val="34012F1B"/>
    <w:rsid w:val="34467089"/>
    <w:rsid w:val="34523AB5"/>
    <w:rsid w:val="346B4B47"/>
    <w:rsid w:val="346E4F77"/>
    <w:rsid w:val="34762AAC"/>
    <w:rsid w:val="348402A8"/>
    <w:rsid w:val="34B510BB"/>
    <w:rsid w:val="34BB2714"/>
    <w:rsid w:val="34C25EF7"/>
    <w:rsid w:val="34D20F28"/>
    <w:rsid w:val="34E22DC0"/>
    <w:rsid w:val="350233D4"/>
    <w:rsid w:val="35195F01"/>
    <w:rsid w:val="35313A72"/>
    <w:rsid w:val="35493C91"/>
    <w:rsid w:val="355C0228"/>
    <w:rsid w:val="357800DF"/>
    <w:rsid w:val="35814314"/>
    <w:rsid w:val="358527FB"/>
    <w:rsid w:val="358B5BCF"/>
    <w:rsid w:val="359A77E8"/>
    <w:rsid w:val="35A1790B"/>
    <w:rsid w:val="35A45B99"/>
    <w:rsid w:val="35B01090"/>
    <w:rsid w:val="35DD2073"/>
    <w:rsid w:val="35DF75FB"/>
    <w:rsid w:val="35EB21A5"/>
    <w:rsid w:val="35F52D00"/>
    <w:rsid w:val="35FF153A"/>
    <w:rsid w:val="3606622C"/>
    <w:rsid w:val="36077316"/>
    <w:rsid w:val="3613278E"/>
    <w:rsid w:val="36356D4F"/>
    <w:rsid w:val="36405687"/>
    <w:rsid w:val="36414112"/>
    <w:rsid w:val="365F3D60"/>
    <w:rsid w:val="36645530"/>
    <w:rsid w:val="367851C1"/>
    <w:rsid w:val="369510BC"/>
    <w:rsid w:val="36973632"/>
    <w:rsid w:val="36A30194"/>
    <w:rsid w:val="36D21A02"/>
    <w:rsid w:val="37104DEB"/>
    <w:rsid w:val="372D0977"/>
    <w:rsid w:val="37337382"/>
    <w:rsid w:val="374D5647"/>
    <w:rsid w:val="374F42A7"/>
    <w:rsid w:val="37506DBE"/>
    <w:rsid w:val="3759338C"/>
    <w:rsid w:val="37654002"/>
    <w:rsid w:val="378E3E66"/>
    <w:rsid w:val="37C244FC"/>
    <w:rsid w:val="37D95C79"/>
    <w:rsid w:val="37E81F7B"/>
    <w:rsid w:val="38026A1B"/>
    <w:rsid w:val="38197832"/>
    <w:rsid w:val="383903C6"/>
    <w:rsid w:val="383C423B"/>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96FD8"/>
    <w:rsid w:val="396B7002"/>
    <w:rsid w:val="396C2A15"/>
    <w:rsid w:val="39AC01F9"/>
    <w:rsid w:val="39B73BAC"/>
    <w:rsid w:val="39B7517F"/>
    <w:rsid w:val="39BA3B51"/>
    <w:rsid w:val="39C20795"/>
    <w:rsid w:val="39E90E2B"/>
    <w:rsid w:val="39E94D86"/>
    <w:rsid w:val="39F1638E"/>
    <w:rsid w:val="3A001C79"/>
    <w:rsid w:val="3A1513BA"/>
    <w:rsid w:val="3A2E618D"/>
    <w:rsid w:val="3A4109A1"/>
    <w:rsid w:val="3A742C8C"/>
    <w:rsid w:val="3A7B2702"/>
    <w:rsid w:val="3A896EEE"/>
    <w:rsid w:val="3AAA2893"/>
    <w:rsid w:val="3ABB15C7"/>
    <w:rsid w:val="3AD8279E"/>
    <w:rsid w:val="3AE73EDB"/>
    <w:rsid w:val="3B08641D"/>
    <w:rsid w:val="3B1C7A19"/>
    <w:rsid w:val="3B2B5582"/>
    <w:rsid w:val="3B4234D4"/>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5B1D89"/>
    <w:rsid w:val="3C85498F"/>
    <w:rsid w:val="3C8946A5"/>
    <w:rsid w:val="3CA372A1"/>
    <w:rsid w:val="3CA600E0"/>
    <w:rsid w:val="3CB765A9"/>
    <w:rsid w:val="3CBA4326"/>
    <w:rsid w:val="3CBC0BE3"/>
    <w:rsid w:val="3CC614DA"/>
    <w:rsid w:val="3CD01DA9"/>
    <w:rsid w:val="3CD84704"/>
    <w:rsid w:val="3CDA38F5"/>
    <w:rsid w:val="3CDD517D"/>
    <w:rsid w:val="3CE33FC3"/>
    <w:rsid w:val="3CEA3B31"/>
    <w:rsid w:val="3CF9401E"/>
    <w:rsid w:val="3CFC6325"/>
    <w:rsid w:val="3D093C71"/>
    <w:rsid w:val="3D1A22C0"/>
    <w:rsid w:val="3D294B1B"/>
    <w:rsid w:val="3D2B034D"/>
    <w:rsid w:val="3D5A60CA"/>
    <w:rsid w:val="3D9F4364"/>
    <w:rsid w:val="3DA702BF"/>
    <w:rsid w:val="3DB92106"/>
    <w:rsid w:val="3DCF457D"/>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1202484"/>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60BCE"/>
    <w:rsid w:val="454B256E"/>
    <w:rsid w:val="455D76E4"/>
    <w:rsid w:val="45646F33"/>
    <w:rsid w:val="45671007"/>
    <w:rsid w:val="456C331B"/>
    <w:rsid w:val="45A26739"/>
    <w:rsid w:val="45B07140"/>
    <w:rsid w:val="45C43431"/>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3226A3"/>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915636"/>
    <w:rsid w:val="48985F31"/>
    <w:rsid w:val="48AC6E35"/>
    <w:rsid w:val="48BD43A0"/>
    <w:rsid w:val="48C96968"/>
    <w:rsid w:val="48F84416"/>
    <w:rsid w:val="490874C4"/>
    <w:rsid w:val="491A6A98"/>
    <w:rsid w:val="491D4AAF"/>
    <w:rsid w:val="4926292B"/>
    <w:rsid w:val="49371235"/>
    <w:rsid w:val="494324F6"/>
    <w:rsid w:val="49455D20"/>
    <w:rsid w:val="497B341F"/>
    <w:rsid w:val="49851F2C"/>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9C47ED"/>
    <w:rsid w:val="4AA35DE0"/>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5FD0"/>
    <w:rsid w:val="4ED33DCB"/>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9275C"/>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1328"/>
    <w:rsid w:val="5736629C"/>
    <w:rsid w:val="57540996"/>
    <w:rsid w:val="57802A35"/>
    <w:rsid w:val="578C3658"/>
    <w:rsid w:val="57B66918"/>
    <w:rsid w:val="57BD6FCE"/>
    <w:rsid w:val="57D214D2"/>
    <w:rsid w:val="57DA1A42"/>
    <w:rsid w:val="58002D08"/>
    <w:rsid w:val="58057728"/>
    <w:rsid w:val="581D1F94"/>
    <w:rsid w:val="582872BA"/>
    <w:rsid w:val="5829318A"/>
    <w:rsid w:val="582D7EE9"/>
    <w:rsid w:val="583343BB"/>
    <w:rsid w:val="583439B3"/>
    <w:rsid w:val="583B5787"/>
    <w:rsid w:val="583D2FE0"/>
    <w:rsid w:val="586759C7"/>
    <w:rsid w:val="58C07CA9"/>
    <w:rsid w:val="58DE5A38"/>
    <w:rsid w:val="58FA7B16"/>
    <w:rsid w:val="58FB22A6"/>
    <w:rsid w:val="59003437"/>
    <w:rsid w:val="59182EE7"/>
    <w:rsid w:val="5921212C"/>
    <w:rsid w:val="59395687"/>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00333"/>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92BD6"/>
    <w:rsid w:val="5B561D67"/>
    <w:rsid w:val="5B662DE6"/>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E1E1E"/>
    <w:rsid w:val="5C4F343B"/>
    <w:rsid w:val="5C6A79EB"/>
    <w:rsid w:val="5C83497A"/>
    <w:rsid w:val="5C912690"/>
    <w:rsid w:val="5C970365"/>
    <w:rsid w:val="5C9F632F"/>
    <w:rsid w:val="5CCB04A2"/>
    <w:rsid w:val="5CCD7E04"/>
    <w:rsid w:val="5CD51F6A"/>
    <w:rsid w:val="5CD6026B"/>
    <w:rsid w:val="5CE319F6"/>
    <w:rsid w:val="5CE42846"/>
    <w:rsid w:val="5CE9406B"/>
    <w:rsid w:val="5CE95A75"/>
    <w:rsid w:val="5D0656E1"/>
    <w:rsid w:val="5D3A7EAB"/>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6E43"/>
    <w:rsid w:val="5EDB6E5E"/>
    <w:rsid w:val="5F050603"/>
    <w:rsid w:val="5F0F5BF5"/>
    <w:rsid w:val="5F1070E5"/>
    <w:rsid w:val="5F137093"/>
    <w:rsid w:val="5F475DFB"/>
    <w:rsid w:val="5F4A6912"/>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C76164"/>
    <w:rsid w:val="64D3186F"/>
    <w:rsid w:val="64EF2266"/>
    <w:rsid w:val="64F33559"/>
    <w:rsid w:val="64FD2EEA"/>
    <w:rsid w:val="64FF1ABC"/>
    <w:rsid w:val="650E3520"/>
    <w:rsid w:val="654069DE"/>
    <w:rsid w:val="65413B3E"/>
    <w:rsid w:val="654B3E81"/>
    <w:rsid w:val="655555A6"/>
    <w:rsid w:val="655F14F0"/>
    <w:rsid w:val="65660277"/>
    <w:rsid w:val="656E6D13"/>
    <w:rsid w:val="65822479"/>
    <w:rsid w:val="65990AED"/>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4940ED"/>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5960"/>
    <w:rsid w:val="6C417EB8"/>
    <w:rsid w:val="6C613F45"/>
    <w:rsid w:val="6C756221"/>
    <w:rsid w:val="6C7B08BB"/>
    <w:rsid w:val="6C816AF9"/>
    <w:rsid w:val="6C846694"/>
    <w:rsid w:val="6CA841D2"/>
    <w:rsid w:val="6CB10385"/>
    <w:rsid w:val="6CDF0F3A"/>
    <w:rsid w:val="6CE47854"/>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A71AD5"/>
    <w:rsid w:val="6FA81174"/>
    <w:rsid w:val="6FAF2607"/>
    <w:rsid w:val="6FD47D24"/>
    <w:rsid w:val="6FE17D06"/>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600D68"/>
    <w:rsid w:val="72604620"/>
    <w:rsid w:val="726B02C1"/>
    <w:rsid w:val="726D2C67"/>
    <w:rsid w:val="729A0F74"/>
    <w:rsid w:val="72F03574"/>
    <w:rsid w:val="72F77CB6"/>
    <w:rsid w:val="731438BD"/>
    <w:rsid w:val="733155C8"/>
    <w:rsid w:val="73422D3C"/>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471CA9"/>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DC1EF4"/>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1670C1"/>
    <w:rsid w:val="772C16E9"/>
    <w:rsid w:val="77683E14"/>
    <w:rsid w:val="77734EA5"/>
    <w:rsid w:val="77A06542"/>
    <w:rsid w:val="77A922C9"/>
    <w:rsid w:val="77AC049C"/>
    <w:rsid w:val="77AD6F34"/>
    <w:rsid w:val="77B23714"/>
    <w:rsid w:val="77BB772D"/>
    <w:rsid w:val="77D43FD2"/>
    <w:rsid w:val="77FA155A"/>
    <w:rsid w:val="781137AD"/>
    <w:rsid w:val="781D13FA"/>
    <w:rsid w:val="782817E9"/>
    <w:rsid w:val="78555C26"/>
    <w:rsid w:val="78640057"/>
    <w:rsid w:val="78810787"/>
    <w:rsid w:val="78826969"/>
    <w:rsid w:val="788E3AAC"/>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212B8A"/>
    <w:rsid w:val="7C8464A1"/>
    <w:rsid w:val="7C9D2D7B"/>
    <w:rsid w:val="7CA26867"/>
    <w:rsid w:val="7CB43A8E"/>
    <w:rsid w:val="7CC106AB"/>
    <w:rsid w:val="7CDF4250"/>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E4DC2"/>
    <w:rsid w:val="7F66205C"/>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toa heading"/>
    <w:basedOn w:val="1"/>
    <w:next w:val="1"/>
    <w:qFormat/>
    <w:uiPriority w:val="99"/>
    <w:pPr>
      <w:spacing w:before="120" w:after="200" w:line="276" w:lineRule="auto"/>
    </w:pPr>
    <w:rPr>
      <w:rFonts w:ascii="Arial" w:hAnsi="Arial"/>
      <w:sz w:val="24"/>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8">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4098</Words>
  <Characters>4502</Characters>
  <Lines>0</Lines>
  <Paragraphs>0</Paragraphs>
  <TotalTime>3</TotalTime>
  <ScaleCrop>false</ScaleCrop>
  <LinksUpToDate>false</LinksUpToDate>
  <CharactersWithSpaces>4620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LENOVO</cp:lastModifiedBy>
  <cp:lastPrinted>2023-06-12T07:12:00Z</cp:lastPrinted>
  <dcterms:modified xsi:type="dcterms:W3CDTF">2024-05-23T06:24:46Z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A512FA8964B249D8B00003A9BDAF7EC3_13</vt:lpwstr>
  </property>
</Properties>
</file>