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pPr>
              <w:spacing w:before="103" w:line="219" w:lineRule="auto"/>
              <w:jc w:val="cente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中共岳阳市岳阳楼区纪律检查委员会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center"/>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center"/>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center"/>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91</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91</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center"/>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center"/>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center"/>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25.67</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25.67</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620.07</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582.07</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38.00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533.20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175.20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46.88</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12.72</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15.61</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104.50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397.00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337.38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1,624.85</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1,315.37</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1,479.65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cs="黑体" w:eastAsiaTheme="majorEastAsia"/>
          <w:b w:val="0"/>
          <w:bCs w:val="0"/>
          <w:color w:val="000000" w:themeColor="text1"/>
          <w:spacing w:val="10"/>
          <w:sz w:val="22"/>
          <w:szCs w:val="22"/>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2023年6月18日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720"/>
        <w:gridCol w:w="1185"/>
        <w:gridCol w:w="1140"/>
        <w:gridCol w:w="630"/>
        <w:gridCol w:w="693"/>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center"/>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中共岳阳市岳阳楼区纪律检查委员会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val="0"/>
                <w:bCs w:val="0"/>
                <w:color w:val="000000" w:themeColor="text1"/>
                <w:spacing w:val="-6"/>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6"/>
                <w:sz w:val="21"/>
                <w:szCs w:val="21"/>
                <w:lang w:val="en-US" w:eastAsia="zh-CN"/>
                <w14:textFill>
                  <w14:solidFill>
                    <w14:schemeClr w14:val="tx1"/>
                  </w14:solidFill>
                </w14:textFill>
              </w:rPr>
              <w:t>1,935.44</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val="0"/>
                <w:bCs w:val="0"/>
                <w:color w:val="000000" w:themeColor="text1"/>
                <w:spacing w:val="-6"/>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6"/>
                <w:sz w:val="21"/>
                <w:szCs w:val="21"/>
                <w:lang w:val="en-US" w:eastAsia="zh-CN"/>
                <w14:textFill>
                  <w14:solidFill>
                    <w14:schemeClr w14:val="tx1"/>
                  </w14:solidFill>
                </w14:textFill>
              </w:rPr>
              <w:t>1,797.51</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val="0"/>
                <w:bCs w:val="0"/>
                <w:color w:val="000000" w:themeColor="text1"/>
                <w:spacing w:val="-6"/>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6"/>
                <w:sz w:val="21"/>
                <w:szCs w:val="21"/>
                <w:lang w:val="en-US" w:eastAsia="zh-CN"/>
                <w14:textFill>
                  <w14:solidFill>
                    <w14:schemeClr w14:val="tx1"/>
                  </w14:solidFill>
                </w14:textFill>
              </w:rPr>
              <w:t>1,797.51</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b w:val="0"/>
                <w:bCs w:val="0"/>
                <w:color w:val="000000" w:themeColor="text1"/>
                <w:spacing w:val="-6"/>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6"/>
                <w:sz w:val="21"/>
                <w:szCs w:val="21"/>
                <w:lang w:val="en-US" w:eastAsia="zh-CN"/>
                <w14:textFill>
                  <w14:solidFill>
                    <w14:schemeClr w14:val="tx1"/>
                  </w14:solidFill>
                </w14:textFill>
              </w:rPr>
              <w:t>10</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val="0"/>
                <w:bCs w:val="0"/>
                <w:color w:val="000000" w:themeColor="text1"/>
                <w:spacing w:val="-6"/>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6"/>
                <w:sz w:val="21"/>
                <w:szCs w:val="21"/>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val="0"/>
                <w:bCs w:val="0"/>
                <w:color w:val="000000" w:themeColor="text1"/>
                <w:spacing w:val="-6"/>
                <w:sz w:val="21"/>
                <w:szCs w:val="21"/>
                <w:lang w:val="en-US" w:eastAsia="zh-CN"/>
                <w14:textFill>
                  <w14:solidFill>
                    <w14:schemeClr w14:val="tx1"/>
                  </w14:solidFill>
                </w14:textFill>
              </w:rPr>
            </w:pPr>
            <w:r>
              <w:rPr>
                <w:rFonts w:hint="eastAsia" w:ascii="宋体" w:hAnsi="宋体" w:eastAsia="宋体" w:cs="宋体"/>
                <w:b w:val="0"/>
                <w:bCs w:val="0"/>
                <w:color w:val="000000" w:themeColor="text1"/>
                <w:spacing w:val="-6"/>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01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1,797.51</w:t>
            </w:r>
          </w:p>
        </w:tc>
        <w:tc>
          <w:tcPr>
            <w:tcW w:w="373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1,797.51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01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1,797.51</w:t>
            </w:r>
          </w:p>
        </w:tc>
        <w:tc>
          <w:tcPr>
            <w:tcW w:w="373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1,479.65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01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373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317.86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01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373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01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373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501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73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01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一、压实全面从严治党政治责任；二、持续深化反腐败工作；三、纠治“四风”，推动中央八项规定精神落实；四、整治群众身边腐败和作风问题；五、发挥监督效能，推动各类监督贯通发力；六、履行监督职责，确保监督全覆盖。</w:t>
            </w:r>
          </w:p>
        </w:tc>
        <w:tc>
          <w:tcPr>
            <w:tcW w:w="373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both"/>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sz w:val="20"/>
                <w:szCs w:val="20"/>
                <w:lang w:eastAsia="zh-CN"/>
              </w:rPr>
              <w:t>专项监督检查</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24</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24</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firstLine="200" w:firstLineChars="100"/>
              <w:jc w:val="both"/>
              <w:textAlignment w:val="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法制教育次数</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98</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98</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线索案件数据涉密</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firstLine="200" w:firstLineChars="100"/>
              <w:jc w:val="both"/>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工作涉密</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工作涉密</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sz w:val="20"/>
                <w:szCs w:val="20"/>
              </w:rPr>
              <w:t>问题线索处置率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100%</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举报办结率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案件事故发生次数</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sz w:val="20"/>
                <w:szCs w:val="20"/>
              </w:rPr>
              <w:t>案件办理时效达标率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100%</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sz w:val="20"/>
                <w:szCs w:val="20"/>
              </w:rPr>
              <w:t>严格控制在年度预算资金以内</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1,935.44</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1,797.51</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本年实际支出未超出预算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720" w:type="dxa"/>
            <w:noWrap w:val="0"/>
            <w:vAlign w:val="center"/>
          </w:tcPr>
          <w:p>
            <w:pPr>
              <w:autoSpaceDN w:val="0"/>
              <w:spacing w:line="320" w:lineRule="exact"/>
              <w:jc w:val="both"/>
              <w:textAlignment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提高社会人群的安全健康</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有提高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有提高</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加强党风建设和组织协调反腐败工作</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有加强</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有加强</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95%</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23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99</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3"/>
          <w:sz w:val="22"/>
          <w:szCs w:val="22"/>
          <w:lang w:val="en-US" w:eastAsia="zh-CN"/>
          <w14:textFill>
            <w14:solidFill>
              <w14:schemeClr w14:val="tx1"/>
            </w14:solidFill>
          </w14:textFill>
        </w:rPr>
        <w:t>2023年6月18日</w:t>
      </w: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2022年度中共岳阳市岳阳楼区纪律检查委员会整体支出绩效自评报告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2023年6月18日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2022年度中共岳阳市岳阳楼区纪律检查委员会整体支出绩效自评报告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一、单位基本情况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中共岳阳市岳阳楼区纪律检查委员会与岳阳楼区监察委员会合署办公，实行一套工作机构、两个机关名称的体制，在区委、区政府和市纪委监委的双重领导下开展工作，履行纪律检查、国家监察两项职能。维护党的章程和其他党内法规，检查党的路线、方针、政策和决议的执行情况，协助区委推进全面从严治党，加强党风建设和组织协调反腐败工作。依照《中华人民共和国监察法》和有关法律规定履行监督、调查、处置职责。</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现有在职编制人数91人。区纪委监委组织机构包括：区纪委监委机关内设职能部门和直属单位，区纪委监委派驻纪检监察组。区纪委监委机关设立办公室、组织部、党风政风监督室、信访室、案件监督管理室、第一至第六纪检监察室、案件审理室、纪检监察干部监督室等13个内设职能部门。区纪委监委机关下设岳阳楼区廉政警示教育中心直属单位，区纪委监委设立11个派驻纪检监察组。</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基本支出1,479.65万元，其中：人员经费1,341.16万元，主要包括：基本工资、津贴补贴、奖金、绩效工资、机关事业单位基本养老保险缴费、职业年金缴费、职工基本医疗保险缴费、公务员医疗补助缴费、其他社会保障缴费、住房公积金、伙食补助费、退休费、其他对个人和家庭的补助；公用经费138.49万元，主要包括：办公费、邮电费、会议费、公务接待费、工会经费、其他交通费用、其他商品和服务支出。</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为保证预算管理工作规范有序进行，我单位按照依法理财、勤俭办事，明确责任，量入为出、保证重点，综合平衡、讲求实效的基本原则，建立健全财务管理制度，对预算编制、资金管理、经费收支审批等均作了明确规定。</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2022年项目支出317.86万元，主要用于开展纪检监察业务工作及办案场所、设备、专网等维护等方面。</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2022年度本单位无政府性基金预算支出。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2022年度本单位无国有资本经营预算支出。</w:t>
      </w: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2022年度本单位无社会保险基金预算支出。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（一）忠诚践行“两个维护”，政治监督持续增强。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（二）积极履行监督首责，监督治理成效日益凸显。</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（三）从严正风肃纪反腐，“三不”一体推进成果巩固拓展。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（四）稳步推进巡察全覆盖，利剑作用充分彰显。</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（五）扎实推进“清廉湖南”建设，党风政风社风更加清朗。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（六）全面加强自身建设，“铁军”底色愈加鲜明</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全区党风政风持续好转，党内政治生态气象更新，反腐败斗争取得压倒性胜利，全面从严治党取得重大成果。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Times New Roman"/>
          <w:color w:val="000000"/>
          <w:sz w:val="28"/>
          <w:szCs w:val="28"/>
          <w:shd w:val="clear" w:color="auto" w:fill="FFFFFF"/>
          <w:lang w:val="en-US" w:eastAsia="zh-CN"/>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799" w:firstLineChars="200"/>
        <w:jc w:val="left"/>
        <w:textAlignment w:val="auto"/>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业务工作经费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中共岳阳市岳阳楼区委员会</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中共岳阳市岳阳楼区纪律检查委员会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582.07</w:t>
            </w:r>
          </w:p>
        </w:tc>
        <w:tc>
          <w:tcPr>
            <w:tcW w:w="1131" w:type="dxa"/>
            <w:noWrap w:val="0"/>
            <w:vAlign w:val="center"/>
          </w:tcPr>
          <w:p>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317.86</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317.86</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582.07</w:t>
            </w:r>
          </w:p>
        </w:tc>
        <w:tc>
          <w:tcPr>
            <w:tcW w:w="1131" w:type="dxa"/>
            <w:noWrap w:val="0"/>
            <w:vAlign w:val="center"/>
          </w:tcPr>
          <w:p>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317.86</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317.86</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14:textFill>
                  <w14:solidFill>
                    <w14:schemeClr w14:val="tx1"/>
                  </w14:solidFill>
                </w14:textFill>
              </w:rPr>
              <w:t>一、压实全面从严治党政治责任；二、持续深化反腐败工作；三、纠治“四风”，推动中央八项规定精神落实；四、整治群众身边腐败和作风问题；五、发挥监督效能，推动各类监督贯通发力；六、履行监督职责，确保监督全覆盖。</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sz w:val="20"/>
                <w:szCs w:val="20"/>
                <w:lang w:eastAsia="zh-CN"/>
              </w:rPr>
              <w:t>专项监督检查</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24</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24</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firstLine="200" w:firstLineChars="100"/>
              <w:jc w:val="both"/>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法制教育次数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98</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98</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线索案件数据涉密</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firstLine="200" w:firstLineChars="100"/>
              <w:jc w:val="both"/>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工作涉密</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工作涉密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sz w:val="20"/>
                <w:szCs w:val="20"/>
              </w:rPr>
              <w:t>问题线索处置率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举报办结率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案件事故发生次数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sz w:val="20"/>
                <w:szCs w:val="20"/>
              </w:rPr>
              <w:t>案件办理时效达标率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sz w:val="20"/>
                <w:szCs w:val="20"/>
              </w:rPr>
              <w:t>严格控制在年度预算资金以内</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582.07</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317.86</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autoSpaceDN w:val="0"/>
              <w:spacing w:line="320" w:lineRule="exact"/>
              <w:jc w:val="both"/>
              <w:textAlignment w:val="center"/>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提高社会人群的安全健康</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有提高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有提高</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不适用</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加强党风建设和组织协调反腐败工作</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有加强</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有加强</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r>
        <w:rPr>
          <w:rFonts w:hint="eastAsia" w:ascii="仿宋" w:hAnsi="仿宋" w:eastAsia="仿宋" w:cs="仿宋"/>
          <w:color w:val="000000" w:themeColor="text1"/>
          <w:spacing w:val="4"/>
          <w:sz w:val="23"/>
          <w:szCs w:val="23"/>
          <w:lang w:val="en-US" w:eastAsia="zh-CN"/>
          <w14:textFill>
            <w14:solidFill>
              <w14:schemeClr w14:val="tx1"/>
            </w14:solidFill>
          </w14:textFill>
        </w:rPr>
        <w:t>2023年6月18日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13</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98</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69C75"/>
    <w:multiLevelType w:val="singleLevel"/>
    <w:tmpl w:val="8EF69C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35353"/>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867525"/>
    <w:rsid w:val="03911277"/>
    <w:rsid w:val="039A540B"/>
    <w:rsid w:val="03A03184"/>
    <w:rsid w:val="03BD010E"/>
    <w:rsid w:val="03C5243A"/>
    <w:rsid w:val="03E2685C"/>
    <w:rsid w:val="03E31959"/>
    <w:rsid w:val="03E66326"/>
    <w:rsid w:val="03F139E0"/>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A20FC1"/>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0B00F6"/>
    <w:rsid w:val="082A5F7E"/>
    <w:rsid w:val="08391F38"/>
    <w:rsid w:val="083A18D9"/>
    <w:rsid w:val="0848472A"/>
    <w:rsid w:val="084D20E7"/>
    <w:rsid w:val="08550AB7"/>
    <w:rsid w:val="08674899"/>
    <w:rsid w:val="08754155"/>
    <w:rsid w:val="087B77E7"/>
    <w:rsid w:val="087D3D34"/>
    <w:rsid w:val="0889236C"/>
    <w:rsid w:val="088E051E"/>
    <w:rsid w:val="08935A7B"/>
    <w:rsid w:val="08A91E6C"/>
    <w:rsid w:val="08BA1B19"/>
    <w:rsid w:val="08D059DD"/>
    <w:rsid w:val="08DC08E7"/>
    <w:rsid w:val="08FA3336"/>
    <w:rsid w:val="092D1C9E"/>
    <w:rsid w:val="09377E5E"/>
    <w:rsid w:val="09383E9F"/>
    <w:rsid w:val="0939426E"/>
    <w:rsid w:val="09504F8C"/>
    <w:rsid w:val="09616470"/>
    <w:rsid w:val="096C1F5A"/>
    <w:rsid w:val="096C76C1"/>
    <w:rsid w:val="097817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306DF"/>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CFF6AA4"/>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1A76E4"/>
    <w:rsid w:val="0F2A2A37"/>
    <w:rsid w:val="0F2E6C95"/>
    <w:rsid w:val="0F44355D"/>
    <w:rsid w:val="0F4675CA"/>
    <w:rsid w:val="0F471A79"/>
    <w:rsid w:val="0F49431F"/>
    <w:rsid w:val="0F500384"/>
    <w:rsid w:val="0F5B4015"/>
    <w:rsid w:val="0F6071C8"/>
    <w:rsid w:val="0F6314C8"/>
    <w:rsid w:val="0F7B0394"/>
    <w:rsid w:val="0FA00CB6"/>
    <w:rsid w:val="0FA434D3"/>
    <w:rsid w:val="0FB471F7"/>
    <w:rsid w:val="0FC95C51"/>
    <w:rsid w:val="0FC965F5"/>
    <w:rsid w:val="0FCD6B4B"/>
    <w:rsid w:val="0FCF7138"/>
    <w:rsid w:val="0FD35AB6"/>
    <w:rsid w:val="0FDE750E"/>
    <w:rsid w:val="0FE017B9"/>
    <w:rsid w:val="0FE04B17"/>
    <w:rsid w:val="0FEC2891"/>
    <w:rsid w:val="0FF54858"/>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12A00"/>
    <w:rsid w:val="11B76464"/>
    <w:rsid w:val="11BC2DF3"/>
    <w:rsid w:val="11C43676"/>
    <w:rsid w:val="11C572CA"/>
    <w:rsid w:val="11E372EB"/>
    <w:rsid w:val="11EA3CA0"/>
    <w:rsid w:val="11F403BB"/>
    <w:rsid w:val="11FA6A1C"/>
    <w:rsid w:val="120B6973"/>
    <w:rsid w:val="12155876"/>
    <w:rsid w:val="12183A1B"/>
    <w:rsid w:val="122A11A6"/>
    <w:rsid w:val="123D1BD2"/>
    <w:rsid w:val="123E6D4D"/>
    <w:rsid w:val="125613C2"/>
    <w:rsid w:val="125A606E"/>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BD38B5"/>
    <w:rsid w:val="13C169EC"/>
    <w:rsid w:val="13C16FBE"/>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BF393E"/>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081F2F"/>
    <w:rsid w:val="171630EB"/>
    <w:rsid w:val="17254D9D"/>
    <w:rsid w:val="17255A22"/>
    <w:rsid w:val="17435DB3"/>
    <w:rsid w:val="174849B3"/>
    <w:rsid w:val="175075E0"/>
    <w:rsid w:val="175D3461"/>
    <w:rsid w:val="175F4C67"/>
    <w:rsid w:val="175F580B"/>
    <w:rsid w:val="17665207"/>
    <w:rsid w:val="17794395"/>
    <w:rsid w:val="178D50A9"/>
    <w:rsid w:val="178F0FE3"/>
    <w:rsid w:val="17B01B0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03E0E"/>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65535"/>
    <w:rsid w:val="1A8D640E"/>
    <w:rsid w:val="1A974192"/>
    <w:rsid w:val="1AA2382E"/>
    <w:rsid w:val="1ACA62AD"/>
    <w:rsid w:val="1ADA675E"/>
    <w:rsid w:val="1AE11CDA"/>
    <w:rsid w:val="1B113A6D"/>
    <w:rsid w:val="1B144B8D"/>
    <w:rsid w:val="1B17013D"/>
    <w:rsid w:val="1B1B14D3"/>
    <w:rsid w:val="1B1F6AF1"/>
    <w:rsid w:val="1B250DAE"/>
    <w:rsid w:val="1B2A34EB"/>
    <w:rsid w:val="1B2B0F4C"/>
    <w:rsid w:val="1B2D2734"/>
    <w:rsid w:val="1B3860E1"/>
    <w:rsid w:val="1B397CEE"/>
    <w:rsid w:val="1B3F36F6"/>
    <w:rsid w:val="1B422830"/>
    <w:rsid w:val="1B4B369E"/>
    <w:rsid w:val="1B5271D4"/>
    <w:rsid w:val="1B6D7C0D"/>
    <w:rsid w:val="1B84594F"/>
    <w:rsid w:val="1B884364"/>
    <w:rsid w:val="1BA8552B"/>
    <w:rsid w:val="1BA912AB"/>
    <w:rsid w:val="1BAF7FB0"/>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6159"/>
    <w:rsid w:val="1D6B7F83"/>
    <w:rsid w:val="1D776C3D"/>
    <w:rsid w:val="1D8316F5"/>
    <w:rsid w:val="1D95321A"/>
    <w:rsid w:val="1DB85E5C"/>
    <w:rsid w:val="1DC46662"/>
    <w:rsid w:val="1DCA5E3A"/>
    <w:rsid w:val="1DCF5405"/>
    <w:rsid w:val="1DD75183"/>
    <w:rsid w:val="1DDE2626"/>
    <w:rsid w:val="1DFD7C50"/>
    <w:rsid w:val="1E075E82"/>
    <w:rsid w:val="1E080AB5"/>
    <w:rsid w:val="1E0E0D58"/>
    <w:rsid w:val="1E2A197B"/>
    <w:rsid w:val="1E35255F"/>
    <w:rsid w:val="1E3649B9"/>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D08AB"/>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2FF181D"/>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180974"/>
    <w:rsid w:val="256609A5"/>
    <w:rsid w:val="25781237"/>
    <w:rsid w:val="257A6914"/>
    <w:rsid w:val="2588530F"/>
    <w:rsid w:val="25963C8A"/>
    <w:rsid w:val="25AB3731"/>
    <w:rsid w:val="25B464A2"/>
    <w:rsid w:val="25BA0209"/>
    <w:rsid w:val="25BB4BF0"/>
    <w:rsid w:val="25DB777C"/>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DB0572"/>
    <w:rsid w:val="26E34A7B"/>
    <w:rsid w:val="26E9756C"/>
    <w:rsid w:val="26F47650"/>
    <w:rsid w:val="26FA4570"/>
    <w:rsid w:val="27217FF0"/>
    <w:rsid w:val="27242893"/>
    <w:rsid w:val="273612F4"/>
    <w:rsid w:val="27445146"/>
    <w:rsid w:val="27552C41"/>
    <w:rsid w:val="276B5498"/>
    <w:rsid w:val="277602F5"/>
    <w:rsid w:val="278038CA"/>
    <w:rsid w:val="27C33BB0"/>
    <w:rsid w:val="27C55F98"/>
    <w:rsid w:val="27CC0CD0"/>
    <w:rsid w:val="27D071BC"/>
    <w:rsid w:val="27D24E61"/>
    <w:rsid w:val="27D4538F"/>
    <w:rsid w:val="27DE15AE"/>
    <w:rsid w:val="27E03A2F"/>
    <w:rsid w:val="280D297A"/>
    <w:rsid w:val="280D678A"/>
    <w:rsid w:val="281D44F4"/>
    <w:rsid w:val="2821352A"/>
    <w:rsid w:val="28276A98"/>
    <w:rsid w:val="285271B5"/>
    <w:rsid w:val="285710C8"/>
    <w:rsid w:val="285C4BAF"/>
    <w:rsid w:val="285D0F42"/>
    <w:rsid w:val="28703320"/>
    <w:rsid w:val="28926C90"/>
    <w:rsid w:val="289539A5"/>
    <w:rsid w:val="289F019A"/>
    <w:rsid w:val="28CC6ED5"/>
    <w:rsid w:val="28F010D9"/>
    <w:rsid w:val="28F05C88"/>
    <w:rsid w:val="29082E70"/>
    <w:rsid w:val="291343EF"/>
    <w:rsid w:val="29166F16"/>
    <w:rsid w:val="294D5371"/>
    <w:rsid w:val="295A5964"/>
    <w:rsid w:val="29626133"/>
    <w:rsid w:val="29702C6A"/>
    <w:rsid w:val="297307FF"/>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57C61"/>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212C61"/>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EF91817"/>
    <w:rsid w:val="2F0E1C14"/>
    <w:rsid w:val="2F366FC1"/>
    <w:rsid w:val="2F5034C7"/>
    <w:rsid w:val="2F866106"/>
    <w:rsid w:val="2FA3249D"/>
    <w:rsid w:val="2FC05B92"/>
    <w:rsid w:val="2FD858D0"/>
    <w:rsid w:val="2FDE3BE4"/>
    <w:rsid w:val="2FEA73B1"/>
    <w:rsid w:val="2FEC1413"/>
    <w:rsid w:val="2FEF5C51"/>
    <w:rsid w:val="30004E27"/>
    <w:rsid w:val="301F1E0F"/>
    <w:rsid w:val="302E6295"/>
    <w:rsid w:val="303329F0"/>
    <w:rsid w:val="303818E5"/>
    <w:rsid w:val="303F1851"/>
    <w:rsid w:val="303F79AD"/>
    <w:rsid w:val="30492212"/>
    <w:rsid w:val="304C3A2B"/>
    <w:rsid w:val="30596318"/>
    <w:rsid w:val="306F339C"/>
    <w:rsid w:val="30762710"/>
    <w:rsid w:val="30814CF1"/>
    <w:rsid w:val="308E4163"/>
    <w:rsid w:val="309657DE"/>
    <w:rsid w:val="30B14BE8"/>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9C4C69"/>
    <w:rsid w:val="31A53AB7"/>
    <w:rsid w:val="31A801F9"/>
    <w:rsid w:val="31C57FB2"/>
    <w:rsid w:val="31C64FD5"/>
    <w:rsid w:val="31C932E2"/>
    <w:rsid w:val="31F61F62"/>
    <w:rsid w:val="320358D0"/>
    <w:rsid w:val="32052FE4"/>
    <w:rsid w:val="320B77FD"/>
    <w:rsid w:val="321976B1"/>
    <w:rsid w:val="321B47D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71C2C"/>
    <w:rsid w:val="32C90A49"/>
    <w:rsid w:val="32FA2D7F"/>
    <w:rsid w:val="32FC6C4E"/>
    <w:rsid w:val="33085CC5"/>
    <w:rsid w:val="33262CBA"/>
    <w:rsid w:val="332B323C"/>
    <w:rsid w:val="332E3189"/>
    <w:rsid w:val="335B62EC"/>
    <w:rsid w:val="335E79BA"/>
    <w:rsid w:val="3360061D"/>
    <w:rsid w:val="336549AB"/>
    <w:rsid w:val="33782709"/>
    <w:rsid w:val="3392025F"/>
    <w:rsid w:val="33A81C4F"/>
    <w:rsid w:val="33A8285D"/>
    <w:rsid w:val="33AC1E29"/>
    <w:rsid w:val="33B17041"/>
    <w:rsid w:val="33B202F3"/>
    <w:rsid w:val="33B20F64"/>
    <w:rsid w:val="33EE53FA"/>
    <w:rsid w:val="33F95525"/>
    <w:rsid w:val="33FD7485"/>
    <w:rsid w:val="34012F1B"/>
    <w:rsid w:val="34467089"/>
    <w:rsid w:val="34523AB5"/>
    <w:rsid w:val="346B4B47"/>
    <w:rsid w:val="346E4F77"/>
    <w:rsid w:val="34762AAC"/>
    <w:rsid w:val="348402A8"/>
    <w:rsid w:val="34B510BB"/>
    <w:rsid w:val="34B87A7E"/>
    <w:rsid w:val="34BB2714"/>
    <w:rsid w:val="34C25EF7"/>
    <w:rsid w:val="34D20F28"/>
    <w:rsid w:val="34E22DC0"/>
    <w:rsid w:val="350233D4"/>
    <w:rsid w:val="35195F01"/>
    <w:rsid w:val="35313A72"/>
    <w:rsid w:val="3544129A"/>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18279F"/>
    <w:rsid w:val="36356D4F"/>
    <w:rsid w:val="36400C61"/>
    <w:rsid w:val="36405687"/>
    <w:rsid w:val="36414112"/>
    <w:rsid w:val="365F3D60"/>
    <w:rsid w:val="36645530"/>
    <w:rsid w:val="367851C1"/>
    <w:rsid w:val="369510BC"/>
    <w:rsid w:val="36973632"/>
    <w:rsid w:val="36A30194"/>
    <w:rsid w:val="36D21A02"/>
    <w:rsid w:val="36F6663C"/>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EF1B8D"/>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DB5E0A"/>
    <w:rsid w:val="39E90E2B"/>
    <w:rsid w:val="39E94D86"/>
    <w:rsid w:val="39F1638E"/>
    <w:rsid w:val="39FE0979"/>
    <w:rsid w:val="3A001C79"/>
    <w:rsid w:val="3A1513BA"/>
    <w:rsid w:val="3A2E618D"/>
    <w:rsid w:val="3A4109A1"/>
    <w:rsid w:val="3A465B2C"/>
    <w:rsid w:val="3A742C8C"/>
    <w:rsid w:val="3A7B2702"/>
    <w:rsid w:val="3A896EEE"/>
    <w:rsid w:val="3A993EAE"/>
    <w:rsid w:val="3A9A7C1F"/>
    <w:rsid w:val="3AAA2893"/>
    <w:rsid w:val="3ABB15C7"/>
    <w:rsid w:val="3AD8279E"/>
    <w:rsid w:val="3AE50EA1"/>
    <w:rsid w:val="3AE73EDB"/>
    <w:rsid w:val="3AED3BD1"/>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7D1CAB"/>
    <w:rsid w:val="3C85498F"/>
    <w:rsid w:val="3C8946A5"/>
    <w:rsid w:val="3C916221"/>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3218B6"/>
    <w:rsid w:val="3E4A1D40"/>
    <w:rsid w:val="3E4C287B"/>
    <w:rsid w:val="3E633FD2"/>
    <w:rsid w:val="3E6F32D2"/>
    <w:rsid w:val="3E742C66"/>
    <w:rsid w:val="3E7E19E7"/>
    <w:rsid w:val="3E8572BF"/>
    <w:rsid w:val="3E917B82"/>
    <w:rsid w:val="3E9656A5"/>
    <w:rsid w:val="3E997463"/>
    <w:rsid w:val="3E9F7600"/>
    <w:rsid w:val="3EAB1E47"/>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852126"/>
    <w:rsid w:val="3F92376D"/>
    <w:rsid w:val="3F9A6B8B"/>
    <w:rsid w:val="3F9B4224"/>
    <w:rsid w:val="3F9C1CD6"/>
    <w:rsid w:val="3FB035B9"/>
    <w:rsid w:val="3FC45A80"/>
    <w:rsid w:val="3FD81621"/>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970E8F"/>
    <w:rsid w:val="40B16CC2"/>
    <w:rsid w:val="40B81BAD"/>
    <w:rsid w:val="40BB2365"/>
    <w:rsid w:val="40C43B94"/>
    <w:rsid w:val="40D23962"/>
    <w:rsid w:val="40D61BC8"/>
    <w:rsid w:val="40DC4F1D"/>
    <w:rsid w:val="40DF2097"/>
    <w:rsid w:val="40E71ABD"/>
    <w:rsid w:val="41171FD0"/>
    <w:rsid w:val="413C11C7"/>
    <w:rsid w:val="41447F0E"/>
    <w:rsid w:val="414733E0"/>
    <w:rsid w:val="41566753"/>
    <w:rsid w:val="416A21FA"/>
    <w:rsid w:val="416B09D7"/>
    <w:rsid w:val="417D1E08"/>
    <w:rsid w:val="417D5552"/>
    <w:rsid w:val="4188208C"/>
    <w:rsid w:val="419B51EE"/>
    <w:rsid w:val="41B11897"/>
    <w:rsid w:val="41C538FC"/>
    <w:rsid w:val="41C57D35"/>
    <w:rsid w:val="41F34606"/>
    <w:rsid w:val="4200399D"/>
    <w:rsid w:val="420E20BD"/>
    <w:rsid w:val="421647B9"/>
    <w:rsid w:val="4220608E"/>
    <w:rsid w:val="42263E3B"/>
    <w:rsid w:val="422C70F1"/>
    <w:rsid w:val="423C6CFA"/>
    <w:rsid w:val="42442693"/>
    <w:rsid w:val="425A03C6"/>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05AB1"/>
    <w:rsid w:val="45513550"/>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2D4F"/>
    <w:rsid w:val="486D78BB"/>
    <w:rsid w:val="48915636"/>
    <w:rsid w:val="48985F31"/>
    <w:rsid w:val="48AC6E35"/>
    <w:rsid w:val="48BD43A0"/>
    <w:rsid w:val="48C26CC5"/>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6A4F1F"/>
    <w:rsid w:val="4A7055A6"/>
    <w:rsid w:val="4A9C47ED"/>
    <w:rsid w:val="4AA71D5E"/>
    <w:rsid w:val="4AAA6CA9"/>
    <w:rsid w:val="4AE008D2"/>
    <w:rsid w:val="4B0B3617"/>
    <w:rsid w:val="4B2815DF"/>
    <w:rsid w:val="4B473F5E"/>
    <w:rsid w:val="4B49191E"/>
    <w:rsid w:val="4B506F86"/>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409ED"/>
    <w:rsid w:val="4D8F350E"/>
    <w:rsid w:val="4D924E46"/>
    <w:rsid w:val="4D9877E4"/>
    <w:rsid w:val="4DBD22E7"/>
    <w:rsid w:val="4DC73507"/>
    <w:rsid w:val="4DDA6A5F"/>
    <w:rsid w:val="4DDB7205"/>
    <w:rsid w:val="4DDF772B"/>
    <w:rsid w:val="4DEB15AD"/>
    <w:rsid w:val="4DF87443"/>
    <w:rsid w:val="4E370600"/>
    <w:rsid w:val="4E3D6F1E"/>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2B07E8"/>
    <w:rsid w:val="4F323E26"/>
    <w:rsid w:val="4F3913E8"/>
    <w:rsid w:val="4F440434"/>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38246A"/>
    <w:rsid w:val="51414399"/>
    <w:rsid w:val="515D5FD6"/>
    <w:rsid w:val="516A7012"/>
    <w:rsid w:val="51721A38"/>
    <w:rsid w:val="517D016D"/>
    <w:rsid w:val="51A45867"/>
    <w:rsid w:val="51AD7250"/>
    <w:rsid w:val="51CF1465"/>
    <w:rsid w:val="51D1247D"/>
    <w:rsid w:val="51EC4955"/>
    <w:rsid w:val="51F067B7"/>
    <w:rsid w:val="52077D46"/>
    <w:rsid w:val="52187D0D"/>
    <w:rsid w:val="522B768A"/>
    <w:rsid w:val="52361B9C"/>
    <w:rsid w:val="52362A26"/>
    <w:rsid w:val="523B0BAD"/>
    <w:rsid w:val="524B7169"/>
    <w:rsid w:val="5250515D"/>
    <w:rsid w:val="52522E68"/>
    <w:rsid w:val="526921DD"/>
    <w:rsid w:val="527E4DA2"/>
    <w:rsid w:val="5297132B"/>
    <w:rsid w:val="529C40E3"/>
    <w:rsid w:val="529F28D8"/>
    <w:rsid w:val="529F6FBB"/>
    <w:rsid w:val="52C076EC"/>
    <w:rsid w:val="52C25708"/>
    <w:rsid w:val="52C315CC"/>
    <w:rsid w:val="52CD10CA"/>
    <w:rsid w:val="52EB6F11"/>
    <w:rsid w:val="52F0249E"/>
    <w:rsid w:val="5353575F"/>
    <w:rsid w:val="535751D0"/>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C5CEE"/>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938B6"/>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546472"/>
    <w:rsid w:val="5F8108E9"/>
    <w:rsid w:val="5FA342D5"/>
    <w:rsid w:val="5FA40581"/>
    <w:rsid w:val="5FBC4017"/>
    <w:rsid w:val="5FBF418B"/>
    <w:rsid w:val="5FC03F1C"/>
    <w:rsid w:val="5FC128D4"/>
    <w:rsid w:val="5FC577B3"/>
    <w:rsid w:val="5FFB751D"/>
    <w:rsid w:val="5FFC1DCE"/>
    <w:rsid w:val="5FFF47BF"/>
    <w:rsid w:val="602423C7"/>
    <w:rsid w:val="603F2394"/>
    <w:rsid w:val="604407B5"/>
    <w:rsid w:val="60487E62"/>
    <w:rsid w:val="605A5C34"/>
    <w:rsid w:val="60630B92"/>
    <w:rsid w:val="606E4C0D"/>
    <w:rsid w:val="60935B47"/>
    <w:rsid w:val="60C76F62"/>
    <w:rsid w:val="60CE1254"/>
    <w:rsid w:val="60D321CB"/>
    <w:rsid w:val="60D467A9"/>
    <w:rsid w:val="60EA12BA"/>
    <w:rsid w:val="60EB3CE8"/>
    <w:rsid w:val="60F65306"/>
    <w:rsid w:val="61034470"/>
    <w:rsid w:val="61041400"/>
    <w:rsid w:val="6108421E"/>
    <w:rsid w:val="610C08D6"/>
    <w:rsid w:val="611504BF"/>
    <w:rsid w:val="61233B56"/>
    <w:rsid w:val="6129287D"/>
    <w:rsid w:val="6132559A"/>
    <w:rsid w:val="61535DEE"/>
    <w:rsid w:val="61592EF2"/>
    <w:rsid w:val="6166167A"/>
    <w:rsid w:val="617020C2"/>
    <w:rsid w:val="61755B39"/>
    <w:rsid w:val="617A0C46"/>
    <w:rsid w:val="618B1EF3"/>
    <w:rsid w:val="61A33787"/>
    <w:rsid w:val="61A66AB4"/>
    <w:rsid w:val="61BC38FA"/>
    <w:rsid w:val="61BE0E4F"/>
    <w:rsid w:val="61C85E7F"/>
    <w:rsid w:val="61CD0424"/>
    <w:rsid w:val="61CD78CF"/>
    <w:rsid w:val="61D5580D"/>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DD22DA"/>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DA4A6C"/>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A5ADC"/>
    <w:rsid w:val="660C7338"/>
    <w:rsid w:val="66407FD5"/>
    <w:rsid w:val="665346CA"/>
    <w:rsid w:val="6661498D"/>
    <w:rsid w:val="666B3926"/>
    <w:rsid w:val="668C5B9C"/>
    <w:rsid w:val="66990C0E"/>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9D64DC"/>
    <w:rsid w:val="67C47F84"/>
    <w:rsid w:val="67D85572"/>
    <w:rsid w:val="67DD10E7"/>
    <w:rsid w:val="67E51A4F"/>
    <w:rsid w:val="67E81C89"/>
    <w:rsid w:val="67F16AAB"/>
    <w:rsid w:val="67FC2A34"/>
    <w:rsid w:val="67FC76A6"/>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CA2070"/>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DE0CC9"/>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C17707"/>
    <w:rsid w:val="6ADD6D64"/>
    <w:rsid w:val="6B0F06C2"/>
    <w:rsid w:val="6B2B6878"/>
    <w:rsid w:val="6B633F4F"/>
    <w:rsid w:val="6B70680D"/>
    <w:rsid w:val="6B816F14"/>
    <w:rsid w:val="6B8A298B"/>
    <w:rsid w:val="6B8A779B"/>
    <w:rsid w:val="6BAD6C20"/>
    <w:rsid w:val="6BB456BB"/>
    <w:rsid w:val="6BB62A44"/>
    <w:rsid w:val="6BD81D0A"/>
    <w:rsid w:val="6BE052CE"/>
    <w:rsid w:val="6BE61923"/>
    <w:rsid w:val="6BF2692A"/>
    <w:rsid w:val="6BF358A4"/>
    <w:rsid w:val="6C051F4E"/>
    <w:rsid w:val="6C096C12"/>
    <w:rsid w:val="6C1A5960"/>
    <w:rsid w:val="6C417EB8"/>
    <w:rsid w:val="6C613F45"/>
    <w:rsid w:val="6C756221"/>
    <w:rsid w:val="6C7B08BB"/>
    <w:rsid w:val="6C816AF9"/>
    <w:rsid w:val="6C846694"/>
    <w:rsid w:val="6CA841D2"/>
    <w:rsid w:val="6CB10385"/>
    <w:rsid w:val="6CC95802"/>
    <w:rsid w:val="6CD92E74"/>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358DF"/>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507A7"/>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C0E6C"/>
    <w:rsid w:val="74EF6361"/>
    <w:rsid w:val="74F347DF"/>
    <w:rsid w:val="74FA7FE6"/>
    <w:rsid w:val="74FD4A9B"/>
    <w:rsid w:val="751029E3"/>
    <w:rsid w:val="751D43A6"/>
    <w:rsid w:val="75453AE1"/>
    <w:rsid w:val="75573AC9"/>
    <w:rsid w:val="75595449"/>
    <w:rsid w:val="758B283A"/>
    <w:rsid w:val="75986535"/>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8D031B"/>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16688"/>
    <w:rsid w:val="78FA244C"/>
    <w:rsid w:val="78FE1B78"/>
    <w:rsid w:val="79024116"/>
    <w:rsid w:val="790B5E4F"/>
    <w:rsid w:val="790D572F"/>
    <w:rsid w:val="79233654"/>
    <w:rsid w:val="79455569"/>
    <w:rsid w:val="79470AE2"/>
    <w:rsid w:val="794E3859"/>
    <w:rsid w:val="795123A8"/>
    <w:rsid w:val="79535AC3"/>
    <w:rsid w:val="79620961"/>
    <w:rsid w:val="79847713"/>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24133B"/>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12734"/>
    <w:rsid w:val="7C8464A1"/>
    <w:rsid w:val="7C9D2D7B"/>
    <w:rsid w:val="7CA26867"/>
    <w:rsid w:val="7CAA3CB0"/>
    <w:rsid w:val="7CB43A8E"/>
    <w:rsid w:val="7CC106AB"/>
    <w:rsid w:val="7CDF4250"/>
    <w:rsid w:val="7CEA58C8"/>
    <w:rsid w:val="7D042727"/>
    <w:rsid w:val="7D09113D"/>
    <w:rsid w:val="7D157A0E"/>
    <w:rsid w:val="7D1658AD"/>
    <w:rsid w:val="7D1D4159"/>
    <w:rsid w:val="7D243099"/>
    <w:rsid w:val="7D436188"/>
    <w:rsid w:val="7D4B3993"/>
    <w:rsid w:val="7D5F5E30"/>
    <w:rsid w:val="7D6C208F"/>
    <w:rsid w:val="7D897D56"/>
    <w:rsid w:val="7D9B14E5"/>
    <w:rsid w:val="7DAA42B2"/>
    <w:rsid w:val="7DAA569A"/>
    <w:rsid w:val="7DAC43B3"/>
    <w:rsid w:val="7DB1501E"/>
    <w:rsid w:val="7DB676D9"/>
    <w:rsid w:val="7DBE16CF"/>
    <w:rsid w:val="7DC37DE3"/>
    <w:rsid w:val="7DD45912"/>
    <w:rsid w:val="7E0D4E8F"/>
    <w:rsid w:val="7E107D04"/>
    <w:rsid w:val="7E202441"/>
    <w:rsid w:val="7E34366E"/>
    <w:rsid w:val="7E4B691E"/>
    <w:rsid w:val="7E616C7B"/>
    <w:rsid w:val="7E733A70"/>
    <w:rsid w:val="7E7377B9"/>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D72B75"/>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qFormat/>
    <w:uiPriority w:val="0"/>
    <w:pPr>
      <w:widowControl w:val="0"/>
      <w:ind w:firstLine="588" w:firstLineChars="200"/>
      <w:jc w:val="both"/>
    </w:pPr>
    <w:rPr>
      <w:rFonts w:ascii="仿宋_GB2312" w:hAnsi="Times New Roman" w:eastAsia="仿宋_GB2312" w:cstheme="minorBidi"/>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3164</Words>
  <Characters>3612</Characters>
  <Lines>0</Lines>
  <Paragraphs>0</Paragraphs>
  <TotalTime>0</TotalTime>
  <ScaleCrop>false</ScaleCrop>
  <LinksUpToDate>false</LinksUpToDate>
  <CharactersWithSpaces>3715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Gat</cp:lastModifiedBy>
  <cp:lastPrinted>2023-05-26T08:11:00Z</cp:lastPrinted>
  <dcterms:modified xsi:type="dcterms:W3CDTF">2024-05-31T08:49:03Z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