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2"/>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vAlign w:val="top"/>
          </w:tcPr>
          <w:p>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岳阳楼区科技和工业信息化局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32</w:t>
            </w:r>
          </w:p>
        </w:tc>
        <w:tc>
          <w:tcPr>
            <w:tcW w:w="2325"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32</w:t>
            </w:r>
          </w:p>
        </w:tc>
        <w:tc>
          <w:tcPr>
            <w:tcW w:w="1679"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2.5</w:t>
            </w:r>
          </w:p>
        </w:tc>
        <w:tc>
          <w:tcPr>
            <w:tcW w:w="2325"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w:t>
            </w:r>
          </w:p>
        </w:tc>
        <w:tc>
          <w:tcPr>
            <w:tcW w:w="1679" w:type="dxa"/>
            <w:gridSpan w:val="2"/>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173.73</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138.4</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245.29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91.86</w:t>
            </w:r>
          </w:p>
        </w:tc>
        <w:tc>
          <w:tcPr>
            <w:tcW w:w="2325"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25.95</w:t>
            </w:r>
          </w:p>
        </w:tc>
        <w:tc>
          <w:tcPr>
            <w:tcW w:w="1679" w:type="dxa"/>
            <w:gridSpan w:val="2"/>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168.80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填表人： </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姚丽</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13575000211</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2"/>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390"/>
        <w:gridCol w:w="1199"/>
        <w:gridCol w:w="1417"/>
        <w:gridCol w:w="622"/>
        <w:gridCol w:w="816"/>
        <w:gridCol w:w="119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vAlign w:val="center"/>
          </w:tcPr>
          <w:p>
            <w:pPr>
              <w:jc w:val="both"/>
              <w:rPr>
                <w:rFonts w:hint="eastAsia" w:ascii="Arial" w:eastAsiaTheme="min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岳阳楼区科技和工业信息化局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390"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622"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16"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9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844.65</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1059.87</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1059.87</w:t>
            </w:r>
          </w:p>
        </w:tc>
        <w:tc>
          <w:tcPr>
            <w:tcW w:w="622" w:type="dxa"/>
            <w:vAlign w:val="center"/>
          </w:tcPr>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rPr>
                <w:rFonts w:hint="default" w:ascii="宋体" w:hAnsi="宋体" w:eastAsia="宋体" w:cs="宋体"/>
                <w:color w:val="000000" w:themeColor="text1"/>
                <w:spacing w:val="0"/>
                <w:sz w:val="20"/>
                <w:szCs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816"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7"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4"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7" w:type="dxa"/>
            <w:gridSpan w:val="4"/>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1059.87</w:t>
            </w:r>
            <w:bookmarkStart w:id="1" w:name="_GoBack"/>
            <w:bookmarkEnd w:id="1"/>
          </w:p>
        </w:tc>
        <w:tc>
          <w:tcPr>
            <w:tcW w:w="4054" w:type="dxa"/>
            <w:gridSpan w:val="4"/>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1059.87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4"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7" w:type="dxa"/>
            <w:gridSpan w:val="4"/>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4"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7" w:type="dxa"/>
            <w:gridSpan w:val="4"/>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4" w:type="dxa"/>
            <w:gridSpan w:val="4"/>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7" w:type="dxa"/>
            <w:gridSpan w:val="4"/>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p>
        </w:tc>
        <w:tc>
          <w:tcPr>
            <w:tcW w:w="4054"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7" w:type="dxa"/>
            <w:gridSpan w:val="4"/>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4" w:type="dxa"/>
            <w:gridSpan w:val="4"/>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7" w:type="dxa"/>
            <w:gridSpan w:val="4"/>
            <w:vAlign w:val="center"/>
          </w:tcPr>
          <w:p>
            <w:pPr>
              <w:keepNext w:val="0"/>
              <w:keepLines w:val="0"/>
              <w:pageBreakBefore w:val="0"/>
              <w:widowControl w:val="0"/>
              <w:numPr>
                <w:ilvl w:val="0"/>
                <w:numId w:val="1"/>
              </w:numPr>
              <w:kinsoku/>
              <w:wordWrap/>
              <w:overflowPunct/>
              <w:topLinePunct w:val="0"/>
              <w:autoSpaceDE/>
              <w:autoSpaceDN/>
              <w:bidi w:val="0"/>
              <w:adjustRightInd/>
              <w:snapToGrid/>
              <w:spacing w:line="192"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组织实施科技重大专项工作。</w:t>
            </w:r>
          </w:p>
          <w:p>
            <w:pPr>
              <w:keepNext w:val="0"/>
              <w:keepLines w:val="0"/>
              <w:pageBreakBefore w:val="0"/>
              <w:widowControl w:val="0"/>
              <w:numPr>
                <w:ilvl w:val="0"/>
                <w:numId w:val="1"/>
              </w:numPr>
              <w:kinsoku/>
              <w:wordWrap/>
              <w:overflowPunct/>
              <w:topLinePunct w:val="0"/>
              <w:autoSpaceDE/>
              <w:autoSpaceDN/>
              <w:bidi w:val="0"/>
              <w:adjustRightInd/>
              <w:snapToGrid/>
              <w:spacing w:line="192" w:lineRule="auto"/>
              <w:ind w:left="0" w:leftChars="0" w:firstLine="0" w:firstLineChars="0"/>
              <w:jc w:val="left"/>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组织实施高新技术产业化重大项目</w:t>
            </w:r>
            <w:r>
              <w:rPr>
                <w:rFonts w:hint="eastAsia" w:ascii="宋体" w:hAnsi="宋体" w:eastAsia="宋体" w:cs="宋体"/>
                <w:color w:val="000000" w:themeColor="text1"/>
                <w:spacing w:val="0"/>
                <w:sz w:val="21"/>
                <w:szCs w:val="21"/>
                <w:lang w:eastAsia="zh-CN"/>
                <w14:textFill>
                  <w14:solidFill>
                    <w14:schemeClr w14:val="tx1"/>
                  </w14:solidFill>
                </w14:textFill>
              </w:rPr>
              <w:t>。</w:t>
            </w:r>
          </w:p>
          <w:p>
            <w:pPr>
              <w:keepNext w:val="0"/>
              <w:keepLines w:val="0"/>
              <w:pageBreakBefore w:val="0"/>
              <w:widowControl w:val="0"/>
              <w:numPr>
                <w:ilvl w:val="0"/>
                <w:numId w:val="1"/>
              </w:numPr>
              <w:kinsoku/>
              <w:wordWrap/>
              <w:overflowPunct/>
              <w:topLinePunct w:val="0"/>
              <w:autoSpaceDE/>
              <w:autoSpaceDN/>
              <w:bidi w:val="0"/>
              <w:adjustRightInd/>
              <w:snapToGrid/>
              <w:spacing w:line="192" w:lineRule="auto"/>
              <w:ind w:left="0" w:leftChars="0" w:firstLine="0" w:firstLineChars="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指导行业技术创新和技术进步。</w:t>
            </w:r>
          </w:p>
          <w:p>
            <w:pPr>
              <w:keepNext w:val="0"/>
              <w:keepLines w:val="0"/>
              <w:pageBreakBefore w:val="0"/>
              <w:widowControl w:val="0"/>
              <w:numPr>
                <w:ilvl w:val="0"/>
                <w:numId w:val="1"/>
              </w:numPr>
              <w:kinsoku/>
              <w:wordWrap/>
              <w:overflowPunct/>
              <w:topLinePunct w:val="0"/>
              <w:autoSpaceDE/>
              <w:autoSpaceDN/>
              <w:bidi w:val="0"/>
              <w:adjustRightInd/>
              <w:snapToGrid/>
              <w:spacing w:line="192" w:lineRule="auto"/>
              <w:ind w:left="0" w:leftChars="0" w:firstLine="0" w:firstLineChars="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对全区工业经济的日常运行调节。</w:t>
            </w:r>
          </w:p>
          <w:p>
            <w:pPr>
              <w:keepNext w:val="0"/>
              <w:keepLines w:val="0"/>
              <w:pageBreakBefore w:val="0"/>
              <w:widowControl w:val="0"/>
              <w:numPr>
                <w:ilvl w:val="0"/>
                <w:numId w:val="1"/>
              </w:numPr>
              <w:kinsoku/>
              <w:wordWrap/>
              <w:overflowPunct/>
              <w:topLinePunct w:val="0"/>
              <w:autoSpaceDE/>
              <w:autoSpaceDN/>
              <w:bidi w:val="0"/>
              <w:adjustRightInd/>
              <w:snapToGrid/>
              <w:spacing w:line="192" w:lineRule="auto"/>
              <w:ind w:left="0" w:leftChars="0" w:firstLine="0" w:firstLineChars="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拟订新型工业化的发展战略、规划和相关政策措施并组织实施，协调解决有关重大问题；负责组织、协调培育发展战略性新兴产业工作；综合管理工业经济，指导、协调和服务工业企业；推进信息化和工业化融合；推进国民经济和社会信息化；负责工业领域招商引资工作，抓好重大工业项目的督查与协调。</w:t>
            </w:r>
          </w:p>
          <w:p>
            <w:pPr>
              <w:keepNext w:val="0"/>
              <w:keepLines w:val="0"/>
              <w:pageBreakBefore w:val="0"/>
              <w:widowControl w:val="0"/>
              <w:numPr>
                <w:ilvl w:val="0"/>
                <w:numId w:val="1"/>
              </w:numPr>
              <w:kinsoku/>
              <w:wordWrap/>
              <w:overflowPunct/>
              <w:topLinePunct w:val="0"/>
              <w:autoSpaceDE/>
              <w:autoSpaceDN/>
              <w:bidi w:val="0"/>
              <w:adjustRightInd/>
              <w:snapToGrid/>
              <w:spacing w:line="192" w:lineRule="auto"/>
              <w:ind w:left="0" w:leftChars="0" w:firstLine="0" w:firstLineChars="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 xml:space="preserve">对信息化发展规划、标准实施情况的监督；对信息服务市场的监督；贯彻落实国家和省产业政策，研究和规划工业产业投资布局；依法组织实施相关行业的准入管理；会同有关部门处理工业与信息化领域的产业安全和应急管理工作。 </w:t>
            </w:r>
          </w:p>
          <w:p>
            <w:pPr>
              <w:keepNext w:val="0"/>
              <w:keepLines w:val="0"/>
              <w:pageBreakBefore w:val="0"/>
              <w:widowControl w:val="0"/>
              <w:numPr>
                <w:ilvl w:val="0"/>
                <w:numId w:val="1"/>
              </w:numPr>
              <w:kinsoku/>
              <w:wordWrap/>
              <w:overflowPunct/>
              <w:topLinePunct w:val="0"/>
              <w:autoSpaceDE/>
              <w:autoSpaceDN/>
              <w:bidi w:val="0"/>
              <w:adjustRightInd/>
              <w:snapToGrid/>
              <w:spacing w:line="192" w:lineRule="auto"/>
              <w:ind w:left="0" w:leftChars="0" w:firstLine="0" w:firstLineChars="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制定促进非公有制经济和中小企业发展的行政规范，协调解决重大问题；制定中小企业发展战略、中长期发展规划并组织实施；指导中小企业加强管理；推进中小企业服务体系建设，做好中小企业融资和融资担保服务与协调工作；指导中小企业法律顾问工作；推进全民创业。</w:t>
            </w:r>
          </w:p>
          <w:p>
            <w:pPr>
              <w:keepNext w:val="0"/>
              <w:keepLines w:val="0"/>
              <w:pageBreakBefore w:val="0"/>
              <w:widowControl w:val="0"/>
              <w:numPr>
                <w:ilvl w:val="0"/>
                <w:numId w:val="1"/>
              </w:numPr>
              <w:kinsoku/>
              <w:wordWrap/>
              <w:overflowPunct/>
              <w:topLinePunct w:val="0"/>
              <w:autoSpaceDE/>
              <w:autoSpaceDN/>
              <w:bidi w:val="0"/>
              <w:adjustRightInd/>
              <w:snapToGrid/>
              <w:spacing w:line="192" w:lineRule="auto"/>
              <w:ind w:left="0" w:leftChars="0" w:firstLine="0" w:firstLineChars="0"/>
              <w:jc w:val="left"/>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负责工业节能工作。</w:t>
            </w:r>
          </w:p>
          <w:p>
            <w:pPr>
              <w:keepNext w:val="0"/>
              <w:keepLines w:val="0"/>
              <w:pageBreakBefore w:val="0"/>
              <w:widowControl w:val="0"/>
              <w:numPr>
                <w:ilvl w:val="0"/>
                <w:numId w:val="1"/>
              </w:numPr>
              <w:kinsoku/>
              <w:wordWrap/>
              <w:overflowPunct/>
              <w:topLinePunct w:val="0"/>
              <w:autoSpaceDE/>
              <w:autoSpaceDN/>
              <w:bidi w:val="0"/>
              <w:adjustRightInd/>
              <w:snapToGrid/>
              <w:spacing w:line="192" w:lineRule="auto"/>
              <w:ind w:left="0" w:leftChars="0" w:firstLine="0" w:firstLineChars="0"/>
              <w:jc w:val="left"/>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负责工业和信息化领域的国防动员有关工作。10、负责本单位、本系统的信访维稳和安全生产工作；完成区委、区人民政府交办的其他任务。</w:t>
            </w:r>
          </w:p>
        </w:tc>
        <w:tc>
          <w:tcPr>
            <w:tcW w:w="4054" w:type="dxa"/>
            <w:gridSpan w:val="4"/>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1、5进村11次农业科技的宣传和培训；发放130余本宣传资料，我区科技研发费用提升到了2.7亿元，年底全社会科技研发费用提升到了4.0亿元。                                       2、争资争项各类项目资金共计1743.29万元；                3、规模工业企业由原来的10家增加至13家；                 4、督导开展中顺化工、三湘化工的搬迁工作，12月10日顺利关停；                                                    5、优化中小企业发展环境，并顺利通过了省工信厅的验收；   6、开展科技研发投入工作，科技研发投入培训班，年底全社会科技研发费用提升到了4.0亿元。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8" w:hRule="atLeast"/>
        </w:trPr>
        <w:tc>
          <w:tcPr>
            <w:tcW w:w="1084" w:type="dxa"/>
            <w:vMerge w:val="restart"/>
            <w:tcBorders>
              <w:bottom w:val="nil"/>
            </w:tcBorders>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90"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622"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16" w:type="dxa"/>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2"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390"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发展高新技术企业</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10家</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13家</w:t>
            </w:r>
          </w:p>
        </w:tc>
        <w:tc>
          <w:tcPr>
            <w:tcW w:w="622"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4分</w:t>
            </w:r>
          </w:p>
        </w:tc>
        <w:tc>
          <w:tcPr>
            <w:tcW w:w="816"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宋体" w:hAnsi="宋体" w:eastAsia="宋体" w:cs="宋体"/>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90"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发展规模企业</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3家</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2家</w:t>
            </w:r>
          </w:p>
        </w:tc>
        <w:tc>
          <w:tcPr>
            <w:tcW w:w="622"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4分</w:t>
            </w:r>
          </w:p>
        </w:tc>
        <w:tc>
          <w:tcPr>
            <w:tcW w:w="816"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3分</w:t>
            </w:r>
          </w:p>
        </w:tc>
        <w:tc>
          <w:tcPr>
            <w:tcW w:w="119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bookmarkStart w:id="0" w:name="OLE_LINK1" w:colFirst="3" w:colLast="5"/>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90"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开展农业科技的宣传和培训</w:t>
            </w:r>
          </w:p>
        </w:tc>
        <w:tc>
          <w:tcPr>
            <w:tcW w:w="1199"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11次</w:t>
            </w:r>
          </w:p>
        </w:tc>
        <w:tc>
          <w:tcPr>
            <w:tcW w:w="1417"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11次</w:t>
            </w:r>
          </w:p>
        </w:tc>
        <w:tc>
          <w:tcPr>
            <w:tcW w:w="622"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3分</w:t>
            </w:r>
          </w:p>
        </w:tc>
        <w:tc>
          <w:tcPr>
            <w:tcW w:w="816"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3分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宋体" w:hAnsi="宋体" w:eastAsia="宋体" w:cs="宋体"/>
                <w:color w:val="000000" w:themeColor="text1"/>
                <w:sz w:val="20"/>
                <w14:textFill>
                  <w14:solidFill>
                    <w14:schemeClr w14:val="tx1"/>
                  </w14:solidFill>
                </w14:textFill>
              </w:rPr>
            </w:pPr>
          </w:p>
        </w:tc>
      </w:tr>
      <w:bookmarkEnd w:id="0"/>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390"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发展高新技术企业完成率</w:t>
            </w:r>
          </w:p>
        </w:tc>
        <w:tc>
          <w:tcPr>
            <w:tcW w:w="1199"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100%</w:t>
            </w:r>
          </w:p>
        </w:tc>
        <w:tc>
          <w:tcPr>
            <w:tcW w:w="1417"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130%</w:t>
            </w:r>
          </w:p>
        </w:tc>
        <w:tc>
          <w:tcPr>
            <w:tcW w:w="622"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5分</w:t>
            </w:r>
          </w:p>
        </w:tc>
        <w:tc>
          <w:tcPr>
            <w:tcW w:w="816"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5分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宋体" w:hAnsi="宋体" w:eastAsia="宋体" w:cs="宋体"/>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90"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发展规模企业完成率</w:t>
            </w:r>
          </w:p>
        </w:tc>
        <w:tc>
          <w:tcPr>
            <w:tcW w:w="1199"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100%</w:t>
            </w:r>
          </w:p>
        </w:tc>
        <w:tc>
          <w:tcPr>
            <w:tcW w:w="1417" w:type="dxa"/>
            <w:shd w:val="clear" w:color="auto" w:fill="FFFFFF"/>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67%</w:t>
            </w:r>
          </w:p>
        </w:tc>
        <w:tc>
          <w:tcPr>
            <w:tcW w:w="622"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4分</w:t>
            </w:r>
          </w:p>
        </w:tc>
        <w:tc>
          <w:tcPr>
            <w:tcW w:w="816"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2分</w:t>
            </w:r>
          </w:p>
        </w:tc>
        <w:tc>
          <w:tcPr>
            <w:tcW w:w="119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4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90"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开展农业科技的宣传和培训完成率</w:t>
            </w:r>
          </w:p>
        </w:tc>
        <w:tc>
          <w:tcPr>
            <w:tcW w:w="1199"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100%</w:t>
            </w:r>
          </w:p>
        </w:tc>
        <w:tc>
          <w:tcPr>
            <w:tcW w:w="1417"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100%</w:t>
            </w:r>
          </w:p>
        </w:tc>
        <w:tc>
          <w:tcPr>
            <w:tcW w:w="622"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10分</w:t>
            </w:r>
          </w:p>
        </w:tc>
        <w:tc>
          <w:tcPr>
            <w:tcW w:w="816"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宋体" w:hAnsi="宋体" w:eastAsia="宋体" w:cs="宋体"/>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390"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绩效项目实施时限</w:t>
            </w:r>
          </w:p>
        </w:tc>
        <w:tc>
          <w:tcPr>
            <w:tcW w:w="1199"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2022年全年</w:t>
            </w:r>
          </w:p>
        </w:tc>
        <w:tc>
          <w:tcPr>
            <w:tcW w:w="1417" w:type="dxa"/>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完成</w:t>
            </w:r>
          </w:p>
        </w:tc>
        <w:tc>
          <w:tcPr>
            <w:tcW w:w="622"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10分</w:t>
            </w:r>
          </w:p>
        </w:tc>
        <w:tc>
          <w:tcPr>
            <w:tcW w:w="816" w:type="dxa"/>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390"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按年初预算控制成本</w:t>
            </w:r>
          </w:p>
        </w:tc>
        <w:tc>
          <w:tcPr>
            <w:tcW w:w="1199"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不超过预算金额</w:t>
            </w:r>
          </w:p>
        </w:tc>
        <w:tc>
          <w:tcPr>
            <w:tcW w:w="1417"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844.65万元</w:t>
            </w:r>
          </w:p>
        </w:tc>
        <w:tc>
          <w:tcPr>
            <w:tcW w:w="622"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10分</w:t>
            </w:r>
          </w:p>
        </w:tc>
        <w:tc>
          <w:tcPr>
            <w:tcW w:w="816" w:type="dxa"/>
            <w:shd w:val="clear" w:color="auto" w:fill="FFFFFF"/>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9分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390"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完成工业生产总值27亿元</w:t>
            </w:r>
          </w:p>
        </w:tc>
        <w:tc>
          <w:tcPr>
            <w:tcW w:w="1199"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27亿元</w:t>
            </w:r>
          </w:p>
        </w:tc>
        <w:tc>
          <w:tcPr>
            <w:tcW w:w="1417"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27.2亿元</w:t>
            </w:r>
          </w:p>
        </w:tc>
        <w:tc>
          <w:tcPr>
            <w:tcW w:w="622"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4分</w:t>
            </w:r>
          </w:p>
        </w:tc>
        <w:tc>
          <w:tcPr>
            <w:tcW w:w="816" w:type="dxa"/>
            <w:shd w:val="clear" w:color="auto" w:fill="FFFFFF"/>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4分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8"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90"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发展高新技术企业</w:t>
            </w:r>
          </w:p>
        </w:tc>
        <w:tc>
          <w:tcPr>
            <w:tcW w:w="1199"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10家</w:t>
            </w:r>
          </w:p>
        </w:tc>
        <w:tc>
          <w:tcPr>
            <w:tcW w:w="1417"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13家</w:t>
            </w:r>
          </w:p>
        </w:tc>
        <w:tc>
          <w:tcPr>
            <w:tcW w:w="622"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3分</w:t>
            </w:r>
          </w:p>
        </w:tc>
        <w:tc>
          <w:tcPr>
            <w:tcW w:w="816" w:type="dxa"/>
            <w:shd w:val="clear" w:color="auto" w:fill="FFFFFF"/>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3分</w:t>
            </w:r>
          </w:p>
        </w:tc>
        <w:tc>
          <w:tcPr>
            <w:tcW w:w="119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9"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90"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争资争项</w:t>
            </w:r>
          </w:p>
        </w:tc>
        <w:tc>
          <w:tcPr>
            <w:tcW w:w="1199"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996.16万元</w:t>
            </w:r>
          </w:p>
        </w:tc>
        <w:tc>
          <w:tcPr>
            <w:tcW w:w="1417"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全年共争取各类目资金共计1743.29万元，超75%目标任务数。</w:t>
            </w:r>
          </w:p>
        </w:tc>
        <w:tc>
          <w:tcPr>
            <w:tcW w:w="622"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4分</w:t>
            </w:r>
          </w:p>
        </w:tc>
        <w:tc>
          <w:tcPr>
            <w:tcW w:w="816" w:type="dxa"/>
            <w:shd w:val="clear" w:color="auto" w:fill="FFFFFF"/>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4分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8"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390"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培育规上企业</w:t>
            </w:r>
          </w:p>
        </w:tc>
        <w:tc>
          <w:tcPr>
            <w:tcW w:w="1199" w:type="dxa"/>
            <w:shd w:val="clear" w:color="auto" w:fill="FFFFFF"/>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3家</w:t>
            </w:r>
          </w:p>
        </w:tc>
        <w:tc>
          <w:tcPr>
            <w:tcW w:w="1417" w:type="dxa"/>
            <w:shd w:val="clear" w:color="auto" w:fill="FFFFFF"/>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3家</w:t>
            </w:r>
          </w:p>
        </w:tc>
        <w:tc>
          <w:tcPr>
            <w:tcW w:w="622"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4分</w:t>
            </w:r>
          </w:p>
        </w:tc>
        <w:tc>
          <w:tcPr>
            <w:tcW w:w="816" w:type="dxa"/>
            <w:shd w:val="clear" w:color="auto" w:fill="FFFFFF"/>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4分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44"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90"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做好企业纾困帮扶</w:t>
            </w:r>
          </w:p>
        </w:tc>
        <w:tc>
          <w:tcPr>
            <w:tcW w:w="1199"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发放1200余本惠企政策、收集到的208个问题实现全部销号、8场企业家沙龙会</w:t>
            </w:r>
          </w:p>
        </w:tc>
        <w:tc>
          <w:tcPr>
            <w:tcW w:w="1417"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帮扶企业15家</w:t>
            </w:r>
          </w:p>
        </w:tc>
        <w:tc>
          <w:tcPr>
            <w:tcW w:w="622"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4分</w:t>
            </w:r>
          </w:p>
        </w:tc>
        <w:tc>
          <w:tcPr>
            <w:tcW w:w="816" w:type="dxa"/>
            <w:shd w:val="clear" w:color="auto" w:fill="FFFFFF"/>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4分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90"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指导行业技术创新和技术进步</w:t>
            </w:r>
          </w:p>
        </w:tc>
        <w:tc>
          <w:tcPr>
            <w:tcW w:w="1199"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显著提升</w:t>
            </w:r>
          </w:p>
        </w:tc>
        <w:tc>
          <w:tcPr>
            <w:tcW w:w="1417"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显著提升</w:t>
            </w:r>
          </w:p>
        </w:tc>
        <w:tc>
          <w:tcPr>
            <w:tcW w:w="622"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3分</w:t>
            </w:r>
          </w:p>
        </w:tc>
        <w:tc>
          <w:tcPr>
            <w:tcW w:w="816" w:type="dxa"/>
            <w:shd w:val="clear" w:color="auto" w:fill="FFFFFF"/>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3分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390"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推进“散乱污”企业整治</w:t>
            </w:r>
          </w:p>
        </w:tc>
        <w:tc>
          <w:tcPr>
            <w:tcW w:w="1199"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联合街道（乡）和部门开展新一轮“散乱污”企业排查50余家企业，施行整治企业9家</w:t>
            </w:r>
          </w:p>
        </w:tc>
        <w:tc>
          <w:tcPr>
            <w:tcW w:w="1417"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散乱污整治企业9家，实现4家化工企业异地迁建</w:t>
            </w:r>
          </w:p>
        </w:tc>
        <w:tc>
          <w:tcPr>
            <w:tcW w:w="622" w:type="dxa"/>
            <w:shd w:val="clear" w:color="auto" w:fill="FFFFFF"/>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3分</w:t>
            </w:r>
          </w:p>
        </w:tc>
        <w:tc>
          <w:tcPr>
            <w:tcW w:w="816" w:type="dxa"/>
            <w:shd w:val="clear" w:color="auto" w:fill="FFFFFF"/>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3分</w:t>
            </w:r>
          </w:p>
        </w:tc>
        <w:tc>
          <w:tcPr>
            <w:tcW w:w="119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90"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有序推进沿江化工企业搬迁</w:t>
            </w:r>
          </w:p>
        </w:tc>
        <w:tc>
          <w:tcPr>
            <w:tcW w:w="1199"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抓沿江化工企业搬迁，年底完成2家企业搬迁</w:t>
            </w:r>
          </w:p>
        </w:tc>
        <w:tc>
          <w:tcPr>
            <w:tcW w:w="1417"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12月10日圆满完成了三湘化工、中顺化工2家企业搬迁关停任务。</w:t>
            </w:r>
          </w:p>
        </w:tc>
        <w:tc>
          <w:tcPr>
            <w:tcW w:w="622"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5分</w:t>
            </w:r>
          </w:p>
        </w:tc>
        <w:tc>
          <w:tcPr>
            <w:tcW w:w="816" w:type="dxa"/>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5分</w:t>
            </w:r>
          </w:p>
        </w:tc>
        <w:tc>
          <w:tcPr>
            <w:tcW w:w="119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390"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服务中小企业发展</w:t>
            </w:r>
          </w:p>
        </w:tc>
        <w:tc>
          <w:tcPr>
            <w:tcW w:w="1199" w:type="dxa"/>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100%</w:t>
            </w:r>
          </w:p>
        </w:tc>
        <w:tc>
          <w:tcPr>
            <w:tcW w:w="1417"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100%</w:t>
            </w:r>
          </w:p>
        </w:tc>
        <w:tc>
          <w:tcPr>
            <w:tcW w:w="622" w:type="dxa"/>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10分</w:t>
            </w:r>
          </w:p>
        </w:tc>
        <w:tc>
          <w:tcPr>
            <w:tcW w:w="816" w:type="dxa"/>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10分</w:t>
            </w:r>
          </w:p>
        </w:tc>
        <w:tc>
          <w:tcPr>
            <w:tcW w:w="119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198" w:type="dxa"/>
            <w:gridSpan w:val="6"/>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622"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816" w:type="dxa"/>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96</w:t>
            </w:r>
          </w:p>
        </w:tc>
        <w:tc>
          <w:tcPr>
            <w:tcW w:w="1199" w:type="dxa"/>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22"/>
          <w:sz w:val="22"/>
          <w:szCs w:val="22"/>
          <w:lang w:val="en-US" w:eastAsia="zh-CN"/>
          <w14:textFill>
            <w14:solidFill>
              <w14:schemeClr w14:val="tx1"/>
            </w14:solidFill>
          </w14:textFill>
        </w:rPr>
        <w:t>姚丽</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2"/>
          <w:sz w:val="22"/>
          <w:szCs w:val="22"/>
          <w:lang w:val="en-US" w:eastAsia="zh-CN"/>
          <w14:textFill>
            <w14:solidFill>
              <w14:schemeClr w14:val="tx1"/>
            </w14:solidFill>
          </w14:textFill>
        </w:rPr>
        <w:t>13575000211</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r>
        <w:rPr>
          <w:rFonts w:hint="eastAsia" w:ascii="仿宋" w:hAnsi="仿宋" w:eastAsia="仿宋" w:cs="仿宋"/>
          <w:color w:val="000000" w:themeColor="text1"/>
          <w:spacing w:val="3"/>
          <w:sz w:val="22"/>
          <w:szCs w:val="22"/>
          <w:lang w:val="en-US" w:eastAsia="zh-CN"/>
          <w14:textFill>
            <w14:solidFill>
              <w14:schemeClr w14:val="tx1"/>
            </w14:solidFill>
          </w14:textFill>
        </w:rPr>
        <w:t>2023.06</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岳阳楼区科技和工业信息化局</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年  月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2022年度岳阳楼区岳阳楼区科技和工业信息化局整体支出绩效自评报告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2"/>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pStyle w:val="13"/>
        <w:numPr>
          <w:ilvl w:val="0"/>
          <w:numId w:val="3"/>
        </w:numPr>
        <w:spacing w:before="0" w:beforeAutospacing="0" w:after="2" w:afterAutospacing="0"/>
        <w:ind w:firstLine="640" w:firstLineChars="200"/>
        <w:rPr>
          <w:rFonts w:hint="eastAsia" w:ascii="宋体" w:hAnsi="宋体" w:eastAsia="宋体" w:cs="宋体"/>
          <w:color w:val="000000"/>
          <w:sz w:val="32"/>
          <w:szCs w:val="32"/>
          <w:lang w:val="en-US" w:eastAsia="zh-CN"/>
        </w:rPr>
      </w:pPr>
      <w:r>
        <w:rPr>
          <w:rFonts w:hint="eastAsia" w:ascii="宋体" w:hAnsi="宋体" w:eastAsia="宋体" w:cs="宋体"/>
          <w:color w:val="000000"/>
          <w:sz w:val="32"/>
          <w:szCs w:val="32"/>
          <w:lang w:val="en-US" w:eastAsia="zh-CN"/>
        </w:rPr>
        <w:t>机构设置</w:t>
      </w:r>
    </w:p>
    <w:p>
      <w:pPr>
        <w:pStyle w:val="13"/>
        <w:numPr>
          <w:ilvl w:val="0"/>
          <w:numId w:val="0"/>
        </w:numPr>
        <w:spacing w:before="0" w:beforeAutospacing="0" w:after="2" w:afterAutospacing="0"/>
        <w:ind w:right="0" w:rightChars="0" w:firstLine="960" w:firstLineChars="300"/>
        <w:rPr>
          <w:sz w:val="27"/>
          <w:szCs w:val="27"/>
        </w:rPr>
      </w:pPr>
      <w:r>
        <w:rPr>
          <w:rFonts w:ascii="宋体" w:hAnsi="宋体" w:eastAsia="宋体" w:cs="宋体"/>
          <w:color w:val="000000"/>
          <w:sz w:val="32"/>
          <w:szCs w:val="32"/>
        </w:rPr>
        <w:t>本单位共有编制人数</w:t>
      </w:r>
      <w:r>
        <w:rPr>
          <w:rFonts w:hint="eastAsia" w:ascii="宋体" w:hAnsi="宋体" w:eastAsia="宋体" w:cs="宋体"/>
          <w:color w:val="000000"/>
          <w:sz w:val="32"/>
          <w:szCs w:val="32"/>
          <w:lang w:val="en-US" w:eastAsia="zh-CN"/>
        </w:rPr>
        <w:t>32</w:t>
      </w:r>
      <w:r>
        <w:rPr>
          <w:rFonts w:ascii="宋体" w:hAnsi="宋体" w:eastAsia="宋体" w:cs="宋体"/>
          <w:color w:val="000000"/>
          <w:sz w:val="32"/>
          <w:szCs w:val="32"/>
        </w:rPr>
        <w:t>人，</w:t>
      </w:r>
      <w:r>
        <w:rPr>
          <w:rFonts w:hint="eastAsia" w:ascii="宋体" w:hAnsi="宋体" w:eastAsia="宋体" w:cs="宋体"/>
          <w:color w:val="000000"/>
          <w:sz w:val="32"/>
          <w:szCs w:val="32"/>
          <w:lang w:val="en-US" w:eastAsia="zh-CN"/>
        </w:rPr>
        <w:t>在职32人，退休74人。</w:t>
      </w:r>
      <w:r>
        <w:rPr>
          <w:rFonts w:ascii="宋体" w:hAnsi="宋体" w:eastAsia="宋体" w:cs="宋体"/>
          <w:color w:val="000000"/>
          <w:sz w:val="32"/>
          <w:szCs w:val="32"/>
        </w:rPr>
        <w:t>目前我局共设10个内设股室：办公室、政工人事股、科技发展股、高新计划股、经济运行股、中小企业服务股、综合法规股、信访安全股、财务审计股、工会。</w:t>
      </w:r>
      <w:r>
        <w:rPr>
          <w:color w:val="000000"/>
          <w:sz w:val="27"/>
          <w:szCs w:val="27"/>
        </w:rPr>
        <w:t xml:space="preserve"> </w:t>
      </w:r>
    </w:p>
    <w:p>
      <w:pPr>
        <w:pStyle w:val="13"/>
        <w:spacing w:before="0" w:beforeAutospacing="0" w:after="2" w:afterAutospacing="0"/>
        <w:ind w:left="0" w:firstLine="641"/>
        <w:rPr>
          <w:sz w:val="27"/>
          <w:szCs w:val="27"/>
        </w:rPr>
      </w:pPr>
      <w:r>
        <w:rPr>
          <w:rFonts w:hint="eastAsia" w:ascii="宋体" w:hAnsi="宋体" w:eastAsia="宋体" w:cs="宋体"/>
          <w:color w:val="000000"/>
          <w:sz w:val="32"/>
          <w:szCs w:val="32"/>
        </w:rPr>
        <w:t>（二）决算单位构成</w:t>
      </w:r>
      <w:r>
        <w:rPr>
          <w:color w:val="000000"/>
          <w:sz w:val="27"/>
          <w:szCs w:val="27"/>
        </w:rPr>
        <w:t xml:space="preserve"> </w:t>
      </w:r>
    </w:p>
    <w:p>
      <w:pPr>
        <w:pStyle w:val="13"/>
        <w:spacing w:before="0" w:beforeAutospacing="0" w:after="2" w:afterAutospacing="0"/>
        <w:ind w:firstLine="640" w:firstLineChars="200"/>
        <w:rPr>
          <w:rFonts w:ascii="仿宋_GB2312" w:eastAsia="仿宋_GB2312" w:hAnsiTheme="minorEastAsia"/>
          <w:sz w:val="28"/>
          <w:szCs w:val="32"/>
        </w:rPr>
      </w:pPr>
      <w:r>
        <w:rPr>
          <w:rFonts w:ascii="宋体" w:hAnsi="宋体" w:eastAsia="宋体" w:cs="宋体"/>
          <w:color w:val="000000"/>
          <w:sz w:val="32"/>
          <w:szCs w:val="32"/>
        </w:rPr>
        <w:t>岳阳市岳阳楼区科技和工业信息化局202</w:t>
      </w:r>
      <w:r>
        <w:rPr>
          <w:rFonts w:hint="eastAsia" w:ascii="宋体" w:hAnsi="宋体" w:eastAsia="宋体" w:cs="宋体"/>
          <w:color w:val="000000"/>
          <w:sz w:val="32"/>
          <w:szCs w:val="32"/>
          <w:lang w:val="en-US" w:eastAsia="zh-CN"/>
        </w:rPr>
        <w:t>2</w:t>
      </w:r>
      <w:r>
        <w:rPr>
          <w:rFonts w:ascii="宋体" w:hAnsi="宋体" w:eastAsia="宋体" w:cs="宋体"/>
          <w:color w:val="000000"/>
          <w:sz w:val="32"/>
          <w:szCs w:val="32"/>
        </w:rPr>
        <w:t>年部门决算汇总公开单位构成包括：岳阳市岳阳楼区科技和工业信息化局本级</w:t>
      </w:r>
      <w:r>
        <w:rPr>
          <w:rFonts w:hint="eastAsia" w:ascii="宋体" w:hAnsi="宋体" w:eastAsia="宋体" w:cs="宋体"/>
          <w:color w:val="000000"/>
          <w:sz w:val="32"/>
          <w:szCs w:val="32"/>
          <w:lang w:eastAsia="zh-CN"/>
        </w:rPr>
        <w:t>，</w:t>
      </w:r>
      <w:r>
        <w:rPr>
          <w:rFonts w:hint="eastAsia" w:ascii="宋体" w:hAnsi="宋体" w:eastAsia="宋体" w:cs="宋体"/>
          <w:color w:val="000000"/>
          <w:sz w:val="32"/>
          <w:szCs w:val="32"/>
          <w:lang w:val="en-US" w:eastAsia="zh-CN"/>
        </w:rPr>
        <w:t>没有下属单位或机构。</w:t>
      </w:r>
      <w:r>
        <w:rPr>
          <w:color w:val="000000"/>
          <w:sz w:val="27"/>
          <w:szCs w:val="27"/>
        </w:rPr>
        <w:t xml:space="preserve"> </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pStyle w:val="14"/>
        <w:ind w:firstLine="640" w:firstLineChars="200"/>
        <w:jc w:val="both"/>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202</w:t>
      </w:r>
      <w:r>
        <w:rPr>
          <w:rFonts w:hint="eastAsia" w:asciiTheme="minorEastAsia" w:hAnsiTheme="minorEastAsia" w:eastAsiaTheme="minorEastAsia"/>
          <w:sz w:val="32"/>
          <w:szCs w:val="32"/>
          <w:lang w:val="en-US" w:eastAsia="zh-CN"/>
        </w:rPr>
        <w:t>2</w:t>
      </w:r>
      <w:r>
        <w:rPr>
          <w:rFonts w:hint="eastAsia" w:asciiTheme="minorEastAsia" w:hAnsiTheme="minorEastAsia" w:eastAsiaTheme="minorEastAsia"/>
          <w:sz w:val="32"/>
          <w:szCs w:val="32"/>
        </w:rPr>
        <w:t>年度</w:t>
      </w:r>
      <w:r>
        <w:rPr>
          <w:rFonts w:hint="eastAsia" w:ascii="宋体" w:hAnsi="宋体" w:eastAsia="宋体" w:cs="宋体"/>
          <w:b w:val="0"/>
          <w:bCs w:val="0"/>
          <w:color w:val="000000" w:themeColor="text1"/>
          <w:spacing w:val="0"/>
          <w:position w:val="0"/>
          <w:sz w:val="32"/>
          <w:szCs w:val="32"/>
          <w:lang w:val="en-US" w:eastAsia="zh-CN"/>
          <w14:textFill>
            <w14:solidFill>
              <w14:schemeClr w14:val="tx1"/>
            </w14:solidFill>
          </w14:textFill>
        </w:rPr>
        <w:t>一般公共预算支出</w:t>
      </w:r>
      <w:r>
        <w:rPr>
          <w:rFonts w:hint="eastAsia" w:ascii="宋体" w:hAnsi="宋体" w:eastAsia="宋体" w:cs="宋体"/>
          <w:color w:val="000000"/>
          <w:sz w:val="32"/>
          <w:szCs w:val="32"/>
          <w:lang w:val="en-US" w:eastAsia="zh-CN"/>
        </w:rPr>
        <w:t>1059.87</w:t>
      </w:r>
      <w:r>
        <w:rPr>
          <w:rFonts w:hint="eastAsia" w:asciiTheme="minorEastAsia" w:hAnsiTheme="minorEastAsia" w:eastAsiaTheme="minorEastAsia"/>
          <w:sz w:val="32"/>
          <w:szCs w:val="32"/>
        </w:rPr>
        <w:t>万元，其中：人员经费</w:t>
      </w:r>
      <w:r>
        <w:rPr>
          <w:rFonts w:hint="eastAsia" w:ascii="宋体" w:hAnsi="宋体" w:eastAsia="宋体" w:cs="宋体"/>
          <w:color w:val="000000"/>
          <w:sz w:val="32"/>
          <w:szCs w:val="32"/>
          <w:lang w:val="en-US" w:eastAsia="zh-CN"/>
        </w:rPr>
        <w:t>814.57</w:t>
      </w:r>
      <w:r>
        <w:rPr>
          <w:rFonts w:hint="eastAsia" w:asciiTheme="minorEastAsia" w:hAnsiTheme="minorEastAsia" w:eastAsiaTheme="minorEastAsia"/>
          <w:sz w:val="32"/>
          <w:szCs w:val="32"/>
        </w:rPr>
        <w:t>万元，占基本支出的</w:t>
      </w:r>
      <w:r>
        <w:rPr>
          <w:rFonts w:hint="eastAsia" w:ascii="宋体" w:hAnsi="宋体" w:eastAsia="宋体" w:cs="宋体"/>
          <w:color w:val="000000"/>
          <w:sz w:val="32"/>
          <w:szCs w:val="32"/>
        </w:rPr>
        <w:t>7</w:t>
      </w:r>
      <w:r>
        <w:rPr>
          <w:rFonts w:hint="eastAsia" w:ascii="宋体" w:hAnsi="宋体" w:eastAsia="宋体" w:cs="宋体"/>
          <w:color w:val="000000"/>
          <w:sz w:val="32"/>
          <w:szCs w:val="32"/>
          <w:lang w:val="en-US" w:eastAsia="zh-CN"/>
        </w:rPr>
        <w:t>6.86</w:t>
      </w:r>
      <w:r>
        <w:rPr>
          <w:rFonts w:hint="eastAsia" w:asciiTheme="minorEastAsia" w:hAnsiTheme="minorEastAsia" w:eastAsiaTheme="minorEastAsia"/>
          <w:sz w:val="32"/>
          <w:szCs w:val="32"/>
        </w:rPr>
        <w:t>%,主要包括基本工资、津贴补贴、</w:t>
      </w:r>
      <w:r>
        <w:rPr>
          <w:rFonts w:hint="eastAsia" w:asciiTheme="minorEastAsia" w:hAnsiTheme="minorEastAsia" w:eastAsiaTheme="minorEastAsia"/>
          <w:sz w:val="32"/>
          <w:szCs w:val="32"/>
          <w:lang w:val="zh-CN"/>
        </w:rPr>
        <w:t>奖金、绩效工资、机关事业单位基本养老保险缴费、职工基本医疗保险缴费、其他社会保障缴费、住房公积金、其他工资福利支出、生活补助、医疗费补助、其他对个人和家庭的补助</w:t>
      </w:r>
      <w:r>
        <w:rPr>
          <w:rFonts w:hint="eastAsia" w:asciiTheme="minorEastAsia" w:hAnsiTheme="minorEastAsia" w:eastAsiaTheme="minorEastAsia"/>
          <w:sz w:val="32"/>
          <w:szCs w:val="32"/>
        </w:rPr>
        <w:t>；公用经费</w:t>
      </w:r>
      <w:r>
        <w:rPr>
          <w:rFonts w:hint="eastAsia" w:ascii="宋体" w:hAnsi="宋体" w:eastAsia="宋体" w:cs="宋体"/>
          <w:color w:val="000000"/>
          <w:sz w:val="32"/>
          <w:szCs w:val="32"/>
          <w:lang w:val="en-US" w:eastAsia="zh-CN"/>
        </w:rPr>
        <w:t>245.30</w:t>
      </w:r>
      <w:r>
        <w:rPr>
          <w:rFonts w:hint="eastAsia" w:asciiTheme="minorEastAsia" w:hAnsiTheme="minorEastAsia" w:eastAsiaTheme="minorEastAsia"/>
          <w:sz w:val="32"/>
          <w:szCs w:val="32"/>
        </w:rPr>
        <w:t>万元，占基本支出的</w:t>
      </w:r>
      <w:r>
        <w:rPr>
          <w:rFonts w:hint="eastAsia" w:ascii="宋体" w:hAnsi="宋体" w:eastAsia="宋体" w:cs="宋体"/>
          <w:color w:val="000000"/>
          <w:sz w:val="32"/>
          <w:szCs w:val="32"/>
        </w:rPr>
        <w:t>2</w:t>
      </w:r>
      <w:r>
        <w:rPr>
          <w:rFonts w:hint="eastAsia" w:ascii="宋体" w:hAnsi="宋体" w:eastAsia="宋体" w:cs="宋体"/>
          <w:color w:val="000000"/>
          <w:sz w:val="32"/>
          <w:szCs w:val="32"/>
          <w:lang w:val="en-US" w:eastAsia="zh-CN"/>
        </w:rPr>
        <w:t>3.14</w:t>
      </w:r>
      <w:r>
        <w:rPr>
          <w:rFonts w:hint="eastAsia" w:asciiTheme="minorEastAsia" w:hAnsiTheme="minorEastAsia" w:eastAsiaTheme="minorEastAsia"/>
          <w:sz w:val="32"/>
          <w:szCs w:val="32"/>
        </w:rPr>
        <w:t>%，主要包括办公费、印刷费、咨询费、邮电费、差旅费、维修（护）费、租赁费、会议费、培训费、公务接待费、专用材料费、委托业务费、工会经费、</w:t>
      </w:r>
      <w:r>
        <w:rPr>
          <w:rFonts w:hint="eastAsia" w:asciiTheme="minorEastAsia" w:hAnsiTheme="minorEastAsia" w:eastAsiaTheme="minorEastAsia"/>
          <w:sz w:val="32"/>
          <w:szCs w:val="32"/>
          <w:lang w:val="en-US" w:eastAsia="zh-CN"/>
        </w:rPr>
        <w:t>其他交通费、</w:t>
      </w:r>
      <w:r>
        <w:rPr>
          <w:rFonts w:hint="eastAsia" w:asciiTheme="minorEastAsia" w:hAnsiTheme="minorEastAsia" w:eastAsiaTheme="minorEastAsia"/>
          <w:sz w:val="32"/>
          <w:szCs w:val="32"/>
        </w:rPr>
        <w:t>其他</w:t>
      </w:r>
      <w:r>
        <w:rPr>
          <w:rFonts w:hint="eastAsia" w:asciiTheme="minorEastAsia" w:hAnsiTheme="minorEastAsia" w:eastAsiaTheme="minorEastAsia"/>
          <w:sz w:val="32"/>
          <w:szCs w:val="32"/>
          <w:lang w:val="en-US" w:eastAsia="zh-CN"/>
        </w:rPr>
        <w:t>商品和服务支出</w:t>
      </w:r>
      <w:r>
        <w:rPr>
          <w:rFonts w:hint="eastAsia" w:asciiTheme="minorEastAsia" w:hAnsiTheme="minorEastAsia" w:eastAsiaTheme="minorEastAsia"/>
          <w:sz w:val="32"/>
          <w:szCs w:val="32"/>
          <w:lang w:eastAsia="zh-CN"/>
        </w:rPr>
        <w:t>。</w:t>
      </w:r>
    </w:p>
    <w:p>
      <w:pPr>
        <w:pStyle w:val="14"/>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202</w:t>
      </w:r>
      <w:r>
        <w:rPr>
          <w:rFonts w:hint="eastAsia" w:asciiTheme="minorEastAsia" w:hAnsiTheme="minorEastAsia" w:eastAsiaTheme="minorEastAsia"/>
          <w:sz w:val="32"/>
          <w:szCs w:val="32"/>
          <w:lang w:val="en-US" w:eastAsia="zh-CN"/>
        </w:rPr>
        <w:t>2</w:t>
      </w:r>
      <w:r>
        <w:rPr>
          <w:rFonts w:hint="eastAsia" w:asciiTheme="minorEastAsia" w:hAnsiTheme="minorEastAsia" w:eastAsiaTheme="minorEastAsia"/>
          <w:sz w:val="32"/>
          <w:szCs w:val="32"/>
        </w:rPr>
        <w:t>年度“三公”经费财政拨款支出预算为</w:t>
      </w:r>
      <w:r>
        <w:rPr>
          <w:rFonts w:hint="eastAsia" w:ascii="宋体" w:hAnsi="宋体" w:eastAsia="宋体" w:cs="宋体"/>
          <w:color w:val="000000"/>
          <w:sz w:val="32"/>
          <w:szCs w:val="32"/>
          <w:lang w:val="en-US" w:eastAsia="zh-CN"/>
        </w:rPr>
        <w:t>3</w:t>
      </w:r>
      <w:r>
        <w:rPr>
          <w:rFonts w:hint="eastAsia" w:asciiTheme="minorEastAsia" w:hAnsiTheme="minorEastAsia" w:eastAsiaTheme="minorEastAsia"/>
          <w:sz w:val="32"/>
          <w:szCs w:val="32"/>
        </w:rPr>
        <w:t>万元，支出决算为</w:t>
      </w:r>
      <w:r>
        <w:rPr>
          <w:rFonts w:hint="eastAsia" w:ascii="宋体" w:hAnsi="宋体" w:eastAsia="宋体" w:cs="宋体"/>
          <w:color w:val="000000"/>
          <w:sz w:val="32"/>
          <w:szCs w:val="32"/>
          <w:lang w:val="en-US" w:eastAsia="zh-CN"/>
        </w:rPr>
        <w:t>3.12</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超预算4</w:t>
      </w:r>
      <w:r>
        <w:rPr>
          <w:rFonts w:hint="eastAsia" w:ascii="宋体" w:hAnsi="宋体" w:eastAsia="宋体" w:cs="宋体"/>
          <w:color w:val="000000"/>
          <w:sz w:val="32"/>
          <w:szCs w:val="32"/>
        </w:rPr>
        <w:t>%</w:t>
      </w:r>
      <w:r>
        <w:rPr>
          <w:rFonts w:hint="eastAsia" w:asciiTheme="minorEastAsia" w:hAnsiTheme="minorEastAsia" w:eastAsiaTheme="minorEastAsia"/>
          <w:sz w:val="32"/>
          <w:szCs w:val="32"/>
        </w:rPr>
        <w:t>，其中：</w:t>
      </w:r>
    </w:p>
    <w:p>
      <w:pPr>
        <w:pStyle w:val="13"/>
        <w:spacing w:before="0" w:beforeAutospacing="0" w:after="2" w:afterAutospacing="0"/>
        <w:ind w:left="0" w:firstLine="640"/>
        <w:rPr>
          <w:sz w:val="27"/>
          <w:szCs w:val="27"/>
        </w:rPr>
      </w:pPr>
      <w:r>
        <w:rPr>
          <w:rFonts w:hint="eastAsia" w:asciiTheme="minorEastAsia" w:hAnsiTheme="minorEastAsia" w:eastAsiaTheme="minorEastAsia"/>
          <w:sz w:val="32"/>
          <w:szCs w:val="32"/>
        </w:rPr>
        <w:t>因公出国（境）费支出预算为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r>
        <w:rPr>
          <w:rFonts w:hint="eastAsia" w:ascii="宋体" w:hAnsi="宋体" w:eastAsia="宋体" w:cs="宋体"/>
          <w:color w:val="000000"/>
          <w:sz w:val="32"/>
          <w:szCs w:val="32"/>
        </w:rPr>
        <w:t>决算数与预算数一致，我单位严格按预算执行决算，因公出国（境）费支出与上年持平</w:t>
      </w:r>
      <w:r>
        <w:rPr>
          <w:rFonts w:hint="eastAsia" w:ascii="宋体" w:hAnsi="宋体" w:eastAsia="宋体" w:cs="宋体"/>
          <w:color w:val="000000"/>
          <w:sz w:val="32"/>
          <w:szCs w:val="32"/>
          <w:lang w:eastAsia="zh-CN"/>
        </w:rPr>
        <w:t>，</w:t>
      </w:r>
      <w:r>
        <w:rPr>
          <w:rFonts w:hint="eastAsia" w:ascii="宋体" w:hAnsi="宋体" w:eastAsia="宋体" w:cs="宋体"/>
          <w:color w:val="000000"/>
          <w:sz w:val="32"/>
          <w:szCs w:val="32"/>
          <w:lang w:val="en-US" w:eastAsia="zh-CN"/>
        </w:rPr>
        <w:t>我单位无</w:t>
      </w:r>
      <w:r>
        <w:rPr>
          <w:rFonts w:hint="eastAsia" w:asciiTheme="minorEastAsia" w:hAnsiTheme="minorEastAsia" w:eastAsiaTheme="minorEastAsia"/>
          <w:sz w:val="32"/>
          <w:szCs w:val="32"/>
        </w:rPr>
        <w:t>因公出国（境）费支出</w:t>
      </w:r>
      <w:r>
        <w:rPr>
          <w:rFonts w:hint="eastAsia" w:ascii="宋体" w:hAnsi="宋体" w:eastAsia="宋体" w:cs="宋体"/>
          <w:color w:val="000000"/>
          <w:sz w:val="32"/>
          <w:szCs w:val="32"/>
        </w:rPr>
        <w:t>。</w:t>
      </w:r>
      <w:r>
        <w:rPr>
          <w:color w:val="000000"/>
          <w:sz w:val="27"/>
          <w:szCs w:val="27"/>
        </w:rPr>
        <w:t xml:space="preserve"> </w:t>
      </w:r>
    </w:p>
    <w:p>
      <w:pPr>
        <w:pStyle w:val="13"/>
        <w:spacing w:before="0" w:beforeAutospacing="0" w:after="2" w:afterAutospacing="0"/>
        <w:ind w:left="0" w:firstLine="64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公务接待费支出预算为</w:t>
      </w:r>
      <w:r>
        <w:rPr>
          <w:rFonts w:hint="eastAsia" w:asciiTheme="minorEastAsia" w:hAnsiTheme="minorEastAsia" w:eastAsiaTheme="minorEastAsia"/>
          <w:sz w:val="32"/>
          <w:szCs w:val="32"/>
          <w:lang w:val="en-US" w:eastAsia="zh-CN"/>
        </w:rPr>
        <w:t>3</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3.12</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超</w:t>
      </w:r>
      <w:r>
        <w:rPr>
          <w:rFonts w:hint="eastAsia" w:asciiTheme="minorEastAsia" w:hAnsiTheme="minorEastAsia" w:eastAsiaTheme="minorEastAsia"/>
          <w:sz w:val="32"/>
          <w:szCs w:val="32"/>
        </w:rPr>
        <w:t>预算</w:t>
      </w:r>
      <w:r>
        <w:rPr>
          <w:rFonts w:hint="eastAsia" w:asciiTheme="minorEastAsia" w:hAnsiTheme="minorEastAsia" w:eastAsiaTheme="minorEastAsia"/>
          <w:sz w:val="32"/>
          <w:szCs w:val="32"/>
          <w:lang w:val="en-US" w:eastAsia="zh-CN"/>
        </w:rPr>
        <w:t>4</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本单位公务接待费全部为相关业务工作加班用餐。</w:t>
      </w:r>
    </w:p>
    <w:p>
      <w:pPr>
        <w:pStyle w:val="13"/>
        <w:spacing w:before="0" w:beforeAutospacing="0" w:after="2" w:afterAutospacing="0"/>
        <w:rPr>
          <w:rFonts w:hint="eastAsia" w:eastAsia="宋体"/>
          <w:sz w:val="27"/>
          <w:szCs w:val="27"/>
          <w:lang w:val="en-US" w:eastAsia="zh-CN"/>
        </w:rPr>
      </w:pPr>
      <w:r>
        <w:rPr>
          <w:rFonts w:hint="eastAsia" w:asciiTheme="minorEastAsia" w:hAnsiTheme="minorEastAsia" w:eastAsiaTheme="minorEastAsia"/>
          <w:sz w:val="32"/>
          <w:szCs w:val="32"/>
          <w:lang w:val="en-US" w:eastAsia="zh-CN"/>
        </w:rPr>
        <w:t xml:space="preserve">    </w:t>
      </w:r>
      <w:r>
        <w:rPr>
          <w:rFonts w:hint="eastAsia" w:asciiTheme="minorEastAsia" w:hAnsiTheme="minorEastAsia" w:eastAsiaTheme="minorEastAsia"/>
          <w:sz w:val="32"/>
          <w:szCs w:val="32"/>
        </w:rPr>
        <w:t>公务用车运行维护费支出预算为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r>
        <w:rPr>
          <w:rFonts w:hint="eastAsia" w:ascii="宋体" w:hAnsi="宋体" w:eastAsia="宋体" w:cs="宋体"/>
          <w:color w:val="000000"/>
          <w:sz w:val="32"/>
          <w:szCs w:val="32"/>
        </w:rPr>
        <w:t>决算数与预算数一致，</w:t>
      </w:r>
      <w:r>
        <w:rPr>
          <w:rFonts w:hint="eastAsia" w:ascii="宋体" w:hAnsi="宋体" w:eastAsia="宋体" w:cs="宋体"/>
          <w:color w:val="000000"/>
          <w:sz w:val="32"/>
          <w:szCs w:val="32"/>
          <w:lang w:val="en-US" w:eastAsia="zh-CN"/>
        </w:rPr>
        <w:t>我单位无</w:t>
      </w:r>
      <w:r>
        <w:rPr>
          <w:rFonts w:hint="eastAsia" w:asciiTheme="minorEastAsia" w:hAnsiTheme="minorEastAsia" w:eastAsiaTheme="minorEastAsia"/>
          <w:sz w:val="32"/>
          <w:szCs w:val="32"/>
        </w:rPr>
        <w:t>公务用车运行维护费</w:t>
      </w:r>
      <w:r>
        <w:rPr>
          <w:rFonts w:hint="eastAsia" w:ascii="宋体" w:hAnsi="宋体" w:eastAsia="宋体" w:cs="宋体"/>
          <w:color w:val="000000"/>
          <w:sz w:val="32"/>
          <w:szCs w:val="32"/>
        </w:rPr>
        <w:t>支出</w:t>
      </w:r>
      <w:r>
        <w:rPr>
          <w:rFonts w:hint="eastAsia" w:ascii="宋体" w:hAnsi="宋体" w:eastAsia="宋体" w:cs="宋体"/>
          <w:color w:val="000000"/>
          <w:sz w:val="32"/>
          <w:szCs w:val="32"/>
          <w:lang w:eastAsia="zh-CN"/>
        </w:rPr>
        <w:t>。</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（二）项目支出情况</w:t>
      </w:r>
    </w:p>
    <w:p>
      <w:pPr>
        <w:pStyle w:val="2"/>
        <w:numPr>
          <w:ilvl w:val="0"/>
          <w:numId w:val="0"/>
        </w:numPr>
        <w:ind w:firstLine="640" w:firstLineChars="200"/>
        <w:rPr>
          <w:rFonts w:hint="default"/>
          <w:lang w:val="en-US" w:eastAsia="zh-CN"/>
        </w:rPr>
      </w:pPr>
      <w:r>
        <w:rPr>
          <w:rFonts w:hint="eastAsia"/>
          <w:lang w:val="en-US" w:eastAsia="zh-CN"/>
        </w:rPr>
        <w:t>本单位无项目支出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pStyle w:val="2"/>
        <w:numPr>
          <w:ilvl w:val="0"/>
          <w:numId w:val="0"/>
        </w:numPr>
        <w:ind w:leftChars="200"/>
        <w:rPr>
          <w:rFonts w:hint="default"/>
          <w:lang w:val="en-US" w:eastAsia="zh-CN"/>
        </w:rPr>
      </w:pPr>
      <w:r>
        <w:rPr>
          <w:rFonts w:hint="eastAsia"/>
          <w:lang w:val="en-US" w:eastAsia="zh-CN"/>
        </w:rPr>
        <w:t>本单位无政府性基金预算支出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pPr>
        <w:pStyle w:val="2"/>
        <w:numPr>
          <w:ilvl w:val="0"/>
          <w:numId w:val="0"/>
        </w:numPr>
        <w:ind w:leftChars="200"/>
        <w:rPr>
          <w:rFonts w:hint="eastAsia"/>
          <w:lang w:val="en-US" w:eastAsia="zh-CN"/>
        </w:rPr>
      </w:pPr>
      <w:r>
        <w:rPr>
          <w:rFonts w:hint="eastAsia"/>
          <w:lang w:val="en-US" w:eastAsia="zh-CN"/>
        </w:rPr>
        <w:t>本单位无国有资本经营预算支出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pPr>
        <w:pStyle w:val="2"/>
        <w:numPr>
          <w:ilvl w:val="0"/>
          <w:numId w:val="0"/>
        </w:numPr>
        <w:ind w:firstLine="640" w:firstLineChars="200"/>
        <w:rPr>
          <w:rFonts w:hint="default" w:ascii="宋体" w:hAnsi="宋体" w:eastAsia="宋体" w:cs="宋体"/>
          <w:color w:val="000000"/>
          <w:kern w:val="2"/>
          <w:sz w:val="32"/>
          <w:szCs w:val="32"/>
          <w:lang w:val="en-US" w:eastAsia="zh-CN" w:bidi="ar"/>
        </w:rPr>
      </w:pPr>
      <w:r>
        <w:rPr>
          <w:rFonts w:hint="eastAsia" w:ascii="宋体" w:hAnsi="宋体" w:eastAsia="宋体" w:cs="宋体"/>
          <w:color w:val="000000"/>
          <w:kern w:val="2"/>
          <w:sz w:val="32"/>
          <w:szCs w:val="32"/>
          <w:lang w:val="en-US" w:eastAsia="zh-CN" w:bidi="ar"/>
        </w:rPr>
        <w:t>2022年社会保险缴费预算90.3万元，其中机关事业单位基本养老保险缴费39.78万元，职业年金缴费19.89万元职工基本医疗保险22.83万元，公务员医疗补助缴费2.98万元，工伤保险2.49万元，其他社会保障缴费2.33万元。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宋体" w:hAnsi="宋体" w:eastAsia="宋体" w:cs="宋体"/>
          <w:color w:val="000000"/>
          <w:kern w:val="2"/>
          <w:sz w:val="32"/>
          <w:szCs w:val="32"/>
          <w:lang w:val="en-US" w:eastAsia="zh-CN" w:bidi="ar"/>
        </w:rPr>
      </w:pPr>
      <w:r>
        <w:rPr>
          <w:rFonts w:hint="eastAsia" w:ascii="宋体" w:hAnsi="宋体" w:eastAsia="宋体" w:cs="宋体"/>
          <w:color w:val="000000"/>
          <w:kern w:val="2"/>
          <w:sz w:val="32"/>
          <w:szCs w:val="32"/>
          <w:lang w:val="en-US" w:eastAsia="zh-CN" w:bidi="ar"/>
        </w:rPr>
        <w:t>2022年通过不懈的努力，我局圆满完成了三湘和中顺两家沿江化工企业的搬迁任务，完成了“千百十”工程任务，完成了“百名干部联百企”纾困解难任务，完成了科技振兴乡村和“散乱污”企业整治任务。出色完成了广电大楼“科技园”，小龙城“数字产业园”的两园区建设并与湖南理工学院签订了人才框架协议，完成了“省运会”、“省残运会”的服务，完成了城陵矶疫情隔离点驻守以及文明城市迎省检、国检，高考场所电子管控等临时性中心任务。提档完成了工业生产总值26.12亿元，较去年同期24.48亿元同比增长6.67%，实现工业增加值7.47亿元，同比增长3%。完成了制造业增加值占地区生产总值比重、研发支出与地区生产总值之比、规模以上工业企业中有研发活动企业占比、基础研究支出占研发支出比重、研发人员占比、规模以上工业企业新产品销售收入占比、技术合同成交额与地区生产总值之比，每万家企业法人中高新技术企业数、人均民口单位军品收入、在当地工作的外国高端人才和专业人才数量、工业战略新兴产业总产值占工业总产值比重、宽带用户下载速率共12项高质量发展指标任务，大楼区考核全市排名第一，小楼区考核七区中也较去年均提档进位，特别是高端人才指标、研发投入支出比重、宽带用户下载速率三项指标夺得了第一名的好成绩。高效完成了中国长江航发动力有限公司国家级重点专精特新小巨人企业申报成功，中国航发长江和凯美特两家省级专精特新小巨人企业申报成功。全年成功申报高新技术企业达8家。超额完成了争项争资任务，全年共向上争项争资1743.29万元，超任务数75%。</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pStyle w:val="8"/>
        <w:keepNext w:val="0"/>
        <w:keepLines w:val="0"/>
        <w:widowControl/>
        <w:suppressLineNumbers w:val="0"/>
        <w:pBdr>
          <w:bottom w:val="none" w:color="auto" w:sz="0" w:space="0"/>
        </w:pBdr>
        <w:spacing w:before="0" w:beforeAutospacing="0" w:after="0" w:afterAutospacing="0" w:line="33" w:lineRule="atLeast"/>
        <w:ind w:right="0" w:firstLine="640" w:firstLineChars="200"/>
        <w:jc w:val="both"/>
        <w:rPr>
          <w:rFonts w:hint="default"/>
          <w:sz w:val="32"/>
          <w:szCs w:val="32"/>
          <w:lang w:val="en-US"/>
        </w:rPr>
      </w:pPr>
      <w:r>
        <w:rPr>
          <w:rFonts w:hint="eastAsia" w:ascii="宋体" w:hAnsi="宋体" w:eastAsia="宋体" w:cs="宋体"/>
          <w:color w:val="000000"/>
          <w:kern w:val="2"/>
          <w:sz w:val="32"/>
          <w:szCs w:val="32"/>
          <w:lang w:val="en-US" w:eastAsia="zh-CN" w:bidi="ar"/>
        </w:rPr>
        <w:t>绩效考核意识有待进一步加强，内部绩效管理制度还不够完善，评价体系有待进一步健全。预算编制工作不够细化具体，</w:t>
      </w:r>
      <w:r>
        <w:rPr>
          <w:rFonts w:hint="eastAsia" w:ascii="宋体" w:hAnsi="宋体" w:eastAsia="宋体" w:cs="宋体"/>
          <w:bCs/>
          <w:sz w:val="32"/>
          <w:szCs w:val="32"/>
          <w:lang w:val="en-US" w:eastAsia="zh-CN"/>
        </w:rPr>
        <w:t>预算执行力度有待加强。</w:t>
      </w:r>
    </w:p>
    <w:p>
      <w:pPr>
        <w:keepNext w:val="0"/>
        <w:keepLines w:val="0"/>
        <w:pageBreakBefore w:val="0"/>
        <w:widowControl w:val="0"/>
        <w:numPr>
          <w:ilvl w:val="0"/>
          <w:numId w:val="4"/>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pStyle w:val="2"/>
        <w:rPr>
          <w:rFonts w:hint="eastAsia" w:ascii="宋体" w:hAnsi="宋体" w:eastAsia="宋体" w:cs="宋体"/>
          <w:color w:val="000000"/>
          <w:kern w:val="2"/>
          <w:sz w:val="32"/>
          <w:szCs w:val="32"/>
          <w:lang w:val="en-US" w:eastAsia="zh-CN" w:bidi="ar"/>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 xml:space="preserve"> </w:t>
      </w:r>
      <w:r>
        <w:rPr>
          <w:rFonts w:hint="eastAsia" w:ascii="宋体" w:hAnsi="宋体" w:eastAsia="宋体" w:cs="宋体"/>
          <w:color w:val="000000"/>
          <w:kern w:val="2"/>
          <w:sz w:val="32"/>
          <w:szCs w:val="32"/>
          <w:lang w:val="en-US" w:eastAsia="zh-CN" w:bidi="ar"/>
        </w:rPr>
        <w:t xml:space="preserve"> 1.认真做好预算编制工作，应编尽编，进一步提高预算编制的科学性、合理性、可控性。</w:t>
      </w:r>
    </w:p>
    <w:p>
      <w:pPr>
        <w:pStyle w:val="8"/>
        <w:keepNext w:val="0"/>
        <w:keepLines w:val="0"/>
        <w:widowControl/>
        <w:suppressLineNumbers w:val="0"/>
        <w:pBdr>
          <w:bottom w:val="none" w:color="auto" w:sz="0" w:space="0"/>
        </w:pBdr>
        <w:spacing w:before="0" w:beforeAutospacing="0" w:after="0" w:afterAutospacing="0" w:line="33" w:lineRule="atLeast"/>
        <w:ind w:right="0" w:firstLine="640" w:firstLineChars="200"/>
        <w:jc w:val="both"/>
        <w:rPr>
          <w:rFonts w:hint="eastAsia" w:ascii="宋体" w:hAnsi="宋体" w:eastAsia="宋体" w:cs="宋体"/>
          <w:color w:val="000000"/>
          <w:kern w:val="2"/>
          <w:sz w:val="32"/>
          <w:szCs w:val="32"/>
          <w:lang w:val="en-US" w:eastAsia="zh-CN" w:bidi="ar"/>
        </w:rPr>
      </w:pPr>
      <w:r>
        <w:rPr>
          <w:rFonts w:hint="eastAsia" w:ascii="宋体" w:hAnsi="宋体" w:eastAsia="宋体" w:cs="宋体"/>
          <w:color w:val="000000"/>
          <w:kern w:val="2"/>
          <w:sz w:val="32"/>
          <w:szCs w:val="32"/>
          <w:lang w:val="en-US" w:eastAsia="zh-CN" w:bidi="ar"/>
        </w:rPr>
        <w:t>2</w:t>
      </w:r>
      <w:r>
        <w:rPr>
          <w:rFonts w:hint="eastAsia" w:cs="宋体"/>
          <w:color w:val="000000"/>
          <w:kern w:val="2"/>
          <w:sz w:val="32"/>
          <w:szCs w:val="32"/>
          <w:lang w:val="en-US" w:eastAsia="zh-CN" w:bidi="ar"/>
        </w:rPr>
        <w:t>.</w:t>
      </w:r>
      <w:r>
        <w:rPr>
          <w:rFonts w:hint="eastAsia" w:ascii="宋体" w:hAnsi="宋体" w:eastAsia="宋体" w:cs="宋体"/>
          <w:color w:val="000000"/>
          <w:kern w:val="2"/>
          <w:sz w:val="32"/>
          <w:szCs w:val="32"/>
          <w:lang w:val="en-US" w:eastAsia="zh-CN" w:bidi="ar"/>
        </w:rPr>
        <w:t>加强绩效管理，完善绩效管理制度。</w:t>
      </w:r>
    </w:p>
    <w:p>
      <w:pPr>
        <w:pStyle w:val="8"/>
        <w:keepNext w:val="0"/>
        <w:keepLines w:val="0"/>
        <w:widowControl/>
        <w:suppressLineNumbers w:val="0"/>
        <w:pBdr>
          <w:bottom w:val="none" w:color="auto" w:sz="0" w:space="0"/>
        </w:pBdr>
        <w:spacing w:before="0" w:beforeAutospacing="0" w:after="0" w:afterAutospacing="0" w:line="33" w:lineRule="atLeast"/>
        <w:ind w:right="0" w:firstLine="640" w:firstLineChars="200"/>
        <w:jc w:val="both"/>
        <w:rPr>
          <w:rFonts w:hint="eastAsia" w:ascii="宋体" w:hAnsi="宋体" w:eastAsia="宋体" w:cs="宋体"/>
          <w:color w:val="000000"/>
          <w:kern w:val="2"/>
          <w:sz w:val="32"/>
          <w:szCs w:val="32"/>
          <w:lang w:val="en-US" w:eastAsia="zh-CN" w:bidi="ar"/>
        </w:rPr>
      </w:pPr>
      <w:r>
        <w:rPr>
          <w:rFonts w:hint="eastAsia" w:ascii="宋体" w:hAnsi="宋体" w:eastAsia="宋体" w:cs="宋体"/>
          <w:color w:val="000000"/>
          <w:kern w:val="2"/>
          <w:sz w:val="32"/>
          <w:szCs w:val="32"/>
          <w:lang w:val="en-US" w:eastAsia="zh-CN" w:bidi="ar"/>
        </w:rPr>
        <w:t>3</w:t>
      </w:r>
      <w:r>
        <w:rPr>
          <w:rFonts w:hint="eastAsia" w:cs="宋体"/>
          <w:color w:val="000000"/>
          <w:kern w:val="2"/>
          <w:sz w:val="32"/>
          <w:szCs w:val="32"/>
          <w:lang w:val="en-US" w:eastAsia="zh-CN" w:bidi="ar"/>
        </w:rPr>
        <w:t>.</w:t>
      </w:r>
      <w:r>
        <w:rPr>
          <w:rFonts w:hint="eastAsia" w:ascii="宋体" w:hAnsi="宋体" w:eastAsia="宋体" w:cs="宋体"/>
          <w:color w:val="000000"/>
          <w:kern w:val="2"/>
          <w:sz w:val="32"/>
          <w:szCs w:val="32"/>
          <w:lang w:val="en-US" w:eastAsia="zh-CN" w:bidi="ar"/>
        </w:rPr>
        <w:t>严格执行财务预算管理制度，重视日常财务收支管理，建立健全各项财务制度，对一切开支严格按财务制度办理，极大地提高资金的使用效益。</w:t>
      </w:r>
    </w:p>
    <w:p>
      <w:pPr>
        <w:pStyle w:val="8"/>
        <w:keepNext w:val="0"/>
        <w:keepLines w:val="0"/>
        <w:widowControl/>
        <w:suppressLineNumbers w:val="0"/>
        <w:pBdr>
          <w:bottom w:val="none" w:color="auto" w:sz="0" w:space="0"/>
        </w:pBdr>
        <w:spacing w:before="0" w:beforeAutospacing="0" w:after="0" w:afterAutospacing="0" w:line="33" w:lineRule="atLeast"/>
        <w:ind w:right="0" w:firstLine="640" w:firstLineChars="200"/>
        <w:jc w:val="both"/>
        <w:rPr>
          <w:rFonts w:hint="default" w:ascii="宋体" w:hAnsi="宋体" w:eastAsia="宋体" w:cs="宋体"/>
          <w:color w:val="000000"/>
          <w:kern w:val="2"/>
          <w:sz w:val="32"/>
          <w:szCs w:val="32"/>
          <w:lang w:val="en-US" w:eastAsia="zh-CN" w:bidi="ar"/>
        </w:rPr>
      </w:pPr>
      <w:r>
        <w:rPr>
          <w:rFonts w:hint="eastAsia" w:ascii="宋体" w:hAnsi="宋体" w:eastAsia="宋体" w:cs="宋体"/>
          <w:color w:val="000000"/>
          <w:kern w:val="2"/>
          <w:sz w:val="32"/>
          <w:szCs w:val="32"/>
          <w:lang w:val="en-US" w:eastAsia="zh-CN" w:bidi="ar"/>
        </w:rPr>
        <w:t>4</w:t>
      </w:r>
      <w:r>
        <w:rPr>
          <w:rFonts w:hint="eastAsia" w:cs="宋体"/>
          <w:color w:val="000000"/>
          <w:kern w:val="2"/>
          <w:sz w:val="32"/>
          <w:szCs w:val="32"/>
          <w:lang w:val="en-US" w:eastAsia="zh-CN" w:bidi="ar"/>
        </w:rPr>
        <w:t>.</w:t>
      </w:r>
      <w:r>
        <w:rPr>
          <w:rFonts w:hint="eastAsia" w:ascii="宋体" w:hAnsi="宋体" w:eastAsia="宋体" w:cs="宋体"/>
          <w:color w:val="000000"/>
          <w:kern w:val="2"/>
          <w:sz w:val="32"/>
          <w:szCs w:val="32"/>
          <w:lang w:val="en-US" w:eastAsia="zh-CN" w:bidi="ar"/>
        </w:rPr>
        <w:t xml:space="preserve">强化监督，不断提高专项资金使用效益。 </w:t>
      </w:r>
    </w:p>
    <w:p>
      <w:pPr>
        <w:pStyle w:val="8"/>
        <w:keepNext w:val="0"/>
        <w:keepLines w:val="0"/>
        <w:widowControl/>
        <w:suppressLineNumbers w:val="0"/>
        <w:pBdr>
          <w:bottom w:val="none" w:color="auto" w:sz="0" w:space="0"/>
        </w:pBdr>
        <w:spacing w:before="0" w:beforeAutospacing="0" w:after="0" w:afterAutospacing="0" w:line="33" w:lineRule="atLeast"/>
        <w:ind w:right="0" w:firstLine="640" w:firstLineChars="200"/>
        <w:jc w:val="both"/>
        <w:rPr>
          <w:rFonts w:hint="eastAsia" w:ascii="宋体" w:hAnsi="宋体" w:eastAsia="宋体" w:cs="宋体"/>
          <w:color w:val="000000"/>
          <w:kern w:val="2"/>
          <w:sz w:val="32"/>
          <w:szCs w:val="32"/>
          <w:lang w:val="en-US" w:eastAsia="zh-CN" w:bidi="ar"/>
        </w:rPr>
      </w:pPr>
      <w:r>
        <w:rPr>
          <w:rFonts w:hint="eastAsia" w:ascii="宋体" w:hAnsi="宋体" w:eastAsia="宋体" w:cs="宋体"/>
          <w:color w:val="000000"/>
          <w:kern w:val="2"/>
          <w:sz w:val="32"/>
          <w:szCs w:val="32"/>
          <w:lang w:val="en-US" w:eastAsia="zh-CN" w:bidi="ar"/>
        </w:rPr>
        <w:t>5</w:t>
      </w:r>
      <w:r>
        <w:rPr>
          <w:rFonts w:hint="eastAsia" w:cs="宋体"/>
          <w:color w:val="000000"/>
          <w:kern w:val="2"/>
          <w:sz w:val="32"/>
          <w:szCs w:val="32"/>
          <w:lang w:val="en-US" w:eastAsia="zh-CN" w:bidi="ar"/>
        </w:rPr>
        <w:t>.</w:t>
      </w:r>
      <w:r>
        <w:rPr>
          <w:rFonts w:hint="eastAsia" w:ascii="宋体" w:hAnsi="宋体" w:eastAsia="宋体" w:cs="宋体"/>
          <w:color w:val="000000"/>
          <w:kern w:val="2"/>
          <w:sz w:val="32"/>
          <w:szCs w:val="32"/>
          <w:lang w:val="en-US" w:eastAsia="zh-CN" w:bidi="ar"/>
        </w:rPr>
        <w:t>持续抓好‘三公经费’的管理和使用。</w:t>
      </w:r>
    </w:p>
    <w:p>
      <w:pPr>
        <w:pStyle w:val="2"/>
        <w:numPr>
          <w:ilvl w:val="0"/>
          <w:numId w:val="0"/>
        </w:numPr>
        <w:ind w:firstLine="640" w:firstLineChars="200"/>
        <w:rPr>
          <w:rFonts w:hint="default" w:ascii="宋体" w:hAnsi="宋体" w:eastAsia="宋体" w:cs="宋体"/>
          <w:color w:val="000000"/>
          <w:kern w:val="2"/>
          <w:sz w:val="32"/>
          <w:szCs w:val="32"/>
          <w:lang w:val="en-US" w:eastAsia="zh-CN" w:bidi="ar"/>
        </w:rPr>
      </w:pPr>
      <w:r>
        <w:rPr>
          <w:rFonts w:hint="eastAsia" w:ascii="宋体" w:hAnsi="宋体" w:eastAsia="宋体" w:cs="宋体"/>
          <w:color w:val="000000"/>
          <w:kern w:val="2"/>
          <w:sz w:val="32"/>
          <w:szCs w:val="32"/>
          <w:lang w:val="en-US" w:eastAsia="zh-CN" w:bidi="ar"/>
        </w:rPr>
        <w:t>6.针对项目经费的使用，严把支出关，做到不挪用、不截留。</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9"/>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vAlign w:val="center"/>
          </w:tcPr>
          <w:p>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20分</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10分</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15分</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18分</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18分</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14分</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95</w:t>
            </w: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18030">
    <w:altName w:val="Times New Roman"/>
    <w:panose1 w:val="00000000000000000000"/>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方正小标宋简体">
    <w:altName w:val="微软雅黑"/>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7169754"/>
    <w:multiLevelType w:val="singleLevel"/>
    <w:tmpl w:val="D7169754"/>
    <w:lvl w:ilvl="0" w:tentative="0">
      <w:start w:val="1"/>
      <w:numFmt w:val="chineseCounting"/>
      <w:suff w:val="nothing"/>
      <w:lvlText w:val="%1、"/>
      <w:lvlJc w:val="left"/>
      <w:rPr>
        <w:rFonts w:hint="eastAsia"/>
      </w:rPr>
    </w:lvl>
  </w:abstractNum>
  <w:abstractNum w:abstractNumId="1">
    <w:nsid w:val="08EC14B6"/>
    <w:multiLevelType w:val="singleLevel"/>
    <w:tmpl w:val="08EC14B6"/>
    <w:lvl w:ilvl="0" w:tentative="0">
      <w:start w:val="8"/>
      <w:numFmt w:val="chineseCounting"/>
      <w:suff w:val="nothing"/>
      <w:lvlText w:val="%1、"/>
      <w:lvlJc w:val="left"/>
      <w:rPr>
        <w:rFonts w:hint="eastAsia"/>
      </w:rPr>
    </w:lvl>
  </w:abstractNum>
  <w:abstractNum w:abstractNumId="2">
    <w:nsid w:val="608A1D50"/>
    <w:multiLevelType w:val="singleLevel"/>
    <w:tmpl w:val="608A1D50"/>
    <w:lvl w:ilvl="0" w:tentative="0">
      <w:start w:val="1"/>
      <w:numFmt w:val="chineseCounting"/>
      <w:suff w:val="nothing"/>
      <w:lvlText w:val="（%1）"/>
      <w:lvlJc w:val="left"/>
      <w:rPr>
        <w:rFonts w:hint="eastAsia"/>
      </w:rPr>
    </w:lvl>
  </w:abstractNum>
  <w:abstractNum w:abstractNumId="3">
    <w:nsid w:val="7E0325EB"/>
    <w:multiLevelType w:val="singleLevel"/>
    <w:tmpl w:val="7E0325EB"/>
    <w:lvl w:ilvl="0" w:tentative="0">
      <w:start w:val="1"/>
      <w:numFmt w:val="decimal"/>
      <w:suff w:val="nothing"/>
      <w:lvlText w:val="%1、"/>
      <w:lvlJc w:val="left"/>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xM2I1Y2E5MTg1NzJhN2FkNjlmNDg5OTI5OGY3ZTQifQ=="/>
    <w:docVar w:name="KSO_WPS_MARK_KEY" w:val="a19a65b0-97ec-421b-9e5d-b28382e6bafd"/>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DD34A5"/>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25FEA"/>
    <w:rsid w:val="02363BD8"/>
    <w:rsid w:val="023809F7"/>
    <w:rsid w:val="02431066"/>
    <w:rsid w:val="02595CF1"/>
    <w:rsid w:val="025C47D6"/>
    <w:rsid w:val="0263675C"/>
    <w:rsid w:val="02656E75"/>
    <w:rsid w:val="027431E5"/>
    <w:rsid w:val="02B544DB"/>
    <w:rsid w:val="02CB5D99"/>
    <w:rsid w:val="02F61D91"/>
    <w:rsid w:val="02FC4679"/>
    <w:rsid w:val="02FE5E0A"/>
    <w:rsid w:val="03212304"/>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C900F6"/>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576823"/>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35FC4"/>
    <w:rsid w:val="21CC4855"/>
    <w:rsid w:val="21E233A3"/>
    <w:rsid w:val="21E23F6C"/>
    <w:rsid w:val="21E345FD"/>
    <w:rsid w:val="22171E1E"/>
    <w:rsid w:val="222F5EC7"/>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B6A9E"/>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1125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8A0274"/>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B639EF"/>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18543E"/>
    <w:rsid w:val="34467089"/>
    <w:rsid w:val="34523AB5"/>
    <w:rsid w:val="346B4B47"/>
    <w:rsid w:val="346E4F77"/>
    <w:rsid w:val="34762AAC"/>
    <w:rsid w:val="348402A8"/>
    <w:rsid w:val="34B510BB"/>
    <w:rsid w:val="34BB2714"/>
    <w:rsid w:val="34C25EF7"/>
    <w:rsid w:val="34D20F28"/>
    <w:rsid w:val="34E22DC0"/>
    <w:rsid w:val="350233D4"/>
    <w:rsid w:val="350A491C"/>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019AD"/>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187054"/>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89034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CD442E"/>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BF7720"/>
    <w:rsid w:val="48C96968"/>
    <w:rsid w:val="48DA7F3A"/>
    <w:rsid w:val="48F13107"/>
    <w:rsid w:val="48F84416"/>
    <w:rsid w:val="490874C4"/>
    <w:rsid w:val="491A6A98"/>
    <w:rsid w:val="491D4AAF"/>
    <w:rsid w:val="49224F88"/>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72CAB"/>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D074B3"/>
    <w:rsid w:val="4FFE4A87"/>
    <w:rsid w:val="500344EA"/>
    <w:rsid w:val="500B7B4C"/>
    <w:rsid w:val="503C3296"/>
    <w:rsid w:val="504B0F0D"/>
    <w:rsid w:val="50527689"/>
    <w:rsid w:val="506633AA"/>
    <w:rsid w:val="507237E3"/>
    <w:rsid w:val="50911DB8"/>
    <w:rsid w:val="50943033"/>
    <w:rsid w:val="509D389C"/>
    <w:rsid w:val="50A642FD"/>
    <w:rsid w:val="50A870C5"/>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11788"/>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D97EBA"/>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3257E"/>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25D70"/>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373360"/>
    <w:rsid w:val="654069DE"/>
    <w:rsid w:val="65413B3E"/>
    <w:rsid w:val="654B3E81"/>
    <w:rsid w:val="655555A6"/>
    <w:rsid w:val="655F14F0"/>
    <w:rsid w:val="65660277"/>
    <w:rsid w:val="656E5420"/>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A0EC0"/>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872BA"/>
    <w:rsid w:val="6F694006"/>
    <w:rsid w:val="6F6C5490"/>
    <w:rsid w:val="6F761900"/>
    <w:rsid w:val="6FA71AD5"/>
    <w:rsid w:val="6FAF2607"/>
    <w:rsid w:val="6FD12015"/>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EE0967"/>
    <w:rsid w:val="72F03574"/>
    <w:rsid w:val="72F77CB6"/>
    <w:rsid w:val="731438BD"/>
    <w:rsid w:val="733155C8"/>
    <w:rsid w:val="73422D3C"/>
    <w:rsid w:val="73625723"/>
    <w:rsid w:val="737007D9"/>
    <w:rsid w:val="738B5B50"/>
    <w:rsid w:val="738E3163"/>
    <w:rsid w:val="73AA53A0"/>
    <w:rsid w:val="73B04F6B"/>
    <w:rsid w:val="73C954B2"/>
    <w:rsid w:val="73D20D1A"/>
    <w:rsid w:val="73D9508E"/>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2B26BA"/>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CFA4BF4"/>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73F44"/>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next w:val="4"/>
    <w:qFormat/>
    <w:uiPriority w:val="0"/>
    <w:pPr>
      <w:spacing w:after="120"/>
    </w:pPr>
    <w:rPr>
      <w:rFonts w:ascii="Calibri" w:hAnsi="Calibri" w:eastAsia="仿宋_GB2312" w:cs="Times New Roman"/>
      <w:sz w:val="32"/>
      <w:szCs w:val="24"/>
    </w:rPr>
  </w:style>
  <w:style w:type="paragraph" w:customStyle="1" w:styleId="4">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Lines="0" w:beforeAutospacing="1" w:after="100" w:afterLines="0" w:afterAutospacing="1"/>
      <w:jc w:val="center"/>
    </w:pPr>
    <w:rPr>
      <w:rFonts w:ascii="???-18030" w:hAnsi="???-18030" w:cs="???-18030"/>
      <w:kern w:val="0"/>
    </w:rPr>
  </w:style>
  <w:style w:type="paragraph" w:styleId="5">
    <w:name w:val="Plain Text"/>
    <w:basedOn w:val="1"/>
    <w:qFormat/>
    <w:uiPriority w:val="0"/>
    <w:rPr>
      <w:rFonts w:ascii="宋体" w:hAnsi="Courier New"/>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
    <w:name w:val="Table Normal"/>
    <w:unhideWhenUsed/>
    <w:qFormat/>
    <w:uiPriority w:val="0"/>
    <w:tblPr>
      <w:tblCellMar>
        <w:top w:w="0" w:type="dxa"/>
        <w:left w:w="0" w:type="dxa"/>
        <w:bottom w:w="0" w:type="dxa"/>
        <w:right w:w="0" w:type="dxa"/>
      </w:tblCellMar>
    </w:tblPr>
  </w:style>
  <w:style w:type="paragraph" w:customStyle="1" w:styleId="13">
    <w:name w:val="18"/>
    <w:basedOn w:val="1"/>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2"/>
      <w:lang w:val="en-US" w:eastAsia="zh-CN" w:bidi="ar"/>
    </w:rPr>
  </w:style>
  <w:style w:type="paragraph" w:customStyle="1" w:styleId="14">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4808</Words>
  <Characters>5221</Characters>
  <Lines>0</Lines>
  <Paragraphs>0</Paragraphs>
  <TotalTime>0</TotalTime>
  <ScaleCrop>false</ScaleCrop>
  <LinksUpToDate>false</LinksUpToDate>
  <CharactersWithSpaces>5507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necrolyte</cp:lastModifiedBy>
  <cp:lastPrinted>2023-08-28T02:49:00Z</cp:lastPrinted>
  <dcterms:modified xsi:type="dcterms:W3CDTF">2024-07-01T13:45:14Z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55DCA838B357479095F6CDE7F025D38C_13</vt:lpwstr>
  </property>
</Properties>
</file>