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t>附件1</w:t>
      </w:r>
    </w:p>
    <w:p>
      <w:pPr>
        <w:spacing w:line="700" w:lineRule="exact"/>
        <w:jc w:val="right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2022年度预算单位整体支出绩效评价基础数据表</w:t>
      </w:r>
    </w:p>
    <w:p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9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vAlign w:val="center"/>
          </w:tcPr>
          <w:p>
            <w:pPr>
              <w:spacing w:before="33" w:line="198" w:lineRule="auto"/>
              <w:ind w:right="118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  <w:t>预算单位名称</w:t>
            </w:r>
          </w:p>
        </w:tc>
        <w:tc>
          <w:tcPr>
            <w:tcW w:w="5819" w:type="dxa"/>
            <w:gridSpan w:val="6"/>
          </w:tcPr>
          <w:p>
            <w:pPr>
              <w:spacing w:before="103" w:line="219" w:lineRule="auto"/>
              <w:ind w:left="708"/>
              <w:rPr>
                <w:rFonts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岳阳楼区商务粮食局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</w:tcPr>
          <w:p>
            <w:pPr>
              <w:spacing w:before="262" w:line="219" w:lineRule="auto"/>
              <w:ind w:left="575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</w:tcPr>
          <w:p>
            <w:pPr>
              <w:spacing w:before="103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</w:tcPr>
          <w:p>
            <w:pPr>
              <w:spacing w:before="83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</w:tcPr>
          <w:p>
            <w:pPr>
              <w:spacing w:before="103" w:line="219" w:lineRule="auto"/>
              <w:ind w:left="708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</w:tcPr>
          <w:p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28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28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</w:tcPr>
          <w:p>
            <w:pPr>
              <w:spacing w:before="140" w:line="202" w:lineRule="auto"/>
              <w:ind w:left="6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</w:tcPr>
          <w:p>
            <w:pPr>
              <w:spacing w:before="119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</w:tcPr>
          <w:p>
            <w:pPr>
              <w:spacing w:before="119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</w:tcPr>
          <w:p>
            <w:pPr>
              <w:spacing w:before="76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4"/>
                <w:sz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>
            <w:pPr>
              <w:spacing w:before="141" w:line="202" w:lineRule="auto"/>
              <w:ind w:left="11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>
            <w:pPr>
              <w:spacing w:before="149" w:line="193" w:lineRule="auto"/>
              <w:ind w:left="41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>
            <w:pPr>
              <w:spacing w:before="81" w:line="219" w:lineRule="auto"/>
              <w:ind w:left="81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</w:tcPr>
          <w:p>
            <w:pPr>
              <w:spacing w:before="91" w:line="219" w:lineRule="auto"/>
              <w:ind w:left="142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</w:tcPr>
          <w:p>
            <w:pPr>
              <w:spacing w:before="81" w:line="220" w:lineRule="auto"/>
              <w:ind w:left="3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>
            <w:pPr>
              <w:spacing w:before="82" w:line="219" w:lineRule="auto"/>
              <w:ind w:left="3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>
            <w:pPr>
              <w:spacing w:before="143" w:line="200" w:lineRule="auto"/>
              <w:ind w:left="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27.85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31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</w:tcPr>
          <w:p>
            <w:pPr>
              <w:spacing w:before="133" w:line="200" w:lineRule="auto"/>
              <w:ind w:left="3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27.85</w:t>
            </w:r>
          </w:p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31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</w:tcPr>
          <w:p>
            <w:pPr>
              <w:spacing w:before="143" w:line="209" w:lineRule="auto"/>
              <w:ind w:left="3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</w:tcPr>
          <w:p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......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</w:tcPr>
          <w:p>
            <w:pPr>
              <w:spacing w:before="93" w:line="219" w:lineRule="auto"/>
              <w:ind w:firstLine="488" w:firstLineChars="200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  <w:t>3、区级专项资金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(一个专项一行)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550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653.3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653.3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(1)消费促进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400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400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（2）市场提质改造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550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135.8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135.8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（3）四上新增奖励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42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42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（4）外贸促进发展资金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24.5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24.5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（5）冻猪肉储备资金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>
            <w:pPr>
              <w:spacing w:before="85" w:line="220" w:lineRule="auto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（6）市场文明创建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33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>
            <w:pPr>
              <w:spacing w:before="85" w:line="220" w:lineRule="auto"/>
              <w:ind w:firstLine="492" w:firstLineChars="200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4、上级转移支付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(一个专项一行）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550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599.11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599.11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>
            <w:pPr>
              <w:spacing w:before="85" w:line="220" w:lineRule="auto"/>
              <w:ind w:left="9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（1）外经专项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11.7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11.7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>
            <w:pPr>
              <w:spacing w:before="85" w:line="220" w:lineRule="auto"/>
              <w:ind w:left="9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（2）四上新增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42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42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>
            <w:pPr>
              <w:spacing w:before="85" w:line="220" w:lineRule="auto"/>
              <w:ind w:left="9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(3)市场提质改造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550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524.41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524.41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>
            <w:pPr>
              <w:spacing w:before="85" w:line="220" w:lineRule="auto"/>
              <w:ind w:left="9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（4）招商引资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>
            <w:pPr>
              <w:spacing w:before="85" w:line="220" w:lineRule="auto"/>
              <w:ind w:left="9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（5）消费促进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>
            <w:pPr>
              <w:spacing w:before="85" w:line="220" w:lineRule="auto"/>
              <w:ind w:left="9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103.19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95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95.47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>
            <w:pPr>
              <w:spacing w:before="85" w:line="219" w:lineRule="auto"/>
              <w:ind w:left="3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6.19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13.97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</w:tcPr>
          <w:p>
            <w:pPr>
              <w:spacing w:before="135" w:line="198" w:lineRule="auto"/>
              <w:ind w:left="111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6.71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6.23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</w:trPr>
        <w:tc>
          <w:tcPr>
            <w:tcW w:w="3850" w:type="dxa"/>
          </w:tcPr>
          <w:p>
            <w:pPr>
              <w:spacing w:before="144" w:line="198" w:lineRule="auto"/>
              <w:ind w:left="112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0.1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</w:tcPr>
          <w:p>
            <w:pPr>
              <w:spacing w:before="145" w:line="189" w:lineRule="auto"/>
              <w:ind w:left="10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szCs w:val="21"/>
              </w:rPr>
              <w:t>205.81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114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114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.02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>
            <w:pPr>
              <w:spacing w:before="145" w:line="198" w:lineRule="auto"/>
              <w:ind w:left="11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部门基本支出预算调整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711.87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920.7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920.7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vAlign w:val="center"/>
          </w:tcPr>
          <w:p>
            <w:pPr>
              <w:spacing w:before="65" w:line="39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>
            <w:pPr>
              <w:spacing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</w:tcPr>
          <w:p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990" w:type="dxa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40" w:type="dxa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85" w:type="dxa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810" w:type="dxa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869" w:type="dxa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严控三公经费和办公经费</w:t>
            </w:r>
          </w:p>
        </w:tc>
      </w:tr>
    </w:tbl>
    <w:p>
      <w:pPr>
        <w:spacing w:line="410" w:lineRule="exact"/>
        <w:rPr>
          <w:rFonts w:asciiTheme="majorEastAsia" w:hAnsiTheme="majorEastAsia" w:eastAsiaTheme="majorEastAsia" w:cstheme="majorEastAsia"/>
          <w:color w:val="000000" w:themeColor="text1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>
      <w:pPr>
        <w:jc w:val="left"/>
        <w:rPr>
          <w:rFonts w:ascii="黑体" w:hAnsi="黑体" w:cs="黑体" w:eastAsiaTheme="majorEastAsia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cols w:space="0" w:num="1"/>
          <w:docGrid w:type="lines" w:linePitch="312" w:charSpace="0"/>
        </w:sect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3"/>
          <w:szCs w:val="23"/>
          <w14:textFill>
            <w14:solidFill>
              <w14:schemeClr w14:val="tx1"/>
            </w14:solidFill>
          </w14:textFill>
        </w:rPr>
        <w:t>填表人：吴慧娟   联系电话：13786020808   单位负责人签字：填报日期：202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23"/>
          <w:szCs w:val="23"/>
          <w14:textFill>
            <w14:solidFill>
              <w14:schemeClr w14:val="tx1"/>
            </w14:solidFill>
          </w14:textFill>
        </w:rPr>
        <w:t>.6.14</w:t>
      </w: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t>附件2</w:t>
      </w: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2022年度预算单位整体支出绩效自评表</w:t>
      </w:r>
    </w:p>
    <w:p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9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1319"/>
        <w:gridCol w:w="1259"/>
        <w:gridCol w:w="719"/>
        <w:gridCol w:w="802"/>
        <w:gridCol w:w="12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vAlign w:val="center"/>
          </w:tcPr>
          <w:p>
            <w:pPr>
              <w:spacing w:line="198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预算单位名称</w:t>
            </w:r>
          </w:p>
        </w:tc>
        <w:tc>
          <w:tcPr>
            <w:tcW w:w="8751" w:type="dxa"/>
            <w:gridSpan w:val="8"/>
            <w:vAlign w:val="center"/>
          </w:tcPr>
          <w:p>
            <w:pPr>
              <w:ind w:firstLine="630" w:firstLineChars="300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岳阳市岳阳楼区商务粮食局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</w:tcPr>
          <w:p>
            <w:pPr>
              <w:spacing w:line="418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>
            <w:pPr>
              <w:spacing w:line="219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>
            <w:pPr>
              <w:spacing w:line="194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319" w:type="dxa"/>
            <w:vAlign w:val="center"/>
          </w:tcPr>
          <w:p>
            <w:pPr>
              <w:spacing w:line="194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259" w:type="dxa"/>
            <w:vAlign w:val="center"/>
          </w:tcPr>
          <w:p>
            <w:pPr>
              <w:spacing w:line="194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vAlign w:val="center"/>
          </w:tcPr>
          <w:p>
            <w:pPr>
              <w:spacing w:line="194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vAlign w:val="center"/>
          </w:tcPr>
          <w:p>
            <w:pPr>
              <w:spacing w:line="194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vAlign w:val="center"/>
          </w:tcPr>
          <w:p>
            <w:pPr>
              <w:spacing w:line="194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8" w:type="dxa"/>
            <w:gridSpan w:val="2"/>
            <w:vAlign w:val="center"/>
          </w:tcPr>
          <w:p>
            <w:pPr>
              <w:spacing w:line="193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69" w:type="dxa"/>
            <w:vAlign w:val="center"/>
          </w:tcPr>
          <w:p>
            <w:pPr>
              <w:spacing w:line="239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635.2</w:t>
            </w:r>
          </w:p>
        </w:tc>
        <w:tc>
          <w:tcPr>
            <w:tcW w:w="1319" w:type="dxa"/>
            <w:vAlign w:val="center"/>
          </w:tcPr>
          <w:p>
            <w:pPr>
              <w:spacing w:line="239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2182.1</w:t>
            </w: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259" w:type="dxa"/>
            <w:vAlign w:val="center"/>
          </w:tcPr>
          <w:p>
            <w:pPr>
              <w:spacing w:line="239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2182.1</w:t>
            </w: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719" w:type="dxa"/>
            <w:vAlign w:val="center"/>
          </w:tcPr>
          <w:p>
            <w:pPr>
              <w:spacing w:line="147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position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vAlign w:val="center"/>
          </w:tcPr>
          <w:p>
            <w:pPr>
              <w:spacing w:line="239" w:lineRule="exact"/>
              <w:jc w:val="center"/>
              <w:rPr>
                <w:rFonts w:hint="default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75" w:type="dxa"/>
            <w:vAlign w:val="center"/>
          </w:tcPr>
          <w:p>
            <w:pPr>
              <w:spacing w:line="239" w:lineRule="exact"/>
              <w:jc w:val="center"/>
              <w:rPr>
                <w:rFonts w:hint="default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vAlign w:val="center"/>
          </w:tcPr>
          <w:p>
            <w:pPr>
              <w:spacing w:line="193" w:lineRule="auto"/>
              <w:ind w:firstLine="210" w:firstLineChars="100"/>
              <w:jc w:val="left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spacing w:line="193" w:lineRule="auto"/>
              <w:ind w:firstLine="210" w:firstLineChars="100"/>
              <w:jc w:val="left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vAlign w:val="center"/>
          </w:tcPr>
          <w:p>
            <w:pPr>
              <w:spacing w:line="193" w:lineRule="auto"/>
              <w:ind w:firstLine="210" w:firstLineChars="100"/>
              <w:jc w:val="left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 一般公共预算：2182.1</w:t>
            </w: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spacing w:line="194" w:lineRule="auto"/>
              <w:ind w:firstLine="210" w:firstLineChars="100"/>
              <w:jc w:val="left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其中：基本支出：920.7</w:t>
            </w: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vAlign w:val="center"/>
          </w:tcPr>
          <w:p>
            <w:pPr>
              <w:spacing w:line="202" w:lineRule="auto"/>
              <w:ind w:firstLine="1050" w:firstLineChars="500"/>
              <w:jc w:val="left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spacing w:line="201" w:lineRule="auto"/>
              <w:ind w:firstLine="840" w:firstLineChars="400"/>
              <w:jc w:val="left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项目支出：1261.45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vAlign w:val="center"/>
          </w:tcPr>
          <w:p>
            <w:pPr>
              <w:spacing w:line="192" w:lineRule="auto"/>
              <w:ind w:firstLine="1050" w:firstLineChars="500"/>
              <w:jc w:val="left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spacing w:line="239" w:lineRule="exact"/>
              <w:jc w:val="left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vAlign w:val="center"/>
          </w:tcPr>
          <w:p>
            <w:pPr>
              <w:spacing w:line="192" w:lineRule="auto"/>
              <w:ind w:firstLine="1050" w:firstLineChars="500"/>
              <w:jc w:val="left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spacing w:line="240" w:lineRule="exact"/>
              <w:jc w:val="left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</w:tcPr>
          <w:p>
            <w:pPr>
              <w:spacing w:line="21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hint="eastAsia" w:ascii="仿宋" w:hAnsi="仿宋" w:eastAsia="仿宋" w:cs="仿宋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696" w:type="dxa"/>
            <w:gridSpan w:val="4"/>
            <w:vAlign w:val="center"/>
          </w:tcPr>
          <w:p>
            <w:pPr>
              <w:spacing w:line="19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spacing w:line="19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  <w:t>目标1：完成外资到位40万美元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  <w:t>目标2：完成1家菜市场标准化改造</w:t>
            </w: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CN"/>
              </w:rPr>
              <w:t>完成上年提质改造的12家菜市场奖补资金拨付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  <w:t>目标3：完成外贸进出口23000万美元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  <w:t>目标4：完成社零总额540亿元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numPr>
                <w:ilvl w:val="0"/>
                <w:numId w:val="1"/>
              </w:numPr>
              <w:autoSpaceDN w:val="0"/>
              <w:spacing w:line="320" w:lineRule="exact"/>
              <w:jc w:val="left"/>
              <w:textAlignment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  <w:t>全年完成外资到位40万美元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CN"/>
              </w:rPr>
              <w:t>2.</w:t>
            </w: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  <w:t>完成1家菜市场标准化改造</w:t>
            </w: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CN"/>
              </w:rPr>
              <w:t>完成上年提质改造的12家菜市场奖补资金拨付</w:t>
            </w:r>
          </w:p>
          <w:p>
            <w:pPr>
              <w:numPr>
                <w:ilvl w:val="0"/>
                <w:numId w:val="1"/>
              </w:numPr>
              <w:autoSpaceDN w:val="0"/>
              <w:spacing w:line="320" w:lineRule="exact"/>
              <w:jc w:val="left"/>
              <w:textAlignment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  <w:t>完成外贸进出口34698万美元</w:t>
            </w:r>
          </w:p>
          <w:p>
            <w:pPr>
              <w:spacing w:line="240" w:lineRule="exact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  <w:t>4.完成社零总额546.15亿元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restart"/>
            <w:tcBorders>
              <w:bottom w:val="nil"/>
            </w:tcBorders>
            <w:textDirection w:val="tbRlV"/>
          </w:tcPr>
          <w:p>
            <w:pPr>
              <w:spacing w:line="367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17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vAlign w:val="center"/>
          </w:tcPr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vAlign w:val="center"/>
          </w:tcPr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69" w:type="dxa"/>
            <w:vAlign w:val="center"/>
          </w:tcPr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319" w:type="dxa"/>
            <w:vAlign w:val="center"/>
          </w:tcPr>
          <w:p>
            <w:pPr>
              <w:spacing w:line="219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259" w:type="dxa"/>
            <w:vAlign w:val="center"/>
          </w:tcPr>
          <w:p>
            <w:pPr>
              <w:spacing w:line="219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vAlign w:val="center"/>
          </w:tcPr>
          <w:p>
            <w:pPr>
              <w:spacing w:line="219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vAlign w:val="center"/>
          </w:tcPr>
          <w:p>
            <w:pPr>
              <w:spacing w:line="219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vAlign w:val="center"/>
          </w:tcPr>
          <w:p>
            <w:pPr>
              <w:spacing w:line="21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>
            <w:pPr>
              <w:spacing w:line="19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vAlign w:val="center"/>
          </w:tcPr>
          <w:p>
            <w:pPr>
              <w:spacing w:line="269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69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7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7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481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-2"/>
                <w:position w:val="2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>
            <w:pPr>
              <w:spacing w:line="219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6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社零总额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540亿元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546.15亿元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75" w:type="dxa"/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外贸进出口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30000万美元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34698万美元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完成外资到位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40万美元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40万美元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75" w:type="dxa"/>
            <w:vAlign w:val="center"/>
          </w:tcPr>
          <w:p>
            <w:pPr>
              <w:spacing w:line="239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市场提质改造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12家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12家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75" w:type="dxa"/>
            <w:vAlign w:val="center"/>
          </w:tcPr>
          <w:p>
            <w:pPr>
              <w:spacing w:line="239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vAlign w:val="center"/>
          </w:tcPr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6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社零总额完成率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100%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101%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75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vAlign w:val="center"/>
          </w:tcPr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外贸进出口完成率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100%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116%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75" w:type="dxa"/>
            <w:vAlign w:val="center"/>
          </w:tcPr>
          <w:p>
            <w:pPr>
              <w:spacing w:line="239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67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vAlign w:val="center"/>
          </w:tcPr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完成外资到位率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100%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100%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75" w:type="dxa"/>
            <w:vAlign w:val="center"/>
          </w:tcPr>
          <w:p>
            <w:pPr>
              <w:spacing w:line="239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bottom w:val="nil"/>
            </w:tcBorders>
            <w:vAlign w:val="center"/>
          </w:tcPr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市场提质改造完成率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100%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100%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75" w:type="dxa"/>
            <w:vAlign w:val="center"/>
          </w:tcPr>
          <w:p>
            <w:pPr>
              <w:spacing w:line="239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6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市场质改造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color w:val="auto"/>
                <w:sz w:val="21"/>
                <w:szCs w:val="21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1-12月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1-12月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75" w:type="dxa"/>
            <w:vAlign w:val="center"/>
          </w:tcPr>
          <w:p>
            <w:pPr>
              <w:spacing w:line="239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>
            <w:pPr>
              <w:spacing w:line="219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6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总成本控制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不超过预算投入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2182.15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75" w:type="dxa"/>
            <w:vAlign w:val="center"/>
          </w:tcPr>
          <w:p>
            <w:pPr>
              <w:spacing w:line="239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vAlign w:val="center"/>
          </w:tcPr>
          <w:p>
            <w:pPr>
              <w:spacing w:line="25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5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5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5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491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2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29" w:type="dxa"/>
            <w:tcBorders>
              <w:bottom w:val="nil"/>
            </w:tcBorders>
            <w:vAlign w:val="center"/>
          </w:tcPr>
          <w:p>
            <w:pPr>
              <w:spacing w:line="229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开拓国际市场，开展外贸进出口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30000万美元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34698万美元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275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受疫情影响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76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vAlign w:val="center"/>
          </w:tcPr>
          <w:p>
            <w:pPr>
              <w:spacing w:line="212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提高市场的软硬件水平,提升服务水平，优化消费环境。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提高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有所提高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275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受疫情影响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26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bottom w:val="nil"/>
            </w:tcBorders>
            <w:vAlign w:val="center"/>
          </w:tcPr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提升城市形象和城市品位。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提高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有所提高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1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vAlign w:val="center"/>
          </w:tcPr>
          <w:p>
            <w:pPr>
              <w:spacing w:line="219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>
            <w:pPr>
              <w:spacing w:line="202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spacing w:line="219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26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商贸企业满意度</w:t>
            </w:r>
          </w:p>
        </w:tc>
        <w:tc>
          <w:tcPr>
            <w:tcW w:w="131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</w:rPr>
              <w:t>》90%</w:t>
            </w:r>
          </w:p>
        </w:tc>
        <w:tc>
          <w:tcPr>
            <w:tcW w:w="125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99%</w:t>
            </w:r>
          </w:p>
        </w:tc>
        <w:tc>
          <w:tcPr>
            <w:tcW w:w="71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7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市场业主满意度</w:t>
            </w:r>
          </w:p>
        </w:tc>
        <w:tc>
          <w:tcPr>
            <w:tcW w:w="131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</w:rPr>
              <w:t>》90%</w:t>
            </w:r>
          </w:p>
        </w:tc>
        <w:tc>
          <w:tcPr>
            <w:tcW w:w="125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99%</w:t>
            </w:r>
          </w:p>
        </w:tc>
        <w:tc>
          <w:tcPr>
            <w:tcW w:w="71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7039" w:type="dxa"/>
            <w:gridSpan w:val="6"/>
            <w:vAlign w:val="center"/>
          </w:tcPr>
          <w:p>
            <w:pPr>
              <w:spacing w:line="251" w:lineRule="exact"/>
              <w:ind w:firstLine="3274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" w:type="dxa"/>
            <w:vAlign w:val="center"/>
          </w:tcPr>
          <w:p>
            <w:pPr>
              <w:spacing w:line="16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97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jc w:val="left"/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="仿宋" w:hAnsi="仿宋" w:eastAsia="仿宋" w:cs="仿宋"/>
          <w:color w:val="000000" w:themeColor="text1"/>
          <w:spacing w:val="-22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吴慧娟             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pacing w:val="-22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13786020808              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="仿宋" w:hAnsi="仿宋" w:eastAsia="仿宋" w:cs="仿宋"/>
          <w:color w:val="000000" w:themeColor="text1"/>
          <w:spacing w:val="-22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2023.6.15</w:t>
      </w: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sectPr>
          <w:pgSz w:w="11906" w:h="16838"/>
          <w:pgMar w:top="1134" w:right="1417" w:bottom="1134" w:left="1134" w:header="851" w:footer="992" w:gutter="0"/>
          <w:cols w:space="0" w:num="1"/>
          <w:docGrid w:type="lines" w:linePitch="312" w:charSpace="0"/>
        </w:sectPr>
      </w:pP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t>3</w:t>
      </w: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  <w:t>岳阳楼区商务粮食局</w:t>
      </w:r>
      <w:r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  <w:t>整体支出</w:t>
      </w: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  <w:t>绩效自评报告</w:t>
      </w: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rFonts w:ascii="楷体_GB2312" w:hAnsi="楷体_GB2312" w:eastAsia="楷体_GB2312" w:cs="楷体_GB2312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部门(单位)名称：   ( 盖 章 )</w:t>
      </w:r>
    </w:p>
    <w:p>
      <w:pPr>
        <w:jc w:val="center"/>
        <w:rPr>
          <w:rFonts w:ascii="楷体_GB2312" w:hAnsi="楷体_GB2312" w:eastAsia="楷体_GB2312" w:cs="楷体_GB2312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2023</w:t>
      </w:r>
      <w:r>
        <w:rPr>
          <w:rFonts w:hint="eastAsia" w:ascii="楷体_GB2312" w:hAnsi="楷体_GB2312" w:eastAsia="楷体_GB2312" w:cs="楷体_GB2312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楷体_GB2312" w:hAnsi="楷体_GB2312" w:eastAsia="楷体_GB2312" w:cs="楷体_GB2312"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楷体_GB2312" w:hAnsi="楷体_GB2312" w:eastAsia="楷体_GB2312" w:cs="楷体_GB2312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楷体_GB2312" w:hAnsi="楷体_GB2312" w:eastAsia="楷体_GB2312" w:cs="楷体_GB2312"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15</w:t>
      </w:r>
      <w:r>
        <w:rPr>
          <w:rFonts w:hint="eastAsia" w:ascii="楷体_GB2312" w:hAnsi="楷体_GB2312" w:eastAsia="楷体_GB2312" w:cs="楷体_GB2312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日</w:t>
      </w: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2022年度岳阳楼区岳阳楼区商务粮食局整体支出绩效自评报告</w:t>
      </w: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一、单位基本情况</w:t>
      </w:r>
    </w:p>
    <w:p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二、一般公共预算支出情况</w:t>
      </w:r>
    </w:p>
    <w:p>
      <w:pPr>
        <w:ind w:firstLine="643" w:firstLineChars="200"/>
        <w:jc w:val="left"/>
        <w:rPr>
          <w:rFonts w:ascii="楷体_GB2312" w:hAnsi="楷体_GB2312" w:eastAsia="楷体_GB2312" w:cs="楷体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(一)基本支出情况</w:t>
      </w:r>
    </w:p>
    <w:p>
      <w:pPr>
        <w:pStyle w:val="5"/>
        <w:spacing w:before="0" w:beforeAutospacing="0" w:after="0" w:afterAutospacing="0" w:line="480" w:lineRule="auto"/>
        <w:ind w:firstLine="480"/>
        <w:jc w:val="both"/>
        <w:rPr>
          <w:rFonts w:ascii="仿宋_GB2312" w:hAnsi="仿宋_GB2312" w:eastAsia="仿宋_GB2312" w:cs="仿宋_GB2312"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2022年基本支出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920.70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万元，其中人员经费支出794.23万元，日常公用经费支出126.47万元。2022年“三公”经费0万元，全年无公务接待费开支，本无公务用车购置费及运行维护费，无因公出国（境）费。</w:t>
      </w:r>
    </w:p>
    <w:p>
      <w:pPr>
        <w:numPr>
          <w:ilvl w:val="0"/>
          <w:numId w:val="2"/>
        </w:numPr>
        <w:ind w:firstLine="643" w:firstLineChars="200"/>
        <w:jc w:val="left"/>
        <w:rPr>
          <w:rFonts w:ascii="楷体_GB2312" w:hAnsi="楷体_GB2312" w:eastAsia="楷体_GB2312" w:cs="楷体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项目支出情况</w:t>
      </w:r>
    </w:p>
    <w:p>
      <w:pPr>
        <w:ind w:left="420" w:leftChars="200"/>
        <w:jc w:val="left"/>
        <w:rPr>
          <w:rFonts w:ascii="楷体_GB2312" w:hAnsi="楷体_GB2312" w:eastAsia="楷体_GB2312" w:cs="楷体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2022年项目支出共计1261.45万元，其中菜市场提质改造奖补660.25万元，消费促进414万元，外经外贸44.2万元，“四上”新增奖励84万元，市场文明创建33万元。冻猪肉储备支出18万元，其他支出8万元。</w:t>
      </w:r>
    </w:p>
    <w:p>
      <w:pPr>
        <w:numPr>
          <w:ilvl w:val="0"/>
          <w:numId w:val="3"/>
        </w:num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政府性基金预算支出情况</w:t>
      </w:r>
    </w:p>
    <w:p>
      <w:pPr>
        <w:ind w:left="420" w:leftChars="200"/>
        <w:jc w:val="left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无</w:t>
      </w:r>
    </w:p>
    <w:p>
      <w:pPr>
        <w:numPr>
          <w:ilvl w:val="0"/>
          <w:numId w:val="3"/>
        </w:num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国有资本经营预算支出情况</w:t>
      </w:r>
    </w:p>
    <w:p>
      <w:pPr>
        <w:ind w:left="420" w:left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无</w:t>
      </w:r>
    </w:p>
    <w:p>
      <w:pPr>
        <w:numPr>
          <w:ilvl w:val="0"/>
          <w:numId w:val="3"/>
        </w:num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社会保险基金预算支出情况</w:t>
      </w:r>
    </w:p>
    <w:p>
      <w:pPr>
        <w:ind w:left="420" w:left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无</w:t>
      </w:r>
    </w:p>
    <w:p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六、部门整体支出绩效情况</w:t>
      </w:r>
    </w:p>
    <w:p>
      <w:pPr>
        <w:widowControl/>
        <w:spacing w:line="600" w:lineRule="exact"/>
        <w:ind w:firstLine="643" w:firstLineChars="200"/>
        <w:rPr>
          <w:rFonts w:ascii="仿宋_GB2312" w:hAnsi="宋体" w:eastAsia="仿宋_GB2312" w:cs="仿宋_GB2312"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1、</w:t>
      </w:r>
      <w:r>
        <w:rPr>
          <w:rFonts w:hint="eastAsia" w:ascii="楷体" w:hAnsi="楷体" w:eastAsia="楷体"/>
          <w:b/>
          <w:sz w:val="32"/>
          <w:szCs w:val="32"/>
        </w:rPr>
        <w:t>“三外”创新的成效进一步凸显。</w:t>
      </w:r>
      <w:r>
        <w:rPr>
          <w:rFonts w:hint="eastAsia" w:ascii="仿宋_GB2312" w:hAnsi="楷体" w:eastAsia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超额完成各项经济指标。</w:t>
      </w:r>
      <w:r>
        <w:rPr>
          <w:rFonts w:hint="eastAsia" w:ascii="仿宋_GB2312" w:hAnsi="宋体" w:eastAsia="仿宋_GB2312" w:cs="仿宋_GB2312"/>
          <w:kern w:val="0"/>
          <w:sz w:val="32"/>
          <w:szCs w:val="32"/>
        </w:rPr>
        <w:t>截止1</w:t>
      </w:r>
      <w:r>
        <w:rPr>
          <w:rFonts w:hint="eastAsia" w:ascii="仿宋_GB2312" w:hAnsi="宋体" w:eastAsia="仿宋_GB2312" w:cs="仿宋_GB2312"/>
          <w:kern w:val="0"/>
          <w:sz w:val="32"/>
          <w:szCs w:val="32"/>
          <w:lang w:val="en-US" w:eastAsia="zh-CN"/>
        </w:rPr>
        <w:t>2</w:t>
      </w:r>
      <w:r>
        <w:rPr>
          <w:rFonts w:hint="eastAsia" w:ascii="仿宋_GB2312" w:hAnsi="宋体" w:eastAsia="仿宋_GB2312" w:cs="仿宋_GB2312"/>
          <w:kern w:val="0"/>
          <w:sz w:val="32"/>
          <w:szCs w:val="32"/>
        </w:rPr>
        <w:t>月底，完成外贸进出口额</w:t>
      </w:r>
      <w:r>
        <w:rPr>
          <w:rFonts w:hint="eastAsia" w:ascii="宋体" w:hAnsi="宋体" w:cs="宋体"/>
          <w:color w:val="000000"/>
          <w:kern w:val="0"/>
          <w:sz w:val="32"/>
          <w:szCs w:val="32"/>
        </w:rPr>
        <w:t>34698</w:t>
      </w:r>
      <w:r>
        <w:rPr>
          <w:rFonts w:hint="eastAsia" w:ascii="仿宋_GB2312" w:hAnsi="宋体" w:eastAsia="仿宋_GB2312" w:cs="仿宋_GB2312"/>
          <w:kern w:val="0"/>
          <w:sz w:val="32"/>
          <w:szCs w:val="32"/>
        </w:rPr>
        <w:t>万元，同比增长36%。新增备案企业13家，有7家企业实现外贸业绩“破零”，1家企业实现外贸业绩“倍增”。</w:t>
      </w:r>
      <w:r>
        <w:rPr>
          <w:rFonts w:hint="eastAsia" w:ascii="仿宋_GB2312" w:hAnsi="楷体" w:eastAsia="仿宋_GB2312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有效实现外经贸发展新跨越。</w:t>
      </w:r>
      <w:r>
        <w:rPr>
          <w:rFonts w:hint="eastAsia" w:ascii="仿宋_GB2312" w:hAnsi="宋体" w:eastAsia="仿宋_GB2312" w:cs="仿宋_GB2312"/>
          <w:kern w:val="0"/>
          <w:sz w:val="32"/>
          <w:szCs w:val="32"/>
        </w:rPr>
        <w:t>深入走访了万越进出口贸易、三湘化工、昌盛工贸、乾明礼品等外贸企业，帮助企业解决了疫情防控、项目申报等实际问题12个，全年为13家企业办理了对外贸易经营者备案手续，为13家企业申报拨付省、市级外经贸专项资金</w:t>
      </w:r>
      <w:r>
        <w:rPr>
          <w:rFonts w:hint="eastAsia" w:ascii="仿宋_GB2312" w:hAnsi="宋体" w:eastAsia="仿宋_GB2312" w:cs="仿宋_GB2312"/>
          <w:kern w:val="0"/>
          <w:sz w:val="32"/>
          <w:szCs w:val="32"/>
          <w:lang w:val="en-US" w:eastAsia="zh-CN"/>
        </w:rPr>
        <w:t>44.2</w:t>
      </w:r>
      <w:r>
        <w:rPr>
          <w:rFonts w:hint="eastAsia" w:ascii="仿宋_GB2312" w:hAnsi="宋体" w:eastAsia="仿宋_GB2312" w:cs="仿宋_GB2312"/>
          <w:kern w:val="0"/>
          <w:sz w:val="32"/>
          <w:szCs w:val="32"/>
        </w:rPr>
        <w:t>万元，为7家企业申报拨付开放促进奖励23万元，本年度共为14家企业17个项目申报省级外经贸发展资金150.808万元。</w:t>
      </w:r>
    </w:p>
    <w:p>
      <w:pPr>
        <w:ind w:firstLine="643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楷体" w:hAnsi="楷体" w:eastAsia="楷体" w:cs="方正小标宋简体"/>
          <w:b/>
          <w:bCs/>
          <w:sz w:val="32"/>
          <w:szCs w:val="32"/>
        </w:rPr>
        <w:t>2、社零统计的活力进一步增强。</w:t>
      </w:r>
      <w:r>
        <w:rPr>
          <w:rFonts w:hint="eastAsia" w:ascii="仿宋_GB2312" w:hAnsi="楷体" w:eastAsia="仿宋_GB2312" w:cs="方正小标宋简体"/>
          <w:b/>
          <w:bCs/>
          <w:sz w:val="32"/>
          <w:szCs w:val="32"/>
        </w:rPr>
        <w:t>社会消费品零售总额统计工作稳中向好。</w:t>
      </w:r>
      <w:r>
        <w:rPr>
          <w:rFonts w:hint="eastAsia" w:ascii="仿宋_GB2312" w:hAnsi="宋体" w:eastAsia="仿宋_GB2312" w:cs="仿宋_GB2312"/>
          <w:kern w:val="0"/>
          <w:sz w:val="32"/>
          <w:szCs w:val="32"/>
        </w:rPr>
        <w:t>截止11月，累计走访企业100多家，深入企业了解经营现状和实际困难，做好服务工作，有针对性的通过电话联系及实地查看等方式与企业沟通交流开展“四上企业”新增申报工作，联系走访企业90多家，实地查看40多家，圆满完成年初既定的新增20家目标任务。1-10月，我区累计完成社会消费品零售总额445.6亿元，同比增长3.6%，总量全市第一。</w:t>
      </w:r>
      <w:r>
        <w:rPr>
          <w:rFonts w:hint="eastAsia" w:ascii="仿宋_GB2312" w:hAnsi="楷体" w:eastAsia="仿宋_GB2312" w:cs="方正小标宋简体"/>
          <w:b/>
          <w:bCs/>
          <w:sz w:val="32"/>
          <w:szCs w:val="32"/>
        </w:rPr>
        <w:t>行业发展促进工作稳步提升。</w:t>
      </w:r>
      <w:r>
        <w:rPr>
          <w:rFonts w:hint="eastAsia" w:ascii="仿宋_GB2312" w:hAnsi="宋体" w:eastAsia="仿宋_GB2312" w:cs="仿宋_GB2312"/>
          <w:kern w:val="0"/>
          <w:sz w:val="32"/>
          <w:szCs w:val="32"/>
        </w:rPr>
        <w:t>1月份组织开展“岳阳市“玩转巴陵”2022新潮年货节暨扶贫助农直播嘉年华活动”，共计40家企业参与活动，累计销售额5.2亿元；3月份开展了“乐享消费·悦动巴陵”第十届湘北车展，共有参展单位25家，现场展车116台，共签约订单262个，车展累计销售额达5000万元；5月份协助市局开展了“惠动盛夏•礼赠金秋”2022年“巴陵消费券”购物消费节活动，共发放消费券1000万元；7月份协助开展“洞庭渔火节•惠民车展暨汽车下乡活动”，发放消费券1000万元，11月1日由我区成功主办的“礼赞新时代”畅享购物季活动，活动共计发放消费券2000万元。各活动涉及住宿、餐饮、零售等多个行业，有效促进辖区内消费增长，充分激发了市场消费动力。</w:t>
      </w:r>
    </w:p>
    <w:p>
      <w:pPr>
        <w:ind w:firstLine="643" w:firstLineChars="200"/>
        <w:rPr>
          <w:rFonts w:ascii="仿宋_GB2312" w:hAnsi="宋体" w:eastAsia="仿宋_GB2312" w:cs="仿宋_GB2312"/>
          <w:kern w:val="0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kern w:val="0"/>
          <w:sz w:val="32"/>
          <w:szCs w:val="32"/>
        </w:rPr>
        <w:t>3、市场建设的质效进一步提升。</w:t>
      </w:r>
      <w:r>
        <w:rPr>
          <w:rFonts w:hint="eastAsia" w:ascii="仿宋_GB2312" w:hAnsi="宋体" w:eastAsia="仿宋_GB2312" w:cs="仿宋_GB2312"/>
          <w:kern w:val="0"/>
          <w:sz w:val="32"/>
          <w:szCs w:val="32"/>
        </w:rPr>
        <w:t>根据市、区创建国家文明城市工作职责分工，区商务粮食局牵头联合市场监督局、城管局、农业农村局等相关部门集中整治农（集）贸市场地面破损、出店经营、车辆乱停放、售卖野生动物、卫生死角等问题300余个，确保市场卫生整洁，秩序井然，文明守法经营，顺利完成市场文明创建迎检任务；认真落实《岳阳市岳阳楼区菜市场提质改造三年攻坚行动实施方案（2020-2022）年》（岳楼政办函[2020]8号）文件指示精神，高标准推进菜市场提质改造。对照“四个一”建设目标，做到市场内消防设施、排水设施、农残检测室、保鲜柜、清洗池、垃圾桶一应俱全，花板桥菜市场已完成提质改造，已于8月份开始营业，总投资2000万元，共有314个摊位及门面，为周边市民提供了一个干净舒适的购菜环境。梅溪桥菜市场经市政府同意调整为跨年度提质改造项目。</w:t>
      </w:r>
      <w:r>
        <w:rPr>
          <w:rFonts w:hint="eastAsia" w:ascii="仿宋_GB2312" w:hAnsi="宋体" w:eastAsia="仿宋_GB2312" w:cs="仿宋_GB2312"/>
          <w:kern w:val="0"/>
          <w:sz w:val="32"/>
          <w:szCs w:val="32"/>
          <w:lang w:val="en-US" w:eastAsia="zh-CN"/>
        </w:rPr>
        <w:t>完成上年度已经提质改造的12家菜市场即将不资金拨付。</w:t>
      </w:r>
    </w:p>
    <w:p>
      <w:pPr>
        <w:spacing w:line="600" w:lineRule="exact"/>
        <w:ind w:firstLine="643" w:firstLineChars="200"/>
        <w:rPr>
          <w:rFonts w:ascii="仿宋_GB2312" w:hAnsi="宋体" w:eastAsia="仿宋_GB2312" w:cs="仿宋_GB2312"/>
          <w:kern w:val="0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kern w:val="0"/>
          <w:sz w:val="32"/>
          <w:szCs w:val="32"/>
        </w:rPr>
        <w:t>4、数字经济的步伐进一步加快。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为企业业务发展牵线搭桥、出谋划策。</w:t>
      </w:r>
      <w:r>
        <w:rPr>
          <w:rFonts w:hint="eastAsia" w:ascii="仿宋_GB2312" w:hAnsi="宋体" w:eastAsia="仿宋_GB2312" w:cs="仿宋_GB2312"/>
          <w:kern w:val="0"/>
          <w:sz w:val="32"/>
          <w:szCs w:val="32"/>
        </w:rPr>
        <w:t>与联企众创空间、岳阳连线科技有限公司、湖南职业学院美术系分别探讨引进腾讯动漫外包业务的实施。与两家网红企业实地调研泰和蔬菜科技园，探讨直播带货事宜。向企业推广岳阳连线公司开发的人脉系统、客户关系系统，助推企业转型升级。协助岳阳日报与泰和集团对接，助力媒商结合。在走访企业时，积极向企业宣讲我区相关优惠政策，帮助符合条件的企业争取奖补。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加快推进楼区电商产业园建设。</w:t>
      </w:r>
      <w:r>
        <w:rPr>
          <w:rFonts w:hint="eastAsia" w:ascii="仿宋_GB2312" w:hAnsi="宋体" w:eastAsia="仿宋_GB2312" w:cs="仿宋_GB2312"/>
          <w:kern w:val="0"/>
          <w:sz w:val="32"/>
          <w:szCs w:val="32"/>
        </w:rPr>
        <w:t>2月28日与，我局工作人员市供销社周变龙主任一同考察大美农产品交易中心，该场地可作为楼区电商产业园建设用地的备选方案。该中心项目总投资估算为7770万，规划总用地面积7283.11㎡，规划新建总建筑面积18450㎡，其中办公用地11800㎡，地下车库6620㎡。目前地皮拆迁工作已完成。</w:t>
      </w:r>
    </w:p>
    <w:p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七、存在的问题及原因分析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绩效考核意识有待进一步加强，内部绩效管理制度还不够完善，评价体系有待进一步健全。预算编制工作不够细化。</w:t>
      </w:r>
    </w:p>
    <w:p>
      <w:pPr>
        <w:numPr>
          <w:ilvl w:val="0"/>
          <w:numId w:val="4"/>
        </w:num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下一步改进措施</w:t>
      </w:r>
    </w:p>
    <w:p>
      <w:pPr>
        <w:pStyle w:val="5"/>
        <w:spacing w:before="0" w:beforeAutospacing="0" w:after="0" w:afterAutospacing="0" w:line="33" w:lineRule="atLeast"/>
        <w:ind w:firstLine="640" w:firstLineChars="200"/>
        <w:jc w:val="both"/>
        <w:rPr>
          <w:rFonts w:ascii="仿宋_GB2312" w:hAnsi="仿宋_GB2312" w:eastAsia="仿宋_GB2312" w:cs="仿宋_GB2312"/>
          <w:bCs/>
          <w:sz w:val="32"/>
          <w:szCs w:val="32"/>
        </w:rPr>
      </w:pPr>
      <w:bookmarkStart w:id="0" w:name="_GoBack"/>
      <w:r>
        <w:rPr>
          <w:rFonts w:hint="eastAsia" w:ascii="仿宋_GB2312" w:hAnsi="仿宋_GB2312" w:eastAsia="仿宋_GB2312" w:cs="仿宋_GB2312"/>
          <w:bCs/>
          <w:sz w:val="32"/>
          <w:szCs w:val="32"/>
        </w:rPr>
        <w:t>1、加强绩效管理，完善绩效管理制度。</w:t>
      </w:r>
    </w:p>
    <w:p>
      <w:pPr>
        <w:pStyle w:val="5"/>
        <w:spacing w:before="0" w:beforeAutospacing="0" w:after="0" w:afterAutospacing="0" w:line="33" w:lineRule="atLeast"/>
        <w:ind w:firstLine="640" w:firstLineChars="200"/>
        <w:jc w:val="both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2、严格执行财务预算管理制度，重视日常财务收支管理，建立健全各项财务制度，对一切开支严格按财务制度办理，极大地提高资金的使用效益，达到节约支出的目的。</w:t>
      </w:r>
    </w:p>
    <w:p>
      <w:pPr>
        <w:pStyle w:val="5"/>
        <w:spacing w:before="0" w:beforeAutospacing="0" w:after="0" w:afterAutospacing="0" w:line="33" w:lineRule="atLeast"/>
        <w:ind w:firstLine="640" w:firstLineChars="200"/>
        <w:jc w:val="both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3、强化监督，不断提高专项资金使用效益。</w:t>
      </w:r>
    </w:p>
    <w:p>
      <w:pPr>
        <w:pStyle w:val="5"/>
        <w:spacing w:before="0" w:beforeAutospacing="0" w:after="0" w:afterAutospacing="0" w:line="33" w:lineRule="atLeast"/>
        <w:ind w:firstLine="640" w:firstLineChars="200"/>
        <w:jc w:val="both"/>
        <w:rPr>
          <w:rFonts w:ascii="仿宋_GB2312" w:hAnsi="仿宋_GB2312" w:eastAsia="仿宋_GB2312" w:cs="仿宋_GB2312"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4、持续抓好‘三公经费’的管理和使用</w:t>
      </w:r>
      <w:r>
        <w:rPr>
          <w:rFonts w:hint="eastAsia" w:ascii="仿宋_GB2312" w:hAnsi="仿宋_GB2312" w:eastAsia="仿宋_GB2312" w:cs="仿宋_GB2312"/>
          <w:bCs/>
          <w:sz w:val="28"/>
          <w:szCs w:val="28"/>
        </w:rPr>
        <w:t>。</w:t>
      </w:r>
    </w:p>
    <w:bookmarkEnd w:id="0"/>
    <w:p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>
      <w:pPr>
        <w:ind w:firstLine="640" w:firstLineChars="200"/>
        <w:jc w:val="left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拟公开。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before="169" w:line="776" w:lineRule="exact"/>
        <w:ind w:left="372"/>
        <w:rPr>
          <w:rFonts w:ascii="宋体" w:hAnsi="宋体" w:eastAsia="宋体" w:cs="宋体"/>
          <w:b/>
          <w:bCs/>
          <w:color w:val="000000" w:themeColor="text1"/>
          <w:spacing w:val="19"/>
          <w:position w:val="17"/>
          <w:sz w:val="36"/>
          <w:szCs w:val="36"/>
          <w14:textFill>
            <w14:solidFill>
              <w14:schemeClr w14:val="tx1"/>
            </w14:solidFill>
          </w14:textFill>
        </w:rPr>
        <w:sectPr>
          <w:pgSz w:w="11906" w:h="16838"/>
          <w:pgMar w:top="1701" w:right="1701" w:bottom="1701" w:left="1701" w:header="851" w:footer="992" w:gutter="0"/>
          <w:cols w:space="0" w:num="1"/>
          <w:docGrid w:type="lines" w:linePitch="312" w:charSpace="0"/>
        </w:sectPr>
      </w:pP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t>附件4</w:t>
      </w: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9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101"/>
        <w:gridCol w:w="128"/>
        <w:gridCol w:w="1131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1075" w:type="dxa"/>
            <w:vAlign w:val="center"/>
          </w:tcPr>
          <w:p>
            <w:pPr>
              <w:spacing w:line="226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spacing w:line="226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9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市场提质改造奖补支出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vAlign w:val="center"/>
          </w:tcPr>
          <w:p>
            <w:pPr>
              <w:spacing w:line="202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5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vAlign w:val="center"/>
          </w:tcPr>
          <w:p>
            <w:pPr>
              <w:spacing w:line="20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>
            <w:pPr>
              <w:spacing w:line="254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55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spacing w:line="20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3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660.25</w:t>
            </w: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660.25</w:t>
            </w:r>
          </w:p>
        </w:tc>
        <w:tc>
          <w:tcPr>
            <w:tcW w:w="685" w:type="dxa"/>
            <w:vAlign w:val="center"/>
          </w:tcPr>
          <w:p>
            <w:pPr>
              <w:spacing w:line="165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spacing w:line="20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3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660.25</w:t>
            </w: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660.25</w:t>
            </w:r>
          </w:p>
        </w:tc>
        <w:tc>
          <w:tcPr>
            <w:tcW w:w="68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spacing w:line="20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spacing w:line="20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>
            <w:pPr>
              <w:spacing w:line="206" w:lineRule="auto"/>
              <w:ind w:hanging="209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spacing w:line="206" w:lineRule="auto"/>
              <w:ind w:hanging="209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5"/>
            <w:vAlign w:val="center"/>
          </w:tcPr>
          <w:p>
            <w:pPr>
              <w:spacing w:line="20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vAlign w:val="center"/>
          </w:tcPr>
          <w:p>
            <w:pPr>
              <w:spacing w:line="20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2021年完成12家农贸市场提质改造</w:t>
            </w:r>
          </w:p>
        </w:tc>
        <w:tc>
          <w:tcPr>
            <w:tcW w:w="3985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完成12家农贸市场提质改造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  <w:right w:val="single" w:color="auto" w:sz="4" w:space="0"/>
            </w:tcBorders>
            <w:textDirection w:val="tbRlV"/>
            <w:vAlign w:val="center"/>
          </w:tcPr>
          <w:p>
            <w:pPr>
              <w:spacing w:line="217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2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hanging="99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  <w:right w:val="single" w:color="auto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56" w:lineRule="auto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  <w:p>
            <w:pPr>
              <w:spacing w:line="257" w:lineRule="auto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  <w:p>
            <w:pPr>
              <w:spacing w:line="257" w:lineRule="auto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  <w:p>
            <w:pPr>
              <w:spacing w:line="257" w:lineRule="auto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  <w:p>
            <w:pPr>
              <w:spacing w:line="50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position w:val="22"/>
                <w:sz w:val="21"/>
                <w:szCs w:val="21"/>
              </w:rPr>
              <w:t>产出指标</w:t>
            </w:r>
          </w:p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(50分)</w:t>
            </w: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19" w:lineRule="auto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数量指标</w:t>
            </w: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农贸市场提质改造数</w:t>
            </w:r>
          </w:p>
        </w:tc>
        <w:tc>
          <w:tcPr>
            <w:tcW w:w="12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12家</w:t>
            </w:r>
          </w:p>
        </w:tc>
        <w:tc>
          <w:tcPr>
            <w:tcW w:w="1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12家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19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5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19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5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19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  <w:right w:val="single" w:color="auto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农贸市场改造面积</w:t>
            </w:r>
          </w:p>
        </w:tc>
        <w:tc>
          <w:tcPr>
            <w:tcW w:w="12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1.88万㎡</w:t>
            </w:r>
          </w:p>
        </w:tc>
        <w:tc>
          <w:tcPr>
            <w:tcW w:w="1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1.88万㎡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5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5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1075" w:type="dxa"/>
            <w:vMerge w:val="continue"/>
            <w:tcBorders>
              <w:top w:val="nil"/>
              <w:bottom w:val="nil"/>
              <w:right w:val="single" w:color="auto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质量指标</w:t>
            </w: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Style w:val="11"/>
                <w:color w:val="auto"/>
                <w:lang w:val="en-US" w:eastAsia="zh-CN" w:bidi="ar"/>
              </w:rPr>
              <w:t>农贸市场提质改造</w:t>
            </w:r>
            <w:r>
              <w:rPr>
                <w:rStyle w:val="12"/>
                <w:color w:val="auto"/>
                <w:lang w:val="en-US" w:eastAsia="zh-CN" w:bidi="ar"/>
              </w:rPr>
              <w:t>完成</w:t>
            </w:r>
            <w:r>
              <w:rPr>
                <w:rStyle w:val="11"/>
                <w:color w:val="auto"/>
                <w:lang w:val="en-US" w:eastAsia="zh-CN" w:bidi="ar"/>
              </w:rPr>
              <w:t>率</w:t>
            </w:r>
          </w:p>
        </w:tc>
        <w:tc>
          <w:tcPr>
            <w:tcW w:w="12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100%</w:t>
            </w:r>
          </w:p>
        </w:tc>
        <w:tc>
          <w:tcPr>
            <w:tcW w:w="1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100%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30" w:lineRule="exact"/>
              <w:jc w:val="center"/>
              <w:rPr>
                <w:rFonts w:hint="default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  <w:right w:val="single" w:color="auto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时效指标</w:t>
            </w: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39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2021年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12月31日前完成改造</w:t>
            </w:r>
          </w:p>
        </w:tc>
        <w:tc>
          <w:tcPr>
            <w:tcW w:w="12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39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完成改造</w:t>
            </w:r>
          </w:p>
        </w:tc>
        <w:tc>
          <w:tcPr>
            <w:tcW w:w="1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39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改造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完成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39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10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39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10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39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  <w:right w:val="single" w:color="auto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19" w:lineRule="auto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成本指标</w:t>
            </w: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2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总成本控制</w:t>
            </w:r>
          </w:p>
        </w:tc>
        <w:tc>
          <w:tcPr>
            <w:tcW w:w="12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不超过预算投入</w:t>
            </w:r>
          </w:p>
        </w:tc>
        <w:tc>
          <w:tcPr>
            <w:tcW w:w="1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660.25万元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2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10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2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10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2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3" w:hRule="atLeast"/>
        </w:trPr>
        <w:tc>
          <w:tcPr>
            <w:tcW w:w="1075" w:type="dxa"/>
            <w:vMerge w:val="continue"/>
            <w:tcBorders>
              <w:top w:val="nil"/>
              <w:bottom w:val="nil"/>
              <w:right w:val="single" w:color="auto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效益指标（30分）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社会效益指标</w:t>
            </w: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提升市场经营环境,干净整洁,文明有序。</w:t>
            </w:r>
          </w:p>
        </w:tc>
        <w:tc>
          <w:tcPr>
            <w:tcW w:w="12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持续提升</w:t>
            </w:r>
          </w:p>
        </w:tc>
        <w:tc>
          <w:tcPr>
            <w:tcW w:w="1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持续提升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难以常态长效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5" w:hRule="atLeast"/>
        </w:trPr>
        <w:tc>
          <w:tcPr>
            <w:tcW w:w="1075" w:type="dxa"/>
            <w:vMerge w:val="continue"/>
            <w:tcBorders>
              <w:top w:val="nil"/>
              <w:bottom w:val="nil"/>
              <w:right w:val="single" w:color="auto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可持续影响指标</w:t>
            </w: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加强所有市场经营环境文明建设，建立良好舒适的购销市场空间</w:t>
            </w:r>
          </w:p>
        </w:tc>
        <w:tc>
          <w:tcPr>
            <w:tcW w:w="12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持续提升</w:t>
            </w:r>
          </w:p>
        </w:tc>
        <w:tc>
          <w:tcPr>
            <w:tcW w:w="1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持续提升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难以常态长效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  <w:right w:val="single" w:color="auto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满意度</w:t>
            </w:r>
          </w:p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指标</w:t>
            </w:r>
          </w:p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(10分)</w:t>
            </w: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服务对象</w:t>
            </w:r>
          </w:p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满意度</w:t>
            </w:r>
          </w:p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指标</w:t>
            </w: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市场业主满意度</w:t>
            </w:r>
          </w:p>
        </w:tc>
        <w:tc>
          <w:tcPr>
            <w:tcW w:w="12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default" w:ascii="Arial" w:hAnsi="Arial" w:eastAsia="仿宋" w:cs="Arial"/>
                <w:color w:val="auto"/>
                <w:kern w:val="0"/>
                <w:sz w:val="21"/>
                <w:szCs w:val="21"/>
              </w:rPr>
              <w:t>≥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</w:rPr>
              <w:t>90%</w:t>
            </w:r>
          </w:p>
        </w:tc>
        <w:tc>
          <w:tcPr>
            <w:tcW w:w="1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100%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5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5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075" w:type="dxa"/>
            <w:vMerge w:val="continue"/>
            <w:tcBorders>
              <w:top w:val="nil"/>
              <w:bottom w:val="nil"/>
              <w:right w:val="single" w:color="auto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  <w:tc>
          <w:tcPr>
            <w:tcW w:w="1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市民满意度</w:t>
            </w:r>
          </w:p>
        </w:tc>
        <w:tc>
          <w:tcPr>
            <w:tcW w:w="12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default" w:ascii="Arial" w:hAnsi="Arial" w:eastAsia="仿宋" w:cs="Arial"/>
                <w:color w:val="auto"/>
                <w:kern w:val="0"/>
                <w:sz w:val="21"/>
                <w:szCs w:val="21"/>
              </w:rPr>
              <w:t>≥</w:t>
            </w: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</w:rPr>
              <w:t>90%</w:t>
            </w:r>
          </w:p>
        </w:tc>
        <w:tc>
          <w:tcPr>
            <w:tcW w:w="1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100%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5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5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ind w:firstLine="3145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总分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161" w:lineRule="auto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100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94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</w:tr>
    </w:tbl>
    <w:p>
      <w:pPr>
        <w:spacing w:line="252" w:lineRule="auto"/>
        <w:rPr>
          <w:rFonts w:hint="eastAsia" w:ascii="仿宋" w:hAnsi="仿宋" w:eastAsia="仿宋" w:cs="仿宋"/>
          <w:color w:val="auto"/>
          <w:sz w:val="21"/>
          <w:szCs w:val="21"/>
        </w:rPr>
      </w:pPr>
    </w:p>
    <w:p>
      <w:pPr>
        <w:spacing w:before="75" w:line="230" w:lineRule="auto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cols w:space="0" w:num="1"/>
          <w:docGrid w:type="lines" w:linePitch="312" w:charSpace="0"/>
        </w:sectPr>
      </w:pPr>
      <w:r>
        <w:rPr>
          <w:rFonts w:hint="eastAsia" w:ascii="仿宋" w:hAnsi="仿宋" w:eastAsia="仿宋" w:cs="仿宋"/>
          <w:color w:val="000000" w:themeColor="text1"/>
          <w:spacing w:val="-26"/>
          <w:sz w:val="21"/>
          <w:szCs w:val="21"/>
          <w14:textFill>
            <w14:solidFill>
              <w14:schemeClr w14:val="tx1"/>
            </w14:solidFill>
          </w14:textFill>
        </w:rPr>
        <w:t>填表人：吴慧娟</w:t>
      </w:r>
      <w:r>
        <w:rPr>
          <w:rFonts w:hint="eastAsia" w:ascii="仿宋" w:hAnsi="仿宋" w:eastAsia="仿宋" w:cs="仿宋"/>
          <w:color w:val="000000" w:themeColor="text1"/>
          <w:spacing w:val="-26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color w:val="000000" w:themeColor="text1"/>
          <w:spacing w:val="-26"/>
          <w:sz w:val="21"/>
          <w:szCs w:val="21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pacing w:val="3"/>
          <w:sz w:val="21"/>
          <w:szCs w:val="21"/>
          <w14:textFill>
            <w14:solidFill>
              <w14:schemeClr w14:val="tx1"/>
            </w14:solidFill>
          </w14:textFill>
        </w:rPr>
        <w:t xml:space="preserve">13786020808    </w:t>
      </w:r>
      <w:r>
        <w:rPr>
          <w:rFonts w:hint="eastAsia" w:ascii="仿宋" w:hAnsi="仿宋" w:eastAsia="仿宋" w:cs="仿宋"/>
          <w:color w:val="000000" w:themeColor="text1"/>
          <w:spacing w:val="-26"/>
          <w:sz w:val="21"/>
          <w:szCs w:val="21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         </w:t>
      </w:r>
      <w:r>
        <w:rPr>
          <w:rFonts w:hint="eastAsia" w:ascii="仿宋" w:hAnsi="仿宋" w:eastAsia="仿宋" w:cs="仿宋"/>
          <w:color w:val="000000" w:themeColor="text1"/>
          <w:spacing w:val="-26"/>
          <w:sz w:val="21"/>
          <w:szCs w:val="21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="仿宋" w:hAnsi="仿宋" w:eastAsia="仿宋" w:cs="仿宋"/>
          <w:color w:val="000000" w:themeColor="text1"/>
          <w:spacing w:val="4"/>
          <w:sz w:val="21"/>
          <w:szCs w:val="21"/>
          <w14:textFill>
            <w14:solidFill>
              <w14:schemeClr w14:val="tx1"/>
            </w14:solidFill>
          </w14:textFill>
        </w:rPr>
        <w:t>2023.6.15</w:t>
      </w: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9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vAlign w:val="center"/>
          </w:tcPr>
          <w:p>
            <w:pPr>
              <w:spacing w:line="226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spacing w:line="226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四上新增奖励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vAlign w:val="center"/>
          </w:tcPr>
          <w:p>
            <w:pPr>
              <w:spacing w:line="202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岳阳楼区商务粮食局</w:t>
            </w:r>
          </w:p>
        </w:tc>
        <w:tc>
          <w:tcPr>
            <w:tcW w:w="1140" w:type="dxa"/>
            <w:vAlign w:val="center"/>
          </w:tcPr>
          <w:p>
            <w:pPr>
              <w:spacing w:line="20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>
            <w:pPr>
              <w:spacing w:line="254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55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2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spacing w:line="20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3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84</w:t>
            </w: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84</w:t>
            </w:r>
          </w:p>
        </w:tc>
        <w:tc>
          <w:tcPr>
            <w:tcW w:w="685" w:type="dxa"/>
            <w:vAlign w:val="center"/>
          </w:tcPr>
          <w:p>
            <w:pPr>
              <w:spacing w:line="165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position w:val="-2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spacing w:line="20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3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84</w:t>
            </w: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84</w:t>
            </w:r>
          </w:p>
        </w:tc>
        <w:tc>
          <w:tcPr>
            <w:tcW w:w="68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spacing w:line="20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7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spacing w:line="20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>
            <w:pPr>
              <w:spacing w:line="206" w:lineRule="auto"/>
              <w:ind w:hanging="209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spacing w:line="206" w:lineRule="auto"/>
              <w:ind w:hanging="209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vAlign w:val="center"/>
          </w:tcPr>
          <w:p>
            <w:pPr>
              <w:spacing w:line="20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vAlign w:val="center"/>
          </w:tcPr>
          <w:p>
            <w:pPr>
              <w:spacing w:line="20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新增20家限额以上企业</w:t>
            </w:r>
          </w:p>
        </w:tc>
        <w:tc>
          <w:tcPr>
            <w:tcW w:w="3985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完成年初暨定的20家目标任务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3" w:hRule="atLeast"/>
        </w:trPr>
        <w:tc>
          <w:tcPr>
            <w:tcW w:w="1075" w:type="dxa"/>
            <w:vMerge w:val="restart"/>
            <w:tcBorders>
              <w:bottom w:val="nil"/>
            </w:tcBorders>
            <w:textDirection w:val="tbRlV"/>
            <w:vAlign w:val="center"/>
          </w:tcPr>
          <w:p>
            <w:pPr>
              <w:spacing w:line="217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80" w:type="dxa"/>
            <w:tcBorders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vAlign w:val="center"/>
          </w:tcPr>
          <w:p>
            <w:pPr>
              <w:spacing w:line="240" w:lineRule="exact"/>
              <w:ind w:hanging="99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3" w:hRule="atLeast"/>
        </w:trPr>
        <w:tc>
          <w:tcPr>
            <w:tcW w:w="1075" w:type="dxa"/>
            <w:vMerge w:val="continue"/>
            <w:tcBorders>
              <w:top w:val="nil"/>
              <w:bottom w:val="nil"/>
              <w:right w:val="single" w:color="auto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56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57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57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57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50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position w:val="22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tcBorders>
              <w:left w:val="single" w:color="auto" w:sz="4" w:space="0"/>
              <w:bottom w:val="nil"/>
            </w:tcBorders>
            <w:vAlign w:val="center"/>
          </w:tcPr>
          <w:p>
            <w:pPr>
              <w:spacing w:line="219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vAlign w:val="center"/>
          </w:tcPr>
          <w:p>
            <w:pPr>
              <w:spacing w:line="219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新增限额以上企业</w:t>
            </w:r>
          </w:p>
        </w:tc>
        <w:tc>
          <w:tcPr>
            <w:tcW w:w="1131" w:type="dxa"/>
            <w:vAlign w:val="center"/>
          </w:tcPr>
          <w:p>
            <w:pPr>
              <w:spacing w:line="219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20家</w:t>
            </w:r>
          </w:p>
        </w:tc>
        <w:tc>
          <w:tcPr>
            <w:tcW w:w="1140" w:type="dxa"/>
            <w:vAlign w:val="center"/>
          </w:tcPr>
          <w:p>
            <w:pPr>
              <w:spacing w:line="219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20家</w:t>
            </w:r>
          </w:p>
        </w:tc>
        <w:tc>
          <w:tcPr>
            <w:tcW w:w="685" w:type="dxa"/>
            <w:vAlign w:val="center"/>
          </w:tcPr>
          <w:p>
            <w:pPr>
              <w:spacing w:line="219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795" w:type="dxa"/>
            <w:vAlign w:val="center"/>
          </w:tcPr>
          <w:p>
            <w:pPr>
              <w:spacing w:line="219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365" w:type="dxa"/>
            <w:vAlign w:val="center"/>
          </w:tcPr>
          <w:p>
            <w:pPr>
              <w:spacing w:line="219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  <w:right w:val="single" w:color="auto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left w:val="single" w:color="auto" w:sz="4" w:space="0"/>
              <w:bottom w:val="nil"/>
            </w:tcBorders>
            <w:vAlign w:val="center"/>
          </w:tcPr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符合国家统计部门要求的批零住餐企业的比例</w:t>
            </w:r>
          </w:p>
        </w:tc>
        <w:tc>
          <w:tcPr>
            <w:tcW w:w="1131" w:type="dxa"/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795" w:type="dxa"/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365" w:type="dxa"/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3" w:hRule="atLeast"/>
        </w:trPr>
        <w:tc>
          <w:tcPr>
            <w:tcW w:w="1075" w:type="dxa"/>
            <w:vMerge w:val="continue"/>
            <w:tcBorders>
              <w:top w:val="nil"/>
              <w:bottom w:val="nil"/>
              <w:right w:val="single" w:color="auto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left w:val="single" w:color="auto" w:sz="4" w:space="0"/>
              <w:bottom w:val="nil"/>
            </w:tcBorders>
            <w:vAlign w:val="center"/>
          </w:tcPr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vAlign w:val="center"/>
          </w:tcPr>
          <w:p>
            <w:pPr>
              <w:spacing w:line="239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完成奖励扶持</w:t>
            </w:r>
          </w:p>
        </w:tc>
        <w:tc>
          <w:tcPr>
            <w:tcW w:w="1131" w:type="dxa"/>
            <w:vAlign w:val="center"/>
          </w:tcPr>
          <w:p>
            <w:pPr>
              <w:spacing w:line="239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年度内完成</w:t>
            </w:r>
          </w:p>
        </w:tc>
        <w:tc>
          <w:tcPr>
            <w:tcW w:w="1140" w:type="dxa"/>
            <w:vAlign w:val="center"/>
          </w:tcPr>
          <w:p>
            <w:pPr>
              <w:spacing w:line="239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年度内完成</w:t>
            </w:r>
          </w:p>
        </w:tc>
        <w:tc>
          <w:tcPr>
            <w:tcW w:w="685" w:type="dxa"/>
            <w:vAlign w:val="center"/>
          </w:tcPr>
          <w:p>
            <w:pPr>
              <w:spacing w:line="239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vAlign w:val="center"/>
          </w:tcPr>
          <w:p>
            <w:pPr>
              <w:spacing w:line="239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vAlign w:val="center"/>
          </w:tcPr>
          <w:p>
            <w:pPr>
              <w:spacing w:line="239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5" w:hRule="atLeast"/>
        </w:trPr>
        <w:tc>
          <w:tcPr>
            <w:tcW w:w="1075" w:type="dxa"/>
            <w:vMerge w:val="continue"/>
            <w:tcBorders>
              <w:top w:val="nil"/>
              <w:bottom w:val="nil"/>
              <w:right w:val="single" w:color="auto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left w:val="single" w:color="auto" w:sz="4" w:space="0"/>
              <w:bottom w:val="nil"/>
            </w:tcBorders>
            <w:vAlign w:val="center"/>
          </w:tcPr>
          <w:p>
            <w:pPr>
              <w:spacing w:line="219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vAlign w:val="center"/>
          </w:tcPr>
          <w:p>
            <w:pPr>
              <w:spacing w:line="22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总成本控制</w:t>
            </w:r>
          </w:p>
        </w:tc>
        <w:tc>
          <w:tcPr>
            <w:tcW w:w="1131" w:type="dxa"/>
            <w:vAlign w:val="center"/>
          </w:tcPr>
          <w:p>
            <w:pPr>
              <w:spacing w:line="22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不超过预算投入</w:t>
            </w:r>
          </w:p>
        </w:tc>
        <w:tc>
          <w:tcPr>
            <w:tcW w:w="1140" w:type="dxa"/>
            <w:vAlign w:val="center"/>
          </w:tcPr>
          <w:p>
            <w:pPr>
              <w:spacing w:line="22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84万</w:t>
            </w:r>
          </w:p>
        </w:tc>
        <w:tc>
          <w:tcPr>
            <w:tcW w:w="685" w:type="dxa"/>
            <w:vAlign w:val="center"/>
          </w:tcPr>
          <w:p>
            <w:pPr>
              <w:spacing w:line="22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vAlign w:val="center"/>
          </w:tcPr>
          <w:p>
            <w:pPr>
              <w:spacing w:line="22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vAlign w:val="center"/>
          </w:tcPr>
          <w:p>
            <w:pPr>
              <w:spacing w:line="22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  <w:right w:val="single" w:color="auto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效益指标（30分）</w:t>
            </w:r>
          </w:p>
        </w:tc>
        <w:tc>
          <w:tcPr>
            <w:tcW w:w="1080" w:type="dxa"/>
            <w:vMerge w:val="restart"/>
            <w:tcBorders>
              <w:left w:val="single" w:color="auto" w:sz="4" w:space="0"/>
            </w:tcBorders>
            <w:vAlign w:val="center"/>
          </w:tcPr>
          <w:p>
            <w:pPr>
              <w:spacing w:line="22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“四上”企业培育发展奖励，激发企业主体活力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持续提高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持续提高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1365" w:type="dxa"/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  <w:right w:val="single" w:color="auto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bottom w:val="nil"/>
            </w:tcBorders>
            <w:vAlign w:val="center"/>
          </w:tcPr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提供就业机会，提高就业率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持续提高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持续提高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1365" w:type="dxa"/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single" w:color="auto" w:sz="4" w:space="0"/>
              <w:bottom w:val="nil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tcBorders>
              <w:bottom w:val="nil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Cs w:val="21"/>
              </w:rPr>
              <w:t>限上企业满意</w:t>
            </w:r>
          </w:p>
        </w:tc>
        <w:tc>
          <w:tcPr>
            <w:tcW w:w="1131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685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365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统计报表报送时间太紧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1" w:hRule="atLeast"/>
        </w:trPr>
        <w:tc>
          <w:tcPr>
            <w:tcW w:w="6735" w:type="dxa"/>
            <w:gridSpan w:val="6"/>
            <w:vAlign w:val="center"/>
          </w:tcPr>
          <w:p>
            <w:pPr>
              <w:spacing w:line="260" w:lineRule="exact"/>
              <w:ind w:firstLine="3145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vAlign w:val="center"/>
          </w:tcPr>
          <w:p>
            <w:pPr>
              <w:spacing w:line="16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99</w:t>
            </w: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line="252" w:lineRule="auto"/>
        <w:rPr>
          <w:rFonts w:ascii="Arial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cols w:space="0" w:num="1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陶辉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13786081820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2023.6.15</w:t>
      </w: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9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161"/>
        <w:gridCol w:w="1148"/>
        <w:gridCol w:w="1131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8" w:hRule="atLeast"/>
        </w:trPr>
        <w:tc>
          <w:tcPr>
            <w:tcW w:w="10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26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spacing w:line="226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消费促进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6" w:hRule="atLeast"/>
        </w:trPr>
        <w:tc>
          <w:tcPr>
            <w:tcW w:w="10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02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岳阳楼区商务粮食局</w:t>
            </w:r>
          </w:p>
        </w:tc>
        <w:tc>
          <w:tcPr>
            <w:tcW w:w="1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0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atLeast"/>
        </w:trPr>
        <w:tc>
          <w:tcPr>
            <w:tcW w:w="107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54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55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2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0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0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1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414</w:t>
            </w:r>
          </w:p>
        </w:tc>
        <w:tc>
          <w:tcPr>
            <w:tcW w:w="1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414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165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2" w:hRule="atLeast"/>
        </w:trPr>
        <w:tc>
          <w:tcPr>
            <w:tcW w:w="10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0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1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414</w:t>
            </w:r>
          </w:p>
        </w:tc>
        <w:tc>
          <w:tcPr>
            <w:tcW w:w="1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414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10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0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1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6" w:hRule="atLeast"/>
        </w:trPr>
        <w:tc>
          <w:tcPr>
            <w:tcW w:w="10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0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1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06" w:lineRule="auto"/>
              <w:ind w:hanging="209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spacing w:line="206" w:lineRule="auto"/>
              <w:ind w:hanging="209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0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0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10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根据上级有关要求利用促消费活动带动经济复苏</w:t>
            </w:r>
          </w:p>
        </w:tc>
        <w:tc>
          <w:tcPr>
            <w:tcW w:w="39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开展各种形式的促消费活动，充分激发了市场消费动力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spacing w:line="217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1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1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hanging="99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56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57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57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57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50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1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19" w:lineRule="auto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数量指标</w:t>
            </w:r>
          </w:p>
        </w:tc>
        <w:tc>
          <w:tcPr>
            <w:tcW w:w="11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举办系列促消费活动并发放消费券</w:t>
            </w:r>
          </w:p>
        </w:tc>
        <w:tc>
          <w:tcPr>
            <w:tcW w:w="1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4000万元</w:t>
            </w:r>
          </w:p>
        </w:tc>
        <w:tc>
          <w:tcPr>
            <w:tcW w:w="1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4000万元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19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6" w:hRule="atLeast"/>
        </w:trPr>
        <w:tc>
          <w:tcPr>
            <w:tcW w:w="10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质量指标</w:t>
            </w:r>
          </w:p>
        </w:tc>
        <w:tc>
          <w:tcPr>
            <w:tcW w:w="11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消费券发放覆盖率</w:t>
            </w:r>
          </w:p>
        </w:tc>
        <w:tc>
          <w:tcPr>
            <w:tcW w:w="1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100%</w:t>
            </w:r>
          </w:p>
        </w:tc>
        <w:tc>
          <w:tcPr>
            <w:tcW w:w="1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100%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6" w:hRule="atLeast"/>
        </w:trPr>
        <w:tc>
          <w:tcPr>
            <w:tcW w:w="10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11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举办相关促消费活动并发放消费券</w:t>
            </w:r>
          </w:p>
        </w:tc>
        <w:tc>
          <w:tcPr>
            <w:tcW w:w="1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年内完成</w:t>
            </w:r>
          </w:p>
        </w:tc>
        <w:tc>
          <w:tcPr>
            <w:tcW w:w="1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年内完成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6" w:hRule="atLeast"/>
        </w:trPr>
        <w:tc>
          <w:tcPr>
            <w:tcW w:w="10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11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总成本控制</w:t>
            </w:r>
          </w:p>
        </w:tc>
        <w:tc>
          <w:tcPr>
            <w:tcW w:w="1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不超过预算投入</w:t>
            </w:r>
          </w:p>
        </w:tc>
        <w:tc>
          <w:tcPr>
            <w:tcW w:w="1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414万元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效益指标（30分）</w:t>
            </w:r>
          </w:p>
        </w:tc>
        <w:tc>
          <w:tcPr>
            <w:tcW w:w="11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经济效益指标</w:t>
            </w:r>
          </w:p>
        </w:tc>
        <w:tc>
          <w:tcPr>
            <w:tcW w:w="11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通过系列促消费活动，有效拉动经济增长</w:t>
            </w:r>
          </w:p>
        </w:tc>
        <w:tc>
          <w:tcPr>
            <w:tcW w:w="1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完成社会消费品零售总额546.15亿元</w:t>
            </w:r>
          </w:p>
        </w:tc>
        <w:tc>
          <w:tcPr>
            <w:tcW w:w="1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完成社会消费品零售总额546.15亿元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color w:val="auto"/>
                <w:sz w:val="21"/>
                <w:szCs w:val="21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color w:val="auto"/>
                <w:sz w:val="21"/>
                <w:szCs w:val="21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39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社会效益指标</w:t>
            </w:r>
          </w:p>
        </w:tc>
        <w:tc>
          <w:tcPr>
            <w:tcW w:w="11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通过系列促消费活动，激活市场需求，有效拉动消费活动。</w:t>
            </w:r>
          </w:p>
        </w:tc>
        <w:tc>
          <w:tcPr>
            <w:tcW w:w="1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持续刺激购买行为</w:t>
            </w:r>
          </w:p>
        </w:tc>
        <w:tc>
          <w:tcPr>
            <w:tcW w:w="1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color w:val="auto"/>
                <w:sz w:val="21"/>
                <w:szCs w:val="21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持续刺激购买行为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2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1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服务对象</w:t>
            </w:r>
          </w:p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满意度</w:t>
            </w:r>
          </w:p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指标</w:t>
            </w:r>
          </w:p>
        </w:tc>
        <w:tc>
          <w:tcPr>
            <w:tcW w:w="11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限上企业满意</w:t>
            </w:r>
          </w:p>
        </w:tc>
        <w:tc>
          <w:tcPr>
            <w:tcW w:w="1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100%</w:t>
            </w:r>
          </w:p>
        </w:tc>
        <w:tc>
          <w:tcPr>
            <w:tcW w:w="1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98%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统计报表报送时间太紧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tcBorders>
              <w:top w:val="single" w:color="auto" w:sz="4" w:space="0"/>
            </w:tcBorders>
            <w:vAlign w:val="center"/>
          </w:tcPr>
          <w:p>
            <w:pPr>
              <w:spacing w:line="260" w:lineRule="exact"/>
              <w:ind w:firstLine="3145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tcBorders>
              <w:top w:val="single" w:color="auto" w:sz="4" w:space="0"/>
            </w:tcBorders>
            <w:vAlign w:val="center"/>
          </w:tcPr>
          <w:p>
            <w:pPr>
              <w:spacing w:line="16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</w:t>
            </w:r>
          </w:p>
        </w:tc>
        <w:tc>
          <w:tcPr>
            <w:tcW w:w="1365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line="252" w:lineRule="auto"/>
        <w:rPr>
          <w:rFonts w:hint="eastAsia" w:ascii="仿宋" w:hAnsi="仿宋" w:eastAsia="仿宋" w:cs="仿宋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cols w:space="0" w:num="1"/>
          <w:docGrid w:type="lines" w:linePitch="312" w:charSpace="0"/>
        </w:sectPr>
      </w:pPr>
      <w:r>
        <w:rPr>
          <w:rFonts w:hint="eastAsia" w:ascii="仿宋" w:hAnsi="仿宋" w:eastAsia="仿宋" w:cs="仿宋"/>
          <w:color w:val="000000" w:themeColor="text1"/>
          <w:spacing w:val="-26"/>
          <w:sz w:val="21"/>
          <w:szCs w:val="21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="仿宋" w:hAnsi="仿宋" w:eastAsia="仿宋" w:cs="仿宋"/>
          <w:color w:val="000000" w:themeColor="text1"/>
          <w:spacing w:val="-26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陶辉         </w:t>
      </w:r>
      <w:r>
        <w:rPr>
          <w:rFonts w:hint="eastAsia" w:ascii="仿宋" w:hAnsi="仿宋" w:eastAsia="仿宋" w:cs="仿宋"/>
          <w:color w:val="000000" w:themeColor="text1"/>
          <w:spacing w:val="-26"/>
          <w:sz w:val="21"/>
          <w:szCs w:val="21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pacing w:val="-26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13786081820      </w:t>
      </w:r>
      <w:r>
        <w:rPr>
          <w:rFonts w:hint="eastAsia" w:ascii="仿宋" w:hAnsi="仿宋" w:eastAsia="仿宋" w:cs="仿宋"/>
          <w:color w:val="000000" w:themeColor="text1"/>
          <w:spacing w:val="-26"/>
          <w:sz w:val="21"/>
          <w:szCs w:val="21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          </w:t>
      </w:r>
      <w:r>
        <w:rPr>
          <w:rFonts w:hint="eastAsia" w:ascii="仿宋" w:hAnsi="仿宋" w:eastAsia="仿宋" w:cs="仿宋"/>
          <w:color w:val="000000" w:themeColor="text1"/>
          <w:spacing w:val="-26"/>
          <w:sz w:val="21"/>
          <w:szCs w:val="21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="仿宋" w:hAnsi="仿宋" w:eastAsia="仿宋" w:cs="仿宋"/>
          <w:color w:val="000000" w:themeColor="text1"/>
          <w:spacing w:val="-26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2023.6.15</w:t>
      </w: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9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395"/>
        <w:gridCol w:w="400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</w:trPr>
        <w:tc>
          <w:tcPr>
            <w:tcW w:w="10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外经外贸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楼区商务粮食局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外经股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7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44.2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44.2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44.2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44.2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完成外贸进出口23000万美元</w:t>
            </w:r>
          </w:p>
        </w:tc>
        <w:tc>
          <w:tcPr>
            <w:tcW w:w="3985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完成外贸进出口34698万美元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1075" w:type="dxa"/>
            <w:vMerge w:val="restart"/>
            <w:tcBorders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8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pacing w:val="0"/>
                <w:sz w:val="21"/>
                <w:szCs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 w:firstLine="210" w:firstLineChars="100"/>
              <w:jc w:val="both"/>
              <w:textAlignment w:val="auto"/>
              <w:rPr>
                <w:rFonts w:hint="eastAsia" w:ascii="仿宋" w:hAnsi="仿宋" w:eastAsia="仿宋" w:cs="仿宋"/>
                <w:color w:val="auto"/>
                <w:spacing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pacing w:val="0"/>
                <w:position w:val="22"/>
                <w:sz w:val="21"/>
                <w:szCs w:val="21"/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pacing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pacing w:val="0"/>
                <w:sz w:val="21"/>
                <w:szCs w:val="21"/>
              </w:rPr>
              <w:t>(50分)</w:t>
            </w:r>
          </w:p>
        </w:tc>
        <w:tc>
          <w:tcPr>
            <w:tcW w:w="108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pacing w:val="0"/>
                <w:sz w:val="21"/>
                <w:szCs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pacing w:val="0"/>
                <w:sz w:val="21"/>
                <w:szCs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pacing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pacing w:val="0"/>
                <w:sz w:val="21"/>
                <w:szCs w:val="21"/>
              </w:rPr>
              <w:t>数量指标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pacing w:val="0"/>
                <w:sz w:val="21"/>
                <w:szCs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pacing w:val="0"/>
                <w:sz w:val="21"/>
                <w:szCs w:val="21"/>
              </w:rPr>
            </w:pPr>
          </w:p>
        </w:tc>
        <w:tc>
          <w:tcPr>
            <w:tcW w:w="1229" w:type="dxa"/>
            <w:vAlign w:val="center"/>
          </w:tcPr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snapToGrid w:val="0"/>
                <w:color w:val="auto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</w:rPr>
              <w:t>当年进出口总额（万元）</w:t>
            </w:r>
          </w:p>
        </w:tc>
        <w:tc>
          <w:tcPr>
            <w:tcW w:w="1131" w:type="dxa"/>
            <w:vAlign w:val="center"/>
          </w:tcPr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  <w:lang w:val="en-US" w:eastAsia="zh-CN"/>
              </w:rPr>
              <w:t>23000(万元）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  <w:lang w:val="en-US" w:eastAsia="zh-CN"/>
              </w:rPr>
              <w:t>34698（万元）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79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pacing w:val="0"/>
                <w:sz w:val="21"/>
                <w:szCs w:val="21"/>
              </w:rPr>
            </w:pPr>
          </w:p>
        </w:tc>
        <w:tc>
          <w:tcPr>
            <w:tcW w:w="1229" w:type="dxa"/>
            <w:vAlign w:val="center"/>
          </w:tcPr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snapToGrid w:val="0"/>
                <w:color w:val="auto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</w:rPr>
              <w:t>破零企业数（个）</w:t>
            </w:r>
          </w:p>
        </w:tc>
        <w:tc>
          <w:tcPr>
            <w:tcW w:w="1131" w:type="dxa"/>
            <w:vAlign w:val="center"/>
          </w:tcPr>
          <w:p>
            <w:pPr>
              <w:widowControl/>
              <w:adjustRightInd w:val="0"/>
              <w:snapToGrid w:val="0"/>
              <w:spacing w:line="280" w:lineRule="exact"/>
              <w:ind w:firstLine="630" w:firstLineChars="300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widowControl/>
              <w:adjustRightInd w:val="0"/>
              <w:snapToGrid w:val="0"/>
              <w:spacing w:line="280" w:lineRule="exact"/>
              <w:ind w:firstLine="630" w:firstLineChars="300"/>
              <w:jc w:val="center"/>
              <w:rPr>
                <w:rFonts w:hint="eastAsia" w:ascii="仿宋" w:hAnsi="仿宋" w:eastAsia="仿宋" w:cs="仿宋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79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pacing w:val="0"/>
                <w:sz w:val="21"/>
                <w:szCs w:val="21"/>
              </w:rPr>
            </w:pPr>
          </w:p>
        </w:tc>
        <w:tc>
          <w:tcPr>
            <w:tcW w:w="1229" w:type="dxa"/>
            <w:vAlign w:val="center"/>
          </w:tcPr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snapToGrid w:val="0"/>
                <w:color w:val="auto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</w:rPr>
              <w:t>出口辐射国家和地区数量（个）</w:t>
            </w:r>
          </w:p>
        </w:tc>
        <w:tc>
          <w:tcPr>
            <w:tcW w:w="1131" w:type="dxa"/>
            <w:vAlign w:val="center"/>
          </w:tcPr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12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  <w:lang w:val="en-US" w:eastAsia="zh-CN"/>
              </w:rPr>
              <w:t>16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79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restart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pacing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当年进出口总额完成率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100%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151%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79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破零企业数（个）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100%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175%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79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3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出口辐射国家和地区数量（个）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100%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133%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79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pacing w:val="0"/>
                <w:sz w:val="21"/>
                <w:szCs w:val="21"/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pacing w:val="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完成外贸进出口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年度内完成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年度内完成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79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3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总成本控制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不超过预算投入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44.2万元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795" w:type="dxa"/>
            <w:gridSpan w:val="2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2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 w:firstLine="210" w:firstLineChars="100"/>
              <w:jc w:val="both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</w:t>
            </w: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</w:t>
            </w: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分)</w:t>
            </w:r>
          </w:p>
        </w:tc>
        <w:tc>
          <w:tcPr>
            <w:tcW w:w="1080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vAlign w:val="center"/>
          </w:tcPr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进出口总额增幅（万元）</w:t>
            </w:r>
          </w:p>
        </w:tc>
        <w:tc>
          <w:tcPr>
            <w:tcW w:w="1131" w:type="dxa"/>
            <w:vAlign w:val="center"/>
          </w:tcPr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eastAsia="zh-CN"/>
              </w:rPr>
            </w:pPr>
          </w:p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Arial" w:hAnsi="Arial" w:eastAsia="仿宋" w:cs="Arial"/>
                <w:color w:val="000000"/>
                <w:kern w:val="0"/>
                <w:sz w:val="21"/>
                <w:szCs w:val="21"/>
                <w:lang w:eastAsia="zh-CN"/>
              </w:rPr>
              <w:t>≥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10%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eastAsia="zh-CN"/>
              </w:rPr>
            </w:pPr>
          </w:p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Arial" w:hAnsi="Arial" w:eastAsia="仿宋" w:cs="Arial"/>
                <w:color w:val="000000"/>
                <w:kern w:val="0"/>
                <w:sz w:val="21"/>
                <w:szCs w:val="21"/>
                <w:lang w:eastAsia="zh-CN"/>
              </w:rPr>
              <w:t>≥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10%</w:t>
            </w:r>
          </w:p>
        </w:tc>
        <w:tc>
          <w:tcPr>
            <w:tcW w:w="685" w:type="dxa"/>
            <w:vAlign w:val="center"/>
          </w:tcPr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default" w:ascii="仿宋" w:hAnsi="仿宋" w:eastAsia="仿宋" w:cs="仿宋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795" w:type="dxa"/>
            <w:gridSpan w:val="2"/>
            <w:vAlign w:val="center"/>
          </w:tcPr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default" w:ascii="仿宋" w:hAnsi="仿宋" w:eastAsia="仿宋" w:cs="仿宋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vAlign w:val="center"/>
          </w:tcPr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获得支持的中小企业提供就业岗位数量</w:t>
            </w:r>
          </w:p>
        </w:tc>
        <w:tc>
          <w:tcPr>
            <w:tcW w:w="1131" w:type="dxa"/>
            <w:vAlign w:val="center"/>
          </w:tcPr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40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60</w:t>
            </w:r>
          </w:p>
        </w:tc>
        <w:tc>
          <w:tcPr>
            <w:tcW w:w="685" w:type="dxa"/>
            <w:vAlign w:val="center"/>
          </w:tcPr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default" w:ascii="仿宋" w:hAnsi="仿宋" w:eastAsia="仿宋" w:cs="仿宋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15</w:t>
            </w:r>
          </w:p>
        </w:tc>
        <w:tc>
          <w:tcPr>
            <w:tcW w:w="795" w:type="dxa"/>
            <w:gridSpan w:val="2"/>
            <w:vAlign w:val="center"/>
          </w:tcPr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</w:pPr>
          </w:p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default" w:ascii="仿宋" w:hAnsi="仿宋" w:eastAsia="仿宋" w:cs="仿宋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15</w:t>
            </w: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8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vAlign w:val="center"/>
          </w:tcPr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获得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外贸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资金企业的满意度</w:t>
            </w:r>
          </w:p>
        </w:tc>
        <w:tc>
          <w:tcPr>
            <w:tcW w:w="1131" w:type="dxa"/>
            <w:vAlign w:val="center"/>
          </w:tcPr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default" w:ascii="Arial" w:hAnsi="Arial" w:eastAsia="仿宋" w:cs="Arial"/>
                <w:color w:val="000000"/>
                <w:kern w:val="0"/>
                <w:sz w:val="21"/>
                <w:szCs w:val="21"/>
                <w:lang w:eastAsia="zh-CN"/>
              </w:rPr>
              <w:t>≥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90%</w:t>
            </w:r>
          </w:p>
        </w:tc>
        <w:tc>
          <w:tcPr>
            <w:tcW w:w="1140" w:type="dxa"/>
            <w:vAlign w:val="center"/>
          </w:tcPr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685" w:type="dxa"/>
            <w:vAlign w:val="center"/>
          </w:tcPr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795" w:type="dxa"/>
            <w:gridSpan w:val="2"/>
            <w:vAlign w:val="center"/>
          </w:tcPr>
          <w:p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hint="eastAsia" w:ascii="仿宋" w:hAnsi="仿宋" w:eastAsia="仿宋" w:cs="仿宋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4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line="700" w:lineRule="exact"/>
        <w:jc w:val="center"/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eastAsia="zh-CN"/>
          <w14:textFill>
            <w14:solidFill>
              <w14:schemeClr w14:val="tx1"/>
            </w14:solidFill>
          </w14:textFill>
        </w:rPr>
        <w:t>胡凯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pacing w:val="3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18821885240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</w:p>
    <w:p>
      <w:pPr>
        <w:spacing w:line="700" w:lineRule="exact"/>
        <w:jc w:val="center"/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</w:pPr>
    </w:p>
    <w:p>
      <w:pPr>
        <w:spacing w:line="700" w:lineRule="exact"/>
        <w:jc w:val="center"/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</w:pP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9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vAlign w:val="center"/>
          </w:tcPr>
          <w:p>
            <w:pPr>
              <w:spacing w:line="226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spacing w:line="226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市场文明创建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vAlign w:val="center"/>
          </w:tcPr>
          <w:p>
            <w:pPr>
              <w:spacing w:line="202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楼区商务粮食局</w:t>
            </w:r>
          </w:p>
        </w:tc>
        <w:tc>
          <w:tcPr>
            <w:tcW w:w="1140" w:type="dxa"/>
            <w:vAlign w:val="center"/>
          </w:tcPr>
          <w:p>
            <w:pPr>
              <w:spacing w:line="20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市场股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>
            <w:pPr>
              <w:spacing w:line="254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55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spacing w:line="20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3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33</w:t>
            </w: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33</w:t>
            </w:r>
          </w:p>
        </w:tc>
        <w:tc>
          <w:tcPr>
            <w:tcW w:w="685" w:type="dxa"/>
            <w:vAlign w:val="center"/>
          </w:tcPr>
          <w:p>
            <w:pPr>
              <w:spacing w:line="165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spacing w:line="20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3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33</w:t>
            </w: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33</w:t>
            </w:r>
          </w:p>
        </w:tc>
        <w:tc>
          <w:tcPr>
            <w:tcW w:w="68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spacing w:line="20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spacing w:line="20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>
            <w:pPr>
              <w:spacing w:line="206" w:lineRule="auto"/>
              <w:ind w:hanging="209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spacing w:line="206" w:lineRule="auto"/>
              <w:ind w:hanging="209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vAlign w:val="center"/>
          </w:tcPr>
          <w:p>
            <w:pPr>
              <w:spacing w:line="20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vAlign w:val="center"/>
          </w:tcPr>
          <w:p>
            <w:pPr>
              <w:spacing w:line="20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完成40家农(集)贸市场的文明创建迎检工作</w:t>
            </w:r>
          </w:p>
        </w:tc>
        <w:tc>
          <w:tcPr>
            <w:tcW w:w="3985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40家农(集)贸市场的文明创建迎检顺利通过测评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textDirection w:val="tbRlV"/>
            <w:vAlign w:val="center"/>
          </w:tcPr>
          <w:p>
            <w:pPr>
              <w:spacing w:line="217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80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vAlign w:val="center"/>
          </w:tcPr>
          <w:p>
            <w:pPr>
              <w:spacing w:line="240" w:lineRule="exact"/>
              <w:ind w:hanging="99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vAlign w:val="center"/>
          </w:tcPr>
          <w:p>
            <w:pPr>
              <w:spacing w:line="256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57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57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57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50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tcBorders>
              <w:bottom w:val="nil"/>
            </w:tcBorders>
            <w:vAlign w:val="center"/>
          </w:tcPr>
          <w:p>
            <w:pPr>
              <w:spacing w:line="219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处理市场环境卫生、经营秩序整治问题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300个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350个</w:t>
            </w:r>
          </w:p>
        </w:tc>
        <w:tc>
          <w:tcPr>
            <w:tcW w:w="685" w:type="dxa"/>
            <w:vAlign w:val="center"/>
          </w:tcPr>
          <w:p>
            <w:pPr>
              <w:spacing w:line="219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10</w:t>
            </w:r>
          </w:p>
        </w:tc>
        <w:tc>
          <w:tcPr>
            <w:tcW w:w="795" w:type="dxa"/>
            <w:vAlign w:val="center"/>
          </w:tcPr>
          <w:p>
            <w:pPr>
              <w:spacing w:line="219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10</w:t>
            </w:r>
          </w:p>
        </w:tc>
        <w:tc>
          <w:tcPr>
            <w:tcW w:w="1365" w:type="dxa"/>
            <w:vAlign w:val="center"/>
          </w:tcPr>
          <w:p>
            <w:pPr>
              <w:spacing w:line="219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通过文明创建测评率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100%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100%</w:t>
            </w:r>
          </w:p>
        </w:tc>
        <w:tc>
          <w:tcPr>
            <w:tcW w:w="685" w:type="dxa"/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20</w:t>
            </w:r>
          </w:p>
        </w:tc>
        <w:tc>
          <w:tcPr>
            <w:tcW w:w="795" w:type="dxa"/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20</w:t>
            </w:r>
          </w:p>
        </w:tc>
        <w:tc>
          <w:tcPr>
            <w:tcW w:w="1365" w:type="dxa"/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对照测评标准整改到位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8月底完成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8月底完成</w:t>
            </w:r>
          </w:p>
        </w:tc>
        <w:tc>
          <w:tcPr>
            <w:tcW w:w="685" w:type="dxa"/>
            <w:vAlign w:val="center"/>
          </w:tcPr>
          <w:p>
            <w:pPr>
              <w:spacing w:line="239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10</w:t>
            </w:r>
          </w:p>
        </w:tc>
        <w:tc>
          <w:tcPr>
            <w:tcW w:w="795" w:type="dxa"/>
            <w:vAlign w:val="center"/>
          </w:tcPr>
          <w:p>
            <w:pPr>
              <w:spacing w:line="239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10</w:t>
            </w:r>
          </w:p>
        </w:tc>
        <w:tc>
          <w:tcPr>
            <w:tcW w:w="1365" w:type="dxa"/>
            <w:vAlign w:val="center"/>
          </w:tcPr>
          <w:p>
            <w:pPr>
              <w:spacing w:line="239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2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>
            <w:pPr>
              <w:spacing w:line="219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总成本控制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不超过预算投入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33</w:t>
            </w:r>
          </w:p>
        </w:tc>
        <w:tc>
          <w:tcPr>
            <w:tcW w:w="685" w:type="dxa"/>
            <w:vAlign w:val="center"/>
          </w:tcPr>
          <w:p>
            <w:pPr>
              <w:spacing w:line="22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10</w:t>
            </w:r>
          </w:p>
        </w:tc>
        <w:tc>
          <w:tcPr>
            <w:tcW w:w="795" w:type="dxa"/>
            <w:vAlign w:val="center"/>
          </w:tcPr>
          <w:p>
            <w:pPr>
              <w:spacing w:line="22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10</w:t>
            </w:r>
          </w:p>
        </w:tc>
        <w:tc>
          <w:tcPr>
            <w:tcW w:w="1365" w:type="dxa"/>
            <w:vAlign w:val="center"/>
          </w:tcPr>
          <w:p>
            <w:pPr>
              <w:spacing w:line="220" w:lineRule="exact"/>
              <w:jc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top w:val="nil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效益指标（30分）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>
            <w:pPr>
              <w:spacing w:line="22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spacing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确保市场貌整洁,保障良好的环境卫生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显著改善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显著改善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确保市场貌整洁,保障良好的环境卫生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维持社会稳定，维护社会治安、规范市场经营社会管理。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市场秩序逐步得到改善效果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显著改善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维持社会稳定，维护社会治安、规范市场经营社会管理。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spacing w:line="28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市场业主满意度</w:t>
            </w:r>
          </w:p>
        </w:tc>
        <w:tc>
          <w:tcPr>
            <w:tcW w:w="1131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仿宋" w:cs="Arial"/>
                <w:color w:val="000000"/>
                <w:kern w:val="0"/>
                <w:sz w:val="21"/>
                <w:szCs w:val="21"/>
              </w:rPr>
              <w:t>≥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90%</w:t>
            </w:r>
          </w:p>
        </w:tc>
        <w:tc>
          <w:tcPr>
            <w:tcW w:w="1140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685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消费者满意度</w:t>
            </w:r>
          </w:p>
        </w:tc>
        <w:tc>
          <w:tcPr>
            <w:tcW w:w="1131" w:type="dxa"/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仿宋" w:cs="Arial"/>
                <w:color w:val="000000"/>
                <w:kern w:val="0"/>
                <w:sz w:val="21"/>
                <w:szCs w:val="21"/>
              </w:rPr>
              <w:t>≥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</w:rPr>
              <w:t>90%</w:t>
            </w:r>
          </w:p>
        </w:tc>
        <w:tc>
          <w:tcPr>
            <w:tcW w:w="1140" w:type="dxa"/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685" w:type="dxa"/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vAlign w:val="center"/>
          </w:tcPr>
          <w:p>
            <w:pPr>
              <w:spacing w:line="23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vAlign w:val="center"/>
          </w:tcPr>
          <w:p>
            <w:pPr>
              <w:spacing w:line="260" w:lineRule="exact"/>
              <w:ind w:firstLine="3145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vAlign w:val="center"/>
          </w:tcPr>
          <w:p>
            <w:pPr>
              <w:spacing w:line="161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9</w:t>
            </w:r>
            <w:r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line="252" w:lineRule="auto"/>
        <w:rPr>
          <w:rFonts w:hint="eastAsia" w:ascii="仿宋" w:hAnsi="仿宋" w:eastAsia="仿宋" w:cs="仿宋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cols w:space="0" w:num="1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吴慧娟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13786020808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2023.6.15</w:t>
      </w: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t>附件5</w:t>
      </w:r>
    </w:p>
    <w:p>
      <w:pPr>
        <w:ind w:firstLine="1440" w:firstLineChars="400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6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>
            <w:pPr>
              <w:spacing w:line="32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单位自查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区级预算单位都要开展绩效自查，转移支付项目单位都要开展绩效自查，区级主管部门都要汇总本区域转移支付情况；以上各项每发现一个单位没有做相应工作的，扣1分，最多扣20分。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提交报告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按时向区财政局报送报告的得10分；每推迟一天报送报告的扣1分，最多扣10分。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70分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的完整性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1.绩效自评报告正文部分内容齐全的，得8分；否则每少一个部分扣2分，最多扣8分。</w:t>
            </w:r>
          </w:p>
          <w:p>
            <w:pPr>
              <w:spacing w:line="240" w:lineRule="exact"/>
              <w:ind w:firstLine="210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both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15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绩效自评表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firstLine="420" w:firstLineChars="200"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1.部门整体支出和项目支出绩效指标反映产出、效益、服务对象满意度方面的指标和预算执行率的权重符合《岳阳市市级预算部门绩效自评操作规程》的，得5分，否则按比例扣除相应的分数。</w:t>
            </w:r>
          </w:p>
          <w:p>
            <w:pPr>
              <w:ind w:firstLine="420" w:firstLineChars="200"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2.部门整体支出和项目支出绩效指标全部细化到三级指标的，得5分；部分细化的，酌情扣分；没有细化的，不得分。</w:t>
            </w:r>
          </w:p>
          <w:p>
            <w:pPr>
              <w:ind w:firstLine="420" w:firstLineChars="200"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20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绩效评价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报告反映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问题情况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30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Cs w:val="21"/>
              </w:rPr>
              <w:t>全面的，得16—18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Cs w:val="21"/>
              </w:rPr>
              <w:t>分；反映问题、分析原因不全面的，得13—15分；问题未归纳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Cs w:val="21"/>
              </w:rPr>
              <w:t>且过于简单的，得10—12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针对问题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提出可行性建议的情况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6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Cs w:val="21"/>
              </w:rPr>
              <w:t>建议与问题对应且全面的得15分，建议比较全面的得12—14分，建议不全面的得9—11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14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97</w:t>
            </w:r>
          </w:p>
        </w:tc>
      </w:tr>
    </w:tbl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微软雅黑"/>
    <w:panose1 w:val="02000000000000000000"/>
    <w:charset w:val="86"/>
    <w:family w:val="script"/>
    <w:pitch w:val="default"/>
    <w:sig w:usb0="00000000" w:usb1="00000000" w:usb2="00000000" w:usb3="00000000" w:csb0="00000000" w:csb1="00000000"/>
  </w:font>
  <w:font w:name="楷体_GB2312">
    <w:altName w:val="楷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13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OeIrFD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Theme="majorEastAsia" w:hAnsiTheme="majorEastAsia" w:eastAsiaTheme="majorEastAsia" w:cstheme="majorEastAsia"/>
                        <w:sz w:val="28"/>
                        <w:szCs w:val="28"/>
                      </w:rPr>
                      <w:t>13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F9C3EC9"/>
    <w:multiLevelType w:val="singleLevel"/>
    <w:tmpl w:val="8F9C3EC9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60DD72BF"/>
    <w:multiLevelType w:val="singleLevel"/>
    <w:tmpl w:val="60DD72BF"/>
    <w:lvl w:ilvl="0" w:tentative="0">
      <w:start w:val="1"/>
      <w:numFmt w:val="decimal"/>
      <w:suff w:val="nothing"/>
      <w:lvlText w:val="%1."/>
      <w:lvlJc w:val="left"/>
    </w:lvl>
  </w:abstractNum>
  <w:abstractNum w:abstractNumId="2">
    <w:nsid w:val="641BD68E"/>
    <w:multiLevelType w:val="singleLevel"/>
    <w:tmpl w:val="641BD68E"/>
    <w:lvl w:ilvl="0" w:tentative="0">
      <w:start w:val="2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3">
    <w:nsid w:val="6760EF41"/>
    <w:multiLevelType w:val="singleLevel"/>
    <w:tmpl w:val="6760EF41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ExM2I1Y2E5MTg1NzJhN2FkNjlmNDg5OTI5OGY3ZTQifQ=="/>
    <w:docVar w:name="KSO_WPS_MARK_KEY" w:val="83f2b688-75cc-45cf-a3c6-84f8edc81ffa"/>
  </w:docVars>
  <w:rsids>
    <w:rsidRoot w:val="53FC3987"/>
    <w:rsid w:val="000A3765"/>
    <w:rsid w:val="00121DA9"/>
    <w:rsid w:val="001D7282"/>
    <w:rsid w:val="002337B5"/>
    <w:rsid w:val="00243525"/>
    <w:rsid w:val="002E4454"/>
    <w:rsid w:val="00306DB4"/>
    <w:rsid w:val="0039081D"/>
    <w:rsid w:val="003B4AA4"/>
    <w:rsid w:val="0044419A"/>
    <w:rsid w:val="005A249F"/>
    <w:rsid w:val="005C7787"/>
    <w:rsid w:val="005E6ECB"/>
    <w:rsid w:val="00720C4F"/>
    <w:rsid w:val="00744EA1"/>
    <w:rsid w:val="00837214"/>
    <w:rsid w:val="009419CA"/>
    <w:rsid w:val="00955854"/>
    <w:rsid w:val="009C7330"/>
    <w:rsid w:val="00A00FBB"/>
    <w:rsid w:val="00B57169"/>
    <w:rsid w:val="00BF0721"/>
    <w:rsid w:val="00C03795"/>
    <w:rsid w:val="00CE3756"/>
    <w:rsid w:val="00D149E2"/>
    <w:rsid w:val="00D27A74"/>
    <w:rsid w:val="00DC2ED8"/>
    <w:rsid w:val="00DE3B48"/>
    <w:rsid w:val="00E32D5A"/>
    <w:rsid w:val="00E831C8"/>
    <w:rsid w:val="00EF287A"/>
    <w:rsid w:val="00F45526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7431E5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F229C"/>
    <w:rsid w:val="03911277"/>
    <w:rsid w:val="039A540B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4574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A91E6C"/>
    <w:rsid w:val="08BA1B19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9FC5ED3"/>
    <w:rsid w:val="0A002E0D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964B0"/>
    <w:rsid w:val="0B163034"/>
    <w:rsid w:val="0B1F5B6D"/>
    <w:rsid w:val="0B2F4AF7"/>
    <w:rsid w:val="0B3312B6"/>
    <w:rsid w:val="0B4064B3"/>
    <w:rsid w:val="0B6E529C"/>
    <w:rsid w:val="0B701D27"/>
    <w:rsid w:val="0B7245CE"/>
    <w:rsid w:val="0B7968F4"/>
    <w:rsid w:val="0B943886"/>
    <w:rsid w:val="0B9C3CD1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280615"/>
    <w:rsid w:val="0D2C07EB"/>
    <w:rsid w:val="0D2F57DE"/>
    <w:rsid w:val="0D353632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D34552"/>
    <w:rsid w:val="0DDB7BAE"/>
    <w:rsid w:val="0DE03EAA"/>
    <w:rsid w:val="0DE12394"/>
    <w:rsid w:val="0DF36262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C2FC1"/>
    <w:rsid w:val="10FE6AB1"/>
    <w:rsid w:val="1112624E"/>
    <w:rsid w:val="11153798"/>
    <w:rsid w:val="11297158"/>
    <w:rsid w:val="114B2C9B"/>
    <w:rsid w:val="115D78BB"/>
    <w:rsid w:val="116001E2"/>
    <w:rsid w:val="11650A7F"/>
    <w:rsid w:val="11793618"/>
    <w:rsid w:val="11813452"/>
    <w:rsid w:val="11913DD4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1C632A"/>
    <w:rsid w:val="15273705"/>
    <w:rsid w:val="152E4EB1"/>
    <w:rsid w:val="153E3566"/>
    <w:rsid w:val="154034C3"/>
    <w:rsid w:val="156B6CDB"/>
    <w:rsid w:val="15726626"/>
    <w:rsid w:val="15756820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151569"/>
    <w:rsid w:val="163E3AB2"/>
    <w:rsid w:val="165E3F72"/>
    <w:rsid w:val="166D0110"/>
    <w:rsid w:val="167050F1"/>
    <w:rsid w:val="16713DA7"/>
    <w:rsid w:val="16797776"/>
    <w:rsid w:val="16952546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E49D5"/>
    <w:rsid w:val="190F3527"/>
    <w:rsid w:val="19100497"/>
    <w:rsid w:val="19183CAC"/>
    <w:rsid w:val="19306959"/>
    <w:rsid w:val="193964B7"/>
    <w:rsid w:val="19521C94"/>
    <w:rsid w:val="195657BB"/>
    <w:rsid w:val="196B19EB"/>
    <w:rsid w:val="19717C66"/>
    <w:rsid w:val="198E7C2B"/>
    <w:rsid w:val="199945D5"/>
    <w:rsid w:val="199B5065"/>
    <w:rsid w:val="19D37D58"/>
    <w:rsid w:val="19DD0438"/>
    <w:rsid w:val="1A0A04E6"/>
    <w:rsid w:val="1A187AC0"/>
    <w:rsid w:val="1A213466"/>
    <w:rsid w:val="1A3F3F76"/>
    <w:rsid w:val="1A4B4BAE"/>
    <w:rsid w:val="1A5F35C0"/>
    <w:rsid w:val="1A8006B2"/>
    <w:rsid w:val="1A8D640E"/>
    <w:rsid w:val="1A974192"/>
    <w:rsid w:val="1A9C3DE6"/>
    <w:rsid w:val="1ACA62AD"/>
    <w:rsid w:val="1ADA675E"/>
    <w:rsid w:val="1AE11CDA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C28F3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20020491"/>
    <w:rsid w:val="203C7C11"/>
    <w:rsid w:val="20421AEB"/>
    <w:rsid w:val="20471AED"/>
    <w:rsid w:val="20487E48"/>
    <w:rsid w:val="20666EBF"/>
    <w:rsid w:val="206F239E"/>
    <w:rsid w:val="208625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0E1F"/>
    <w:rsid w:val="219020E3"/>
    <w:rsid w:val="21916EE8"/>
    <w:rsid w:val="219A308D"/>
    <w:rsid w:val="219F5834"/>
    <w:rsid w:val="21A35D48"/>
    <w:rsid w:val="21C12688"/>
    <w:rsid w:val="21CC4855"/>
    <w:rsid w:val="21E233A3"/>
    <w:rsid w:val="21E23F6C"/>
    <w:rsid w:val="21E345FD"/>
    <w:rsid w:val="22171E1E"/>
    <w:rsid w:val="22383B4D"/>
    <w:rsid w:val="22466CD3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8E26A6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217FF0"/>
    <w:rsid w:val="27242893"/>
    <w:rsid w:val="273612F4"/>
    <w:rsid w:val="27445146"/>
    <w:rsid w:val="277602F5"/>
    <w:rsid w:val="278038CA"/>
    <w:rsid w:val="27C33BB0"/>
    <w:rsid w:val="27C55F98"/>
    <w:rsid w:val="27CC0CD0"/>
    <w:rsid w:val="27D071BC"/>
    <w:rsid w:val="27D4538F"/>
    <w:rsid w:val="27DE15AE"/>
    <w:rsid w:val="27E03A2F"/>
    <w:rsid w:val="280D297A"/>
    <w:rsid w:val="28276A98"/>
    <w:rsid w:val="285710C8"/>
    <w:rsid w:val="285C4BAF"/>
    <w:rsid w:val="285D0F4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324177"/>
    <w:rsid w:val="2D5A7835"/>
    <w:rsid w:val="2D6578A0"/>
    <w:rsid w:val="2D7343C9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D27F6"/>
    <w:rsid w:val="2F0E1C14"/>
    <w:rsid w:val="2F366FC1"/>
    <w:rsid w:val="2F5034C7"/>
    <w:rsid w:val="2F866106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EE53FA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4FB428E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A30194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8E3E66"/>
    <w:rsid w:val="37C244FC"/>
    <w:rsid w:val="37D95C79"/>
    <w:rsid w:val="37E81F7B"/>
    <w:rsid w:val="38026A1B"/>
    <w:rsid w:val="38197832"/>
    <w:rsid w:val="383903C6"/>
    <w:rsid w:val="383C423B"/>
    <w:rsid w:val="38415136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E618D"/>
    <w:rsid w:val="3A4109A1"/>
    <w:rsid w:val="3A742C8C"/>
    <w:rsid w:val="3A7B2702"/>
    <w:rsid w:val="3A896EEE"/>
    <w:rsid w:val="3AAA2893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85498F"/>
    <w:rsid w:val="3C8946A5"/>
    <w:rsid w:val="3CA372A1"/>
    <w:rsid w:val="3CA600E0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9F4364"/>
    <w:rsid w:val="3DA702BF"/>
    <w:rsid w:val="3DB92106"/>
    <w:rsid w:val="3DCF457D"/>
    <w:rsid w:val="3DF169A7"/>
    <w:rsid w:val="3DF2399F"/>
    <w:rsid w:val="3DF40FE4"/>
    <w:rsid w:val="3E0519AD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20B2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0E741B6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42693"/>
    <w:rsid w:val="428D1B97"/>
    <w:rsid w:val="42B608A5"/>
    <w:rsid w:val="42BC6C8F"/>
    <w:rsid w:val="42C5446D"/>
    <w:rsid w:val="42E94337"/>
    <w:rsid w:val="42F85161"/>
    <w:rsid w:val="43031943"/>
    <w:rsid w:val="431327F1"/>
    <w:rsid w:val="43182DB2"/>
    <w:rsid w:val="4368794F"/>
    <w:rsid w:val="436D0FB5"/>
    <w:rsid w:val="437518D1"/>
    <w:rsid w:val="438D1E49"/>
    <w:rsid w:val="43B23B98"/>
    <w:rsid w:val="43C80076"/>
    <w:rsid w:val="43D8550E"/>
    <w:rsid w:val="43DC0C7D"/>
    <w:rsid w:val="43EA69D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50D5FAD"/>
    <w:rsid w:val="45172F07"/>
    <w:rsid w:val="451D5184"/>
    <w:rsid w:val="452F3716"/>
    <w:rsid w:val="45342F39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606A0B"/>
    <w:rsid w:val="486D78BB"/>
    <w:rsid w:val="48915636"/>
    <w:rsid w:val="48985F31"/>
    <w:rsid w:val="48AC6E35"/>
    <w:rsid w:val="48BD43A0"/>
    <w:rsid w:val="48C96968"/>
    <w:rsid w:val="48D31904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946154"/>
    <w:rsid w:val="4BB12731"/>
    <w:rsid w:val="4BE10A59"/>
    <w:rsid w:val="4BE123D1"/>
    <w:rsid w:val="4C0A534C"/>
    <w:rsid w:val="4C0F01F9"/>
    <w:rsid w:val="4C270B31"/>
    <w:rsid w:val="4C3202E6"/>
    <w:rsid w:val="4C3B5D98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E370600"/>
    <w:rsid w:val="4E435024"/>
    <w:rsid w:val="4E4E7E80"/>
    <w:rsid w:val="4E4F11EF"/>
    <w:rsid w:val="4E50060E"/>
    <w:rsid w:val="4E534A5B"/>
    <w:rsid w:val="4E5C5562"/>
    <w:rsid w:val="4E5F69A8"/>
    <w:rsid w:val="4E643C7F"/>
    <w:rsid w:val="4E655726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D5FB6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CF1465"/>
    <w:rsid w:val="51D1247D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FC3987"/>
    <w:rsid w:val="5427381E"/>
    <w:rsid w:val="543B788E"/>
    <w:rsid w:val="54447CBB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40F57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17B8A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5C1292"/>
    <w:rsid w:val="57802A35"/>
    <w:rsid w:val="578C3658"/>
    <w:rsid w:val="57B66918"/>
    <w:rsid w:val="57BD6FCE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182EE7"/>
    <w:rsid w:val="5921212C"/>
    <w:rsid w:val="59395687"/>
    <w:rsid w:val="59497C96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C6103A"/>
    <w:rsid w:val="5AE91049"/>
    <w:rsid w:val="5AEF582B"/>
    <w:rsid w:val="5B0B5334"/>
    <w:rsid w:val="5B1B7ACD"/>
    <w:rsid w:val="5B247C71"/>
    <w:rsid w:val="5B2A406A"/>
    <w:rsid w:val="5B2B06FA"/>
    <w:rsid w:val="5B392BD6"/>
    <w:rsid w:val="5B561D6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5E4D25"/>
    <w:rsid w:val="5C6A79EB"/>
    <w:rsid w:val="5C912690"/>
    <w:rsid w:val="5C970365"/>
    <w:rsid w:val="5C9F632F"/>
    <w:rsid w:val="5CCB04A2"/>
    <w:rsid w:val="5CCD7E04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475DFB"/>
    <w:rsid w:val="5F4A6912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535DEE"/>
    <w:rsid w:val="6166167A"/>
    <w:rsid w:val="617020C2"/>
    <w:rsid w:val="61755B39"/>
    <w:rsid w:val="617A0C46"/>
    <w:rsid w:val="618B1EF3"/>
    <w:rsid w:val="6196533B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0E1C78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5150C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26175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20A2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A40AF4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EF4C7A"/>
    <w:rsid w:val="69F54308"/>
    <w:rsid w:val="6A0A7A54"/>
    <w:rsid w:val="6A2622A1"/>
    <w:rsid w:val="6A35577F"/>
    <w:rsid w:val="6A3A22EA"/>
    <w:rsid w:val="6A3F2D1D"/>
    <w:rsid w:val="6A592054"/>
    <w:rsid w:val="6A777087"/>
    <w:rsid w:val="6A820574"/>
    <w:rsid w:val="6A99048F"/>
    <w:rsid w:val="6AA077DB"/>
    <w:rsid w:val="6AA47C92"/>
    <w:rsid w:val="6AB4102B"/>
    <w:rsid w:val="6AB909BB"/>
    <w:rsid w:val="6ABA0C51"/>
    <w:rsid w:val="6ABD020C"/>
    <w:rsid w:val="6ADD6D64"/>
    <w:rsid w:val="6B0F06C2"/>
    <w:rsid w:val="6B2B6878"/>
    <w:rsid w:val="6B5B1DBA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D25B8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AA56FE"/>
    <w:rsid w:val="6EB37B5B"/>
    <w:rsid w:val="6EBE6FBB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D80F32"/>
    <w:rsid w:val="70D97C76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2215A"/>
    <w:rsid w:val="724E6817"/>
    <w:rsid w:val="72600D68"/>
    <w:rsid w:val="72604620"/>
    <w:rsid w:val="726B02C1"/>
    <w:rsid w:val="726D2C67"/>
    <w:rsid w:val="729A0F74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005D3"/>
    <w:rsid w:val="746C713B"/>
    <w:rsid w:val="748D2368"/>
    <w:rsid w:val="749217E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1625EC"/>
    <w:rsid w:val="751D43A6"/>
    <w:rsid w:val="75453AE1"/>
    <w:rsid w:val="75573AC9"/>
    <w:rsid w:val="75595449"/>
    <w:rsid w:val="758B283A"/>
    <w:rsid w:val="75BD313A"/>
    <w:rsid w:val="75BF6D3D"/>
    <w:rsid w:val="75DC1EF4"/>
    <w:rsid w:val="75E50837"/>
    <w:rsid w:val="75EF5520"/>
    <w:rsid w:val="75F63713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34EA5"/>
    <w:rsid w:val="77A06542"/>
    <w:rsid w:val="77A922C9"/>
    <w:rsid w:val="77AC049C"/>
    <w:rsid w:val="77B23714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42017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B5BB3"/>
    <w:rsid w:val="7F1568D7"/>
    <w:rsid w:val="7F2E0D24"/>
    <w:rsid w:val="7F312E91"/>
    <w:rsid w:val="7F33645C"/>
    <w:rsid w:val="7F4E4DC2"/>
    <w:rsid w:val="7F66205C"/>
    <w:rsid w:val="7F8A0DA6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qFormat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批注框文本 Char"/>
    <w:basedOn w:val="8"/>
    <w:link w:val="2"/>
    <w:qFormat/>
    <w:uiPriority w:val="0"/>
    <w:rPr>
      <w:kern w:val="2"/>
      <w:sz w:val="18"/>
      <w:szCs w:val="18"/>
    </w:rPr>
  </w:style>
  <w:style w:type="character" w:customStyle="1" w:styleId="11">
    <w:name w:val="font01"/>
    <w:basedOn w:val="8"/>
    <w:qFormat/>
    <w:uiPriority w:val="0"/>
    <w:rPr>
      <w:rFonts w:hint="eastAsia" w:ascii="仿宋" w:hAnsi="仿宋" w:eastAsia="仿宋" w:cs="仿宋"/>
      <w:color w:val="000000"/>
      <w:sz w:val="21"/>
      <w:szCs w:val="21"/>
      <w:u w:val="none"/>
    </w:rPr>
  </w:style>
  <w:style w:type="character" w:customStyle="1" w:styleId="12">
    <w:name w:val="font31"/>
    <w:basedOn w:val="8"/>
    <w:qFormat/>
    <w:uiPriority w:val="0"/>
    <w:rPr>
      <w:rFonts w:hint="eastAsia" w:ascii="仿宋" w:hAnsi="仿宋" w:eastAsia="仿宋" w:cs="仿宋"/>
      <w:color w:val="FF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18</Pages>
  <Words>6306</Words>
  <Characters>7297</Characters>
  <Lines>62</Lines>
  <Paragraphs>17</Paragraphs>
  <TotalTime>11</TotalTime>
  <ScaleCrop>false</ScaleCrop>
  <LinksUpToDate>false</LinksUpToDate>
  <CharactersWithSpaces>7563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2023-06-15T08:07:00Z</dcterms:created>
  <dc:creator>新一天</dc:creator>
  <cp:lastModifiedBy>necrolyte</cp:lastModifiedBy>
  <cp:lastPrinted>2023-05-26T08:11:00Z</cp:lastPrinted>
  <dcterms:modified xsi:type="dcterms:W3CDTF">2024-06-28T02:55:52Z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3B4EEF19C1174B30926867C587278B26_13</vt:lpwstr>
  </property>
</Properties>
</file>