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7"/>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vAlign w:val="top"/>
          </w:tcPr>
          <w:p>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岳阳市岳阳楼区人力资源和社会保障局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vAlign w:val="top"/>
          </w:tcPr>
          <w:p>
            <w:pPr>
              <w:spacing w:before="103" w:line="219" w:lineRule="auto"/>
              <w:ind w:left="708"/>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36</w:t>
            </w:r>
          </w:p>
        </w:tc>
        <w:tc>
          <w:tcPr>
            <w:tcW w:w="232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36</w:t>
            </w:r>
          </w:p>
        </w:tc>
        <w:tc>
          <w:tcPr>
            <w:tcW w:w="1679"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4.27</w:t>
            </w:r>
          </w:p>
        </w:tc>
        <w:tc>
          <w:tcPr>
            <w:tcW w:w="2325" w:type="dxa"/>
            <w:gridSpan w:val="2"/>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w:t>
            </w:r>
          </w:p>
        </w:tc>
        <w:tc>
          <w:tcPr>
            <w:tcW w:w="1679"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4.27</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341.98</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206</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564.91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3850" w:type="dxa"/>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78.03</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107</w:t>
            </w: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80.19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25.67</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99</w:t>
            </w: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pPr>
              <w:spacing w:before="93" w:line="219" w:lineRule="auto"/>
              <w:ind w:firstLine="244" w:firstLineChars="1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385.72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ind w:firstLine="480" w:firstLineChars="200"/>
              <w:jc w:val="both"/>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其中：</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2021年绩效奖励</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56.44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tabs>
                <w:tab w:val="left" w:pos="1325"/>
              </w:tabs>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ab/>
            </w: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离退休生活补贴</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20.91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2021年综合绩效奖励（个人）</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5.7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vAlign w:val="top"/>
          </w:tcPr>
          <w:p>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防疫隔离宾馆运转经费</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65.13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jc w:val="center"/>
              <w:rPr>
                <w:rFonts w:hint="default"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办公楼装修改造工程款</w:t>
            </w:r>
          </w:p>
        </w:tc>
        <w:tc>
          <w:tcPr>
            <w:tcW w:w="1815" w:type="dxa"/>
            <w:gridSpan w:val="2"/>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156.56</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29.45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纪委选调考试工作经费</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3.98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事业单位公开招聘工作</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44.72</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44.67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ind w:firstLine="960" w:firstLineChars="400"/>
              <w:jc w:val="both"/>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临聘人员工资</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37</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86.67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稳岗位提技能保就业工作</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40.00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ind w:firstLine="960" w:firstLineChars="400"/>
              <w:jc w:val="both"/>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省运会</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1.48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ind w:firstLine="960" w:firstLineChars="400"/>
              <w:jc w:val="both"/>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毛发检测经费</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1.76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ind w:firstLine="960" w:firstLineChars="400"/>
              <w:jc w:val="both"/>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网络员招聘</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40.14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ind w:firstLine="960" w:firstLineChars="400"/>
              <w:jc w:val="both"/>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独生子女奖励</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auto"/>
                <w:sz w:val="21"/>
                <w:lang w:val="en-US" w:eastAsia="zh-CN"/>
              </w:rPr>
            </w:pPr>
            <w:r>
              <w:rPr>
                <w:rFonts w:hint="eastAsia" w:asciiTheme="majorEastAsia" w:hAnsiTheme="majorEastAsia" w:eastAsiaTheme="majorEastAsia" w:cstheme="majorEastAsia"/>
                <w:color w:val="auto"/>
                <w:sz w:val="21"/>
                <w:lang w:val="en-US" w:eastAsia="zh-CN"/>
              </w:rPr>
              <w:t>3.27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3850" w:type="dxa"/>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209.36</w:t>
            </w:r>
          </w:p>
        </w:tc>
        <w:tc>
          <w:tcPr>
            <w:tcW w:w="2325" w:type="dxa"/>
            <w:gridSpan w:val="2"/>
            <w:vAlign w:val="top"/>
          </w:tcPr>
          <w:p>
            <w:pPr>
              <w:jc w:val="center"/>
              <w:rPr>
                <w:rFonts w:hint="default" w:asciiTheme="majorEastAsia" w:hAnsiTheme="majorEastAsia" w:eastAsiaTheme="majorEastAsia" w:cstheme="majorEastAsia"/>
                <w:color w:val="auto"/>
                <w:sz w:val="21"/>
                <w:highlight w:val="none"/>
                <w:lang w:val="en-US" w:eastAsia="zh-CN"/>
              </w:rPr>
            </w:pPr>
            <w:r>
              <w:rPr>
                <w:rFonts w:hint="eastAsia" w:asciiTheme="majorEastAsia" w:hAnsiTheme="majorEastAsia" w:eastAsiaTheme="majorEastAsia" w:cstheme="majorEastAsia"/>
                <w:color w:val="auto"/>
                <w:sz w:val="21"/>
                <w:highlight w:val="none"/>
                <w:lang w:val="en-US" w:eastAsia="zh-CN"/>
              </w:rPr>
              <w:t>73.8</w:t>
            </w:r>
          </w:p>
        </w:tc>
        <w:tc>
          <w:tcPr>
            <w:tcW w:w="1679" w:type="dxa"/>
            <w:gridSpan w:val="2"/>
            <w:vAlign w:val="top"/>
          </w:tcPr>
          <w:p>
            <w:pPr>
              <w:jc w:val="center"/>
              <w:rPr>
                <w:rFonts w:hint="default" w:asciiTheme="majorEastAsia" w:hAnsiTheme="majorEastAsia" w:eastAsiaTheme="majorEastAsia" w:cstheme="majorEastAsia"/>
                <w:color w:val="auto"/>
                <w:sz w:val="21"/>
                <w:highlight w:val="none"/>
                <w:lang w:val="en-US" w:eastAsia="zh-CN"/>
              </w:rPr>
            </w:pPr>
            <w:r>
              <w:rPr>
                <w:rFonts w:hint="eastAsia" w:asciiTheme="majorEastAsia" w:hAnsiTheme="majorEastAsia" w:eastAsiaTheme="majorEastAsia" w:cstheme="majorEastAsia"/>
                <w:color w:val="auto"/>
                <w:sz w:val="21"/>
                <w:highlight w:val="none"/>
                <w:lang w:val="en-US" w:eastAsia="zh-CN"/>
              </w:rPr>
              <w:t>81.14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20.89</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6.88</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9.58</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6.91</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1.66</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523.85</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256.6</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183.01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0.94</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37.5</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37.5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vAlign w:val="top"/>
          </w:tcPr>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jc w:val="left"/>
              <w:textAlignment w:val="auto"/>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提倡节约型机关，减少水电的使用成本，节约费用支出；</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jc w:val="left"/>
              <w:textAlignment w:val="auto"/>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减少不必要的接待支出，接待支出需有接待函，加班用餐必须先申报再用餐，严格按照接待标准进行接待；</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jc w:val="left"/>
              <w:textAlignment w:val="auto"/>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完善项目支出申报程序，大型项目支出需报局领导审批，局领导采购小组审核资金后方可进行；</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jc w:val="left"/>
              <w:textAlignment w:val="auto"/>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4、严格控制固定资产购销管理。</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唐莉</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13617303355</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整体支出绩效评价表</w:t>
      </w:r>
    </w:p>
    <w:p>
      <w:pPr>
        <w:spacing w:line="168" w:lineRule="exact"/>
        <w:rPr>
          <w:color w:val="000000" w:themeColor="text1"/>
          <w14:textFill>
            <w14:solidFill>
              <w14:schemeClr w14:val="tx1"/>
            </w14:solidFill>
          </w14:textFill>
        </w:rPr>
      </w:pPr>
    </w:p>
    <w:tbl>
      <w:tblPr>
        <w:tblStyle w:val="7"/>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4"/>
        <w:gridCol w:w="1050"/>
        <w:gridCol w:w="984"/>
        <w:gridCol w:w="1483"/>
        <w:gridCol w:w="124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14" w:type="dxa"/>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821" w:type="dxa"/>
            <w:gridSpan w:val="8"/>
            <w:vAlign w:val="top"/>
          </w:tcPr>
          <w:p>
            <w:pPr>
              <w:jc w:val="cente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p>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1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03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034" w:type="dxa"/>
            <w:gridSpan w:val="2"/>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925.49</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1254.18</w:t>
            </w:r>
          </w:p>
        </w:tc>
        <w:tc>
          <w:tcPr>
            <w:tcW w:w="1259" w:type="dxa"/>
            <w:vAlign w:val="center"/>
          </w:tcPr>
          <w:p>
            <w:pPr>
              <w:keepNext w:val="0"/>
              <w:keepLines w:val="0"/>
              <w:pageBreakBefore w:val="0"/>
              <w:widowControl w:val="0"/>
              <w:tabs>
                <w:tab w:val="left" w:pos="279"/>
              </w:tabs>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1254.18</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96%</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1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766"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1254.18</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1254.18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1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766"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1254.18</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689.27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101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766" w:type="dxa"/>
            <w:gridSpan w:val="4"/>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564.91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766"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ascii="Arial" w:eastAsia="宋体"/>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14" w:type="dxa"/>
            <w:vMerge w:val="continue"/>
            <w:tcBorders>
              <w:top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766"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766" w:type="dxa"/>
            <w:gridSpan w:val="4"/>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14" w:type="dxa"/>
            <w:vMerge w:val="continue"/>
            <w:tcBorders>
              <w:top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766"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宋体" w:hAnsi="宋体" w:eastAsia="宋体" w:cs="宋体"/>
                <w:color w:val="000000"/>
                <w:spacing w:val="-1"/>
                <w:kern w:val="0"/>
                <w:sz w:val="21"/>
                <w:szCs w:val="21"/>
                <w:lang w:eastAsia="en-US"/>
              </w:rPr>
            </w:pPr>
            <w:r>
              <w:rPr>
                <w:rFonts w:hint="eastAsia" w:ascii="宋体" w:hAnsi="宋体" w:eastAsia="宋体" w:cs="宋体"/>
                <w:color w:val="000000"/>
                <w:spacing w:val="-1"/>
                <w:kern w:val="0"/>
                <w:sz w:val="21"/>
                <w:szCs w:val="21"/>
                <w:lang w:eastAsia="en-US"/>
              </w:rPr>
              <w:t>目标 1：拟定人力资源市场发展规划、规范人力资源市场建设、综合管理政府人才工作，实施事业单位工作人员流动调配政策、组织实施劳动关系政策；</w:t>
            </w:r>
          </w:p>
          <w:p>
            <w:pPr>
              <w:widowControl/>
              <w:autoSpaceDE w:val="0"/>
              <w:autoSpaceDN w:val="0"/>
              <w:spacing w:before="0" w:after="0" w:line="240" w:lineRule="auto"/>
              <w:ind w:left="0" w:right="0" w:firstLine="0"/>
              <w:jc w:val="left"/>
              <w:rPr>
                <w:rFonts w:hint="eastAsia" w:ascii="宋体" w:hAnsi="宋体" w:eastAsia="宋体" w:cs="宋体"/>
                <w:color w:val="000000"/>
                <w:spacing w:val="-1"/>
                <w:kern w:val="0"/>
                <w:sz w:val="21"/>
                <w:szCs w:val="21"/>
                <w:lang w:eastAsia="zh-CN"/>
              </w:rPr>
            </w:pPr>
          </w:p>
          <w:p>
            <w:pPr>
              <w:widowControl/>
              <w:autoSpaceDE w:val="0"/>
              <w:autoSpaceDN w:val="0"/>
              <w:spacing w:before="0" w:after="0" w:line="240" w:lineRule="auto"/>
              <w:ind w:left="0" w:right="0" w:firstLine="0"/>
              <w:jc w:val="left"/>
              <w:rPr>
                <w:rFonts w:hint="eastAsia" w:ascii="Cambria" w:hAnsi="Cambria" w:eastAsia="宋体" w:cs="Times New Roman"/>
                <w:kern w:val="0"/>
                <w:sz w:val="24"/>
                <w:lang w:val="en-US" w:eastAsia="zh-CN"/>
              </w:rPr>
            </w:pPr>
            <w:r>
              <w:rPr>
                <w:rFonts w:ascii="宋体" w:hAnsi="宋体" w:eastAsia="宋体" w:cs="宋体"/>
                <w:color w:val="000000"/>
                <w:spacing w:val="-1"/>
                <w:kern w:val="0"/>
                <w:sz w:val="21"/>
                <w:szCs w:val="21"/>
                <w:lang w:eastAsia="en-US"/>
              </w:rPr>
              <w:t>目标 2：综合管理事业单位工资福利工作</w:t>
            </w:r>
            <w:r>
              <w:rPr>
                <w:rFonts w:hint="eastAsia" w:ascii="宋体" w:hAnsi="宋体" w:eastAsia="宋体" w:cs="宋体"/>
                <w:color w:val="000000"/>
                <w:spacing w:val="-1"/>
                <w:kern w:val="0"/>
                <w:sz w:val="21"/>
                <w:szCs w:val="21"/>
                <w:lang w:val="en-US" w:eastAsia="zh-CN"/>
              </w:rPr>
              <w:t>:</w:t>
            </w:r>
          </w:p>
          <w:p>
            <w:pPr>
              <w:widowControl/>
              <w:spacing w:before="0" w:after="0" w:line="108" w:lineRule="exact"/>
              <w:ind w:left="0" w:right="0"/>
              <w:jc w:val="left"/>
              <w:rPr>
                <w:rFonts w:ascii="Cambria" w:hAnsi="Cambria" w:eastAsia="Cambria" w:cs="Times New Roman"/>
                <w:kern w:val="0"/>
                <w:sz w:val="24"/>
                <w:lang w:eastAsia="en-US"/>
              </w:rPr>
            </w:pPr>
          </w:p>
          <w:p>
            <w:pPr>
              <w:widowControl/>
              <w:autoSpaceDE w:val="0"/>
              <w:autoSpaceDN w:val="0"/>
              <w:spacing w:before="0" w:after="0" w:line="240" w:lineRule="auto"/>
              <w:ind w:left="0" w:right="0" w:firstLine="0"/>
              <w:jc w:val="left"/>
              <w:rPr>
                <w:rFonts w:ascii="Cambria" w:hAnsi="Cambria" w:eastAsia="Cambria" w:cs="Times New Roman"/>
                <w:kern w:val="0"/>
                <w:sz w:val="24"/>
                <w:lang w:eastAsia="en-US"/>
              </w:rPr>
            </w:pPr>
            <w:r>
              <w:rPr>
                <w:rFonts w:ascii="宋体" w:hAnsi="宋体" w:eastAsia="宋体" w:cs="宋体"/>
                <w:color w:val="000000"/>
                <w:spacing w:val="-1"/>
                <w:kern w:val="0"/>
                <w:sz w:val="21"/>
                <w:szCs w:val="21"/>
                <w:lang w:eastAsia="en-US"/>
              </w:rPr>
              <w:t>目标</w:t>
            </w:r>
            <w:r>
              <w:rPr>
                <w:rFonts w:ascii="宋体" w:hAnsi="宋体" w:eastAsia="宋体" w:cs="宋体"/>
                <w:spacing w:val="-44"/>
                <w:kern w:val="0"/>
                <w:sz w:val="21"/>
                <w:szCs w:val="21"/>
                <w:lang w:eastAsia="en-US"/>
              </w:rPr>
              <w:t xml:space="preserve"> </w:t>
            </w:r>
            <w:r>
              <w:rPr>
                <w:rFonts w:hint="eastAsia" w:ascii="宋体" w:hAnsi="宋体" w:eastAsia="宋体" w:cs="宋体"/>
                <w:color w:val="000000"/>
                <w:kern w:val="0"/>
                <w:sz w:val="21"/>
                <w:szCs w:val="21"/>
                <w:lang w:val="en-US" w:eastAsia="zh-CN"/>
              </w:rPr>
              <w:t>3</w:t>
            </w:r>
            <w:r>
              <w:rPr>
                <w:rFonts w:ascii="宋体" w:hAnsi="宋体" w:eastAsia="宋体" w:cs="宋体"/>
                <w:color w:val="000000"/>
                <w:spacing w:val="-1"/>
                <w:kern w:val="0"/>
                <w:sz w:val="21"/>
                <w:szCs w:val="21"/>
                <w:lang w:eastAsia="en-US"/>
              </w:rPr>
              <w:t>：综合管理和指导劳动人事争议调解仲裁工作</w:t>
            </w:r>
          </w:p>
          <w:p>
            <w:pPr>
              <w:widowControl/>
              <w:spacing w:before="0" w:after="0" w:line="111" w:lineRule="exact"/>
              <w:ind w:left="0" w:right="0"/>
              <w:jc w:val="left"/>
              <w:rPr>
                <w:rFonts w:ascii="Cambria" w:hAnsi="Cambria" w:eastAsia="Cambria" w:cs="Times New Roman"/>
                <w:kern w:val="0"/>
                <w:sz w:val="24"/>
                <w:lang w:eastAsia="en-US"/>
              </w:rPr>
            </w:pPr>
          </w:p>
          <w:p>
            <w:pPr>
              <w:widowControl/>
              <w:autoSpaceDE w:val="0"/>
              <w:autoSpaceDN w:val="0"/>
              <w:spacing w:before="0" w:after="0" w:line="240" w:lineRule="auto"/>
              <w:ind w:left="0" w:right="0" w:firstLine="0"/>
              <w:jc w:val="left"/>
              <w:rPr>
                <w:rFonts w:ascii="Cambria" w:hAnsi="Cambria" w:eastAsia="Cambria" w:cs="Times New Roman"/>
                <w:kern w:val="0"/>
                <w:sz w:val="24"/>
                <w:lang w:eastAsia="en-US"/>
              </w:rPr>
            </w:pPr>
            <w:r>
              <w:rPr>
                <w:rFonts w:ascii="宋体" w:hAnsi="宋体" w:eastAsia="宋体" w:cs="宋体"/>
                <w:color w:val="000000"/>
                <w:spacing w:val="-1"/>
                <w:kern w:val="0"/>
                <w:sz w:val="21"/>
                <w:szCs w:val="21"/>
                <w:lang w:eastAsia="en-US"/>
              </w:rPr>
              <w:t>目标</w:t>
            </w:r>
            <w:r>
              <w:rPr>
                <w:rFonts w:ascii="宋体" w:hAnsi="宋体" w:eastAsia="宋体" w:cs="宋体"/>
                <w:spacing w:val="-53"/>
                <w:kern w:val="0"/>
                <w:sz w:val="21"/>
                <w:szCs w:val="21"/>
                <w:lang w:eastAsia="en-US"/>
              </w:rPr>
              <w:t xml:space="preserve"> </w:t>
            </w:r>
            <w:r>
              <w:rPr>
                <w:rFonts w:hint="eastAsia" w:ascii="宋体" w:hAnsi="宋体" w:eastAsia="宋体" w:cs="宋体"/>
                <w:spacing w:val="-53"/>
                <w:kern w:val="0"/>
                <w:sz w:val="21"/>
                <w:szCs w:val="21"/>
                <w:lang w:val="en-US" w:eastAsia="zh-CN"/>
              </w:rPr>
              <w:t>4</w:t>
            </w:r>
            <w:r>
              <w:rPr>
                <w:rFonts w:ascii="宋体" w:hAnsi="宋体" w:eastAsia="宋体" w:cs="宋体"/>
                <w:color w:val="000000"/>
                <w:spacing w:val="-1"/>
                <w:kern w:val="0"/>
                <w:sz w:val="21"/>
                <w:szCs w:val="21"/>
                <w:lang w:eastAsia="en-US"/>
              </w:rPr>
              <w:t>：负责促进就业工作</w:t>
            </w:r>
          </w:p>
          <w:p>
            <w:pPr>
              <w:widowControl/>
              <w:autoSpaceDE w:val="0"/>
              <w:autoSpaceDN w:val="0"/>
              <w:spacing w:before="0" w:after="0" w:line="240" w:lineRule="auto"/>
              <w:ind w:left="0" w:right="0" w:firstLine="0"/>
              <w:jc w:val="left"/>
              <w:rPr>
                <w:rFonts w:ascii="宋体" w:hAnsi="宋体" w:eastAsia="宋体" w:cs="宋体"/>
                <w:color w:val="000000"/>
                <w:spacing w:val="-1"/>
                <w:kern w:val="0"/>
                <w:sz w:val="21"/>
                <w:szCs w:val="21"/>
                <w:lang w:eastAsia="en-US"/>
              </w:rPr>
            </w:pP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pacing w:val="0"/>
                <w:sz w:val="20"/>
                <w14:textFill>
                  <w14:solidFill>
                    <w14:schemeClr w14:val="tx1"/>
                  </w14:solidFill>
                </w14:textFill>
              </w:rPr>
            </w:pPr>
            <w:r>
              <w:rPr>
                <w:rFonts w:ascii="宋体" w:hAnsi="宋体" w:eastAsia="宋体" w:cs="宋体"/>
                <w:color w:val="000000"/>
                <w:spacing w:val="-1"/>
                <w:kern w:val="0"/>
                <w:sz w:val="21"/>
                <w:szCs w:val="21"/>
                <w:lang w:eastAsia="en-US"/>
              </w:rPr>
              <w:t>目标</w:t>
            </w:r>
            <w:r>
              <w:rPr>
                <w:rFonts w:ascii="宋体" w:hAnsi="宋体" w:eastAsia="宋体" w:cs="宋体"/>
                <w:spacing w:val="-48"/>
                <w:kern w:val="0"/>
                <w:sz w:val="21"/>
                <w:szCs w:val="21"/>
                <w:lang w:eastAsia="en-US"/>
              </w:rPr>
              <w:t xml:space="preserve"> </w:t>
            </w:r>
            <w:r>
              <w:rPr>
                <w:rFonts w:hint="eastAsia" w:ascii="宋体" w:hAnsi="宋体" w:eastAsia="宋体" w:cs="宋体"/>
                <w:spacing w:val="-48"/>
                <w:kern w:val="0"/>
                <w:sz w:val="21"/>
                <w:szCs w:val="21"/>
                <w:lang w:val="en-US" w:eastAsia="zh-CN"/>
              </w:rPr>
              <w:t>5</w:t>
            </w:r>
            <w:r>
              <w:rPr>
                <w:rFonts w:ascii="宋体" w:hAnsi="宋体" w:eastAsia="宋体" w:cs="宋体"/>
                <w:color w:val="000000"/>
                <w:spacing w:val="-1"/>
                <w:kern w:val="0"/>
                <w:sz w:val="21"/>
                <w:szCs w:val="21"/>
                <w:lang w:eastAsia="en-US"/>
              </w:rPr>
              <w:t>：退休老干部及职工的社会化管理</w:t>
            </w:r>
          </w:p>
        </w:tc>
        <w:tc>
          <w:tcPr>
            <w:tcW w:w="405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1：拟定了人力资源市场发展规划、规范人力资源市场建设、综合管理政府人才工作，实施事业单位工作人员流动调配政策、组织实施劳动关系政策；                                                                                   2：楼区事业单位薪级工资晋升8099人，职员晋升953人；</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 xml:space="preserve">3： 接待处理劳动争议纠纷408件，案前调解65件，立案受理343件，其中确立劳动关系争议36件，工伤待遇类争议53件，劳动报酬类争议162件，解除劳动关系经济补偿类争议140件，其他类争议17件，现已结案348件，另有60案件正在处理中，按期结案率为100%，调解成功率65%；                                                                   4：我区城镇新就业完成10016人，完成目标任务10000人的101%；失业人员再就业6674人，完成目标任务3500人的190.69%；就业困难对象再就业1786人，完成目标任务1600人的111.63%；实现农村劳动力转移就业200人，完成目标任务的100%；创业培训362人，完成目标任务的100.5%；失业保险参保28935人，征缴失业保险金367.7万元，失业金发放206.38万元，完成目标任务的115.74%、完成创业培训362人、完成职业技能培训850人；                                                                                          5：退休社会管理工作，退休新增262人。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14" w:type="dxa"/>
            <w:vMerge w:val="restart"/>
            <w:tcBorders>
              <w:bottom w:val="nil"/>
            </w:tcBorders>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50"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984"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(50分)</w:t>
            </w:r>
          </w:p>
        </w:tc>
        <w:tc>
          <w:tcPr>
            <w:tcW w:w="984"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数量指标</w:t>
            </w: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老干部及困难职工慰问人数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83人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职称评定数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173人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人事人才</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档案管理数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≥5000份</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5600份</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劳动仲裁</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受理案件数</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≥0起</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343起</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劳动监察</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受理案件数</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≥0起</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3175起</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维持事业单位工作人员的信息管理和继续教育管理工作</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组织2022年网格员招聘、事业单位招聘、卫生系统招聘</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130人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新增工伤</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参保人数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≥3000人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3180人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创业培训参与人数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360人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362人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zh-CN" w:eastAsia="zh-CN"/>
                <w14:textFill>
                  <w14:solidFill>
                    <w14:schemeClr w14:val="tx1"/>
                  </w14:solidFill>
                </w14:textFill>
              </w:rPr>
              <w:t>职业技能培训参与人数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850人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850人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就业困难对象再就业人数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1600人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1786人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失业人员</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再就业人数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3500人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6674人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失业保险参保人数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23500人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28935人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新增农村劳动力转移就业人数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200人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新增城镇就业人数</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10000人</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10016人</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质量指标</w:t>
            </w: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劳动人事争议仲裁结案率</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90%以上</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劳动监察受理</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案件结案率</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≥90%</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98%</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both"/>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人事人才档案</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收件率</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职称评定通过率</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≤55%</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通过92人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回复信访交办案件结案率</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城镇登记</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失业率</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控制在4.5%以内</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控制在4.5%以内</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时效指标</w:t>
            </w: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资金给付及时性</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≤30天内</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成本指标</w:t>
            </w: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高校毕业生</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招聘成本</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≥3万元</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9.8万元</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人事人才档案管理经费投入成本</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≤16 万元</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16万元</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劳动仲裁工作</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投人成本</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≤10万元</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10万元</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劳动仲裁办案</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补贴成本</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≤10万元</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10万元</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2"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(30分)</w:t>
            </w:r>
          </w:p>
        </w:tc>
        <w:tc>
          <w:tcPr>
            <w:tcW w:w="984"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益指标</w:t>
            </w: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稳就业、惠民生、帮企业、促发展</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有效促进</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有效促进</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益指标</w:t>
            </w: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default" w:ascii="Arial"/>
                <w:color w:val="000000" w:themeColor="text1"/>
                <w:spacing w:val="0"/>
                <w:sz w:val="20"/>
                <w:lang w:val="en-US" w:eastAsia="zh-CN"/>
                <w14:textFill>
                  <w14:solidFill>
                    <w14:schemeClr w14:val="tx1"/>
                  </w14:solidFill>
                </w14:textFill>
              </w:rPr>
              <w:t>增加就业岗位，促进社会就业</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有效促进</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有效促进</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both"/>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可持续影响指标</w:t>
            </w: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公平、公正处理劳动人事争议案件，构建和谐劳动关系</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有效保障</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有效保障</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(10分)</w:t>
            </w:r>
          </w:p>
        </w:tc>
        <w:tc>
          <w:tcPr>
            <w:tcW w:w="984"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标</w:t>
            </w:r>
          </w:p>
        </w:tc>
        <w:tc>
          <w:tcPr>
            <w:tcW w:w="1483"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满意率</w:t>
            </w:r>
          </w:p>
        </w:tc>
        <w:tc>
          <w:tcPr>
            <w:tcW w:w="124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4</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4" w:type="dxa"/>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办理案件</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服务满意率</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97%</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14" w:type="dxa"/>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5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984"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c>
          <w:tcPr>
            <w:tcW w:w="1483"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办理档案管理</w:t>
            </w: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服务满意率</w:t>
            </w:r>
          </w:p>
        </w:tc>
        <w:tc>
          <w:tcPr>
            <w:tcW w:w="1249" w:type="dxa"/>
            <w:vAlign w:val="top"/>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≥95%</w:t>
            </w:r>
          </w:p>
        </w:tc>
        <w:tc>
          <w:tcPr>
            <w:tcW w:w="125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98%</w:t>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80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w:t>
            </w:r>
          </w:p>
        </w:tc>
        <w:tc>
          <w:tcPr>
            <w:tcW w:w="127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color w:val="000000" w:themeColor="text1"/>
                <w:spacing w:val="0"/>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6"/>
                          <a:stretch>
                            <a:fillRect/>
                          </a:stretch>
                        </pic:blipFill>
                        <pic:spPr>
                          <a:xfrm>
                            <a:off x="0" y="0"/>
                            <a:ext cx="297815" cy="158750"/>
                          </a:xfrm>
                          <a:prstGeom prst="rect">
                            <a:avLst/>
                          </a:prstGeom>
                          <a:noFill/>
                          <a:ln>
                            <a:noFill/>
                          </a:ln>
                        </pic:spPr>
                      </pic:pic>
                    </a:graphicData>
                  </a:graphic>
                </wp:inline>
              </w:drawing>
            </w:r>
          </w:p>
        </w:tc>
        <w:tc>
          <w:tcPr>
            <w:tcW w:w="719" w:type="dxa"/>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99.6</w:t>
            </w:r>
          </w:p>
        </w:tc>
        <w:tc>
          <w:tcPr>
            <w:tcW w:w="1275"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ascii="仿宋" w:hAnsi="仿宋" w:eastAsia="仿宋" w:cs="仿宋"/>
          <w:color w:val="000000" w:themeColor="text1"/>
          <w:spacing w:val="-22"/>
          <w:sz w:val="22"/>
          <w:szCs w:val="2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hint="eastAsia" w:ascii="仿宋" w:hAnsi="仿宋" w:eastAsia="仿宋" w:cs="仿宋"/>
          <w:color w:val="000000" w:themeColor="text1"/>
          <w:spacing w:val="9"/>
          <w:sz w:val="22"/>
          <w:szCs w:val="22"/>
          <w:lang w:eastAsia="zh-CN"/>
          <w14:textFill>
            <w14:solidFill>
              <w14:schemeClr w14:val="tx1"/>
            </w14:solidFill>
          </w14:textFill>
        </w:rPr>
        <w:t>唐莉</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eastAsia="zh-CN"/>
          <w14:textFill>
            <w14:solidFill>
              <w14:schemeClr w14:val="tx1"/>
            </w14:solidFill>
          </w14:textFill>
        </w:rPr>
        <w:t>：</w:t>
      </w:r>
      <w:r>
        <w:rPr>
          <w:rFonts w:hint="eastAsia" w:ascii="仿宋" w:hAnsi="仿宋" w:eastAsia="仿宋" w:cs="仿宋"/>
          <w:color w:val="000000" w:themeColor="text1"/>
          <w:spacing w:val="2"/>
          <w:sz w:val="22"/>
          <w:szCs w:val="22"/>
          <w:lang w:val="en-US" w:eastAsia="zh-CN"/>
          <w14:textFill>
            <w14:solidFill>
              <w14:schemeClr w14:val="tx1"/>
            </w14:solidFill>
          </w14:textFill>
        </w:rPr>
        <w:t>13617303355</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hint="eastAsia" w:ascii="仿宋" w:hAnsi="仿宋" w:eastAsia="仿宋" w:cs="仿宋"/>
          <w:color w:val="000000" w:themeColor="text1"/>
          <w:spacing w:val="-22"/>
          <w:sz w:val="22"/>
          <w:szCs w:val="22"/>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4" w:type="default"/>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岳阳楼区人力资源和社会保障局</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评价</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部门(单位)名称：岳阳楼区人力资源和社会保障局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6 月 15日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2022年度岳阳楼区人力资源和社会保障局</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评价</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spacing w:line="6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人社局</w:t>
      </w:r>
      <w:r>
        <w:rPr>
          <w:rFonts w:hint="eastAsia" w:ascii="仿宋_GB2312" w:hAnsi="仿宋_GB2312" w:eastAsia="仿宋_GB2312" w:cs="仿宋_GB2312"/>
          <w:bCs/>
          <w:sz w:val="28"/>
          <w:szCs w:val="28"/>
        </w:rPr>
        <w:t>现有在编人员</w:t>
      </w:r>
      <w:r>
        <w:rPr>
          <w:rFonts w:hint="eastAsia" w:ascii="仿宋_GB2312" w:hAnsi="仿宋_GB2312" w:eastAsia="仿宋_GB2312" w:cs="仿宋_GB2312"/>
          <w:bCs/>
          <w:sz w:val="28"/>
          <w:szCs w:val="28"/>
          <w:lang w:val="en-US" w:eastAsia="zh-CN"/>
        </w:rPr>
        <w:t>36</w:t>
      </w:r>
      <w:r>
        <w:rPr>
          <w:rFonts w:hint="eastAsia" w:ascii="仿宋_GB2312" w:hAnsi="仿宋_GB2312" w:eastAsia="仿宋_GB2312" w:cs="仿宋_GB2312"/>
          <w:bCs/>
          <w:sz w:val="28"/>
          <w:szCs w:val="28"/>
        </w:rPr>
        <w:t>人，</w:t>
      </w:r>
      <w:r>
        <w:rPr>
          <w:rFonts w:hint="eastAsia" w:ascii="仿宋_GB2312" w:hAnsi="仿宋_GB2312" w:eastAsia="仿宋_GB2312" w:cs="仿宋_GB2312"/>
          <w:bCs/>
          <w:sz w:val="28"/>
          <w:szCs w:val="28"/>
          <w:lang w:eastAsia="zh-CN"/>
        </w:rPr>
        <w:t>主要</w:t>
      </w:r>
      <w:r>
        <w:rPr>
          <w:rFonts w:hint="eastAsia" w:ascii="仿宋_GB2312" w:hAnsi="仿宋_GB2312" w:eastAsia="仿宋_GB2312" w:cs="仿宋_GB2312"/>
          <w:bCs/>
          <w:sz w:val="28"/>
          <w:szCs w:val="28"/>
        </w:rPr>
        <w:t>负责贯彻执行党和国家人力资源工作、社会保障工作的基本方针、政策和法律、法规</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结合全区实际、研究似订本行政区内相应政策和具体改革方案</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拟订全区人力资源和社会保障事业发展规划和年度工作计划，起草人力资源和社会保障规范性文件草案，并组织实施和监督检查；对全区人力资源和社会保障工作进行综合管理、监督指导、协调服务</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拟订并组织实施全区人力资源市场发展规划和人力资源流动政策，促进人力资源合理流动、有效配置</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负责促进就业创业工作，拟订统筹城乡的就业发展规划，完善公共就业服务体系</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统筹推进建立覆盖城乡的多层次社会保障体系</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负责全区就业、失业和相关社会保险基金预测预警和信息引导，拟订应对预案，实施预防、调节和控制，保持就业形势稳定和社会保险基金总体收支平衡</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牵头推进深化职称制度改革，归口管理专业技术人员职称工作</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会同有关部门指导事业单位人事制度改革，按照管理权限负责规范事业单位岗位设置、公开招聘、聘用合同等人事综合管理工作，负责事业单位工作人员和机关工勤人员综合管理工作。负责事业单位工资收入分配综合管理；组织实施事业单位人员工资收入分配政策，配合相关部门审核纳入区级财政统一发放工资范围的事业单位及人员的工资、奖金、津补贴标准和离退休费，落实企事业单位人员福利和离退休政策，建立企事业单位人员工资正常增长和支付保障机制。会同有关部门拟订农民工工作综合性规划，推动农民工相关政策的落实，协调解决农民工工作中的重点难点问题，维护农民工合法权益。会同有关部门拟订政府表彰奖励制度，综合管理政府表彰奖励工作，承担区委、区人民政府评比达标表彰等工作，根据授权承办以区委、区人民政府名义开展的表彰奖励活动。负责本单位、本系统的信访维稳和安全生产工作；完成区委和区人民政府交办的其他任务。</w:t>
      </w:r>
    </w:p>
    <w:p>
      <w:pPr>
        <w:spacing w:line="600" w:lineRule="exact"/>
        <w:ind w:firstLine="56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Cs/>
          <w:sz w:val="28"/>
          <w:szCs w:val="28"/>
        </w:rPr>
        <w:t>深入推进简政放权、放管结合、优化服务改革，进一步减少行政</w:t>
      </w:r>
      <w:r>
        <w:rPr>
          <w:rFonts w:hint="eastAsia" w:ascii="仿宋_GB2312" w:hAnsi="仿宋_GB2312" w:eastAsia="仿宋_GB2312" w:cs="仿宋_GB2312"/>
          <w:bCs/>
          <w:sz w:val="28"/>
          <w:szCs w:val="28"/>
          <w:lang w:val="en-US" w:eastAsia="zh-CN"/>
        </w:rPr>
        <w:t>审批</w:t>
      </w:r>
      <w:r>
        <w:rPr>
          <w:rFonts w:hint="eastAsia" w:ascii="仿宋_GB2312" w:hAnsi="仿宋_GB2312" w:eastAsia="仿宋_GB2312" w:cs="仿宋_GB2312"/>
          <w:bCs/>
          <w:sz w:val="28"/>
          <w:szCs w:val="28"/>
        </w:rPr>
        <w:t>事项，规范和优化对外办理事项，减少职业资格许可和认定等审批事项，实行国家职业资格目录清单管理，加强事中事后监管，创新就业和社会保障等公共服务方式，加强信息共享，提高公共服务水平。</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spacing w:line="560" w:lineRule="exact"/>
        <w:ind w:firstLine="643" w:firstLineChars="200"/>
        <w:rPr>
          <w:rFonts w:hint="eastAsia" w:ascii="楷体_GB2312" w:hAnsi="楷体_GB2312" w:eastAsia="楷体_GB2312" w:cs="楷体_GB2312"/>
          <w:b/>
          <w:bCs/>
          <w:color w:val="auto"/>
          <w:spacing w:val="0"/>
          <w:position w:val="0"/>
          <w:sz w:val="32"/>
          <w:szCs w:val="32"/>
          <w:lang w:val="en-US" w:eastAsia="zh-CN"/>
        </w:rPr>
      </w:pPr>
      <w:r>
        <w:rPr>
          <w:rFonts w:hint="eastAsia" w:ascii="楷体_GB2312" w:hAnsi="楷体_GB2312" w:eastAsia="楷体_GB2312" w:cs="楷体_GB2312"/>
          <w:b/>
          <w:bCs/>
          <w:color w:val="auto"/>
          <w:spacing w:val="0"/>
          <w:position w:val="0"/>
          <w:sz w:val="32"/>
          <w:szCs w:val="32"/>
          <w:lang w:val="en-US" w:eastAsia="zh-CN"/>
        </w:rPr>
        <w:t>(一)基本支出情况</w:t>
      </w:r>
    </w:p>
    <w:p>
      <w:pPr>
        <w:spacing w:line="600" w:lineRule="exact"/>
        <w:ind w:firstLine="560" w:firstLineChars="200"/>
        <w:rPr>
          <w:rFonts w:hint="eastAsia" w:ascii="仿宋_GB2312" w:hAnsi="仿宋_GB2312" w:eastAsia="仿宋_GB2312" w:cs="仿宋_GB2312"/>
          <w:bCs/>
          <w:color w:val="FF0000"/>
          <w:sz w:val="28"/>
          <w:szCs w:val="28"/>
          <w:lang w:val="en-US" w:eastAsia="zh-CN"/>
        </w:rPr>
      </w:pPr>
      <w:r>
        <w:rPr>
          <w:rFonts w:hint="eastAsia" w:ascii="仿宋_GB2312" w:hAnsi="仿宋_GB2312" w:eastAsia="仿宋_GB2312" w:cs="仿宋_GB2312"/>
          <w:bCs/>
          <w:color w:val="auto"/>
          <w:sz w:val="28"/>
          <w:szCs w:val="28"/>
          <w:lang w:val="en-US" w:eastAsia="zh-CN"/>
        </w:rPr>
        <w:t>本单位基本支出689.27万元，其中人员经费583.49万元，日常公用经费105.78万元。人员经费主要用于人员工资、津贴补贴，公用经费主要用于办公费、水电费、邮电费、维修费、劳务费等。</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1" w:firstLineChars="100"/>
        <w:jc w:val="left"/>
        <w:textAlignment w:val="auto"/>
        <w:rPr>
          <w:rFonts w:hint="eastAsia" w:ascii="楷体_GB2312" w:hAnsi="楷体_GB2312" w:eastAsia="楷体_GB2312" w:cs="楷体_GB2312"/>
          <w:b/>
          <w:bCs/>
          <w:color w:val="auto"/>
          <w:spacing w:val="0"/>
          <w:position w:val="0"/>
          <w:sz w:val="32"/>
          <w:szCs w:val="32"/>
          <w:lang w:val="en-US" w:eastAsia="zh-CN"/>
        </w:rPr>
      </w:pPr>
      <w:r>
        <w:rPr>
          <w:rFonts w:hint="eastAsia" w:ascii="楷体_GB2312" w:hAnsi="楷体_GB2312" w:eastAsia="楷体_GB2312" w:cs="楷体_GB2312"/>
          <w:b/>
          <w:bCs/>
          <w:color w:val="auto"/>
          <w:spacing w:val="0"/>
          <w:position w:val="0"/>
          <w:sz w:val="32"/>
          <w:szCs w:val="32"/>
          <w:lang w:val="en-US" w:eastAsia="zh-CN"/>
        </w:rPr>
        <w:t>（二）项目支出情况</w:t>
      </w:r>
    </w:p>
    <w:p>
      <w:pPr>
        <w:spacing w:line="600" w:lineRule="exact"/>
        <w:ind w:firstLine="560" w:firstLineChars="200"/>
        <w:rPr>
          <w:rFonts w:hint="eastAsia" w:ascii="仿宋_GB2312" w:hAnsi="仿宋_GB2312" w:eastAsia="仿宋_GB2312" w:cs="仿宋_GB2312"/>
          <w:bCs/>
          <w:color w:val="auto"/>
          <w:sz w:val="28"/>
          <w:szCs w:val="28"/>
          <w:lang w:val="en-US" w:eastAsia="zh-CN"/>
        </w:rPr>
      </w:pPr>
      <w:r>
        <w:rPr>
          <w:rFonts w:hint="eastAsia" w:ascii="仿宋_GB2312" w:hAnsi="仿宋_GB2312" w:eastAsia="仿宋_GB2312" w:cs="仿宋_GB2312"/>
          <w:bCs/>
          <w:color w:val="auto"/>
          <w:sz w:val="28"/>
          <w:szCs w:val="28"/>
          <w:lang w:val="en-US" w:eastAsia="zh-CN"/>
        </w:rPr>
        <w:t>2022年专项支出564.91万元，其中运行维护费99万元（金保工程及信访维稳 21万元、办公租金及保安保洁 78 万元）、业务工作经费80.19万元（教师职称资格评定 19.54 万元、劳动合同工本费  5 万元、国企档案管理 55.65  万元）、编外用工人员经费86.67万元、事业单位招聘  44.67 万元、行政与事业运行16.21万元、工资奖金津补贴56.44万元、离退休费20.91万元、稳岗位提技能保就业经费40万元、网格员招聘40.14万元、防疫隔离宾馆运转经费65.13万元、办公楼装修改造 15.55 万元。我局严格执行专项资金使用审批制度，确保专项经费合理高效使用。</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本单位政府性基金预算支出为0</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本单位国有资本经营预算支出为0</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五、社会保险基金预算支出情况本</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单位社会保险基金预算支出情况为0</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spacing w:line="600" w:lineRule="exact"/>
        <w:ind w:firstLine="560" w:firstLineChars="200"/>
        <w:rPr>
          <w:rFonts w:hint="eastAsia" w:ascii="仿宋_GB2312" w:hAnsi="仿宋_GB2312" w:eastAsia="仿宋_GB2312" w:cs="仿宋_GB2312"/>
          <w:bCs/>
          <w:sz w:val="28"/>
          <w:szCs w:val="28"/>
          <w:lang w:val="zh-CN" w:eastAsia="zh-CN"/>
        </w:rPr>
      </w:pPr>
      <w:r>
        <w:rPr>
          <w:rFonts w:hint="eastAsia" w:ascii="仿宋_GB2312" w:hAnsi="仿宋_GB2312" w:eastAsia="仿宋_GB2312" w:cs="仿宋_GB2312"/>
          <w:bCs/>
          <w:sz w:val="28"/>
          <w:szCs w:val="28"/>
          <w:lang w:val="en-US" w:eastAsia="zh-CN"/>
        </w:rPr>
        <w:t>1.就业创业活力强劲。 全年我区城镇新就业完成10016人，完成目标任务10000人的101%；失业人员再就业6674人，完成目标任务3500人的190.69%；就业困难对象再就业1786人，完成目标任务1600人的111.63%；实现农村劳动力转移就业200人，完成目标任务的100%；创业培训362人，完成目标任务的100.5%；创业担保贷款累计发放贷款20户、390万元；失业保险参保28935人，征缴失业保险金367.7万元，失业金发放206.38万元，完成目标任务的114%；</w:t>
      </w:r>
      <w:r>
        <w:rPr>
          <w:rFonts w:hint="eastAsia" w:ascii="仿宋_GB2312" w:hAnsi="仿宋_GB2312" w:eastAsia="仿宋_GB2312" w:cs="仿宋_GB2312"/>
          <w:bCs/>
          <w:sz w:val="28"/>
          <w:szCs w:val="28"/>
          <w:lang w:val="zh-CN" w:eastAsia="zh-CN"/>
        </w:rPr>
        <w:t>开展了创业培训共11期，创业培训系统平台录入补贴人数362人次（含SYB创业培训班4期120人、模创培训4期138人、网创培训3期104人），完成创业培训目标任务360人次的100.6%。举办了岳阳楼区“迎老乡、回故乡、创三湘”恳谈会活动，第五届“中国创翼”创业创新大赛岳阳市岳阳楼区选拔赛。创业担保贷款累计发放贷款1</w:t>
      </w:r>
      <w:r>
        <w:rPr>
          <w:rFonts w:hint="eastAsia" w:ascii="仿宋_GB2312" w:hAnsi="仿宋_GB2312" w:eastAsia="仿宋_GB2312" w:cs="仿宋_GB2312"/>
          <w:bCs/>
          <w:sz w:val="28"/>
          <w:szCs w:val="28"/>
          <w:lang w:val="en-US" w:eastAsia="zh-CN"/>
        </w:rPr>
        <w:t>5</w:t>
      </w:r>
      <w:r>
        <w:rPr>
          <w:rFonts w:hint="eastAsia" w:ascii="仿宋_GB2312" w:hAnsi="仿宋_GB2312" w:eastAsia="仿宋_GB2312" w:cs="仿宋_GB2312"/>
          <w:bCs/>
          <w:sz w:val="28"/>
          <w:szCs w:val="28"/>
          <w:lang w:val="zh-CN" w:eastAsia="zh-CN"/>
        </w:rPr>
        <w:t>户、2</w:t>
      </w:r>
      <w:r>
        <w:rPr>
          <w:rFonts w:hint="eastAsia" w:ascii="仿宋_GB2312" w:hAnsi="仿宋_GB2312" w:eastAsia="仿宋_GB2312" w:cs="仿宋_GB2312"/>
          <w:bCs/>
          <w:sz w:val="28"/>
          <w:szCs w:val="28"/>
          <w:lang w:val="en-US" w:eastAsia="zh-CN"/>
        </w:rPr>
        <w:t>95</w:t>
      </w:r>
      <w:r>
        <w:rPr>
          <w:rFonts w:hint="eastAsia" w:ascii="仿宋_GB2312" w:hAnsi="仿宋_GB2312" w:eastAsia="仿宋_GB2312" w:cs="仿宋_GB2312"/>
          <w:bCs/>
          <w:sz w:val="28"/>
          <w:szCs w:val="28"/>
          <w:lang w:val="zh-CN" w:eastAsia="zh-CN"/>
        </w:rPr>
        <w:t>万元。举办技能提升培训班共17期，已完成技能培训目标任务800人次的100%。对全区基层平台工作人员进行了培训，全区平台建设比例为100%，108个社区（村）都进行了业务经办。全区就业失业登记网上自助审核按期审核率100%，全区“311”就业服务覆盖率103.6%。对无就业意愿和已就业的退捕渔民跟踪服务联系率达100%，对有未就业有就业意愿的退捕渔民保持动态清零。与湘西州保靖县和浙江省台州玉环市签订劳务协作协议，吸纳保靖县脱贫劳动力14人。截止目前失业人员再就业率</w:t>
      </w:r>
      <w:r>
        <w:rPr>
          <w:rFonts w:hint="eastAsia" w:ascii="仿宋_GB2312" w:hAnsi="仿宋_GB2312" w:eastAsia="仿宋_GB2312" w:cs="仿宋_GB2312"/>
          <w:bCs/>
          <w:sz w:val="28"/>
          <w:szCs w:val="28"/>
          <w:lang w:val="en-US" w:eastAsia="zh-CN"/>
        </w:rPr>
        <w:t>60</w:t>
      </w:r>
      <w:r>
        <w:rPr>
          <w:rFonts w:hint="eastAsia" w:ascii="仿宋_GB2312" w:hAnsi="仿宋_GB2312" w:eastAsia="仿宋_GB2312" w:cs="仿宋_GB2312"/>
          <w:bCs/>
          <w:sz w:val="28"/>
          <w:szCs w:val="28"/>
          <w:lang w:val="zh-CN" w:eastAsia="zh-CN"/>
        </w:rPr>
        <w:t>%以上，就业困难人员再就业率95%以上。</w:t>
      </w:r>
      <w:r>
        <w:rPr>
          <w:rFonts w:hint="eastAsia" w:ascii="仿宋_GB2312" w:hAnsi="仿宋_GB2312" w:eastAsia="仿宋_GB2312" w:cs="仿宋_GB2312"/>
          <w:bCs/>
          <w:sz w:val="28"/>
          <w:szCs w:val="28"/>
          <w:lang w:val="en-US" w:eastAsia="zh-CN"/>
        </w:rPr>
        <w:t>失业保险参保人数共计28935人，新参保单位152家，新增1610人；失业保险征缴367.7万，失业金发放206.38万，失业补助金12.81万，代缴医保49.35万，拨付稳岗补贴230家，发放168.62万元，技能提升补贴享受4人发放0.55万元，做到应补尽补</w:t>
      </w:r>
      <w:r>
        <w:rPr>
          <w:rFonts w:hint="eastAsia" w:ascii="仿宋_GB2312" w:hAnsi="仿宋_GB2312" w:eastAsia="仿宋_GB2312" w:cs="仿宋_GB2312"/>
          <w:bCs/>
          <w:sz w:val="28"/>
          <w:szCs w:val="28"/>
          <w:lang w:val="zh-CN" w:eastAsia="zh-CN"/>
        </w:rPr>
        <w:t>。</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社会保障体系健全。企业职工基本养老保险参保102988人，其中领取退休待遇29715人，发放待遇3.45亿元。城乡居民养老保险实际参保人数49574人，应参保人数214816人，覆盖率为23%。当期已发待遇人数56287人，发放养老金1183万元。发放丧葬补助金1006042元。落实岳楼人社发〔2021〕7号文件，对全区城居保待遇人员调整待遇标准13元，批量调整待遇8636人。接收事权下沉单位已转入35家单位共计5673人，收市局合计金额约为3.4亿；已拨付市局代发金额为1705万元；目前财务已拨付下沉单位养老金约为5000万元。原试点退费工作的财政资金已到位并已启动该项工作，现已导入系统90家单位，共计2696人，退费金额为914万元。社会保险基金监管做到：全面排查，堵住了风险漏洞；全程追缴，挽回了基金损失；全链监管，健全了长效机制。利用专项行动契机，修订完善社保基金监管制度和流程3个，推动社保基金在制度下持续安全运行。同时，我们认真贯彻落实省里28号文件，结合省、市要求，以区委名义印发了《岳阳楼区关于切实加强社会保险基金监管工作的实施意见》，进一步织密织牢社保基金监管的“安全网”。新增工伤保险参保单位共351家，新增参保人数为3180人。预计年底全区参保单位累计数达到3047家、参保人数达44254人，新开工工程工伤保险参保率达到100%。岳阳楼区公共网络服务平台共计办理各类业务约 150余万笔，服务居民群众280万人次。</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3.人事人才成效显著。积极落实人才强区战略，大力招聘、引进和培养人才。高效接收市属单位事权下放50多个单位转隶人员8000多人，全面推进公立医院薪酬制度改革，推动建立完善的人才评价体系，全力打造核心引领人才高地。完成《区事业单位管理岗位职员等级晋升制度实施方案》省级审批，起草《区事业单位管理岗位职员等级晋升制度实施细则》《岳阳楼区公立医院薪酬制度改革实施方案》。集中力量做好了事业单位管理岗位职员等级晋升工作，实现在省政府考核节点前圆满收官。完成2021年度全区185人职称评审数据的核准录入。完成2022年度高级职称参评材料申报、教师系列中级职称评审材料形式审查和年度市政府特殊津贴专家选拔推荐工作。完成区事业单位2021年度工资报表和基本工资调整测算预发。完成200份事业职员职级晋升人员档案信息的审核。完成5110份事业档案“三龄两历”审核，8628册档案实现数字化运用。完成国企退休人员档案电子化1626册。落实“人才新政45条”， 成功举办2022年春风行动暨“湘融湘爱·春暖农民工”等5场招聘会，配合开展“学成岳阳创业岳阳”系列招聘，会同充实完善了近2000人的区人才库。招募“三支一扶”10人。坚持事业单位凡进必考，共公开招录教师、事业单位工作人员230人。积极配合实施“四海揽才”4场次，引进硕士研究生等人才26人。完成全区离校高校毕业生实名制登记1821人，离校未就业高校毕业生就业率为99.5％、跟踪回访率100％、就业服务率100％。全区现有见习基地21家，今年新增8家。拨付19家见习基地19万元见习补贴。评选出楼区名师、楼区工匠、楼区名医等79个优秀人才（团队）。为28名博士和高层次人才解决子女就读问题，配合海吉星等单位申报民营企业青年人才补贴8人。</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4.社会劳动关系和谐。全面实施“速立、速调、速审、速结”劳动仲裁调解服务，规范落实保障农民工工资支付“三项制度”，扎实开展“护薪行动”。截止目前，共办理举报投诉2693个，替劳动者追回工资1900余万元，国家欠薪线索平台办结348个，办结率达到100%，12345回复办理2345个，处理完成率达到100%，监管工程建设领域在建项目34个，收取新开工建筑领域项目农民工工资保证金428.7万；共处理来访来电等各类欠薪举报投诉案件230起，涉及农民工450余人，涉案工资720余万元。联合处理了祥源城市之光项目，为100多农民工讨回欠薪200余万元；共完成“送法进工地”“送法送服务进千企”进项目工地18场次，企业宣传420家，涉及劳动者人数5000人次；共接待处理劳动争议纠纷243件，案前调解48件，立案受理195件，按期结案率为100%，调解成功率65%。培训建设领域关键岗位人员160人。建立健全了欠薪纠纷协调局内联席会议机制，完善兼职仲裁员聘任制度，积极支持学院路社区、枫树新村社区创建省级劳动人事争议金牌调解组织。开展了全区“三性”人员使用情况摸底和下沉单位（城管环卫系统）“三性”用工调研。两批共批准19家单位138名“三性人员”，合计经费690万，确保财政供养人员只减不增。</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auto"/>
          <w:spacing w:val="0"/>
          <w:position w:val="0"/>
          <w:sz w:val="32"/>
          <w:szCs w:val="32"/>
          <w:lang w:val="en-US" w:eastAsia="zh-CN"/>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w:t>
      </w:r>
      <w:r>
        <w:rPr>
          <w:rFonts w:hint="eastAsia" w:ascii="黑体" w:hAnsi="黑体" w:eastAsia="黑体" w:cs="黑体"/>
          <w:color w:val="auto"/>
          <w:spacing w:val="0"/>
          <w:position w:val="0"/>
          <w:sz w:val="32"/>
          <w:szCs w:val="32"/>
          <w:lang w:val="en-US" w:eastAsia="zh-CN"/>
        </w:rPr>
        <w:t>原因分析</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1、对日常公用经费支出预算不够精准，导致日常工作中指标与资金性质支出不匹配；</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2、本着厉行节俭、只减不增的原则，严格执行“三公经费”标准和审批制度与程序，控制公务接待用餐支出，导致预算指标与实际执行指标有差距，需要进行指标调剂；</w:t>
      </w:r>
    </w:p>
    <w:p>
      <w:pPr>
        <w:spacing w:line="60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lang w:eastAsia="zh-CN"/>
        </w:rPr>
        <w:t>资产管理内部控制制度有待加强，对突发性的资产购置，没有政府采购预算，在执行预算管理中需进行指标调剂。</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default"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lang w:val="en-US" w:eastAsia="zh-CN"/>
        </w:rPr>
        <w:t>严格落实《预算法》及区绩效管理工作的有关规定,进一步规范财政资金的管理,建立和完善科学、合理的项目资金绩效评价管理体系,促进公共财政阳光化,提高财政资金使用效益。</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w:t>
      </w:r>
      <w:r>
        <w:rPr>
          <w:rFonts w:hint="default" w:ascii="仿宋_GB2312" w:hAnsi="仿宋_GB2312" w:eastAsia="仿宋_GB2312" w:cs="仿宋_GB2312"/>
          <w:bCs/>
          <w:sz w:val="28"/>
          <w:szCs w:val="28"/>
          <w:lang w:val="en-US" w:eastAsia="zh-CN"/>
        </w:rPr>
        <w:t>预算财务分析常态化。做好支出预算财务分析，及时对费用预算执行情况进行</w:t>
      </w:r>
      <w:r>
        <w:rPr>
          <w:rFonts w:hint="eastAsia" w:ascii="仿宋_GB2312" w:hAnsi="仿宋_GB2312" w:eastAsia="仿宋_GB2312" w:cs="仿宋_GB2312"/>
          <w:bCs/>
          <w:sz w:val="28"/>
          <w:szCs w:val="28"/>
          <w:lang w:val="en-US" w:eastAsia="zh-CN"/>
        </w:rPr>
        <w:t>跟踪</w:t>
      </w:r>
      <w:r>
        <w:rPr>
          <w:rFonts w:hint="default" w:ascii="仿宋_GB2312" w:hAnsi="仿宋_GB2312" w:eastAsia="仿宋_GB2312" w:cs="仿宋_GB2312"/>
          <w:bCs/>
          <w:sz w:val="28"/>
          <w:szCs w:val="28"/>
          <w:lang w:val="en-US" w:eastAsia="zh-CN"/>
        </w:rPr>
        <w:t>，做好整体支出预算评价工作。</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3、加强绩效管理的培训和学习，讲绩效理念深入到各个基本环节中，对每个部门以及项目都分别制定相应的绩效指标，合理的对财政支出进行管理。</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九、部门整体支出绩效评价结果拟应用和公开情况</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其他需要说明的情况</w:t>
      </w:r>
    </w:p>
    <w:p>
      <w:pPr>
        <w:spacing w:line="600" w:lineRule="exact"/>
        <w:ind w:firstLine="560" w:firstLineChars="200"/>
        <w:rPr>
          <w:rFonts w:hint="eastAsia" w:ascii="仿宋_GB2312" w:hAnsi="仿宋_GB2312" w:eastAsia="仿宋_GB2312" w:cs="仿宋_GB2312"/>
          <w:bCs/>
          <w:sz w:val="28"/>
          <w:szCs w:val="28"/>
          <w:lang w:val="en-US" w:eastAsia="zh-CN"/>
        </w:rPr>
      </w:pP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1、部门整体支出绩效评价基础数据表   附件1</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2、部门整体支出绩效评价表    附件2</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3、部门整体支出绩效评价表    附件3</w:t>
      </w:r>
    </w:p>
    <w:p>
      <w:pPr>
        <w:spacing w:line="60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4、项目支出绩效评价表(一个一级项目支出一张表) 附件4</w:t>
      </w:r>
    </w:p>
    <w:p>
      <w:pPr>
        <w:spacing w:line="60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5、区级预算单位绩效评价工作考核评分表  附件5</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附件4-1</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业务工作经费（国企退休人员档案管理）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55.65</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55.65</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55.65</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bookmarkStart w:id="0" w:name="_GoBack" w:colFirst="3" w:colLast="4"/>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55.65</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55.65</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55.65</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bookmarkEnd w:id="0"/>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Times New Roman" w:hAnsi="Times New Roman" w:eastAsia="仿宋_GB2312"/>
                <w:kern w:val="0"/>
                <w:sz w:val="24"/>
                <w:szCs w:val="24"/>
              </w:rPr>
              <w:t>规范的收集及整理国企退休人员档案</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xml:space="preserve">   国有企业退休档案社会化管理。我区国有企业退休人员人事档案接收工作稳步推进，规范人事档案移交流程，注明相关注意事项，使对接人员一目了然。简化办事步骤，避免来回奔波，返工耗时，对接人员上门三次即可完成档案交接所有事项，使档案进馆进度提速。截止年底，今年新增退休人员和市直企业退休人员的档案接收工作已全部完成，并完成了10000册的国有退休档案数字化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Times New Roman" w:hAnsi="Times New Roman" w:eastAsia="仿宋_GB2312"/>
                <w:kern w:val="0"/>
                <w:sz w:val="24"/>
                <w:szCs w:val="24"/>
                <w:lang w:eastAsia="zh-CN"/>
              </w:rPr>
              <w:t>人事人才档案管理数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≥5000份</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5600份</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Times New Roman" w:hAnsi="Times New Roman" w:eastAsia="仿宋_GB2312"/>
                <w:kern w:val="0"/>
                <w:sz w:val="24"/>
                <w:szCs w:val="24"/>
              </w:rPr>
              <w:t>国有退休档案数字</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≥8000册</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10000册</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Times New Roman" w:hAnsi="Times New Roman" w:eastAsia="仿宋_GB2312"/>
                <w:kern w:val="0"/>
                <w:sz w:val="24"/>
                <w:szCs w:val="24"/>
                <w:lang w:eastAsia="zh-CN"/>
              </w:rPr>
            </w:pPr>
            <w:r>
              <w:rPr>
                <w:rFonts w:hint="eastAsia" w:ascii="Times New Roman" w:hAnsi="Times New Roman" w:eastAsia="仿宋_GB2312"/>
                <w:kern w:val="0"/>
                <w:sz w:val="24"/>
                <w:szCs w:val="24"/>
                <w:lang w:eastAsia="zh-CN"/>
              </w:rPr>
              <w:t>整理工作</w:t>
            </w:r>
          </w:p>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Times New Roman" w:hAnsi="Times New Roman" w:eastAsia="仿宋_GB2312"/>
                <w:kern w:val="0"/>
                <w:sz w:val="24"/>
                <w:szCs w:val="24"/>
                <w:lang w:eastAsia="zh-CN"/>
              </w:rPr>
              <w:t>时日</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12个月</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3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Times New Roman" w:hAnsi="Times New Roman" w:eastAsia="仿宋_GB2312"/>
                <w:kern w:val="0"/>
                <w:sz w:val="24"/>
                <w:szCs w:val="24"/>
                <w:lang w:eastAsia="zh-CN"/>
              </w:rPr>
            </w:pPr>
            <w:r>
              <w:rPr>
                <w:rFonts w:hint="eastAsia" w:ascii="Times New Roman" w:hAnsi="Times New Roman" w:eastAsia="仿宋_GB2312"/>
                <w:kern w:val="0"/>
                <w:sz w:val="24"/>
                <w:szCs w:val="24"/>
                <w:lang w:eastAsia="zh-CN"/>
              </w:rPr>
              <w:t>档案管理</w:t>
            </w:r>
          </w:p>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Times New Roman" w:hAnsi="Times New Roman" w:eastAsia="仿宋_GB2312"/>
                <w:kern w:val="0"/>
                <w:sz w:val="24"/>
                <w:szCs w:val="24"/>
                <w:lang w:eastAsia="zh-CN"/>
              </w:rPr>
              <w:t>成本</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≤55.65万元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55.65万元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Times New Roman" w:hAnsi="Times New Roman" w:eastAsia="仿宋_GB2312"/>
                <w:kern w:val="0"/>
                <w:sz w:val="24"/>
                <w:szCs w:val="24"/>
                <w:lang w:eastAsia="zh-CN"/>
              </w:rPr>
              <w:t>保障国企退休人员待遇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rPr>
              <w:t>规范整理国企退休人员档案</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rPr>
              <w:t>规范整理国企退休人员档案</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提升档案管理效率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有效提升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有效提升</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eastAsia" w:ascii="仿宋" w:hAnsi="仿宋" w:eastAsia="仿宋" w:cs="仿宋"/>
          <w:color w:val="000000" w:themeColor="text1"/>
          <w:spacing w:val="4"/>
          <w:sz w:val="23"/>
          <w:szCs w:val="23"/>
          <w:lang w:val="en-US" w:eastAsia="zh-CN"/>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唐莉</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13617303355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2023.6.15</w:t>
      </w:r>
    </w:p>
    <w:p>
      <w:pPr>
        <w:spacing w:before="75" w:line="230" w:lineRule="auto"/>
        <w:rPr>
          <w:rFonts w:hint="eastAsia" w:ascii="仿宋" w:hAnsi="仿宋" w:eastAsia="仿宋" w:cs="仿宋"/>
          <w:color w:val="000000" w:themeColor="text1"/>
          <w:spacing w:val="4"/>
          <w:sz w:val="23"/>
          <w:szCs w:val="23"/>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附件4-2</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运行维护经费（房租及保安保洁）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78</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78</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78</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78</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78</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78</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保证日常工作的正常运行，办公场所正常使用</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420" w:firstLineChars="200"/>
              <w:jc w:val="left"/>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租赁房屋坐落于南源广场以西，南湖社区东侧，建筑面积4012平方米，占地面积3360平方米，共四层，用于岳阳市岳阳楼区人力资源和社会保障局办公，保证日常工作的正常运行。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已完成维护面积</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4012平方米</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4012平方米</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维护合格验收率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维护工作期限</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30天内完成</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维护成本</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≤78万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优化人才人事管理</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有效优化</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有效优化</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leftChars="0" w:right="0" w:rightChars="0" w:hanging="99" w:firstLine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提高工作</w:t>
            </w:r>
          </w:p>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水平</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有效提升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有效提升</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kern w:val="2"/>
                <w:sz w:val="21"/>
                <w:szCs w:val="21"/>
                <w:lang w:val="en-US" w:eastAsia="zh-CN" w:bidi="ar-SA"/>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唐莉</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13617303355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附件4-3</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2021年绩效奖励（在职）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56.44</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56.44</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56.44</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56.44</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56.44</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56.44</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综合管理单位工资福利工作</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right="0" w:firstLine="420" w:firstLineChars="200"/>
              <w:jc w:val="left"/>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2022年2月及时支付43人在职人员绩效奖，有效的提升了工作人员的工作效率和工作积极性。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43人</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1.36万元</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2022年内</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≤56.44万元</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rPr>
              <w:t>促进社会稳定</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有效促进</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有效促进</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工作人员的工作效率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提升工作人员的工作效率</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8"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sz w:val="21"/>
                <w:szCs w:val="21"/>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唐莉</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13617303355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防疫隔离宾馆运转经费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65.13</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65.13</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65.13</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65.13</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65.13</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65.13</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1050" w:firstLineChars="50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疫情防控工作</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xml:space="preserve">    理顺隔离点工作机制，规范突发情况处置流程，强化各部门之间配合，及时堵塞漏洞，有效控制疫情，完成防疫隔离666人。切实降低疫情传播风险，保障人民群众身体健康和生命安全，维护社会稳定，确保防控工作有序开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完成防疫隔离人数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666人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666人</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对经费支出使用效率的控制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及时支付某某经费，多少日内支付</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15天</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预算控制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65.13万元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65.13万元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490" w:lineRule="exact"/>
              <w:ind w:left="0" w:right="0" w:firstLine="210" w:firstLineChars="100"/>
              <w:jc w:val="both"/>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为保障社会公众卫生健康安全</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有效保障</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有效保障</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提升医疗卫生体系建设</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auto"/>
                <w:spacing w:val="-4"/>
                <w:sz w:val="21"/>
                <w:szCs w:val="21"/>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唐莉</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13617303355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附件4-5</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事业单位公开招聘工作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0"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人才人事的规划与组织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xml:space="preserve">   面向社会公开招聘全额拨款事业单位工作人员30名。2022年5月18日发布招聘公告，2022年7月25日发布拟聘人员公告，招聘工作结束。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公开招聘事业单位工作人员数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30名</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30名</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对项目经费无挪用，专项专用</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无挪用，专项专用</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无挪用，专项专用</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及时组织招聘工作，多少日内完成招聘工作</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2022年内完成</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7月25日完成</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预算控制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both"/>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促进就业公平等</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有效促进</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有效促进</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落实完善人才招聘机制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全面落实</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全面落实</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8"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kern w:val="2"/>
                <w:sz w:val="21"/>
                <w:szCs w:val="21"/>
                <w:lang w:val="en-US" w:eastAsia="zh-CN" w:bidi="ar-SA"/>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唐莉</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13617303355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附件4-6</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临聘人员工资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86.67</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86.67</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86.67</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86.67</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86.67</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86.67</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人力资源的流动</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420" w:firstLineChars="200"/>
              <w:jc w:val="left"/>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临聘人员19人共用经费86.67万元，有效利于二级机构的工作运转</w:t>
            </w:r>
            <w:r>
              <w:rPr>
                <w:rFonts w:hint="eastAsia" w:ascii="Arial"/>
                <w:color w:val="000000" w:themeColor="text1"/>
                <w:spacing w:val="0"/>
                <w:sz w:val="21"/>
                <w:szCs w:val="21"/>
                <w:lang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发放工资人数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19人</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对项目经费无挪用，专项专用</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无挪用，专项专用</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无挪用，专项专用</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工资及时发放期限</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60天内</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60天内</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预算控制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≤86.67万元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86.67万元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促进就业公平</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有效促进</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有效促进</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落实完善人才招聘机制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全面落实</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全面落实</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kern w:val="2"/>
                <w:sz w:val="21"/>
                <w:szCs w:val="21"/>
                <w:lang w:val="en-US" w:eastAsia="zh-CN" w:bidi="ar-SA"/>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唐莉</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13617303355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附件4-7</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稳岗位提技能保就业工作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spacing w:val="-1"/>
                <w:kern w:val="0"/>
                <w:sz w:val="21"/>
                <w:szCs w:val="21"/>
                <w:lang w:eastAsia="zh-CN"/>
              </w:rPr>
              <w:t>技能培训，稳</w:t>
            </w:r>
            <w:r>
              <w:rPr>
                <w:rFonts w:ascii="宋体" w:hAnsi="宋体" w:eastAsia="宋体" w:cs="宋体"/>
                <w:color w:val="000000"/>
                <w:spacing w:val="-1"/>
                <w:kern w:val="0"/>
                <w:sz w:val="21"/>
                <w:szCs w:val="21"/>
                <w:lang w:eastAsia="en-US"/>
              </w:rPr>
              <w:t>就业</w:t>
            </w:r>
            <w:r>
              <w:rPr>
                <w:rFonts w:hint="eastAsia" w:ascii="宋体" w:hAnsi="宋体" w:eastAsia="宋体" w:cs="宋体"/>
                <w:color w:val="000000"/>
                <w:spacing w:val="-1"/>
                <w:kern w:val="0"/>
                <w:sz w:val="21"/>
                <w:szCs w:val="21"/>
                <w:lang w:eastAsia="zh-CN"/>
              </w:rPr>
              <w:t>，促发展</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 xml:space="preserve"> </w:t>
            </w:r>
            <w:r>
              <w:rPr>
                <w:rFonts w:hint="eastAsia" w:ascii="Arial"/>
                <w:color w:val="000000" w:themeColor="text1"/>
                <w:spacing w:val="0"/>
                <w:sz w:val="21"/>
                <w:szCs w:val="21"/>
                <w:lang w:val="en-US" w:eastAsia="zh-CN"/>
                <w14:textFill>
                  <w14:solidFill>
                    <w14:schemeClr w14:val="tx1"/>
                  </w14:solidFill>
                </w14:textFill>
              </w:rPr>
              <w:t xml:space="preserve">  </w:t>
            </w:r>
            <w:r>
              <w:rPr>
                <w:rFonts w:hint="eastAsia" w:ascii="Arial"/>
                <w:color w:val="000000" w:themeColor="text1"/>
                <w:spacing w:val="0"/>
                <w:sz w:val="21"/>
                <w:szCs w:val="21"/>
                <w:lang w:eastAsia="zh-CN"/>
                <w14:textFill>
                  <w14:solidFill>
                    <w14:schemeClr w14:val="tx1"/>
                  </w14:solidFill>
                </w14:textFill>
              </w:rPr>
              <w:t>2022年职业技能提升培训目标任务数为850人。11月30日全部完成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开展技能培训人数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rPr>
              <w:t>850人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rPr>
              <w:t>850人</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适岗人员匹配率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2022年内工作完成期限</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12月之前</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11月30日</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预算控制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40万</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促进就业公平</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有效促进</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有效促进</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落实完善人才招聘机制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全面落实</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全面落实</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8"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kern w:val="2"/>
                <w:sz w:val="21"/>
                <w:szCs w:val="21"/>
                <w:lang w:val="en-US" w:eastAsia="zh-CN" w:bidi="ar-SA"/>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唐莉</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13617303355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附件4-8</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7"/>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网格员招聘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岳阳楼区人力资源和社会保障局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40.14</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40.14</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40.14</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40.14</w:t>
            </w: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40.14</w:t>
            </w: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40.14</w:t>
            </w: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840" w:firstLineChars="40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根据区委区政府要求招聘</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  </w:t>
            </w:r>
            <w:r>
              <w:rPr>
                <w:rFonts w:hint="eastAsia" w:ascii="Arial"/>
                <w:color w:val="000000" w:themeColor="text1"/>
                <w:spacing w:val="0"/>
                <w:sz w:val="21"/>
                <w:szCs w:val="21"/>
                <w:lang w:eastAsia="zh-CN"/>
                <w14:textFill>
                  <w14:solidFill>
                    <w14:schemeClr w14:val="tx1"/>
                  </w14:solidFill>
                </w14:textFill>
              </w:rPr>
              <w:t>公开招聘社区网格管理员100名（其中：男性50名，女性50名）,社会化工会工作者4名（其中：男性2名，女性2名）。2022年11月10日发布招聘公告，2022年12月29日完成移交工作，招聘工作结束。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组织招聘人数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≥100人</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100人</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适岗人员匹配率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2022年工作完成期限</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2022年内全部完成</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2022年12月29日完成</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预算控制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≤40.14万元</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44.67万元</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促进经济发展</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有效促进 </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有效促进 </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改善群众再就业环境</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有效改善</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有效改善</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落实完善再就业机制</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全面落实</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全面落实</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8"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群众满意度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3" w:hRule="atLeast"/>
        </w:trPr>
        <w:tc>
          <w:tcPr>
            <w:tcW w:w="1075" w:type="dxa"/>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宋体" w:hAnsi="宋体" w:eastAsia="宋体" w:cs="宋体"/>
                <w:color w:val="auto"/>
                <w:spacing w:val="-4"/>
                <w:sz w:val="21"/>
                <w:szCs w:val="21"/>
              </w:rPr>
            </w:pPr>
            <w:r>
              <w:rPr>
                <w:rFonts w:hint="eastAsia" w:ascii="宋体" w:hAnsi="宋体" w:eastAsia="宋体" w:cs="宋体"/>
                <w:color w:val="auto"/>
                <w:spacing w:val="-4"/>
                <w:sz w:val="21"/>
                <w:szCs w:val="21"/>
              </w:rPr>
              <w:t>服务对象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ascii="宋体" w:hAnsi="宋体" w:eastAsia="宋体" w:cs="宋体"/>
                <w:color w:val="auto"/>
                <w:spacing w:val="-4"/>
                <w:kern w:val="2"/>
                <w:sz w:val="21"/>
                <w:szCs w:val="21"/>
                <w:lang w:val="en-US" w:eastAsia="zh-CN" w:bidi="ar-SA"/>
              </w:rPr>
            </w:pPr>
            <w:r>
              <w:rPr>
                <w:rFonts w:hint="eastAsia" w:ascii="宋体" w:hAnsi="宋体" w:eastAsia="宋体" w:cs="宋体"/>
                <w:color w:val="auto"/>
                <w:spacing w:val="-4"/>
                <w:sz w:val="21"/>
                <w:szCs w:val="21"/>
              </w:rPr>
              <w:t>满意度</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auto"/>
                <w:spacing w:val="-4"/>
                <w:sz w:val="21"/>
                <w:szCs w:val="21"/>
              </w:rPr>
              <w:t>≥</w:t>
            </w:r>
            <w:r>
              <w:rPr>
                <w:rFonts w:hint="eastAsia" w:ascii="宋体" w:hAnsi="宋体" w:eastAsia="宋体" w:cs="宋体"/>
                <w:color w:val="auto"/>
                <w:spacing w:val="-2"/>
                <w:sz w:val="21"/>
                <w:szCs w:val="21"/>
                <w:lang w:val="en-US" w:eastAsia="zh-CN"/>
              </w:rPr>
              <w:t>95</w:t>
            </w:r>
            <w:r>
              <w:rPr>
                <w:rFonts w:ascii="宋体" w:hAnsi="宋体" w:eastAsia="宋体" w:cs="宋体"/>
                <w:color w:val="auto"/>
                <w:spacing w:val="-2"/>
                <w:sz w:val="21"/>
                <w:szCs w:val="21"/>
              </w:rPr>
              <w:t>%</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唐莉</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13617303355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w:t>
      </w:r>
      <w:r>
        <w:rPr>
          <w:rFonts w:hint="eastAsia" w:eastAsia="方正小标宋简体"/>
          <w:spacing w:val="-6"/>
          <w:sz w:val="36"/>
          <w:szCs w:val="36"/>
        </w:rPr>
        <w:t>评价</w:t>
      </w:r>
      <w:r>
        <w:rPr>
          <w:rFonts w:eastAsia="方正小标宋简体"/>
          <w:spacing w:val="-6"/>
          <w:sz w:val="36"/>
          <w:szCs w:val="36"/>
        </w:rPr>
        <w:t>工作考核评分表</w:t>
      </w:r>
    </w:p>
    <w:tbl>
      <w:tblPr>
        <w:tblStyle w:val="4"/>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vAlign w:val="center"/>
          </w:tcPr>
          <w:p>
            <w:pPr>
              <w:spacing w:line="240" w:lineRule="exact"/>
              <w:ind w:firstLine="210" w:firstLineChars="100"/>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仿宋_GB2312" w:hAnsi="仿宋_GB2312" w:eastAsia="仿宋_GB2312" w:cs="仿宋_GB2312"/>
                <w:bCs/>
                <w:sz w:val="28"/>
                <w:szCs w:val="28"/>
                <w:lang w:val="en-US" w:eastAsia="zh-CN"/>
              </w:rPr>
              <w:t>评价</w:t>
            </w:r>
            <w:r>
              <w:rPr>
                <w:rFonts w:hint="eastAsia" w:asciiTheme="majorEastAsia" w:hAnsiTheme="majorEastAsia" w:eastAsiaTheme="majorEastAsia" w:cstheme="majorEastAsia"/>
                <w:sz w:val="21"/>
                <w:szCs w:val="21"/>
              </w:rPr>
              <w:t>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1.绩效评价报告正文部分内容齐全的，得8分；否则每少一个部分扣2分，最多扣8分。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2.绩效评价报告附件部分内容齐全的，得7分；否则每少一个部分扣2分，最多扣7分。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w:t>
            </w:r>
            <w:r>
              <w:rPr>
                <w:rFonts w:hint="eastAsia" w:ascii="仿宋_GB2312" w:hAnsi="仿宋_GB2312" w:eastAsia="仿宋_GB2312" w:cs="仿宋_GB2312"/>
                <w:bCs/>
                <w:sz w:val="28"/>
                <w:szCs w:val="28"/>
                <w:lang w:val="en-US" w:eastAsia="zh-CN"/>
              </w:rPr>
              <w:t>评价</w:t>
            </w:r>
            <w:r>
              <w:rPr>
                <w:rFonts w:hint="eastAsia" w:asciiTheme="majorEastAsia" w:hAnsiTheme="majorEastAsia" w:eastAsiaTheme="majorEastAsia" w:cstheme="majorEastAsia"/>
                <w:sz w:val="21"/>
                <w:szCs w:val="21"/>
              </w:rPr>
              <w:t>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13</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auto"/>
    <w:pitch w:val="default"/>
    <w:sig w:usb0="00000000" w:usb1="00000000" w:usb2="00000000" w:usb3="00000000" w:csb0="00040000" w:csb1="00000000"/>
  </w:font>
  <w:font w:name="Cambria">
    <w:panose1 w:val="02040503050406030204"/>
    <w:charset w:val="00"/>
    <w:family w:val="moder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11F737"/>
    <w:multiLevelType w:val="singleLevel"/>
    <w:tmpl w:val="EC11F737"/>
    <w:lvl w:ilvl="0" w:tentative="0">
      <w:start w:val="1"/>
      <w:numFmt w:val="chineseCounting"/>
      <w:suff w:val="nothing"/>
      <w:lvlText w:val="%1、"/>
      <w:lvlJc w:val="left"/>
      <w:rPr>
        <w:rFonts w:hint="eastAsia"/>
      </w:rPr>
    </w:lvl>
  </w:abstractNum>
  <w:abstractNum w:abstractNumId="1">
    <w:nsid w:val="2CE8D540"/>
    <w:multiLevelType w:val="singleLevel"/>
    <w:tmpl w:val="2CE8D540"/>
    <w:lvl w:ilvl="0" w:tentative="0">
      <w:start w:val="1"/>
      <w:numFmt w:val="decimal"/>
      <w:suff w:val="nothing"/>
      <w:lvlText w:val="%1、"/>
      <w:lvlJc w:val="left"/>
    </w:lvl>
  </w:abstractNum>
  <w:abstractNum w:abstractNumId="2">
    <w:nsid w:val="5581BFE3"/>
    <w:multiLevelType w:val="singleLevel"/>
    <w:tmpl w:val="5581BFE3"/>
    <w:lvl w:ilvl="0" w:tentative="0">
      <w:start w:val="8"/>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 w:name="KSO_WPS_MARK_KEY" w:val="af879e75-32a3-4d2e-a3ad-0b61d9542481"/>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1F4C0F"/>
    <w:rsid w:val="0347190C"/>
    <w:rsid w:val="034760CE"/>
    <w:rsid w:val="03487959"/>
    <w:rsid w:val="03505BE1"/>
    <w:rsid w:val="036D41A2"/>
    <w:rsid w:val="037F229C"/>
    <w:rsid w:val="03911277"/>
    <w:rsid w:val="039A540B"/>
    <w:rsid w:val="03BD010E"/>
    <w:rsid w:val="03E2685C"/>
    <w:rsid w:val="03E66326"/>
    <w:rsid w:val="03F23E08"/>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45397"/>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8D6F1D"/>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7A19EA"/>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7B78D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865D2"/>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D78"/>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1E86AB5"/>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46EF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7F67F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7F3C89"/>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2F6B61"/>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689"/>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3B6B2D"/>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A7E11"/>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903019"/>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4BB0"/>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7F4753"/>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86A1D"/>
    <w:rsid w:val="3A2E618D"/>
    <w:rsid w:val="3A4109A1"/>
    <w:rsid w:val="3A742C8C"/>
    <w:rsid w:val="3A7B2702"/>
    <w:rsid w:val="3A896EEE"/>
    <w:rsid w:val="3AAA2893"/>
    <w:rsid w:val="3ABB15C7"/>
    <w:rsid w:val="3AD8279E"/>
    <w:rsid w:val="3AE73EDB"/>
    <w:rsid w:val="3B08641D"/>
    <w:rsid w:val="3B1C7A19"/>
    <w:rsid w:val="3B2B5582"/>
    <w:rsid w:val="3B4234D4"/>
    <w:rsid w:val="3B664CCE"/>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70E6A"/>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B70821"/>
    <w:rsid w:val="3ECD5479"/>
    <w:rsid w:val="3ED62B90"/>
    <w:rsid w:val="3EE34DD3"/>
    <w:rsid w:val="3EF434CC"/>
    <w:rsid w:val="3EFB6FF7"/>
    <w:rsid w:val="3EFF0A75"/>
    <w:rsid w:val="3F1054CE"/>
    <w:rsid w:val="3F2534F3"/>
    <w:rsid w:val="3F3A1B65"/>
    <w:rsid w:val="3F3A5EB9"/>
    <w:rsid w:val="3F503EA6"/>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954AA"/>
    <w:rsid w:val="400C4E03"/>
    <w:rsid w:val="40126EBB"/>
    <w:rsid w:val="40174F5D"/>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483A21"/>
    <w:rsid w:val="4278512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1509B9"/>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A2623"/>
    <w:rsid w:val="486D78BB"/>
    <w:rsid w:val="48915636"/>
    <w:rsid w:val="48985F31"/>
    <w:rsid w:val="48AA34B6"/>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437E"/>
    <w:rsid w:val="4A4260CB"/>
    <w:rsid w:val="4A611E1A"/>
    <w:rsid w:val="4A7055A6"/>
    <w:rsid w:val="4A9C47ED"/>
    <w:rsid w:val="4AA71D5E"/>
    <w:rsid w:val="4AA97A08"/>
    <w:rsid w:val="4AAA6CA9"/>
    <w:rsid w:val="4AE008D2"/>
    <w:rsid w:val="4AE6642A"/>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A40DC"/>
    <w:rsid w:val="4E4E7E80"/>
    <w:rsid w:val="4E534A5B"/>
    <w:rsid w:val="4E5C5562"/>
    <w:rsid w:val="4E5F69A8"/>
    <w:rsid w:val="4E655726"/>
    <w:rsid w:val="4E754A02"/>
    <w:rsid w:val="4E95725E"/>
    <w:rsid w:val="4E9A6CF9"/>
    <w:rsid w:val="4EA65FD0"/>
    <w:rsid w:val="4EAE1523"/>
    <w:rsid w:val="4ED33DCB"/>
    <w:rsid w:val="4EE34782"/>
    <w:rsid w:val="4EE63F4F"/>
    <w:rsid w:val="4F007E65"/>
    <w:rsid w:val="4F0A1AF8"/>
    <w:rsid w:val="4F121E33"/>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226A9B"/>
    <w:rsid w:val="503C3296"/>
    <w:rsid w:val="504B0F0D"/>
    <w:rsid w:val="50527689"/>
    <w:rsid w:val="506633AA"/>
    <w:rsid w:val="507237E3"/>
    <w:rsid w:val="507460B5"/>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EB7156"/>
    <w:rsid w:val="53FC3987"/>
    <w:rsid w:val="5427381E"/>
    <w:rsid w:val="543B0168"/>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5B73CE"/>
    <w:rsid w:val="556A391F"/>
    <w:rsid w:val="55862A42"/>
    <w:rsid w:val="55990578"/>
    <w:rsid w:val="55A56891"/>
    <w:rsid w:val="55AC66CB"/>
    <w:rsid w:val="55C33131"/>
    <w:rsid w:val="55CD7903"/>
    <w:rsid w:val="55E172A0"/>
    <w:rsid w:val="55E24605"/>
    <w:rsid w:val="55F81C60"/>
    <w:rsid w:val="55FA0F14"/>
    <w:rsid w:val="56097F90"/>
    <w:rsid w:val="56133E90"/>
    <w:rsid w:val="564543C1"/>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51448F"/>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6231FB"/>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8797A"/>
    <w:rsid w:val="5EDB6E5E"/>
    <w:rsid w:val="5EDF7350"/>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1E11D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81C92"/>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755C83"/>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DE219A"/>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DB559A"/>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9E108F"/>
    <w:rsid w:val="68A05E34"/>
    <w:rsid w:val="68A4599C"/>
    <w:rsid w:val="68AD0074"/>
    <w:rsid w:val="68D4182F"/>
    <w:rsid w:val="68DA458B"/>
    <w:rsid w:val="68E565D8"/>
    <w:rsid w:val="68ED4DA7"/>
    <w:rsid w:val="68FC5EBD"/>
    <w:rsid w:val="69122538"/>
    <w:rsid w:val="69194FE8"/>
    <w:rsid w:val="691F4315"/>
    <w:rsid w:val="69544350"/>
    <w:rsid w:val="69703FA0"/>
    <w:rsid w:val="69723990"/>
    <w:rsid w:val="69997B9C"/>
    <w:rsid w:val="699A7BD1"/>
    <w:rsid w:val="69A84304"/>
    <w:rsid w:val="69B52A42"/>
    <w:rsid w:val="69B67148"/>
    <w:rsid w:val="69BE4DB3"/>
    <w:rsid w:val="69CF0E91"/>
    <w:rsid w:val="69CF0ED8"/>
    <w:rsid w:val="69D52B56"/>
    <w:rsid w:val="69D54DDD"/>
    <w:rsid w:val="69E028D2"/>
    <w:rsid w:val="69E874BD"/>
    <w:rsid w:val="69EB77F4"/>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35C6"/>
    <w:rsid w:val="6E7B5CAB"/>
    <w:rsid w:val="6E8A4264"/>
    <w:rsid w:val="6EAA56FE"/>
    <w:rsid w:val="6EB37B5B"/>
    <w:rsid w:val="6EBE6FBB"/>
    <w:rsid w:val="6ED70BA2"/>
    <w:rsid w:val="6EDB7671"/>
    <w:rsid w:val="6EF77260"/>
    <w:rsid w:val="6F22128C"/>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7B5A55"/>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C9671B"/>
    <w:rsid w:val="7FE076F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7">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11017</Words>
  <Characters>13005</Characters>
  <Lines>0</Lines>
  <Paragraphs>0</Paragraphs>
  <TotalTime>0</TotalTime>
  <ScaleCrop>false</ScaleCrop>
  <LinksUpToDate>false</LinksUpToDate>
  <CharactersWithSpaces>13944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necrolyte</cp:lastModifiedBy>
  <cp:lastPrinted>2023-08-22T02:04:00Z</cp:lastPrinted>
  <dcterms:modified xsi:type="dcterms:W3CDTF">2024-06-28T08:03:39Z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EE212B880D9845A39C924D94F32955B3_13</vt:lpwstr>
  </property>
</Properties>
</file>