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70" w:firstLineChars="50"/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附件1</w:t>
      </w:r>
    </w:p>
    <w:p>
      <w:pPr>
        <w:spacing w:line="700" w:lineRule="exact"/>
        <w:jc w:val="right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2022年度预算单位整体支出绩效评价基础数据表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vAlign w:val="center"/>
          </w:tcPr>
          <w:p>
            <w:pPr>
              <w:spacing w:before="33" w:line="198" w:lineRule="auto"/>
              <w:ind w:right="118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预算单位名称</w:t>
            </w:r>
          </w:p>
        </w:tc>
        <w:tc>
          <w:tcPr>
            <w:tcW w:w="5819" w:type="dxa"/>
            <w:gridSpan w:val="6"/>
          </w:tcPr>
          <w:p>
            <w:pPr>
              <w:spacing w:before="103" w:line="219" w:lineRule="auto"/>
              <w:ind w:left="708"/>
              <w:rPr>
                <w:rFonts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岳阳市岳阳楼区拆迁安置服务中心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</w:tcPr>
          <w:p>
            <w:pPr>
              <w:spacing w:before="262" w:line="219" w:lineRule="auto"/>
              <w:ind w:left="575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</w:tcPr>
          <w:p>
            <w:pPr>
              <w:spacing w:before="103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</w:tcPr>
          <w:p>
            <w:pPr>
              <w:spacing w:before="83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</w:tcPr>
          <w:p>
            <w:pPr>
              <w:spacing w:before="103" w:line="219" w:lineRule="auto"/>
              <w:ind w:left="708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2" w:hRule="atLeast"/>
        </w:trPr>
        <w:tc>
          <w:tcPr>
            <w:tcW w:w="3850" w:type="dxa"/>
            <w:vMerge w:val="continue"/>
            <w:tcBorders>
              <w:top w:val="nil"/>
            </w:tcBorders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55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52</w:t>
            </w: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</w:tcPr>
          <w:p>
            <w:pPr>
              <w:spacing w:before="140" w:line="202" w:lineRule="auto"/>
              <w:ind w:left="6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</w:tcPr>
          <w:p>
            <w:pPr>
              <w:spacing w:before="119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</w:tcPr>
          <w:p>
            <w:pPr>
              <w:spacing w:before="119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</w:tcPr>
          <w:p>
            <w:pPr>
              <w:spacing w:before="76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4"/>
                <w:sz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spacing w:before="141" w:line="202" w:lineRule="auto"/>
              <w:ind w:left="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</w:tcPr>
          <w:p>
            <w:r>
              <w:t>2</w:t>
            </w:r>
          </w:p>
        </w:tc>
        <w:tc>
          <w:tcPr>
            <w:tcW w:w="2325" w:type="dxa"/>
            <w:gridSpan w:val="2"/>
          </w:tcPr>
          <w:p>
            <w:r>
              <w:t>0.5</w:t>
            </w:r>
          </w:p>
        </w:tc>
        <w:tc>
          <w:tcPr>
            <w:tcW w:w="1679" w:type="dxa"/>
            <w:gridSpan w:val="2"/>
          </w:tcPr>
          <w:p>
            <w: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149" w:line="193" w:lineRule="auto"/>
              <w:ind w:left="4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spacing w:before="81" w:line="219" w:lineRule="auto"/>
              <w:ind w:left="8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</w:tcPr>
          <w:p>
            <w:pPr>
              <w:spacing w:before="91" w:line="219" w:lineRule="auto"/>
              <w:ind w:left="142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</w:tcPr>
          <w:p>
            <w:pPr>
              <w:spacing w:before="81" w:line="220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2" w:line="21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0.5</w:t>
            </w: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8" w:hRule="atLeast"/>
        </w:trPr>
        <w:tc>
          <w:tcPr>
            <w:tcW w:w="3850" w:type="dxa"/>
          </w:tcPr>
          <w:p>
            <w:pPr>
              <w:spacing w:before="143" w:line="200" w:lineRule="auto"/>
              <w:ind w:left="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>
            <w:pPr>
              <w:spacing w:before="133" w:line="200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80</w:t>
            </w: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89.64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</w:tcPr>
          <w:p>
            <w:pPr>
              <w:spacing w:before="143" w:line="20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3、区级专项资金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(一个专项一行）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5" w:line="220" w:lineRule="auto"/>
              <w:ind w:left="9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170.55</w:t>
            </w: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95.4</w:t>
            </w: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89.87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spacing w:before="85" w:line="219" w:lineRule="auto"/>
              <w:ind w:left="3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15.68</w:t>
            </w: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13.89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>
            <w:pPr>
              <w:spacing w:before="135" w:line="198" w:lineRule="auto"/>
              <w:ind w:left="1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3850" w:type="dxa"/>
          </w:tcPr>
          <w:p>
            <w:pPr>
              <w:spacing w:before="144" w:line="198" w:lineRule="auto"/>
              <w:ind w:left="112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1.11</w:t>
            </w: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1.29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3850" w:type="dxa"/>
          </w:tcPr>
          <w:p>
            <w:pPr>
              <w:spacing w:before="145" w:line="189" w:lineRule="auto"/>
              <w:ind w:left="10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83.62</w:t>
            </w:r>
          </w:p>
        </w:tc>
        <w:tc>
          <w:tcPr>
            <w:tcW w:w="1679" w:type="dxa"/>
            <w:gridSpan w:val="2"/>
          </w:tcPr>
          <w:p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70.32</w:t>
            </w:r>
            <w:bookmarkStart w:id="0" w:name="_GoBack"/>
            <w:bookmarkEnd w:id="0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3850" w:type="dxa"/>
          </w:tcPr>
          <w:p>
            <w:pPr>
              <w:spacing w:before="145" w:line="198" w:lineRule="auto"/>
              <w:ind w:left="11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-34.54</w:t>
            </w:r>
          </w:p>
        </w:tc>
        <w:tc>
          <w:tcPr>
            <w:tcW w:w="1679" w:type="dxa"/>
            <w:gridSpan w:val="2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vAlign w:val="center"/>
          </w:tcPr>
          <w:p>
            <w:pPr>
              <w:spacing w:before="65" w:line="39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" w:hRule="atLeast"/>
        </w:trPr>
        <w:tc>
          <w:tcPr>
            <w:tcW w:w="3850" w:type="dxa"/>
            <w:vMerge w:val="continue"/>
            <w:tcBorders>
              <w:top w:val="nil"/>
            </w:tcBorders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</w:tcPr>
          <w:p>
            <w:pPr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</w:tcPr>
          <w:p>
            <w:pPr>
              <w:spacing w:line="200" w:lineRule="exact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16"/>
                <w14:textFill>
                  <w14:solidFill>
                    <w14:schemeClr w14:val="tx1"/>
                  </w14:solidFill>
                </w14:textFill>
              </w:rPr>
              <w:t>、严格按照财经法规等制度，按流程进行支出，强化单位内控制度建设。2、严禁违规发放津补贴、公款吃请、公款旅游和公款送礼、严禁铺张浪费举办会议、培训、庆典等公务活动。3、严禁资产配置中奢侈浪费，严禁无预算、超预算安排支出；加强票据管理，设专人管理票据，为资金安全提供保障。</w:t>
            </w:r>
          </w:p>
        </w:tc>
      </w:tr>
    </w:tbl>
    <w:p>
      <w:pPr>
        <w:spacing w:line="410" w:lineRule="exac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jc w:val="lef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>填表人：向旭 联系电话：18473089648  单位负责人签字：         填报日期：</w:t>
      </w:r>
      <w:r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>2023/6/12</w:t>
      </w: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cols w:space="0" w:num="1"/>
          <w:docGrid w:type="lines" w:linePitch="312" w:charSpace="0"/>
        </w:sect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附件2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 xml:space="preserve">  2022年度预算单位整体支出绩效自评表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75"/>
        <w:gridCol w:w="1244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</w:tcPr>
          <w:p>
            <w:pPr>
              <w:spacing w:line="198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单位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9"/>
          </w:tcPr>
          <w:p>
            <w:pPr>
              <w:ind w:firstLine="2100" w:firstLineChars="1000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岳阳市岳阳楼区拆迁安置服务中心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</w:tcPr>
          <w:p>
            <w:pPr>
              <w:spacing w:line="418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vAlign w:val="center"/>
          </w:tcPr>
          <w:p>
            <w:pPr>
              <w:spacing w:line="193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854.12</w:t>
            </w:r>
          </w:p>
        </w:tc>
        <w:tc>
          <w:tcPr>
            <w:tcW w:w="1319" w:type="dxa"/>
            <w:gridSpan w:val="2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819.58</w:t>
            </w:r>
          </w:p>
        </w:tc>
        <w:tc>
          <w:tcPr>
            <w:tcW w:w="125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819.5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719" w:type="dxa"/>
            <w:vAlign w:val="center"/>
          </w:tcPr>
          <w:p>
            <w:pPr>
              <w:spacing w:line="147" w:lineRule="exact"/>
              <w:jc w:val="center"/>
              <w:rPr>
                <w:rFonts w:ascii="宋体" w:hAnsi="宋体" w:eastAsia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5"/>
            <w:vAlign w:val="center"/>
          </w:tcPr>
          <w:p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819.58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按支出性质分：819.58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5"/>
            <w:vAlign w:val="center"/>
          </w:tcPr>
          <w:p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819.58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194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其中：基本支出：729.94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5"/>
            <w:vAlign w:val="center"/>
          </w:tcPr>
          <w:p>
            <w:pPr>
              <w:spacing w:line="202" w:lineRule="auto"/>
              <w:ind w:firstLine="1050" w:firstLineChars="5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201" w:lineRule="auto"/>
              <w:ind w:firstLine="840" w:firstLineChars="4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89.64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5"/>
            <w:vAlign w:val="center"/>
          </w:tcPr>
          <w:p>
            <w:pPr>
              <w:spacing w:line="192" w:lineRule="auto"/>
              <w:ind w:firstLine="1050" w:firstLineChars="5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239" w:lineRule="exact"/>
              <w:jc w:val="left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5"/>
            <w:vAlign w:val="center"/>
          </w:tcPr>
          <w:p>
            <w:pPr>
              <w:spacing w:line="192" w:lineRule="auto"/>
              <w:ind w:firstLine="1050" w:firstLineChars="5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240" w:lineRule="exact"/>
              <w:jc w:val="left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</w:tcPr>
          <w:p>
            <w:pPr>
              <w:spacing w:line="21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5"/>
            <w:vAlign w:val="center"/>
          </w:tcPr>
          <w:p>
            <w:pPr>
              <w:spacing w:line="19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19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8" w:hRule="atLeast"/>
        </w:trPr>
        <w:tc>
          <w:tcPr>
            <w:tcW w:w="1084" w:type="dxa"/>
            <w:vMerge w:val="continue"/>
            <w:tcBorders>
              <w:top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5"/>
            <w:vAlign w:val="center"/>
          </w:tcPr>
          <w:p>
            <w:pPr>
              <w:spacing w:line="240" w:lineRule="exact"/>
              <w:jc w:val="left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1、项目征拆工作：在区委、区政府正确领导下，配合各项目部完成2022年度楼区国有土地的征拆工作。</w:t>
            </w:r>
          </w:p>
          <w:p>
            <w:pPr>
              <w:spacing w:line="240" w:lineRule="exact"/>
              <w:jc w:val="left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2、安置清零工作：成立了办证工作专班，深入项目了解和协调情况，主动对接各市直部门，协助各街道积极推进安置房办证工作。</w:t>
            </w:r>
          </w:p>
          <w:p>
            <w:pPr>
              <w:spacing w:line="240" w:lineRule="exact"/>
              <w:jc w:val="left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3、项目档案整理：规范项目档案管理，防止档案资料丢失和损坏，便于各部门查询和查阅档案，负责2022年各项目部送过来的档案的归档。</w:t>
            </w:r>
          </w:p>
          <w:p>
            <w:pPr>
              <w:spacing w:line="240" w:lineRule="exact"/>
              <w:jc w:val="left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4、信访维稳工作：及时高效办理信访案件，认真做好涉诉涉访工作，避免矛盾升级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  <w:p>
            <w:pPr>
              <w:spacing w:line="240" w:lineRule="exact"/>
              <w:jc w:val="left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textDirection w:val="tbRlV"/>
          </w:tcPr>
          <w:p>
            <w:pPr>
              <w:spacing w:line="367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1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244" w:type="dxa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vAlign w:val="center"/>
          </w:tcPr>
          <w:p>
            <w:pPr>
              <w:spacing w:line="211" w:lineRule="auto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spacing w:line="190" w:lineRule="auto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vAlign w:val="center"/>
          </w:tcPr>
          <w:p>
            <w:pPr>
              <w:spacing w:line="269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69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70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70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481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  <w:t>50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  <w:t>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征收腾地户数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≥400户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416</w:t>
            </w:r>
            <w:r>
              <w:rPr>
                <w:rFonts w:hint="eastAsia"/>
                <w:color w:val="000000"/>
                <w:sz w:val="15"/>
                <w:szCs w:val="21"/>
              </w:rPr>
              <w:t>户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rFonts w:ascii="Arial"/>
                <w:color w:val="000000" w:themeColor="text1"/>
                <w:sz w:val="15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征收腾地面积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≥40000㎡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46308</w:t>
            </w:r>
            <w:r>
              <w:rPr>
                <w:rFonts w:hint="eastAsia"/>
                <w:color w:val="000000"/>
                <w:sz w:val="15"/>
                <w:szCs w:val="21"/>
              </w:rPr>
              <w:t>㎡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</w:tcPr>
          <w:p>
            <w:pPr>
              <w:spacing w:line="200" w:lineRule="exact"/>
              <w:jc w:val="center"/>
              <w:rPr>
                <w:sz w:val="15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征收土地预公告、征收补偿方案公告、土地征收公告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6份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6份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</w:tcPr>
          <w:p>
            <w:pPr>
              <w:spacing w:line="200" w:lineRule="exact"/>
              <w:jc w:val="center"/>
              <w:rPr>
                <w:sz w:val="15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安置清零工作项目完成情况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预计完成14个项目共计446户安置房办证工作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100%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rFonts w:ascii="宋体" w:hAnsi="宋体" w:eastAsia="宋体" w:cs="宋体"/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</w:tcPr>
          <w:p>
            <w:pPr>
              <w:spacing w:line="200" w:lineRule="exact"/>
              <w:jc w:val="center"/>
              <w:rPr>
                <w:sz w:val="15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2022年各征拆项目的依法推进，完成监管、征拆、房屋征收等工作。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100%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100%（协助项目部完成五交化D级危房改造等5个拆迁项目，完成四化建二期棚改等4个项目扫尾工作，全面推进己内酰胺收储项目。）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征收工作确定权属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产权清晰、无纠纷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产权清晰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及时征拆相关信访维稳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接到各类信访来件后，七个工作日内给予回复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收到信访系统来件19件、市长信箱和市民热线90余起、12345热线163件，均在规定时间内进行回复。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拆迁款的拨付及时性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手续、资料规范后，资金到位后，五个工作日内完成拨付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在规定时间内进行拨付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行政成本控制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“三公”经费同比下降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2022年三公经费使用为0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节能降耗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人均用水用电同比下降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人员增加，水电费不变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vAlign w:val="center"/>
          </w:tcPr>
          <w:p>
            <w:pPr>
              <w:spacing w:line="250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1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1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1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491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  <w:t>0分)</w:t>
            </w:r>
          </w:p>
        </w:tc>
        <w:tc>
          <w:tcPr>
            <w:tcW w:w="1029" w:type="dxa"/>
            <w:vMerge w:val="restart"/>
            <w:vAlign w:val="center"/>
          </w:tcPr>
          <w:p>
            <w:pPr>
              <w:spacing w:line="22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征拆项目成本结算备案工作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根据相关会议要求完成部分项目成本结算工作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完成13个项目征拆项目成本结算备案工作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4.5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bottom w:val="nil"/>
            </w:tcBorders>
            <w:vAlign w:val="center"/>
          </w:tcPr>
          <w:p>
            <w:pPr>
              <w:spacing w:line="250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vAlign w:val="center"/>
          </w:tcPr>
          <w:p>
            <w:pPr>
              <w:spacing w:line="229" w:lineRule="auto"/>
              <w:jc w:val="center"/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各项目国有土地征拆工作的依法推进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100%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推动项目建设，维护社会稳定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vAlign w:val="center"/>
          </w:tcPr>
          <w:p>
            <w:pPr>
              <w:spacing w:line="21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涉诉工作，谨防矛盾升级，维护社会稳定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行政诉讼案件胜诉调解率≥90%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2022年接收行政诉讼案件共计70起，已调解39件，胜诉24件。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4.5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vAlign w:val="center"/>
          </w:tcPr>
          <w:p>
            <w:pPr>
              <w:spacing w:line="212" w:lineRule="auto"/>
              <w:jc w:val="center"/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党的建设工作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100%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进一步提高了我中心全体党员的党性修养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vAlign w:val="center"/>
          </w:tcPr>
          <w:p>
            <w:pPr>
              <w:spacing w:line="23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培训会议、宣传活动、分房现场等及时做好卫生工作，妥善处理宣传横幅，分房宣传图等，确保场地感觉卫生。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100%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培训会议、宣传活动、分房活动结束后，由主办股室进行卫生清扫工作，保持现场干净卫生。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vAlign w:val="center"/>
          </w:tcPr>
          <w:p>
            <w:pPr>
              <w:spacing w:line="237" w:lineRule="auto"/>
              <w:jc w:val="center"/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配合联点社区开展文明创建工作，共建美好家园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100%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100%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4.5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>
            <w:pPr>
              <w:spacing w:line="203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拆迁区域征收政策宣传覆盖率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100%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协助项目部发放市区征收补偿政策学习手则、向拆迁户讲解征收安置方面政策。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9.5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>
            <w:pPr>
              <w:spacing w:line="20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344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调查问卷内拆迁户满意度</w:t>
            </w:r>
          </w:p>
        </w:tc>
        <w:tc>
          <w:tcPr>
            <w:tcW w:w="1244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≥95%</w:t>
            </w:r>
          </w:p>
        </w:tc>
        <w:tc>
          <w:tcPr>
            <w:tcW w:w="125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96%</w:t>
            </w:r>
            <w:r>
              <w:rPr>
                <w:rFonts w:hint="eastAsia"/>
                <w:color w:val="000000"/>
                <w:sz w:val="15"/>
                <w:szCs w:val="20"/>
              </w:rPr>
              <w:t>满意</w:t>
            </w:r>
          </w:p>
        </w:tc>
        <w:tc>
          <w:tcPr>
            <w:tcW w:w="719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10</w:t>
            </w:r>
          </w:p>
        </w:tc>
        <w:tc>
          <w:tcPr>
            <w:tcW w:w="127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7"/>
            <w:vAlign w:val="center"/>
          </w:tcPr>
          <w:p>
            <w:pPr>
              <w:spacing w:line="251" w:lineRule="exact"/>
              <w:ind w:firstLine="3274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vAlign w:val="center"/>
          </w:tcPr>
          <w:p>
            <w:pPr>
              <w:spacing w:line="16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jc w:val="left"/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 xml:space="preserve">填表人：向旭        联系电话：18473089648 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cols w:space="0" w:num="1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   </w:t>
      </w: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3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楼区拆迁安置服务中心</w:t>
      </w: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单位整体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支出绩效自评报告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部门(单位)名称：岳阳楼区拆迁安置服务中心</w:t>
      </w:r>
    </w:p>
    <w:p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( 盖 章 )</w:t>
      </w:r>
    </w:p>
    <w:p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2023年6月9日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2022年度岳阳楼区拆迁安置服务中心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pStyle w:val="10"/>
        <w:numPr>
          <w:ilvl w:val="0"/>
          <w:numId w:val="1"/>
        </w:numPr>
        <w:ind w:firstLineChars="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单位基本情况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岳阳楼区拆迁安置服务中心主要工作职责：贯彻落实国家、省、市征收安置法律、法规及其有关政策，向被征收人宣传、解释相关征收安置政策，保障征收人和被征收人的合法利益。负责国家建设用地的征地及征收资金管理工作。负责各类建设项目征地的协调。经相关部门授权，承担土地征收方案、征收资金概算、征地公告、征地补偿安置公告的编制，经送审后上报及组织发布。负责房屋征收安置、保障性住房建设、政策法规和归口管理范围内的档案整理工作。负责征收过程中及各类保障性住房建设信访案件的初信回复。负责起草归口项目资金结算调度方案，办理项目资金结算、汇总，办理项目竣工结算和财务结算。共设置全额拨款事业编制55名，在职全额事业编52人，其中主任1名，副主任3名，正股级职数7名。内设机构八个，分别为办公室、征收管理股、安置保障股、财务统计股、政策法规股、政工人事股、资料审核股、信访室等机构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(一)基本支出情况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2022年度财政拨款基本支出729.94万元，其中：人员经费640.07万元，占基本支出的87.69%,主要包括基本工资、津贴补贴、奖金、绩效工资、机关事业单位基本养老保险缴费、职业年金缴费、职工基本医疗保险缴费、其他社会保障缴费、住房公积金、其他工资福利支出、抚恤金；公用经费89.87万元，占基本支出的12.31%，主要包括办公费、印刷费、电费、水费、邮电费、物业管理费、维修（护）费、差旅费、培训费、公务接待费、劳务费、委托业务费、福利费、其他商品和服务支出。</w:t>
      </w:r>
    </w:p>
    <w:p>
      <w:p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(二)项目支出情况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2022年度财政拨款项目支出89.64万元，主要包括业务工作经费，疫情防控经费。其中业务工作经费包括安置行动、档案管理、后勤服务、小型维修、网络信息维护。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无政府性基金预算支出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四、国有资本经营预算支出情况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无国有资本经营预算支出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五、社会保险基金预算支出情况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无社会保险基金预算支出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2022年，我中心通过加强预算收支管理，不断健全内部管理制度，梳理内部管理流程，部门整体支出管理情况得到了提升。我中心均为一般公共预算支出,预算资金中涉及的政府采购、经费拨付事项，我中心均严格按照要求进行了集中采购和请示报告,绩效目标完成情况良好,有效的完成了全区国有土地征收及安置相关工作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通过对我中心整体支出情况的分析，反映出目前在整体支出的预算编制、执行和管理过程中，仍存在一些问题和不足。财务工作人员业务水平仍需提高。加强财务专业学习培训，多组织一些实用性和操作性较强的培训活动，多组织进行业务交流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八、下一步改进措施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、细化预算编制工作。进一步加强预算编制和管理意识，严格按照预算编制的相关制度和要求，本着“勤俭节约、保障运转”的原则进行预算编制；编制范围尽可能的全面、不漏项，进一步提高预算编制的科学性、合理性和可控性。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、加强财务管理工作。在费用支付时，按照预算规定的费用项目和用途进行资金的审核，严格按照费用的实际使用用途进行资金支付项目的列报，严格按照实际的费用支出内容进行财务核算，严格控制超支现象发生。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3、加强三公经费管理。进一步严控三公经费，严格控制三公经费的规模和比例，严格三公经费支出的审核流程，杜绝挪用和挤占其他预算资金行为。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其他需要说明的情况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before="169" w:line="776" w:lineRule="exact"/>
        <w:ind w:left="372"/>
        <w:rPr>
          <w:rFonts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cols w:space="0" w:num="1"/>
          <w:docGrid w:type="lines" w:linePitch="312" w:charSpace="0"/>
        </w:sect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附件4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910"/>
        <w:gridCol w:w="850"/>
        <w:gridCol w:w="142"/>
        <w:gridCol w:w="1487"/>
        <w:gridCol w:w="1131"/>
        <w:gridCol w:w="926"/>
        <w:gridCol w:w="214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vAlign w:val="center"/>
          </w:tcPr>
          <w:p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spacing w:line="226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10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业务工作经费及疫情防控工作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75" w:type="dxa"/>
            <w:vAlign w:val="center"/>
          </w:tcPr>
          <w:p>
            <w:pPr>
              <w:spacing w:line="20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5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" w:type="dxa"/>
            <w:vAlign w:val="center"/>
          </w:tcPr>
          <w:p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3059" w:type="dxa"/>
            <w:gridSpan w:val="4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岳阳市岳阳楼区拆迁安置服务中心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spacing w:line="254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5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1902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87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926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899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02" w:type="dxa"/>
            <w:gridSpan w:val="3"/>
            <w:vAlign w:val="center"/>
          </w:tcPr>
          <w:p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487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90</w:t>
            </w: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89.64</w:t>
            </w:r>
          </w:p>
        </w:tc>
        <w:tc>
          <w:tcPr>
            <w:tcW w:w="926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89.6</w:t>
            </w: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99" w:type="dxa"/>
            <w:gridSpan w:val="2"/>
            <w:vAlign w:val="center"/>
          </w:tcPr>
          <w:p>
            <w:pPr>
              <w:spacing w:line="165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-2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02" w:type="dxa"/>
            <w:gridSpan w:val="3"/>
            <w:vAlign w:val="center"/>
          </w:tcPr>
          <w:p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487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90</w:t>
            </w: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89.64</w:t>
            </w:r>
          </w:p>
        </w:tc>
        <w:tc>
          <w:tcPr>
            <w:tcW w:w="926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89.64</w:t>
            </w:r>
          </w:p>
        </w:tc>
        <w:tc>
          <w:tcPr>
            <w:tcW w:w="899" w:type="dxa"/>
            <w:gridSpan w:val="2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02" w:type="dxa"/>
            <w:gridSpan w:val="3"/>
            <w:vAlign w:val="center"/>
          </w:tcPr>
          <w:p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487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9" w:type="dxa"/>
            <w:gridSpan w:val="2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02" w:type="dxa"/>
            <w:gridSpan w:val="3"/>
            <w:vAlign w:val="center"/>
          </w:tcPr>
          <w:p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487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9" w:type="dxa"/>
            <w:gridSpan w:val="2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spacing w:line="206" w:lineRule="auto"/>
              <w:ind w:hanging="20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5"/>
            <w:vAlign w:val="center"/>
          </w:tcPr>
          <w:p>
            <w:pPr>
              <w:spacing w:line="20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5"/>
            <w:vAlign w:val="center"/>
          </w:tcPr>
          <w:p>
            <w:pPr>
              <w:spacing w:line="20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2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5"/>
            <w:vAlign w:val="center"/>
          </w:tcPr>
          <w:p>
            <w:pPr>
              <w:pStyle w:val="10"/>
              <w:numPr>
                <w:ilvl w:val="0"/>
                <w:numId w:val="2"/>
              </w:numPr>
              <w:spacing w:line="240" w:lineRule="exact"/>
              <w:ind w:firstLineChars="0"/>
              <w:jc w:val="left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业务工作目标：成立了安置清零工作办证工作专班，深入项目了解和协调情况，主动对接各市直部门，协助各街道积极推进安置房办证工作。</w:t>
            </w:r>
          </w:p>
          <w:p>
            <w:pPr>
              <w:pStyle w:val="10"/>
              <w:numPr>
                <w:ilvl w:val="0"/>
                <w:numId w:val="2"/>
              </w:numPr>
              <w:spacing w:line="240" w:lineRule="exact"/>
              <w:ind w:firstLineChars="0"/>
              <w:jc w:val="left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疫情防控工作：积极服从区防疫指挥部的调配，完成全年疫情防控工作。</w:t>
            </w:r>
          </w:p>
        </w:tc>
        <w:tc>
          <w:tcPr>
            <w:tcW w:w="3985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spacing w:line="21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91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850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629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vAlign w:val="center"/>
          </w:tcPr>
          <w:p>
            <w:pPr>
              <w:spacing w:line="240" w:lineRule="exact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restart"/>
            <w:tcBorders>
              <w:bottom w:val="nil"/>
            </w:tcBorders>
            <w:vAlign w:val="center"/>
          </w:tcPr>
          <w:p>
            <w:pPr>
              <w:spacing w:line="256" w:lineRule="auto"/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7" w:lineRule="auto"/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7" w:lineRule="auto"/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7" w:lineRule="auto"/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500" w:lineRule="exact"/>
              <w:jc w:val="center"/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22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850" w:type="dxa"/>
            <w:vMerge w:val="restart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完成安置遗留房屋交付工作</w:t>
            </w:r>
          </w:p>
        </w:tc>
        <w:tc>
          <w:tcPr>
            <w:tcW w:w="1131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≥</w:t>
            </w:r>
            <w:r>
              <w:rPr>
                <w:color w:val="000000"/>
                <w:sz w:val="15"/>
                <w:szCs w:val="20"/>
              </w:rPr>
              <w:t>130</w:t>
            </w:r>
            <w:r>
              <w:rPr>
                <w:rFonts w:hint="eastAsia"/>
                <w:color w:val="000000"/>
                <w:sz w:val="15"/>
                <w:szCs w:val="20"/>
              </w:rPr>
              <w:t>户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完成了各项目131</w:t>
            </w:r>
            <w:r>
              <w:rPr>
                <w:rFonts w:hint="eastAsia"/>
                <w:color w:val="000000"/>
                <w:sz w:val="15"/>
                <w:szCs w:val="20"/>
              </w:rPr>
              <w:t>户房屋分配交付工作。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4.5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项目档案规整数量</w:t>
            </w:r>
          </w:p>
        </w:tc>
        <w:tc>
          <w:tcPr>
            <w:tcW w:w="1131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≥</w:t>
            </w:r>
            <w:r>
              <w:rPr>
                <w:color w:val="000000"/>
                <w:sz w:val="15"/>
                <w:szCs w:val="20"/>
              </w:rPr>
              <w:t>3</w:t>
            </w:r>
            <w:r>
              <w:rPr>
                <w:rFonts w:hint="eastAsia"/>
                <w:color w:val="000000"/>
                <w:sz w:val="15"/>
                <w:szCs w:val="20"/>
              </w:rPr>
              <w:t>万件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整理资料件数30988</w:t>
            </w:r>
            <w:r>
              <w:rPr>
                <w:rFonts w:hint="eastAsia"/>
                <w:color w:val="000000"/>
                <w:sz w:val="15"/>
                <w:szCs w:val="20"/>
              </w:rPr>
              <w:t>件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火车站卡口疫情防控工作天数</w:t>
            </w:r>
          </w:p>
        </w:tc>
        <w:tc>
          <w:tcPr>
            <w:tcW w:w="1131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根据区防疫实际工作安排，预计60天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83</w:t>
            </w:r>
            <w:r>
              <w:rPr>
                <w:rFonts w:hint="eastAsia"/>
                <w:color w:val="000000"/>
                <w:sz w:val="15"/>
                <w:szCs w:val="20"/>
              </w:rPr>
              <w:t>天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vMerge w:val="restart"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安置遗留信访案件化解率</w:t>
            </w:r>
          </w:p>
        </w:tc>
        <w:tc>
          <w:tcPr>
            <w:tcW w:w="1131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2022</w:t>
            </w:r>
            <w:r>
              <w:rPr>
                <w:rFonts w:hint="eastAsia"/>
                <w:color w:val="000000"/>
                <w:sz w:val="15"/>
                <w:szCs w:val="20"/>
              </w:rPr>
              <w:t>年行政诉讼案件胜诉调解率≥</w:t>
            </w:r>
            <w:r>
              <w:rPr>
                <w:color w:val="000000"/>
                <w:sz w:val="15"/>
                <w:szCs w:val="20"/>
              </w:rPr>
              <w:t>90%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2022</w:t>
            </w:r>
            <w:r>
              <w:rPr>
                <w:rFonts w:hint="eastAsia"/>
                <w:color w:val="000000"/>
                <w:sz w:val="15"/>
                <w:szCs w:val="20"/>
              </w:rPr>
              <w:t>年接收行政诉讼案件共计</w:t>
            </w:r>
            <w:r>
              <w:rPr>
                <w:color w:val="000000"/>
                <w:sz w:val="15"/>
                <w:szCs w:val="20"/>
              </w:rPr>
              <w:t>70</w:t>
            </w:r>
            <w:r>
              <w:rPr>
                <w:rFonts w:hint="eastAsia"/>
                <w:color w:val="000000"/>
                <w:sz w:val="15"/>
                <w:szCs w:val="20"/>
              </w:rPr>
              <w:t>起，已调解</w:t>
            </w:r>
            <w:r>
              <w:rPr>
                <w:color w:val="000000"/>
                <w:sz w:val="15"/>
                <w:szCs w:val="20"/>
              </w:rPr>
              <w:t>39</w:t>
            </w:r>
            <w:r>
              <w:rPr>
                <w:rFonts w:hint="eastAsia"/>
                <w:color w:val="000000"/>
                <w:sz w:val="15"/>
                <w:szCs w:val="20"/>
              </w:rPr>
              <w:t>件，胜诉</w:t>
            </w:r>
            <w:r>
              <w:rPr>
                <w:color w:val="000000"/>
                <w:sz w:val="15"/>
                <w:szCs w:val="20"/>
              </w:rPr>
              <w:t>24</w:t>
            </w:r>
            <w:r>
              <w:rPr>
                <w:rFonts w:hint="eastAsia"/>
                <w:color w:val="000000"/>
                <w:sz w:val="15"/>
                <w:szCs w:val="20"/>
              </w:rPr>
              <w:t>件。为项目收尾工作平稳进行提供了保障。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4.5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vMerge w:val="continue"/>
            <w:tcBorders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防疫工作质量</w:t>
            </w:r>
          </w:p>
        </w:tc>
        <w:tc>
          <w:tcPr>
            <w:tcW w:w="1131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根据区防疫实际工作安排，预计</w:t>
            </w:r>
            <w:r>
              <w:rPr>
                <w:color w:val="000000"/>
                <w:sz w:val="15"/>
                <w:szCs w:val="20"/>
              </w:rPr>
              <w:t>60</w:t>
            </w:r>
            <w:r>
              <w:rPr>
                <w:rFonts w:hint="eastAsia"/>
                <w:color w:val="000000"/>
                <w:sz w:val="15"/>
                <w:szCs w:val="20"/>
              </w:rPr>
              <w:t>天值守火车站卡口，做好我市“外防输入”第一道关口，守护市民的安全。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24</w:t>
            </w:r>
            <w:r>
              <w:rPr>
                <w:rFonts w:hint="eastAsia"/>
                <w:color w:val="000000"/>
                <w:sz w:val="15"/>
                <w:szCs w:val="20"/>
              </w:rPr>
              <w:t>小时值守，遵守查验标准及流程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vMerge w:val="restart"/>
            <w:tcBorders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项目档案归档及时性</w:t>
            </w:r>
          </w:p>
        </w:tc>
        <w:tc>
          <w:tcPr>
            <w:tcW w:w="1131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归档</w:t>
            </w:r>
            <w:r>
              <w:rPr>
                <w:color w:val="000000"/>
                <w:sz w:val="15"/>
                <w:szCs w:val="20"/>
              </w:rPr>
              <w:t>16</w:t>
            </w:r>
            <w:r>
              <w:rPr>
                <w:rFonts w:hint="eastAsia"/>
                <w:color w:val="000000"/>
                <w:sz w:val="15"/>
                <w:szCs w:val="20"/>
              </w:rPr>
              <w:t>个项目档案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已及时归档16个项目档案，共计30988件。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4.5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部分档案项目部还未上交。措施：积极对接项目部提交档案。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安置遗留问题工作完成及时</w:t>
            </w:r>
          </w:p>
        </w:tc>
        <w:tc>
          <w:tcPr>
            <w:tcW w:w="1131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接到安置遗留问题信访来件后，七个工作日内给予回复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已在规定时间内进行回复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10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档案整理费用</w:t>
            </w:r>
          </w:p>
        </w:tc>
        <w:tc>
          <w:tcPr>
            <w:tcW w:w="1131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准确清理档案页数，确保档案整理工作费用结算真实，节约。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已完成目前整理完毕档案整理工作费用支付，部分档案正在整理，未结清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10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9.5</w:t>
            </w:r>
          </w:p>
        </w:tc>
        <w:tc>
          <w:tcPr>
            <w:tcW w:w="1365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档案整理费用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restart"/>
            <w:tcBorders>
              <w:bottom w:val="nil"/>
            </w:tcBorders>
            <w:vAlign w:val="center"/>
          </w:tcPr>
          <w:p>
            <w:pPr>
              <w:spacing w:line="300" w:lineRule="auto"/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01" w:lineRule="auto"/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01" w:lineRule="auto"/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490" w:lineRule="exact"/>
              <w:jc w:val="center"/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2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  <w:t>0分)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4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629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不适用</w:t>
            </w:r>
          </w:p>
        </w:tc>
        <w:tc>
          <w:tcPr>
            <w:tcW w:w="1131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</w:p>
        </w:tc>
        <w:tc>
          <w:tcPr>
            <w:tcW w:w="1140" w:type="dxa"/>
            <w:gridSpan w:val="2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</w:p>
        </w:tc>
        <w:tc>
          <w:tcPr>
            <w:tcW w:w="685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</w:p>
        </w:tc>
        <w:tc>
          <w:tcPr>
            <w:tcW w:w="795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vMerge w:val="restart"/>
            <w:tcBorders>
              <w:bottom w:val="nil"/>
            </w:tcBorders>
            <w:vAlign w:val="center"/>
          </w:tcPr>
          <w:p>
            <w:pPr>
              <w:spacing w:line="221" w:lineRule="auto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保障安置遗留问题的有效解决</w:t>
            </w:r>
          </w:p>
        </w:tc>
        <w:tc>
          <w:tcPr>
            <w:tcW w:w="1131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全面推进安置遗留工作，化解矛盾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主动对接各市直部门，协助各街道积极推进安置房办证工作，目前</w:t>
            </w:r>
            <w:r>
              <w:rPr>
                <w:color w:val="000000"/>
                <w:sz w:val="15"/>
                <w:szCs w:val="20"/>
              </w:rPr>
              <w:t>14</w:t>
            </w:r>
            <w:r>
              <w:rPr>
                <w:rFonts w:hint="eastAsia"/>
                <w:color w:val="000000"/>
                <w:sz w:val="15"/>
                <w:szCs w:val="20"/>
              </w:rPr>
              <w:t>个项目安置房办证工作成效明显。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10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值班值守火车站卡口，有效减少了疫情蔓延，守护群众健康</w:t>
            </w:r>
          </w:p>
        </w:tc>
        <w:tc>
          <w:tcPr>
            <w:tcW w:w="1131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100%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100%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10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tcBorders>
              <w:bottom w:val="nil"/>
            </w:tcBorders>
            <w:vAlign w:val="center"/>
          </w:tcPr>
          <w:p>
            <w:pPr>
              <w:spacing w:line="237" w:lineRule="auto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生态环境改善情况</w:t>
            </w:r>
          </w:p>
        </w:tc>
        <w:tc>
          <w:tcPr>
            <w:tcW w:w="1131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安置分房工作，疫情防控卡口宣传横幅、标识，宣传单的清理工作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卡口撤点、分房活动结束后，由主办股室进行卫生清扫工作，保持现场干净卫生。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4.5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vMerge w:val="restart"/>
            <w:vAlign w:val="center"/>
          </w:tcPr>
          <w:p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群众防疫意识</w:t>
            </w:r>
          </w:p>
        </w:tc>
        <w:tc>
          <w:tcPr>
            <w:tcW w:w="1131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有效提高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有效提高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档案管理和查阅</w:t>
            </w:r>
          </w:p>
        </w:tc>
        <w:tc>
          <w:tcPr>
            <w:tcW w:w="1131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及时有效为查档案的群众、各部门工作人员提供所需服务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及时有效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0" w:type="dxa"/>
            <w:vMerge w:val="continue"/>
            <w:tcBorders>
              <w:bottom w:val="nil"/>
            </w:tcBorders>
            <w:vAlign w:val="center"/>
          </w:tcPr>
          <w:p>
            <w:pPr>
              <w:spacing w:line="216" w:lineRule="auto"/>
              <w:ind w:hanging="99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安置遗留问题</w:t>
            </w:r>
          </w:p>
        </w:tc>
        <w:tc>
          <w:tcPr>
            <w:tcW w:w="1131" w:type="dxa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安置房办证等问题得以有效解决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有效解决，群众居住环境得以改善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5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10" w:type="dxa"/>
            <w:tcBorders>
              <w:bottom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0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850" w:type="dxa"/>
            <w:tcBorders>
              <w:bottom w:val="nil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6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629" w:type="dxa"/>
            <w:gridSpan w:val="2"/>
          </w:tcPr>
          <w:p>
            <w:pPr>
              <w:spacing w:line="200" w:lineRule="exact"/>
              <w:rPr>
                <w:color w:val="000000"/>
                <w:sz w:val="15"/>
                <w:szCs w:val="20"/>
              </w:rPr>
            </w:pPr>
            <w:r>
              <w:rPr>
                <w:rFonts w:hint="eastAsia"/>
                <w:color w:val="000000"/>
                <w:sz w:val="15"/>
                <w:szCs w:val="20"/>
              </w:rPr>
              <w:t>调查问卷内拆迁户满意度</w:t>
            </w:r>
          </w:p>
        </w:tc>
        <w:tc>
          <w:tcPr>
            <w:tcW w:w="1131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95%</w:t>
            </w:r>
          </w:p>
        </w:tc>
        <w:tc>
          <w:tcPr>
            <w:tcW w:w="1140" w:type="dxa"/>
            <w:gridSpan w:val="2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96%</w:t>
            </w:r>
          </w:p>
        </w:tc>
        <w:tc>
          <w:tcPr>
            <w:tcW w:w="68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10</w:t>
            </w:r>
          </w:p>
        </w:tc>
        <w:tc>
          <w:tcPr>
            <w:tcW w:w="795" w:type="dxa"/>
          </w:tcPr>
          <w:p>
            <w:pPr>
              <w:spacing w:line="200" w:lineRule="exact"/>
              <w:jc w:val="right"/>
              <w:rPr>
                <w:color w:val="000000"/>
                <w:sz w:val="15"/>
                <w:szCs w:val="20"/>
              </w:rPr>
            </w:pPr>
            <w:r>
              <w:rPr>
                <w:color w:val="000000"/>
                <w:sz w:val="15"/>
                <w:szCs w:val="20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spacing w:line="200" w:lineRule="exact"/>
              <w:jc w:val="center"/>
              <w:rPr>
                <w:color w:val="000000"/>
                <w:sz w:val="15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6735" w:type="dxa"/>
            <w:gridSpan w:val="8"/>
            <w:vAlign w:val="center"/>
          </w:tcPr>
          <w:p>
            <w:pPr>
              <w:spacing w:line="260" w:lineRule="exact"/>
              <w:ind w:firstLine="3145"/>
              <w:jc w:val="center"/>
              <w:rPr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vAlign w:val="center"/>
          </w:tcPr>
          <w:p>
            <w:pPr>
              <w:spacing w:line="16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 xml:space="preserve">填表人：向旭        联系电话：18473089648        单位负责人签字：                       填报日期：  </w:t>
      </w:r>
    </w:p>
    <w:p>
      <w:pPr>
        <w:widowControl/>
        <w:jc w:val="left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9j2DAsAgAAV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PQa5aFrd5ZHqGj&#10;eN6ujgECtrpGUToleq3QbW1l+smI7fznvo16+hssH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r2PYMC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Theme="majorEastAsia" w:hAnsiTheme="majorEastAsia" w:eastAsiaTheme="majorEastAsia" w:cstheme="maj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3629FD"/>
    <w:multiLevelType w:val="multilevel"/>
    <w:tmpl w:val="0C3629FD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07A3942"/>
    <w:multiLevelType w:val="multilevel"/>
    <w:tmpl w:val="407A3942"/>
    <w:lvl w:ilvl="0" w:tentative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ExM2I1Y2E5MTg1NzJhN2FkNjlmNDg5OTI5OGY3ZTQifQ=="/>
    <w:docVar w:name="KSO_WPS_MARK_KEY" w:val="4761c307-249d-4275-9355-4096674b735b"/>
  </w:docVars>
  <w:rsids>
    <w:rsidRoot w:val="53FC3987"/>
    <w:rsid w:val="00001E74"/>
    <w:rsid w:val="000947CD"/>
    <w:rsid w:val="000A3765"/>
    <w:rsid w:val="000B1E36"/>
    <w:rsid w:val="000C3DD2"/>
    <w:rsid w:val="000E5394"/>
    <w:rsid w:val="00177DA1"/>
    <w:rsid w:val="001A78EB"/>
    <w:rsid w:val="001B0A2E"/>
    <w:rsid w:val="001B2073"/>
    <w:rsid w:val="001D7282"/>
    <w:rsid w:val="002E4973"/>
    <w:rsid w:val="002F5500"/>
    <w:rsid w:val="002F6296"/>
    <w:rsid w:val="00314386"/>
    <w:rsid w:val="00325CA7"/>
    <w:rsid w:val="00334979"/>
    <w:rsid w:val="0036266D"/>
    <w:rsid w:val="0039081D"/>
    <w:rsid w:val="003935DD"/>
    <w:rsid w:val="003C2B7C"/>
    <w:rsid w:val="003C7B31"/>
    <w:rsid w:val="003F3A2A"/>
    <w:rsid w:val="004063DB"/>
    <w:rsid w:val="00406DAE"/>
    <w:rsid w:val="00441BFA"/>
    <w:rsid w:val="00472C93"/>
    <w:rsid w:val="0049525E"/>
    <w:rsid w:val="00524DD9"/>
    <w:rsid w:val="00573D04"/>
    <w:rsid w:val="00590413"/>
    <w:rsid w:val="005931E5"/>
    <w:rsid w:val="005B02C4"/>
    <w:rsid w:val="005D2A71"/>
    <w:rsid w:val="005E6ECB"/>
    <w:rsid w:val="005F2B99"/>
    <w:rsid w:val="0062362A"/>
    <w:rsid w:val="00640B02"/>
    <w:rsid w:val="00641B92"/>
    <w:rsid w:val="006930FC"/>
    <w:rsid w:val="006D311E"/>
    <w:rsid w:val="006E31E5"/>
    <w:rsid w:val="006E460C"/>
    <w:rsid w:val="00730AFD"/>
    <w:rsid w:val="00744EA1"/>
    <w:rsid w:val="00780F56"/>
    <w:rsid w:val="007C43A5"/>
    <w:rsid w:val="007D5A94"/>
    <w:rsid w:val="008058F1"/>
    <w:rsid w:val="00813995"/>
    <w:rsid w:val="0082142C"/>
    <w:rsid w:val="00852716"/>
    <w:rsid w:val="0085704F"/>
    <w:rsid w:val="00862D50"/>
    <w:rsid w:val="00887E16"/>
    <w:rsid w:val="008B7164"/>
    <w:rsid w:val="009419CA"/>
    <w:rsid w:val="00955854"/>
    <w:rsid w:val="009662AC"/>
    <w:rsid w:val="00984277"/>
    <w:rsid w:val="009C7330"/>
    <w:rsid w:val="009E4BFC"/>
    <w:rsid w:val="009F5F44"/>
    <w:rsid w:val="00A00FBB"/>
    <w:rsid w:val="00A00FE6"/>
    <w:rsid w:val="00A27D1A"/>
    <w:rsid w:val="00A475B3"/>
    <w:rsid w:val="00AC614F"/>
    <w:rsid w:val="00AD475D"/>
    <w:rsid w:val="00B022DE"/>
    <w:rsid w:val="00B26251"/>
    <w:rsid w:val="00B470E4"/>
    <w:rsid w:val="00BF0721"/>
    <w:rsid w:val="00C00FAD"/>
    <w:rsid w:val="00C03795"/>
    <w:rsid w:val="00C24880"/>
    <w:rsid w:val="00C56926"/>
    <w:rsid w:val="00C61955"/>
    <w:rsid w:val="00CA15B6"/>
    <w:rsid w:val="00CA639D"/>
    <w:rsid w:val="00CC2578"/>
    <w:rsid w:val="00CC72B0"/>
    <w:rsid w:val="00CE3756"/>
    <w:rsid w:val="00D27A74"/>
    <w:rsid w:val="00D402FF"/>
    <w:rsid w:val="00D9303C"/>
    <w:rsid w:val="00E831C8"/>
    <w:rsid w:val="00E84A33"/>
    <w:rsid w:val="00EF287A"/>
    <w:rsid w:val="00F02CB8"/>
    <w:rsid w:val="00F122DA"/>
    <w:rsid w:val="00F25DD7"/>
    <w:rsid w:val="00F42816"/>
    <w:rsid w:val="00F6593B"/>
    <w:rsid w:val="00FA6818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B235A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批注框文本 Char"/>
    <w:basedOn w:val="7"/>
    <w:link w:val="2"/>
    <w:uiPriority w:val="0"/>
    <w:rPr>
      <w:kern w:val="2"/>
      <w:sz w:val="18"/>
      <w:szCs w:val="18"/>
    </w:rPr>
  </w:style>
  <w:style w:type="paragraph" w:styleId="10">
    <w:name w:val="List Paragraph"/>
    <w:basedOn w:val="1"/>
    <w:unhideWhenUsed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10</Pages>
  <Words>4394</Words>
  <Characters>4795</Characters>
  <Lines>40</Lines>
  <Paragraphs>11</Paragraphs>
  <TotalTime>0</TotalTime>
  <ScaleCrop>false</ScaleCrop>
  <LinksUpToDate>false</LinksUpToDate>
  <CharactersWithSpaces>4917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2023-08-24T02:02:00Z</dcterms:created>
  <dc:creator>新一天</dc:creator>
  <cp:lastModifiedBy>necrolyte</cp:lastModifiedBy>
  <cp:lastPrinted>2023-08-22T02:29:00Z</cp:lastPrinted>
  <dcterms:modified xsi:type="dcterms:W3CDTF">2024-06-24T08:41:11Z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50306CC149C84F98BF850919EA3E5AFB_13</vt:lpwstr>
  </property>
</Properties>
</file>