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岳阳楼区社会保险服务中心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ind w:left="70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109.86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106.4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115.78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32.21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6.52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4.82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0.87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32.69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44.5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37.63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eastAsia="zh-CN"/>
          <w14:textFill>
            <w14:solidFill>
              <w14:schemeClr w14:val="tx1"/>
            </w14:solidFill>
          </w14:textFill>
        </w:rPr>
        <w:t>李紫薇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18773005530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465"/>
        <w:gridCol w:w="1123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>
            <w:pPr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岳阳楼区社会保险服务中心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611.42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666.34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666.34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666.34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666.34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666.34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666.34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目标1：完成城乡居民养老保险参保45049人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目标2：完成机关事业单位养老保险参保10000人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目标3：追回退休人员多发退休待遇11人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目标4：完成代缴困难群体城乡居民养老保险6000人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目标5：完成录入原试点退费单位172家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目标6：做好代发独生子女、乡村教师、乡村医生生活补助工作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1.完成城乡居民养老保险参保45471人。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2.完成机关事业单位养老保险参保10162人。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3.追回退休人员多发退休待遇7人。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4.完成代缴困难群体城乡居民养老保险6197人。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5.完成录入原试点退费单位140家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6.完成代发独生子女、乡村教师、乡村医生生活补助7382人、103万元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both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企业年金归集上解金额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3516.5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3516.5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征收基本养老金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发放城乡居民养老保险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代发独生子女、乡村教师、乡村医生等补助金额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追回退休人员多发退休待遇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代缴困难群体城乡居民养老保险金额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生存认证精准率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养老金及各类补助发放精准率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行政复议事件发生数量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征收基本养老金时间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每月月底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每月月底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企业年金归集上解时间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每月月底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每月月底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工作完成时限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成本控制率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不超过预期成本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不超过预期成本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代发补助，保障困难群体基本生活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有效保障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有效保障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追回多发退休待遇，保障基金安全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有效保障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有效保障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完成原试点退费，维护职工权益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有效保障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有效保障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降低参保门槛，扩大参保覆盖面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有效扩围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有效扩围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维护社保基金安全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有效维护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有效维护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社会公众满意程度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90％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jc w:val="center"/>
              <w:textAlignment w:val="auto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仿宋" w:hAnsi="仿宋" w:eastAsia="仿宋" w:cs="仿宋"/>
          <w:color w:val="000000" w:themeColor="text1"/>
          <w:spacing w:val="9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李紫薇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18773005530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3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2023年6月14日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2022年度岳阳楼区社会保险服务中心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2023年6月14日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2022年度岳阳楼区社会保险服务中心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一、单位基本情况</w:t>
      </w:r>
    </w:p>
    <w:p>
      <w:pPr>
        <w:spacing w:line="400" w:lineRule="exact"/>
        <w:ind w:left="529" w:leftChars="252" w:firstLine="800" w:firstLineChars="25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岳阳市岳阳楼区社会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保险服务中心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位于岳阳市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邕园路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15号，为岳阳市岳阳楼区人力资源和社会保障局所属事业机构。为全区企业单位和个体户提供基本养老保障.在全区基本养老保险金的征集、拨付管理中提供服务。</w:t>
      </w:r>
    </w:p>
    <w:p>
      <w:pPr>
        <w:spacing w:line="400" w:lineRule="exact"/>
        <w:ind w:left="634" w:leftChars="302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岳阳市岳阳楼区社会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保险服务中心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设</w:t>
      </w:r>
      <w:r>
        <w:rPr>
          <w:rFonts w:ascii="仿宋_GB2312" w:hAnsi="仿宋_GB2312" w:eastAsia="仿宋_GB2312" w:cs="仿宋_GB2312"/>
          <w:bCs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个内设机构，具体有：综合办公室、财务股、个人账户管理股、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机关事业股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、退休管理和稽核股。</w:t>
      </w:r>
    </w:p>
    <w:p>
      <w:pPr>
        <w:spacing w:line="400" w:lineRule="exact"/>
        <w:ind w:firstLine="1440" w:firstLineChars="45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年编制部门核定社保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在职人员编制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spacing w:line="400" w:lineRule="exact"/>
        <w:ind w:left="634" w:leftChars="302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年基本支出为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666.34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万元，其中：人员经费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550.56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万元、日常公用经费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115.78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万元。</w:t>
      </w:r>
    </w:p>
    <w:p>
      <w:pPr>
        <w:spacing w:line="400" w:lineRule="exact"/>
        <w:ind w:left="634" w:leftChars="302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三公经费使用情况：公务接待费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0.42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元，完成年初预算的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年度“三公”经费支出决算数小于预算数的主要原因是认真贯彻落实中央“八项规定”精神和厉行节约要求，进一步从严控制“三公”经费开支，全年实际支出与预算有所节约。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>
      <w:pPr>
        <w:spacing w:line="400" w:lineRule="exact"/>
        <w:ind w:left="634" w:leftChars="302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年专项支出为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spacing w:line="400" w:lineRule="exact"/>
        <w:ind w:left="634" w:leftChars="302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四、国有资本经营预算支出情况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1、本年预算配置方面，财政供养人员控制在预算编制以内。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2、预算管理方面较好，本着厉行节俭、只减不增的原则，严格执行“三公经费”标准和审批制度与程序，公用经费，“三公经费”都得到了有效控制。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3、健全了资产管理等内部控制制度，对资产定期进行了盘点和清理，对需要经过政府采购的项目均进行了政府采购，制度执行总体有效。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4、较好的完成了全区企业、个体工商户及个人的养老保险管理工作，做好了失地农民参保工作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的宣传和推进工作、退休人员领取养老金资格认证工作，档案管理等工作，社会效益良好，社会公众满意度高。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1、预算执行进存在偏差。由于年初预算安排工作经费不足，导致实际支出高于年初预算，预算编制与实际情况存在偏差。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2、绩效目标管理和调整有待完善。绩效目标设立不够细化和量化。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针对绩效自评存在的问题，我单位积极采取措施，分别从以下方面进行改进：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强化预算管理，提升资金使用效率。我单位将严格按照预算进度的相关要求，督促业务股室加快项目实施进度，切实加大预算执行力度，提高预算资金使用效率，年底确保全部执行完所有的预算指标，全面完成单位年初制定的各项目标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加强绩效管理，密切关注目标任务开展情况，确保实际工作契合绩效目标。将绩效理念深入到各个基本环节中，对每个部门以及项目都分别制定相应的绩效指标，适时调整工作方向和内容，确保绩效目标得到全面贯彻执行，合理的对财政支出进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7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4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F3A7DD"/>
    <w:multiLevelType w:val="singleLevel"/>
    <w:tmpl w:val="DCF3A7DD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Yjk5NzBlNjIxNDhmODM4OGU0YzM5ZWM3YTY4OTAifQ=="/>
  </w:docVars>
  <w:rsids>
    <w:rsidRoot w:val="53FC3987"/>
    <w:rsid w:val="000A3765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41607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DD7B9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7973C6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2247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CF34837"/>
    <w:rsid w:val="7CF64161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475DE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3548</Words>
  <Characters>3903</Characters>
  <Lines>0</Lines>
  <Paragraphs>0</Paragraphs>
  <TotalTime>15</TotalTime>
  <ScaleCrop>false</ScaleCrop>
  <LinksUpToDate>false</LinksUpToDate>
  <CharactersWithSpaces>4033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王小纯</cp:lastModifiedBy>
  <cp:lastPrinted>2023-05-26T08:11:00Z</cp:lastPrinted>
  <dcterms:modified xsi:type="dcterms:W3CDTF">2024-06-19T02:07:27Z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8538D03BBB4C4DA587AD47365A184484_13</vt:lpwstr>
  </property>
</Properties>
</file>