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E46D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47BD3AA8">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302EA9FC">
      <w:pPr>
        <w:spacing w:line="115" w:lineRule="exact"/>
        <w:rPr>
          <w:color w:val="000000" w:themeColor="text1"/>
          <w14:textFill>
            <w14:solidFill>
              <w14:schemeClr w14:val="tx1"/>
            </w14:solidFill>
          </w14:textFill>
        </w:rPr>
      </w:pPr>
    </w:p>
    <w:tbl>
      <w:tblPr>
        <w:tblStyle w:val="9"/>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5BC9D3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F843B71">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3B2B5F3F">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岳阳市岳阳楼区东茅岭街道办事处</w:t>
            </w:r>
          </w:p>
        </w:tc>
      </w:tr>
      <w:tr w14:paraId="69084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7045A62F">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0347A259">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05320F64">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884CD98">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4F392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30B76709">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02460AD2">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60</w:t>
            </w:r>
          </w:p>
        </w:tc>
        <w:tc>
          <w:tcPr>
            <w:tcW w:w="2325" w:type="dxa"/>
            <w:gridSpan w:val="2"/>
            <w:noWrap w:val="0"/>
            <w:vAlign w:val="top"/>
          </w:tcPr>
          <w:p w14:paraId="33C65DA4">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60</w:t>
            </w:r>
          </w:p>
        </w:tc>
        <w:tc>
          <w:tcPr>
            <w:tcW w:w="1679" w:type="dxa"/>
            <w:gridSpan w:val="2"/>
            <w:noWrap w:val="0"/>
            <w:vAlign w:val="top"/>
          </w:tcPr>
          <w:p w14:paraId="6A46AAF5">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100%</w:t>
            </w:r>
          </w:p>
        </w:tc>
      </w:tr>
      <w:tr w14:paraId="59D0C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5EEB15AE">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5E6C6047">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47F0EF1F">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46651842">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0BD09F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F07CD94">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64BDC1F0">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16</w:t>
            </w:r>
          </w:p>
        </w:tc>
        <w:tc>
          <w:tcPr>
            <w:tcW w:w="2325" w:type="dxa"/>
            <w:gridSpan w:val="2"/>
            <w:noWrap w:val="0"/>
            <w:vAlign w:val="top"/>
          </w:tcPr>
          <w:p w14:paraId="6BE677D2">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9</w:t>
            </w:r>
          </w:p>
        </w:tc>
        <w:tc>
          <w:tcPr>
            <w:tcW w:w="1679" w:type="dxa"/>
            <w:gridSpan w:val="2"/>
            <w:noWrap w:val="0"/>
            <w:vAlign w:val="top"/>
          </w:tcPr>
          <w:p w14:paraId="5C21C51F">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5.14</w:t>
            </w:r>
          </w:p>
        </w:tc>
      </w:tr>
      <w:tr w14:paraId="23B924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732C0A1">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3D8A0EA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2C5452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EB7859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2270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C060BCC">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6BFC504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CF0BE2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247BBB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F4CE7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3EC37730">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76E0F2A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89EA40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9B6B6F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59CE05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7511B9D0">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0039D55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611E61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71F1DF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44CB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3850" w:type="dxa"/>
            <w:noWrap w:val="0"/>
            <w:vAlign w:val="top"/>
          </w:tcPr>
          <w:p w14:paraId="66F361D9">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4397EAA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w:t>
            </w:r>
          </w:p>
        </w:tc>
        <w:tc>
          <w:tcPr>
            <w:tcW w:w="2325" w:type="dxa"/>
            <w:gridSpan w:val="2"/>
            <w:noWrap w:val="0"/>
            <w:vAlign w:val="top"/>
          </w:tcPr>
          <w:p w14:paraId="5856273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w:t>
            </w:r>
          </w:p>
        </w:tc>
        <w:tc>
          <w:tcPr>
            <w:tcW w:w="1679" w:type="dxa"/>
            <w:gridSpan w:val="2"/>
            <w:noWrap w:val="0"/>
            <w:vAlign w:val="top"/>
          </w:tcPr>
          <w:p w14:paraId="141E756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5.14</w:t>
            </w:r>
          </w:p>
        </w:tc>
      </w:tr>
      <w:tr w14:paraId="6998AB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5CCB5DD">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7372A4E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387544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1679" w:type="dxa"/>
            <w:gridSpan w:val="2"/>
            <w:noWrap w:val="0"/>
            <w:vAlign w:val="top"/>
          </w:tcPr>
          <w:p w14:paraId="6305F79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614.73</w:t>
            </w:r>
          </w:p>
        </w:tc>
      </w:tr>
      <w:tr w14:paraId="36F31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FB43E2C">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0DBF4F2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B7686A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w:t>
            </w:r>
          </w:p>
        </w:tc>
        <w:tc>
          <w:tcPr>
            <w:tcW w:w="1679" w:type="dxa"/>
            <w:gridSpan w:val="2"/>
            <w:noWrap w:val="0"/>
            <w:vAlign w:val="top"/>
          </w:tcPr>
          <w:p w14:paraId="4AB565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1A0B4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896C1DA">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6E56274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8DBEA0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0769F3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70A741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5537BA84">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7FBB213E">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7F43D8B">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5A2D5B9A">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1704DA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2243C8B1">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66D2DE7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657BE4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27B721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614.73</w:t>
            </w:r>
          </w:p>
        </w:tc>
      </w:tr>
      <w:tr w14:paraId="5DAA85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1FB325E">
            <w:pPr>
              <w:jc w:val="cente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劳动协理员补贴</w:t>
            </w:r>
          </w:p>
        </w:tc>
        <w:tc>
          <w:tcPr>
            <w:tcW w:w="1815" w:type="dxa"/>
            <w:gridSpan w:val="2"/>
            <w:noWrap w:val="0"/>
            <w:vAlign w:val="top"/>
          </w:tcPr>
          <w:p w14:paraId="2441C4B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D0C3C0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C0953A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w:t>
            </w:r>
          </w:p>
        </w:tc>
      </w:tr>
      <w:tr w14:paraId="13EACE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7246C41">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企业退休干部帮扶解困金</w:t>
            </w:r>
          </w:p>
        </w:tc>
        <w:tc>
          <w:tcPr>
            <w:tcW w:w="1815" w:type="dxa"/>
            <w:gridSpan w:val="2"/>
            <w:noWrap w:val="0"/>
            <w:vAlign w:val="top"/>
          </w:tcPr>
          <w:p w14:paraId="2CF42F6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FC468E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C0F9D5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16.89</w:t>
            </w:r>
          </w:p>
        </w:tc>
      </w:tr>
      <w:tr w14:paraId="53BDDD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2513A9B">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春节慰问款</w:t>
            </w:r>
          </w:p>
        </w:tc>
        <w:tc>
          <w:tcPr>
            <w:tcW w:w="1815" w:type="dxa"/>
            <w:gridSpan w:val="2"/>
            <w:noWrap w:val="0"/>
            <w:vAlign w:val="top"/>
          </w:tcPr>
          <w:p w14:paraId="7513DBB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556153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180255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16</w:t>
            </w:r>
          </w:p>
        </w:tc>
      </w:tr>
      <w:tr w14:paraId="24F8E6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09028B9">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流浪乞讨人员救助款</w:t>
            </w:r>
          </w:p>
        </w:tc>
        <w:tc>
          <w:tcPr>
            <w:tcW w:w="1815" w:type="dxa"/>
            <w:gridSpan w:val="2"/>
            <w:noWrap w:val="0"/>
            <w:vAlign w:val="top"/>
          </w:tcPr>
          <w:p w14:paraId="705E81F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994D18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331E33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0.44</w:t>
            </w:r>
          </w:p>
        </w:tc>
      </w:tr>
      <w:tr w14:paraId="2B1A09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ADD31F8">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临时救助</w:t>
            </w:r>
          </w:p>
        </w:tc>
        <w:tc>
          <w:tcPr>
            <w:tcW w:w="1815" w:type="dxa"/>
            <w:gridSpan w:val="2"/>
            <w:noWrap w:val="0"/>
            <w:vAlign w:val="top"/>
          </w:tcPr>
          <w:p w14:paraId="3AE80DA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F954FD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328D8D8">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9.81</w:t>
            </w:r>
          </w:p>
        </w:tc>
      </w:tr>
      <w:tr w14:paraId="1D8A99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3B6E714">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特困供养人员照料护理费</w:t>
            </w:r>
          </w:p>
        </w:tc>
        <w:tc>
          <w:tcPr>
            <w:tcW w:w="1815" w:type="dxa"/>
            <w:gridSpan w:val="2"/>
            <w:noWrap w:val="0"/>
            <w:vAlign w:val="top"/>
          </w:tcPr>
          <w:p w14:paraId="1FF99F5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69BD71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3A20D9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0.67</w:t>
            </w:r>
          </w:p>
        </w:tc>
      </w:tr>
      <w:tr w14:paraId="4F4770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20A56C7">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环卫工人工资</w:t>
            </w:r>
          </w:p>
        </w:tc>
        <w:tc>
          <w:tcPr>
            <w:tcW w:w="1815" w:type="dxa"/>
            <w:gridSpan w:val="2"/>
            <w:noWrap w:val="0"/>
            <w:vAlign w:val="top"/>
          </w:tcPr>
          <w:p w14:paraId="6EC9133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2B6EA0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FDE545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309.71</w:t>
            </w:r>
          </w:p>
        </w:tc>
      </w:tr>
      <w:tr w14:paraId="52DCB8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8E18990">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环卫工人保险</w:t>
            </w:r>
          </w:p>
        </w:tc>
        <w:tc>
          <w:tcPr>
            <w:tcW w:w="1815" w:type="dxa"/>
            <w:gridSpan w:val="2"/>
            <w:noWrap w:val="0"/>
            <w:vAlign w:val="top"/>
          </w:tcPr>
          <w:p w14:paraId="0ACA9A1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002CA4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FDF3AC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83.96</w:t>
            </w:r>
          </w:p>
        </w:tc>
      </w:tr>
      <w:tr w14:paraId="0FD0D9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0BE252E">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精神病障碍以奖代补</w:t>
            </w:r>
          </w:p>
        </w:tc>
        <w:tc>
          <w:tcPr>
            <w:tcW w:w="1815" w:type="dxa"/>
            <w:gridSpan w:val="2"/>
            <w:noWrap w:val="0"/>
            <w:vAlign w:val="top"/>
          </w:tcPr>
          <w:p w14:paraId="07BAE0B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5E22C7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20B08B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7.2</w:t>
            </w:r>
          </w:p>
        </w:tc>
      </w:tr>
      <w:tr w14:paraId="33BF17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87EA321">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生育关怀扶助金</w:t>
            </w:r>
          </w:p>
        </w:tc>
        <w:tc>
          <w:tcPr>
            <w:tcW w:w="1815" w:type="dxa"/>
            <w:gridSpan w:val="2"/>
            <w:noWrap w:val="0"/>
            <w:vAlign w:val="top"/>
          </w:tcPr>
          <w:p w14:paraId="34682C9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8DCC60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6C421A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r>
      <w:tr w14:paraId="0DCA87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AE570CF">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失独慰问</w:t>
            </w:r>
          </w:p>
        </w:tc>
        <w:tc>
          <w:tcPr>
            <w:tcW w:w="1815" w:type="dxa"/>
            <w:gridSpan w:val="2"/>
            <w:noWrap w:val="0"/>
            <w:vAlign w:val="top"/>
          </w:tcPr>
          <w:p w14:paraId="2FB6796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A69973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1BD314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r>
      <w:tr w14:paraId="73BF9D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014EA23">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春节慰问款</w:t>
            </w:r>
          </w:p>
        </w:tc>
        <w:tc>
          <w:tcPr>
            <w:tcW w:w="1815" w:type="dxa"/>
            <w:gridSpan w:val="2"/>
            <w:noWrap w:val="0"/>
            <w:vAlign w:val="top"/>
          </w:tcPr>
          <w:p w14:paraId="38019F9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14B2C2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3AFA9E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4.25</w:t>
            </w:r>
          </w:p>
        </w:tc>
      </w:tr>
      <w:tr w14:paraId="3E1B9A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49207B8">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端午节慰问</w:t>
            </w:r>
          </w:p>
        </w:tc>
        <w:tc>
          <w:tcPr>
            <w:tcW w:w="1815" w:type="dxa"/>
            <w:gridSpan w:val="2"/>
            <w:noWrap w:val="0"/>
            <w:vAlign w:val="top"/>
          </w:tcPr>
          <w:p w14:paraId="1D12B09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055B80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919BFD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2.65</w:t>
            </w:r>
          </w:p>
        </w:tc>
      </w:tr>
      <w:tr w14:paraId="13F75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F21A3BB">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中秋节慰问</w:t>
            </w:r>
          </w:p>
        </w:tc>
        <w:tc>
          <w:tcPr>
            <w:tcW w:w="1815" w:type="dxa"/>
            <w:gridSpan w:val="2"/>
            <w:noWrap w:val="0"/>
            <w:vAlign w:val="top"/>
          </w:tcPr>
          <w:p w14:paraId="7334CDF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86A926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57AF69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w:t>
            </w:r>
          </w:p>
        </w:tc>
      </w:tr>
      <w:tr w14:paraId="085DB3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3B3290D">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联络员补贴</w:t>
            </w:r>
          </w:p>
        </w:tc>
        <w:tc>
          <w:tcPr>
            <w:tcW w:w="1815" w:type="dxa"/>
            <w:gridSpan w:val="2"/>
            <w:noWrap w:val="0"/>
            <w:vAlign w:val="top"/>
          </w:tcPr>
          <w:p w14:paraId="14D204B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ACF47B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4281E1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0.42</w:t>
            </w:r>
          </w:p>
        </w:tc>
      </w:tr>
      <w:tr w14:paraId="2DB6CA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1615411">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燃油补贴</w:t>
            </w:r>
          </w:p>
        </w:tc>
        <w:tc>
          <w:tcPr>
            <w:tcW w:w="1815" w:type="dxa"/>
            <w:gridSpan w:val="2"/>
            <w:noWrap w:val="0"/>
            <w:vAlign w:val="top"/>
          </w:tcPr>
          <w:p w14:paraId="3EAFDC4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9DA7EB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87937A1">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0.36</w:t>
            </w:r>
          </w:p>
        </w:tc>
      </w:tr>
      <w:tr w14:paraId="31C67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656F73E">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专职委员</w:t>
            </w:r>
          </w:p>
        </w:tc>
        <w:tc>
          <w:tcPr>
            <w:tcW w:w="1815" w:type="dxa"/>
            <w:gridSpan w:val="2"/>
            <w:noWrap w:val="0"/>
            <w:vAlign w:val="top"/>
          </w:tcPr>
          <w:p w14:paraId="6F2C561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78AFFA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77CA8D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1.82</w:t>
            </w:r>
          </w:p>
        </w:tc>
      </w:tr>
      <w:tr w14:paraId="1940C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707BBE1">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残疾人办证返还经费</w:t>
            </w:r>
          </w:p>
        </w:tc>
        <w:tc>
          <w:tcPr>
            <w:tcW w:w="1815" w:type="dxa"/>
            <w:gridSpan w:val="2"/>
            <w:noWrap w:val="0"/>
            <w:vAlign w:val="top"/>
          </w:tcPr>
          <w:p w14:paraId="1BCECE6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3D84102">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3EC5367">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0.61</w:t>
            </w:r>
          </w:p>
        </w:tc>
      </w:tr>
      <w:tr w14:paraId="6B48F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331CDFC">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残联数据采集经费</w:t>
            </w:r>
          </w:p>
        </w:tc>
        <w:tc>
          <w:tcPr>
            <w:tcW w:w="1815" w:type="dxa"/>
            <w:gridSpan w:val="2"/>
            <w:noWrap w:val="0"/>
            <w:vAlign w:val="top"/>
          </w:tcPr>
          <w:p w14:paraId="163F3CD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A46174A">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26BED0D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0.45</w:t>
            </w:r>
          </w:p>
        </w:tc>
      </w:tr>
      <w:tr w14:paraId="4C2FA6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6CB9526D">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老旧小区改造</w:t>
            </w:r>
          </w:p>
        </w:tc>
        <w:tc>
          <w:tcPr>
            <w:tcW w:w="1815" w:type="dxa"/>
            <w:gridSpan w:val="2"/>
            <w:noWrap w:val="0"/>
            <w:vAlign w:val="top"/>
          </w:tcPr>
          <w:p w14:paraId="0F4CA9F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89FA18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E350A9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30</w:t>
            </w:r>
          </w:p>
        </w:tc>
      </w:tr>
      <w:tr w14:paraId="4D54E1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41DA6F0B">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就业援助社保费</w:t>
            </w:r>
          </w:p>
        </w:tc>
        <w:tc>
          <w:tcPr>
            <w:tcW w:w="1815" w:type="dxa"/>
            <w:gridSpan w:val="2"/>
            <w:noWrap w:val="0"/>
            <w:vAlign w:val="top"/>
          </w:tcPr>
          <w:p w14:paraId="1109AC66">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D6915F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072266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19.04</w:t>
            </w:r>
          </w:p>
        </w:tc>
      </w:tr>
      <w:tr w14:paraId="5A914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5EBF5A3">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春节慰问款</w:t>
            </w:r>
          </w:p>
        </w:tc>
        <w:tc>
          <w:tcPr>
            <w:tcW w:w="1815" w:type="dxa"/>
            <w:gridSpan w:val="2"/>
            <w:noWrap w:val="0"/>
            <w:vAlign w:val="top"/>
          </w:tcPr>
          <w:p w14:paraId="3AA2882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2CE5C7E">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DCC97CA">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20.68</w:t>
            </w:r>
          </w:p>
        </w:tc>
      </w:tr>
      <w:tr w14:paraId="6AF02B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7ED02385">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入伍义务兵家庭优待金</w:t>
            </w:r>
          </w:p>
        </w:tc>
        <w:tc>
          <w:tcPr>
            <w:tcW w:w="1815" w:type="dxa"/>
            <w:gridSpan w:val="2"/>
            <w:noWrap w:val="0"/>
            <w:vAlign w:val="top"/>
          </w:tcPr>
          <w:p w14:paraId="54D63EDC">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2E022269">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6FB522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57</w:t>
            </w:r>
          </w:p>
        </w:tc>
      </w:tr>
      <w:tr w14:paraId="6DDC7E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1E5EC9D">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退役军人补贴</w:t>
            </w:r>
          </w:p>
        </w:tc>
        <w:tc>
          <w:tcPr>
            <w:tcW w:w="1815" w:type="dxa"/>
            <w:gridSpan w:val="2"/>
            <w:noWrap w:val="0"/>
            <w:vAlign w:val="top"/>
          </w:tcPr>
          <w:p w14:paraId="431283E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4B773C5">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B6D91C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10.63</w:t>
            </w:r>
          </w:p>
        </w:tc>
      </w:tr>
      <w:tr w14:paraId="729A7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98A6344">
            <w:pPr>
              <w:jc w:val="cente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八一慰问</w:t>
            </w:r>
          </w:p>
        </w:tc>
        <w:tc>
          <w:tcPr>
            <w:tcW w:w="1815" w:type="dxa"/>
            <w:gridSpan w:val="2"/>
            <w:noWrap w:val="0"/>
            <w:vAlign w:val="top"/>
          </w:tcPr>
          <w:p w14:paraId="10E4C8F7">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E3FCA8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1E7DBA2">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5.47</w:t>
            </w:r>
          </w:p>
        </w:tc>
      </w:tr>
      <w:tr w14:paraId="37C4DA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04CB1E1">
            <w:pPr>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eastAsia="zh-CN"/>
                <w14:textFill>
                  <w14:solidFill>
                    <w14:schemeClr w14:val="tx1"/>
                  </w14:solidFill>
                </w14:textFill>
              </w:rPr>
              <w:t>八一慰问优抚对象资金</w:t>
            </w:r>
          </w:p>
        </w:tc>
        <w:tc>
          <w:tcPr>
            <w:tcW w:w="1815" w:type="dxa"/>
            <w:gridSpan w:val="2"/>
            <w:noWrap w:val="0"/>
            <w:vAlign w:val="top"/>
          </w:tcPr>
          <w:p w14:paraId="79438FCB">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7CE789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B9FC806">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8.37</w:t>
            </w:r>
          </w:p>
        </w:tc>
      </w:tr>
      <w:tr w14:paraId="75C46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818ECE1">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1D91E0A1">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3AEC4F8">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636BBCF">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67BF6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525D9C6">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097CBEB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217.24</w:t>
            </w:r>
          </w:p>
        </w:tc>
        <w:tc>
          <w:tcPr>
            <w:tcW w:w="2325" w:type="dxa"/>
            <w:gridSpan w:val="2"/>
            <w:noWrap w:val="0"/>
            <w:vAlign w:val="top"/>
          </w:tcPr>
          <w:p w14:paraId="28A1C864">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108</w:t>
            </w:r>
          </w:p>
        </w:tc>
        <w:tc>
          <w:tcPr>
            <w:tcW w:w="1679" w:type="dxa"/>
            <w:gridSpan w:val="2"/>
            <w:noWrap w:val="0"/>
            <w:vAlign w:val="top"/>
          </w:tcPr>
          <w:p w14:paraId="691241F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829.94</w:t>
            </w:r>
          </w:p>
        </w:tc>
      </w:tr>
      <w:tr w14:paraId="5A784C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680157A">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579FB54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21.22</w:t>
            </w:r>
          </w:p>
        </w:tc>
        <w:tc>
          <w:tcPr>
            <w:tcW w:w="2325" w:type="dxa"/>
            <w:gridSpan w:val="2"/>
            <w:noWrap w:val="0"/>
            <w:vAlign w:val="top"/>
          </w:tcPr>
          <w:p w14:paraId="0166AE0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w:t>
            </w:r>
          </w:p>
        </w:tc>
        <w:tc>
          <w:tcPr>
            <w:tcW w:w="1679" w:type="dxa"/>
            <w:gridSpan w:val="2"/>
            <w:noWrap w:val="0"/>
            <w:vAlign w:val="top"/>
          </w:tcPr>
          <w:p w14:paraId="58A1C41C">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25.04</w:t>
            </w:r>
          </w:p>
        </w:tc>
      </w:tr>
      <w:tr w14:paraId="3CCCB0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4AA59AE">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057C961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8.13</w:t>
            </w:r>
          </w:p>
        </w:tc>
        <w:tc>
          <w:tcPr>
            <w:tcW w:w="2325" w:type="dxa"/>
            <w:gridSpan w:val="2"/>
            <w:noWrap w:val="0"/>
            <w:vAlign w:val="top"/>
          </w:tcPr>
          <w:p w14:paraId="0849D27F">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8.5</w:t>
            </w:r>
          </w:p>
        </w:tc>
        <w:tc>
          <w:tcPr>
            <w:tcW w:w="1679" w:type="dxa"/>
            <w:gridSpan w:val="2"/>
            <w:noWrap w:val="0"/>
            <w:vAlign w:val="top"/>
          </w:tcPr>
          <w:p w14:paraId="5495034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17.23</w:t>
            </w:r>
          </w:p>
        </w:tc>
      </w:tr>
      <w:tr w14:paraId="401C3C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2B5C3EE">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2349DE9E">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8.45</w:t>
            </w:r>
          </w:p>
        </w:tc>
        <w:tc>
          <w:tcPr>
            <w:tcW w:w="2325" w:type="dxa"/>
            <w:gridSpan w:val="2"/>
            <w:noWrap w:val="0"/>
            <w:vAlign w:val="top"/>
          </w:tcPr>
          <w:p w14:paraId="2634766D">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5.2</w:t>
            </w:r>
          </w:p>
        </w:tc>
        <w:tc>
          <w:tcPr>
            <w:tcW w:w="1679" w:type="dxa"/>
            <w:gridSpan w:val="2"/>
            <w:noWrap w:val="0"/>
            <w:vAlign w:val="top"/>
          </w:tcPr>
          <w:p w14:paraId="45EE9C40">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2.05</w:t>
            </w:r>
          </w:p>
        </w:tc>
      </w:tr>
      <w:tr w14:paraId="6246B1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438A7E2">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63E63B99">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宋体" w:hAnsi="宋体" w:eastAsia="宋体" w:cs="宋体"/>
                <w:i w:val="0"/>
                <w:iCs w:val="0"/>
                <w:caps w:val="0"/>
                <w:color w:val="333333"/>
                <w:spacing w:val="0"/>
                <w:sz w:val="18"/>
                <w:szCs w:val="18"/>
                <w:shd w:val="clear" w:fill="FFFFFF"/>
              </w:rPr>
              <w:t>533.70</w:t>
            </w:r>
            <w:bookmarkStart w:id="0" w:name="_GoBack"/>
            <w:bookmarkEnd w:id="0"/>
          </w:p>
        </w:tc>
        <w:tc>
          <w:tcPr>
            <w:tcW w:w="2325" w:type="dxa"/>
            <w:gridSpan w:val="2"/>
            <w:noWrap w:val="0"/>
            <w:vAlign w:val="top"/>
          </w:tcPr>
          <w:p w14:paraId="5568A033">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149</w:t>
            </w:r>
          </w:p>
        </w:tc>
        <w:tc>
          <w:tcPr>
            <w:tcW w:w="1679" w:type="dxa"/>
            <w:gridSpan w:val="2"/>
            <w:noWrap w:val="0"/>
            <w:vAlign w:val="top"/>
          </w:tcPr>
          <w:p w14:paraId="199322C5">
            <w:pPr>
              <w:jc w:val="cente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364.29</w:t>
            </w:r>
          </w:p>
        </w:tc>
      </w:tr>
      <w:tr w14:paraId="7CA459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317CAD7">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787D864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5131A63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91E27B8">
            <w:pPr>
              <w:jc w:val="cente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22C98C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28E06500">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0706175A">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1F02143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1D0D30C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13501D50">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2EE72B0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2D2EB82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49E9564F">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63DA5FD2">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5392ED5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4A4E7CC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2CD5C9C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6058C80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29900CDC">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17F6AD5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33432F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7DEB0E9E">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7DD0F8CD">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0F8C37A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4F457FF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26896F33">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05BBAB50">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3CF38D34">
            <w:pPr>
              <w:jc w:val="cente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8A964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7E523F85">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508F8E9E">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一是严格控制一般性支出，降低行政运行成本，提高公用经费使用效率；二是严控楼堂馆所建设；三是推进节能减排。</w:t>
            </w:r>
          </w:p>
        </w:tc>
      </w:tr>
    </w:tbl>
    <w:p w14:paraId="6083EECB">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493738FE">
      <w:pPr>
        <w:keepNext w:val="0"/>
        <w:keepLines w:val="0"/>
        <w:pageBreakBefore w:val="0"/>
        <w:widowControl w:val="0"/>
        <w:kinsoku/>
        <w:wordWrap/>
        <w:overflowPunct/>
        <w:topLinePunct w:val="0"/>
        <w:autoSpaceDE/>
        <w:autoSpaceDN/>
        <w:bidi w:val="0"/>
        <w:adjustRightInd/>
        <w:snapToGrid/>
        <w:jc w:val="left"/>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eastAsia="zh-CN"/>
          <w14:textFill>
            <w14:solidFill>
              <w14:schemeClr w14:val="tx1"/>
            </w14:solidFill>
          </w14:textFill>
        </w:rPr>
        <w:t>葛咏也</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13575012295</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3A39BB0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14:paraId="435BE30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587BD41A">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6304C766">
      <w:pPr>
        <w:spacing w:line="168" w:lineRule="exact"/>
        <w:rPr>
          <w:color w:val="000000" w:themeColor="text1"/>
          <w14:textFill>
            <w14:solidFill>
              <w14:schemeClr w14:val="tx1"/>
            </w14:solidFill>
          </w14:textFill>
        </w:rPr>
      </w:pPr>
    </w:p>
    <w:tbl>
      <w:tblPr>
        <w:tblStyle w:val="9"/>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7C9C7C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5ACE094A">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3A6435B5">
            <w:pP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岳阳市岳阳楼区东茅岭街道办事处</w:t>
            </w:r>
          </w:p>
        </w:tc>
      </w:tr>
      <w:tr w14:paraId="1140A1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restart"/>
            <w:tcBorders>
              <w:bottom w:val="nil"/>
            </w:tcBorders>
            <w:noWrap w:val="0"/>
            <w:vAlign w:val="top"/>
          </w:tcPr>
          <w:p w14:paraId="6C87AA8E">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7392B05F">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0027263E">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77C8C06C">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2704B05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4B5808E7">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0DC6430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09E0D53F">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5660C1B8">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56746F47">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554A381C">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4FF7FC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C206B4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455D1225">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4ECD6F8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1324.61</w:t>
            </w:r>
          </w:p>
        </w:tc>
        <w:tc>
          <w:tcPr>
            <w:tcW w:w="1319" w:type="dxa"/>
            <w:noWrap w:val="0"/>
            <w:vAlign w:val="center"/>
          </w:tcPr>
          <w:p w14:paraId="6ED5DCC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2435.7</w:t>
            </w:r>
          </w:p>
        </w:tc>
        <w:tc>
          <w:tcPr>
            <w:tcW w:w="1259" w:type="dxa"/>
            <w:noWrap w:val="0"/>
            <w:vAlign w:val="center"/>
          </w:tcPr>
          <w:p w14:paraId="6AB1CF9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2435.7</w:t>
            </w:r>
          </w:p>
        </w:tc>
        <w:tc>
          <w:tcPr>
            <w:tcW w:w="719" w:type="dxa"/>
            <w:noWrap w:val="0"/>
            <w:vAlign w:val="center"/>
          </w:tcPr>
          <w:p w14:paraId="1E2E4116">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09A8AF2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14:paraId="597E2FF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14:paraId="6E7358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7" w:hRule="atLeast"/>
        </w:trPr>
        <w:tc>
          <w:tcPr>
            <w:tcW w:w="1084" w:type="dxa"/>
            <w:vMerge w:val="continue"/>
            <w:tcBorders>
              <w:top w:val="nil"/>
              <w:bottom w:val="nil"/>
            </w:tcBorders>
            <w:noWrap w:val="0"/>
            <w:vAlign w:val="top"/>
          </w:tcPr>
          <w:p w14:paraId="73DED72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634A0F8">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14:paraId="62EC488C">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14:paraId="2C3774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21579C1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2E85ED4">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891.22</w:t>
            </w:r>
          </w:p>
        </w:tc>
        <w:tc>
          <w:tcPr>
            <w:tcW w:w="4055" w:type="dxa"/>
            <w:gridSpan w:val="4"/>
            <w:noWrap w:val="0"/>
            <w:vAlign w:val="center"/>
          </w:tcPr>
          <w:p w14:paraId="14D31C1A">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1820.97</w:t>
            </w:r>
          </w:p>
        </w:tc>
      </w:tr>
      <w:tr w14:paraId="141173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32FD503B">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96DBE0F">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14:paraId="175D9D92">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lang w:val="en-US" w:eastAsia="zh-CN"/>
                <w14:textFill>
                  <w14:solidFill>
                    <w14:schemeClr w14:val="tx1"/>
                  </w14:solidFill>
                </w14:textFill>
              </w:rPr>
              <w:t>614.73</w:t>
            </w:r>
          </w:p>
        </w:tc>
      </w:tr>
      <w:tr w14:paraId="0BABE6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159E59D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6810333">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14:paraId="2D30E395">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14:paraId="623773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6339C40A">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CC3E8DB">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1544.48</w:t>
            </w:r>
          </w:p>
        </w:tc>
        <w:tc>
          <w:tcPr>
            <w:tcW w:w="4055" w:type="dxa"/>
            <w:gridSpan w:val="4"/>
            <w:noWrap w:val="0"/>
            <w:vAlign w:val="center"/>
          </w:tcPr>
          <w:p w14:paraId="74D2DB3B">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049253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6F28B411">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1BB2BFAF">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22BD2ECF">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B203E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vMerge w:val="continue"/>
            <w:tcBorders>
              <w:top w:val="nil"/>
            </w:tcBorders>
            <w:noWrap w:val="0"/>
            <w:vAlign w:val="top"/>
          </w:tcPr>
          <w:p w14:paraId="3B510DC8">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68049BCC">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1、大力宣传税收优惠政策，完成项税收6624万元</w:t>
            </w:r>
          </w:p>
          <w:p w14:paraId="0580EB4E">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2、组织开展环境卫生大扫除150余次，清理清运各类垃圾、杂物5000吨</w:t>
            </w:r>
          </w:p>
          <w:p w14:paraId="0E6AD9E5">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3、开展党员学习30次</w:t>
            </w:r>
          </w:p>
          <w:p w14:paraId="1894943A">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4、开展禁建拆违专项行动，摸排出非经营性自建房150栋，拆除违建300处</w:t>
            </w:r>
          </w:p>
          <w:p w14:paraId="4C0E779F">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5、开展消防演练3次。</w:t>
            </w:r>
          </w:p>
          <w:p w14:paraId="7B35970E">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6、东茅岭片区旧总投资≧3800万元，惠及居民≧6000余户</w:t>
            </w:r>
          </w:p>
          <w:p w14:paraId="270AB12B">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7、为辖区困难群众申请临时救助50人次</w:t>
            </w:r>
          </w:p>
          <w:p w14:paraId="24E2F03F">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8、医保征缴新增低保户50人</w:t>
            </w:r>
          </w:p>
          <w:p w14:paraId="79F0AC7F">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9、办理退役军人对象登记和优待卡800人次</w:t>
            </w:r>
          </w:p>
          <w:p w14:paraId="3D5DCA95">
            <w:pPr>
              <w:keepNext w:val="0"/>
              <w:keepLines w:val="0"/>
              <w:pageBreakBefore w:val="0"/>
              <w:widowControl w:val="0"/>
              <w:numPr>
                <w:ilvl w:val="0"/>
                <w:numId w:val="0"/>
              </w:numPr>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10、疫情防控查数据4万条</w:t>
            </w:r>
          </w:p>
        </w:tc>
        <w:tc>
          <w:tcPr>
            <w:tcW w:w="4055" w:type="dxa"/>
            <w:gridSpan w:val="4"/>
            <w:noWrap w:val="0"/>
            <w:vAlign w:val="center"/>
          </w:tcPr>
          <w:p w14:paraId="073C16B2">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1、大力宣传税收优惠政策，积极协税护税，深挖税源，已完成各项税收7308万元</w:t>
            </w:r>
          </w:p>
          <w:p w14:paraId="22A98685">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2、组织开展环境卫生大扫除230余次，共清理清运各类垃圾、杂物8600余吨，倡导生活垃圾分类，全力推进省级示范街道创建，设置81个四分类垃圾投放亭，自建垃圾分类暂存点，覆盖68个小区。多次获评环卫先进</w:t>
            </w:r>
          </w:p>
          <w:p w14:paraId="260D310E">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3、全年开展理论中心组学习14次，法纪教育活动2次，党员集中学习35次，将理论学习同学法规、学业务相结合，确保了学习效果</w:t>
            </w:r>
          </w:p>
          <w:p w14:paraId="1796129D">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4、深入推进自建房排查整治专项行动，摸排出非经营性自建房190栋，房屋46栋，其中重大风险12处，较大风险3处，都以最快速度进行加固、拆除，消除了安全隐患。全年共拆除存量违法建设575处1.9万平方米，起到了强力的震慑作用，得到了居民群众的支持和好评，获得了禁违治违先进单位</w:t>
            </w:r>
          </w:p>
          <w:p w14:paraId="73171C1B">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5、深入推进消防保畅专项行动，开展消防演练3次，处置重大消除公共安全隐患5处</w:t>
            </w:r>
          </w:p>
          <w:p w14:paraId="0A30BD77">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6、东茅岭片区旧改总投资3800万元，涉及到6000余户1.5万人，共有10个邻里、9个独立小区、7个基础配套项目，拆除违法建设1.4万平米</w:t>
            </w:r>
          </w:p>
          <w:p w14:paraId="68B4CAEF">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7、为辖区困难群众申请临时救助63人次</w:t>
            </w:r>
          </w:p>
          <w:p w14:paraId="617427B1">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8、医保征缴新增低保户37户57人</w:t>
            </w:r>
          </w:p>
          <w:p w14:paraId="1FD6C25A">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9、办理退役军人对象登记和优待卡889人次</w:t>
            </w:r>
          </w:p>
          <w:p w14:paraId="479AC8C6">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eastAsia" w:ascii="宋体" w:hAnsi="宋体" w:eastAsia="宋体" w:cs="宋体"/>
                <w:bCs/>
                <w:color w:val="000000"/>
                <w:sz w:val="21"/>
                <w:szCs w:val="21"/>
                <w:lang w:val="en-US" w:eastAsia="zh-CN"/>
              </w:rPr>
            </w:pPr>
            <w:r>
              <w:rPr>
                <w:rFonts w:hint="eastAsia" w:ascii="宋体" w:hAnsi="宋体" w:eastAsia="宋体" w:cs="宋体"/>
                <w:bCs/>
                <w:color w:val="000000"/>
                <w:sz w:val="21"/>
                <w:szCs w:val="21"/>
                <w:lang w:val="en-US" w:eastAsia="zh-CN"/>
              </w:rPr>
              <w:t>10、疫情防控累计排查数据5万余条，60岁以上人群加强针接种率排名全区第一</w:t>
            </w:r>
          </w:p>
          <w:p w14:paraId="03FD652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r>
      <w:tr w14:paraId="13E09B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56256932">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556038DE">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5143E2B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0C83C70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2A456BC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19ACB89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70828ABB">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5DFAE420">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2A6B61E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43DE0EF8">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4F3DC16C">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2D2CB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5" w:hRule="atLeast"/>
        </w:trPr>
        <w:tc>
          <w:tcPr>
            <w:tcW w:w="1084" w:type="dxa"/>
            <w:vMerge w:val="continue"/>
            <w:tcBorders>
              <w:top w:val="nil"/>
              <w:bottom w:val="nil"/>
            </w:tcBorders>
            <w:noWrap w:val="0"/>
            <w:textDirection w:val="tbRlV"/>
            <w:vAlign w:val="top"/>
          </w:tcPr>
          <w:p w14:paraId="35B21670">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6DC2A63E">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10D418A6">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4487F738">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788F1F8C">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379BA579">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3F48DF2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vMerge w:val="restart"/>
            <w:noWrap w:val="0"/>
            <w:vAlign w:val="center"/>
          </w:tcPr>
          <w:p w14:paraId="1B2AEB82">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1C8295BD">
            <w:pPr>
              <w:keepNext w:val="0"/>
              <w:keepLines w:val="0"/>
              <w:widowControl/>
              <w:suppressLineNumbers w:val="0"/>
              <w:jc w:val="center"/>
              <w:textAlignment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财政收入总量</w:t>
            </w:r>
          </w:p>
        </w:tc>
        <w:tc>
          <w:tcPr>
            <w:tcW w:w="1319" w:type="dxa"/>
            <w:noWrap w:val="0"/>
            <w:vAlign w:val="center"/>
          </w:tcPr>
          <w:p w14:paraId="0549AC3B">
            <w:pPr>
              <w:keepNext w:val="0"/>
              <w:keepLines w:val="0"/>
              <w:widowControl/>
              <w:suppressLineNumbers w:val="0"/>
              <w:jc w:val="center"/>
              <w:textAlignment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≧2400万元</w:t>
            </w:r>
          </w:p>
        </w:tc>
        <w:tc>
          <w:tcPr>
            <w:tcW w:w="1259" w:type="dxa"/>
            <w:noWrap w:val="0"/>
            <w:vAlign w:val="center"/>
          </w:tcPr>
          <w:p w14:paraId="5148CE35">
            <w:pPr>
              <w:keepNext w:val="0"/>
              <w:keepLines w:val="0"/>
              <w:widowControl/>
              <w:suppressLineNumbers w:val="0"/>
              <w:jc w:val="center"/>
              <w:textAlignment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2435.7万元</w:t>
            </w:r>
          </w:p>
        </w:tc>
        <w:tc>
          <w:tcPr>
            <w:tcW w:w="719" w:type="dxa"/>
            <w:noWrap w:val="0"/>
            <w:vAlign w:val="center"/>
          </w:tcPr>
          <w:p w14:paraId="1649B16C">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0C7E105D">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2437AC6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4584AA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 w:hRule="atLeast"/>
        </w:trPr>
        <w:tc>
          <w:tcPr>
            <w:tcW w:w="1084" w:type="dxa"/>
            <w:vMerge w:val="continue"/>
            <w:tcBorders>
              <w:top w:val="nil"/>
              <w:bottom w:val="nil"/>
            </w:tcBorders>
            <w:noWrap w:val="0"/>
            <w:textDirection w:val="tbRlV"/>
            <w:vAlign w:val="top"/>
          </w:tcPr>
          <w:p w14:paraId="47D123C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45C884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202C992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3DAB6DDD">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税收收入</w:t>
            </w:r>
          </w:p>
        </w:tc>
        <w:tc>
          <w:tcPr>
            <w:tcW w:w="1319" w:type="dxa"/>
            <w:noWrap w:val="0"/>
            <w:vAlign w:val="center"/>
          </w:tcPr>
          <w:p w14:paraId="5FA9942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≧6624万元</w:t>
            </w:r>
          </w:p>
        </w:tc>
        <w:tc>
          <w:tcPr>
            <w:tcW w:w="1259" w:type="dxa"/>
            <w:noWrap w:val="0"/>
            <w:vAlign w:val="center"/>
          </w:tcPr>
          <w:p w14:paraId="514F426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7308万元</w:t>
            </w:r>
          </w:p>
        </w:tc>
        <w:tc>
          <w:tcPr>
            <w:tcW w:w="719" w:type="dxa"/>
            <w:noWrap w:val="0"/>
            <w:vAlign w:val="center"/>
          </w:tcPr>
          <w:p w14:paraId="0AC903A8">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7299234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4BA1F77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403CE4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2" w:hRule="atLeast"/>
        </w:trPr>
        <w:tc>
          <w:tcPr>
            <w:tcW w:w="1084" w:type="dxa"/>
            <w:vMerge w:val="continue"/>
            <w:tcBorders>
              <w:top w:val="nil"/>
              <w:bottom w:val="nil"/>
            </w:tcBorders>
            <w:noWrap w:val="0"/>
            <w:textDirection w:val="tbRlV"/>
            <w:vAlign w:val="top"/>
          </w:tcPr>
          <w:p w14:paraId="0741A2F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0CD6D5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FE769F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1D71E01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环境整治（卫生、市容、市貌）</w:t>
            </w:r>
          </w:p>
        </w:tc>
        <w:tc>
          <w:tcPr>
            <w:tcW w:w="1319" w:type="dxa"/>
            <w:noWrap w:val="0"/>
            <w:vAlign w:val="center"/>
          </w:tcPr>
          <w:p w14:paraId="4985903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开展环境卫生大扫除≧150次，清理清运各类垃圾、杂物≧5000吨</w:t>
            </w:r>
          </w:p>
        </w:tc>
        <w:tc>
          <w:tcPr>
            <w:tcW w:w="1259" w:type="dxa"/>
            <w:noWrap w:val="0"/>
            <w:vAlign w:val="center"/>
          </w:tcPr>
          <w:p w14:paraId="6CF8571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开展环境卫生大扫除230次，累计清理清运各类垃圾、杂物8600余吨</w:t>
            </w:r>
          </w:p>
        </w:tc>
        <w:tc>
          <w:tcPr>
            <w:tcW w:w="719" w:type="dxa"/>
            <w:noWrap w:val="0"/>
            <w:vAlign w:val="center"/>
          </w:tcPr>
          <w:p w14:paraId="58A409A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54BA8BA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1510F1DB">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60A36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2" w:hRule="atLeast"/>
        </w:trPr>
        <w:tc>
          <w:tcPr>
            <w:tcW w:w="1084" w:type="dxa"/>
            <w:vMerge w:val="continue"/>
            <w:tcBorders>
              <w:top w:val="nil"/>
              <w:bottom w:val="nil"/>
            </w:tcBorders>
            <w:noWrap w:val="0"/>
            <w:textDirection w:val="tbRlV"/>
            <w:vAlign w:val="top"/>
          </w:tcPr>
          <w:p w14:paraId="5FDA30C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56FB0C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57CA99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64FA3676">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党员学习</w:t>
            </w:r>
          </w:p>
        </w:tc>
        <w:tc>
          <w:tcPr>
            <w:tcW w:w="1319" w:type="dxa"/>
            <w:noWrap w:val="0"/>
            <w:vAlign w:val="center"/>
          </w:tcPr>
          <w:p w14:paraId="5ED2B549">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开展党员学习≧30次</w:t>
            </w:r>
          </w:p>
        </w:tc>
        <w:tc>
          <w:tcPr>
            <w:tcW w:w="1259" w:type="dxa"/>
            <w:noWrap w:val="0"/>
            <w:vAlign w:val="center"/>
          </w:tcPr>
          <w:p w14:paraId="033843E6">
            <w:pPr>
              <w:keepNext w:val="0"/>
              <w:keepLines w:val="0"/>
              <w:widowControl/>
              <w:suppressLineNumbers w:val="0"/>
              <w:jc w:val="center"/>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开展理论中心组学习14次，法纪教育活动2次，党员集体学习35次</w:t>
            </w:r>
          </w:p>
        </w:tc>
        <w:tc>
          <w:tcPr>
            <w:tcW w:w="719" w:type="dxa"/>
            <w:noWrap w:val="0"/>
            <w:vAlign w:val="center"/>
          </w:tcPr>
          <w:p w14:paraId="1F60DC87">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240EDE61">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205F45F2">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1E28E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2" w:hRule="atLeast"/>
        </w:trPr>
        <w:tc>
          <w:tcPr>
            <w:tcW w:w="1084" w:type="dxa"/>
            <w:vMerge w:val="continue"/>
            <w:tcBorders>
              <w:top w:val="nil"/>
              <w:bottom w:val="nil"/>
            </w:tcBorders>
            <w:noWrap w:val="0"/>
            <w:textDirection w:val="tbRlV"/>
            <w:vAlign w:val="top"/>
          </w:tcPr>
          <w:p w14:paraId="5B9B50B3">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1E35F5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2650B68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7833D10C">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开展禁建拆违</w:t>
            </w:r>
          </w:p>
        </w:tc>
        <w:tc>
          <w:tcPr>
            <w:tcW w:w="1319" w:type="dxa"/>
            <w:noWrap w:val="0"/>
            <w:vAlign w:val="center"/>
          </w:tcPr>
          <w:p w14:paraId="6C313D7E">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摸排非经营性自建房≧150栋，拆除违建≧300处</w:t>
            </w:r>
          </w:p>
        </w:tc>
        <w:tc>
          <w:tcPr>
            <w:tcW w:w="1259" w:type="dxa"/>
            <w:noWrap w:val="0"/>
            <w:vAlign w:val="center"/>
          </w:tcPr>
          <w:p w14:paraId="67BDCBF5">
            <w:pPr>
              <w:keepNext w:val="0"/>
              <w:keepLines w:val="0"/>
              <w:widowControl/>
              <w:suppressLineNumbers w:val="0"/>
              <w:jc w:val="center"/>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摸排非经营性自建房190栋，自建房屋46栋；全年累计拆除违建80处1.4万平方米，拆除存量违法建设575处1.9万平方米，街道被评为全市禁违治违先进单位</w:t>
            </w:r>
          </w:p>
        </w:tc>
        <w:tc>
          <w:tcPr>
            <w:tcW w:w="719" w:type="dxa"/>
            <w:noWrap w:val="0"/>
            <w:vAlign w:val="center"/>
          </w:tcPr>
          <w:p w14:paraId="71442E08">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2BA7D9D2">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1D233935">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7475B9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9" w:hRule="atLeast"/>
        </w:trPr>
        <w:tc>
          <w:tcPr>
            <w:tcW w:w="1084" w:type="dxa"/>
            <w:vMerge w:val="continue"/>
            <w:tcBorders>
              <w:top w:val="nil"/>
              <w:bottom w:val="nil"/>
            </w:tcBorders>
            <w:noWrap w:val="0"/>
            <w:textDirection w:val="tbRlV"/>
            <w:vAlign w:val="top"/>
          </w:tcPr>
          <w:p w14:paraId="2B61870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136BC0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511ABA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29FB7968">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开展消防演练</w:t>
            </w:r>
          </w:p>
        </w:tc>
        <w:tc>
          <w:tcPr>
            <w:tcW w:w="1319" w:type="dxa"/>
            <w:noWrap w:val="0"/>
            <w:vAlign w:val="center"/>
          </w:tcPr>
          <w:p w14:paraId="2F6FEFAF">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≧3次</w:t>
            </w:r>
          </w:p>
        </w:tc>
        <w:tc>
          <w:tcPr>
            <w:tcW w:w="1259" w:type="dxa"/>
            <w:noWrap w:val="0"/>
            <w:vAlign w:val="center"/>
          </w:tcPr>
          <w:p w14:paraId="32091773">
            <w:pPr>
              <w:keepNext w:val="0"/>
              <w:keepLines w:val="0"/>
              <w:widowControl/>
              <w:suppressLineNumbers w:val="0"/>
              <w:jc w:val="center"/>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3次</w:t>
            </w:r>
          </w:p>
        </w:tc>
        <w:tc>
          <w:tcPr>
            <w:tcW w:w="719" w:type="dxa"/>
            <w:noWrap w:val="0"/>
            <w:vAlign w:val="center"/>
          </w:tcPr>
          <w:p w14:paraId="2BCC58BF">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4846F0D4">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0B2222EF">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2206AE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5" w:hRule="atLeast"/>
        </w:trPr>
        <w:tc>
          <w:tcPr>
            <w:tcW w:w="1084" w:type="dxa"/>
            <w:vMerge w:val="continue"/>
            <w:tcBorders>
              <w:top w:val="nil"/>
              <w:bottom w:val="nil"/>
            </w:tcBorders>
            <w:noWrap w:val="0"/>
            <w:textDirection w:val="tbRlV"/>
            <w:vAlign w:val="top"/>
          </w:tcPr>
          <w:p w14:paraId="1D00842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D94AE3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213126E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7FF9B356">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东茅岭片区旧改</w:t>
            </w:r>
          </w:p>
        </w:tc>
        <w:tc>
          <w:tcPr>
            <w:tcW w:w="1319" w:type="dxa"/>
            <w:noWrap w:val="0"/>
            <w:vAlign w:val="center"/>
          </w:tcPr>
          <w:p w14:paraId="5FC20E81">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总投资≧3800万元，惠及居民≧6000余户</w:t>
            </w:r>
          </w:p>
        </w:tc>
        <w:tc>
          <w:tcPr>
            <w:tcW w:w="1259" w:type="dxa"/>
            <w:noWrap w:val="0"/>
            <w:vAlign w:val="center"/>
          </w:tcPr>
          <w:p w14:paraId="7752AF20">
            <w:pPr>
              <w:keepNext w:val="0"/>
              <w:keepLines w:val="0"/>
              <w:widowControl/>
              <w:suppressLineNumbers w:val="0"/>
              <w:jc w:val="center"/>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总投资3800万元，惠及居民6000余户</w:t>
            </w:r>
          </w:p>
        </w:tc>
        <w:tc>
          <w:tcPr>
            <w:tcW w:w="719" w:type="dxa"/>
            <w:noWrap w:val="0"/>
            <w:vAlign w:val="center"/>
          </w:tcPr>
          <w:p w14:paraId="6E54F199">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39D38E55">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07FD047E">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313E03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5" w:hRule="atLeast"/>
        </w:trPr>
        <w:tc>
          <w:tcPr>
            <w:tcW w:w="1084" w:type="dxa"/>
            <w:vMerge w:val="continue"/>
            <w:tcBorders>
              <w:top w:val="nil"/>
              <w:bottom w:val="nil"/>
            </w:tcBorders>
            <w:noWrap w:val="0"/>
            <w:textDirection w:val="tbRlV"/>
            <w:vAlign w:val="top"/>
          </w:tcPr>
          <w:p w14:paraId="0DC31CC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14BEB9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07FEFE5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21331C2A">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民政救助</w:t>
            </w:r>
          </w:p>
        </w:tc>
        <w:tc>
          <w:tcPr>
            <w:tcW w:w="1319" w:type="dxa"/>
            <w:noWrap w:val="0"/>
            <w:vAlign w:val="center"/>
          </w:tcPr>
          <w:p w14:paraId="78B7F181">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为辖区困难群众申请临时救助≧50人次</w:t>
            </w:r>
          </w:p>
        </w:tc>
        <w:tc>
          <w:tcPr>
            <w:tcW w:w="1259" w:type="dxa"/>
            <w:noWrap w:val="0"/>
            <w:vAlign w:val="center"/>
          </w:tcPr>
          <w:p w14:paraId="75CA8F4A">
            <w:pPr>
              <w:keepNext w:val="0"/>
              <w:keepLines w:val="0"/>
              <w:widowControl/>
              <w:suppressLineNumbers w:val="0"/>
              <w:jc w:val="center"/>
              <w:textAlignment w:val="center"/>
              <w:rPr>
                <w:rFonts w:hint="eastAsia" w:ascii="宋体" w:hAnsi="宋体" w:eastAsia="宋体" w:cs="宋体"/>
                <w:sz w:val="21"/>
                <w:szCs w:val="21"/>
                <w:lang w:val="en-US" w:eastAsia="zh-CN"/>
              </w:rPr>
            </w:pPr>
            <w:r>
              <w:rPr>
                <w:rFonts w:hint="eastAsia" w:ascii="宋体" w:hAnsi="宋体" w:eastAsia="宋体" w:cs="宋体"/>
                <w:i w:val="0"/>
                <w:iCs w:val="0"/>
                <w:color w:val="000000"/>
                <w:kern w:val="0"/>
                <w:sz w:val="21"/>
                <w:szCs w:val="21"/>
                <w:u w:val="none"/>
                <w:lang w:val="en-US" w:eastAsia="zh-CN" w:bidi="ar"/>
              </w:rPr>
              <w:t>63人次</w:t>
            </w:r>
          </w:p>
        </w:tc>
        <w:tc>
          <w:tcPr>
            <w:tcW w:w="719" w:type="dxa"/>
            <w:noWrap w:val="0"/>
            <w:vAlign w:val="center"/>
          </w:tcPr>
          <w:p w14:paraId="3EBF718E">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06AAFD01">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19477E1A">
            <w:pPr>
              <w:keepNext w:val="0"/>
              <w:keepLines w:val="0"/>
              <w:pageBreakBefore w:val="0"/>
              <w:widowControl w:val="0"/>
              <w:kinsoku/>
              <w:wordWrap/>
              <w:overflowPunct/>
              <w:topLinePunct w:val="0"/>
              <w:autoSpaceDE/>
              <w:autoSpaceDN/>
              <w:bidi w:val="0"/>
              <w:adjustRightInd/>
              <w:snapToGrid/>
              <w:spacing w:line="239" w:lineRule="exact"/>
              <w:ind w:left="0" w:leftChars="0"/>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2B3F4A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622208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497992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87E8A3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4A3E150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医保征缴</w:t>
            </w:r>
          </w:p>
        </w:tc>
        <w:tc>
          <w:tcPr>
            <w:tcW w:w="1319" w:type="dxa"/>
            <w:noWrap w:val="0"/>
            <w:vAlign w:val="center"/>
          </w:tcPr>
          <w:p w14:paraId="76425F12">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增加低保户≧50人</w:t>
            </w:r>
          </w:p>
        </w:tc>
        <w:tc>
          <w:tcPr>
            <w:tcW w:w="1259" w:type="dxa"/>
            <w:noWrap w:val="0"/>
            <w:vAlign w:val="center"/>
          </w:tcPr>
          <w:p w14:paraId="0D086DF9">
            <w:pPr>
              <w:keepNext w:val="0"/>
              <w:keepLines w:val="0"/>
              <w:widowControl/>
              <w:suppressLineNumbers w:val="0"/>
              <w:jc w:val="center"/>
              <w:textAlignment w:val="center"/>
              <w:rPr>
                <w:rFonts w:hint="eastAsia" w:ascii="宋体" w:hAnsi="宋体" w:eastAsia="宋体" w:cs="宋体"/>
                <w:kern w:val="2"/>
                <w:sz w:val="21"/>
                <w:szCs w:val="21"/>
                <w:lang w:val="en-US" w:eastAsia="zh-CN" w:bidi="ar-SA"/>
              </w:rPr>
            </w:pPr>
            <w:r>
              <w:rPr>
                <w:rFonts w:hint="eastAsia" w:ascii="宋体" w:hAnsi="宋体" w:eastAsia="宋体" w:cs="宋体"/>
                <w:i w:val="0"/>
                <w:iCs w:val="0"/>
                <w:color w:val="000000"/>
                <w:kern w:val="0"/>
                <w:sz w:val="21"/>
                <w:szCs w:val="21"/>
                <w:u w:val="none"/>
                <w:lang w:val="en-US" w:eastAsia="zh-CN" w:bidi="ar"/>
              </w:rPr>
              <w:t>57人</w:t>
            </w:r>
          </w:p>
        </w:tc>
        <w:tc>
          <w:tcPr>
            <w:tcW w:w="719" w:type="dxa"/>
            <w:noWrap w:val="0"/>
            <w:vAlign w:val="center"/>
          </w:tcPr>
          <w:p w14:paraId="44E1E40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6CEE00E6">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6040C119">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4C55F7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6E811D5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8E98D9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3C58474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419721A8">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办理退役军人对象登记和优待卡</w:t>
            </w:r>
          </w:p>
        </w:tc>
        <w:tc>
          <w:tcPr>
            <w:tcW w:w="1319" w:type="dxa"/>
            <w:noWrap w:val="0"/>
            <w:vAlign w:val="center"/>
          </w:tcPr>
          <w:p w14:paraId="09F04DBF">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≧800人次</w:t>
            </w:r>
          </w:p>
        </w:tc>
        <w:tc>
          <w:tcPr>
            <w:tcW w:w="1259" w:type="dxa"/>
            <w:noWrap w:val="0"/>
            <w:vAlign w:val="center"/>
          </w:tcPr>
          <w:p w14:paraId="504EE65E">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889人次</w:t>
            </w:r>
          </w:p>
        </w:tc>
        <w:tc>
          <w:tcPr>
            <w:tcW w:w="719" w:type="dxa"/>
            <w:noWrap w:val="0"/>
            <w:vAlign w:val="center"/>
          </w:tcPr>
          <w:p w14:paraId="15510CB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73C9C45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507437D2">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3AFC91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0F0AC3C1">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D0E0E4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4F79E93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34FD5EFB">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疫情防控排查数据</w:t>
            </w:r>
          </w:p>
        </w:tc>
        <w:tc>
          <w:tcPr>
            <w:tcW w:w="1319" w:type="dxa"/>
            <w:noWrap w:val="0"/>
            <w:vAlign w:val="center"/>
          </w:tcPr>
          <w:p w14:paraId="14A1AC7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≧4万条</w:t>
            </w:r>
          </w:p>
        </w:tc>
        <w:tc>
          <w:tcPr>
            <w:tcW w:w="1259" w:type="dxa"/>
            <w:noWrap w:val="0"/>
            <w:vAlign w:val="center"/>
          </w:tcPr>
          <w:p w14:paraId="554B581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5万余条</w:t>
            </w:r>
          </w:p>
        </w:tc>
        <w:tc>
          <w:tcPr>
            <w:tcW w:w="719" w:type="dxa"/>
            <w:noWrap w:val="0"/>
            <w:vAlign w:val="center"/>
          </w:tcPr>
          <w:p w14:paraId="4365725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2E17B34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169F476F">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24005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2FF5063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CE014E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6BE8F4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3370651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公共财政支出进度</w:t>
            </w:r>
          </w:p>
        </w:tc>
        <w:tc>
          <w:tcPr>
            <w:tcW w:w="1319" w:type="dxa"/>
            <w:noWrap w:val="0"/>
            <w:vAlign w:val="center"/>
          </w:tcPr>
          <w:p w14:paraId="313C9187">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1259" w:type="dxa"/>
            <w:noWrap w:val="0"/>
            <w:vAlign w:val="center"/>
          </w:tcPr>
          <w:p w14:paraId="3096BF4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719" w:type="dxa"/>
            <w:noWrap w:val="0"/>
            <w:vAlign w:val="center"/>
          </w:tcPr>
          <w:p w14:paraId="7FE37C5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455ECFEE">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5662B50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12A510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628FEE6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8A78C9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100D30C">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76685DE9">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财政收入增速</w:t>
            </w:r>
          </w:p>
        </w:tc>
        <w:tc>
          <w:tcPr>
            <w:tcW w:w="1319" w:type="dxa"/>
            <w:noWrap w:val="0"/>
            <w:vAlign w:val="center"/>
          </w:tcPr>
          <w:p w14:paraId="3B14901E">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高于财政收入增速</w:t>
            </w:r>
          </w:p>
        </w:tc>
        <w:tc>
          <w:tcPr>
            <w:tcW w:w="1259" w:type="dxa"/>
            <w:noWrap w:val="0"/>
            <w:vAlign w:val="center"/>
          </w:tcPr>
          <w:p w14:paraId="5A102E45">
            <w:pPr>
              <w:keepNext w:val="0"/>
              <w:keepLines w:val="0"/>
              <w:widowControl/>
              <w:suppressLineNumbers w:val="0"/>
              <w:jc w:val="center"/>
              <w:textAlignment w:val="center"/>
              <w:rPr>
                <w:rFonts w:hint="eastAsia" w:ascii="宋体" w:hAnsi="宋体" w:eastAsia="宋体" w:cs="宋体"/>
                <w:color w:val="000000" w:themeColor="text1"/>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w:t>
            </w:r>
          </w:p>
        </w:tc>
        <w:tc>
          <w:tcPr>
            <w:tcW w:w="719" w:type="dxa"/>
            <w:noWrap w:val="0"/>
            <w:vAlign w:val="center"/>
          </w:tcPr>
          <w:p w14:paraId="1B636B1F">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3CDD41A9">
            <w:pPr>
              <w:keepNext w:val="0"/>
              <w:keepLines w:val="0"/>
              <w:widowControl/>
              <w:suppressLineNumbers w:val="0"/>
              <w:jc w:val="center"/>
              <w:textAlignment w:val="center"/>
              <w:rPr>
                <w:rFonts w:hint="eastAsia" w:ascii="宋体" w:hAnsi="宋体" w:eastAsia="宋体" w:cs="宋体"/>
                <w:color w:val="000000" w:themeColor="text1"/>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5433DE8A">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54977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14:paraId="6373CF49">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67ACF9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64452C1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27B333E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困难居民低保金发放率</w:t>
            </w:r>
          </w:p>
        </w:tc>
        <w:tc>
          <w:tcPr>
            <w:tcW w:w="1319" w:type="dxa"/>
            <w:noWrap w:val="0"/>
            <w:vAlign w:val="center"/>
          </w:tcPr>
          <w:p w14:paraId="6295F79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1259" w:type="dxa"/>
            <w:noWrap w:val="0"/>
            <w:vAlign w:val="center"/>
          </w:tcPr>
          <w:p w14:paraId="6EFBA0B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719" w:type="dxa"/>
            <w:noWrap w:val="0"/>
            <w:vAlign w:val="center"/>
          </w:tcPr>
          <w:p w14:paraId="5F2FD6A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22F5F7F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6B4391B7">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66C642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14:paraId="036B9B8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98253E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12F4CEF1">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038A572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完成城镇居民医保征缴率</w:t>
            </w:r>
          </w:p>
        </w:tc>
        <w:tc>
          <w:tcPr>
            <w:tcW w:w="1319" w:type="dxa"/>
            <w:noWrap w:val="0"/>
            <w:vAlign w:val="center"/>
          </w:tcPr>
          <w:p w14:paraId="30BB330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1259" w:type="dxa"/>
            <w:noWrap w:val="0"/>
            <w:vAlign w:val="center"/>
          </w:tcPr>
          <w:p w14:paraId="0E06849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102%</w:t>
            </w:r>
          </w:p>
        </w:tc>
        <w:tc>
          <w:tcPr>
            <w:tcW w:w="719" w:type="dxa"/>
            <w:noWrap w:val="0"/>
            <w:vAlign w:val="center"/>
          </w:tcPr>
          <w:p w14:paraId="6AC4805D">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538DABC7">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0678A464">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076E4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00C0570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402B954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72773D3A">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117FF9E6">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预决算信息公开</w:t>
            </w:r>
          </w:p>
        </w:tc>
        <w:tc>
          <w:tcPr>
            <w:tcW w:w="1319" w:type="dxa"/>
            <w:noWrap w:val="0"/>
            <w:vAlign w:val="center"/>
          </w:tcPr>
          <w:p w14:paraId="5E6387C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及时</w:t>
            </w:r>
          </w:p>
        </w:tc>
        <w:tc>
          <w:tcPr>
            <w:tcW w:w="1259" w:type="dxa"/>
            <w:noWrap w:val="0"/>
            <w:vAlign w:val="center"/>
          </w:tcPr>
          <w:p w14:paraId="377CCC0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及时</w:t>
            </w:r>
          </w:p>
        </w:tc>
        <w:tc>
          <w:tcPr>
            <w:tcW w:w="719" w:type="dxa"/>
            <w:noWrap w:val="0"/>
            <w:vAlign w:val="center"/>
          </w:tcPr>
          <w:p w14:paraId="20A2A58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0ECF78A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4D4514B3">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0754B0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084" w:type="dxa"/>
            <w:vMerge w:val="continue"/>
            <w:tcBorders>
              <w:top w:val="nil"/>
              <w:bottom w:val="nil"/>
            </w:tcBorders>
            <w:noWrap w:val="0"/>
            <w:textDirection w:val="tbRlV"/>
            <w:vAlign w:val="top"/>
          </w:tcPr>
          <w:p w14:paraId="3843D55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C50CA1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24485E9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713FA73F">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群众投诉处理</w:t>
            </w:r>
          </w:p>
        </w:tc>
        <w:tc>
          <w:tcPr>
            <w:tcW w:w="1319" w:type="dxa"/>
            <w:noWrap w:val="0"/>
            <w:vAlign w:val="center"/>
          </w:tcPr>
          <w:p w14:paraId="3033357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及时</w:t>
            </w:r>
          </w:p>
        </w:tc>
        <w:tc>
          <w:tcPr>
            <w:tcW w:w="1259" w:type="dxa"/>
            <w:noWrap w:val="0"/>
            <w:vAlign w:val="center"/>
          </w:tcPr>
          <w:p w14:paraId="3B8387F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及时</w:t>
            </w:r>
          </w:p>
        </w:tc>
        <w:tc>
          <w:tcPr>
            <w:tcW w:w="719" w:type="dxa"/>
            <w:noWrap w:val="0"/>
            <w:vAlign w:val="center"/>
          </w:tcPr>
          <w:p w14:paraId="5666D89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24F7322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1A8110E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48C41A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5E85892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C84549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153943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4F0A4A9F">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工资发放及时率</w:t>
            </w:r>
          </w:p>
        </w:tc>
        <w:tc>
          <w:tcPr>
            <w:tcW w:w="1319" w:type="dxa"/>
            <w:noWrap w:val="0"/>
            <w:vAlign w:val="center"/>
          </w:tcPr>
          <w:p w14:paraId="6C400A1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每月15日前足额发放</w:t>
            </w:r>
          </w:p>
        </w:tc>
        <w:tc>
          <w:tcPr>
            <w:tcW w:w="1259" w:type="dxa"/>
            <w:noWrap w:val="0"/>
            <w:vAlign w:val="center"/>
          </w:tcPr>
          <w:p w14:paraId="233631D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定时</w:t>
            </w:r>
          </w:p>
        </w:tc>
        <w:tc>
          <w:tcPr>
            <w:tcW w:w="719" w:type="dxa"/>
            <w:noWrap w:val="0"/>
            <w:vAlign w:val="center"/>
          </w:tcPr>
          <w:p w14:paraId="7459296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802" w:type="dxa"/>
            <w:noWrap w:val="0"/>
            <w:vAlign w:val="center"/>
          </w:tcPr>
          <w:p w14:paraId="2CA606D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716CB71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23CB51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11BD796A">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19A30F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078EC78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07AF661B">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本单位财政供养人数</w:t>
            </w:r>
          </w:p>
        </w:tc>
        <w:tc>
          <w:tcPr>
            <w:tcW w:w="1319" w:type="dxa"/>
            <w:noWrap w:val="0"/>
            <w:vAlign w:val="center"/>
          </w:tcPr>
          <w:p w14:paraId="01BAA957">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≧60人</w:t>
            </w:r>
          </w:p>
        </w:tc>
        <w:tc>
          <w:tcPr>
            <w:tcW w:w="1259" w:type="dxa"/>
            <w:noWrap w:val="0"/>
            <w:vAlign w:val="center"/>
          </w:tcPr>
          <w:p w14:paraId="47C522CD">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≧60人</w:t>
            </w:r>
          </w:p>
        </w:tc>
        <w:tc>
          <w:tcPr>
            <w:tcW w:w="719" w:type="dxa"/>
            <w:noWrap w:val="0"/>
            <w:vAlign w:val="center"/>
          </w:tcPr>
          <w:p w14:paraId="0F84A0A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2B8C26F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4AB0462E">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29F418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1084" w:type="dxa"/>
            <w:vMerge w:val="continue"/>
            <w:tcBorders>
              <w:top w:val="nil"/>
              <w:bottom w:val="nil"/>
            </w:tcBorders>
            <w:noWrap w:val="0"/>
            <w:textDirection w:val="tbRlV"/>
            <w:vAlign w:val="top"/>
          </w:tcPr>
          <w:p w14:paraId="5C47AA1D">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C6D6B6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059C41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2FF9A92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固定资产投资</w:t>
            </w:r>
          </w:p>
        </w:tc>
        <w:tc>
          <w:tcPr>
            <w:tcW w:w="1319" w:type="dxa"/>
            <w:noWrap w:val="0"/>
            <w:vAlign w:val="center"/>
          </w:tcPr>
          <w:p w14:paraId="5259C1BC">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≧6亿元</w:t>
            </w:r>
          </w:p>
        </w:tc>
        <w:tc>
          <w:tcPr>
            <w:tcW w:w="1259" w:type="dxa"/>
            <w:noWrap w:val="0"/>
            <w:vAlign w:val="center"/>
          </w:tcPr>
          <w:p w14:paraId="4BF35681">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6.37亿元</w:t>
            </w:r>
          </w:p>
        </w:tc>
        <w:tc>
          <w:tcPr>
            <w:tcW w:w="719" w:type="dxa"/>
            <w:noWrap w:val="0"/>
            <w:vAlign w:val="center"/>
          </w:tcPr>
          <w:p w14:paraId="2E8767DD">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3F4684EF">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63260D32">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5B9329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48ED8E7D">
            <w:pPr>
              <w:rPr>
                <w:rFonts w:ascii="Arial"/>
                <w:color w:val="000000" w:themeColor="text1"/>
                <w:sz w:val="21"/>
                <w14:textFill>
                  <w14:solidFill>
                    <w14:schemeClr w14:val="tx1"/>
                  </w14:solidFill>
                </w14:textFill>
              </w:rPr>
            </w:pPr>
          </w:p>
        </w:tc>
        <w:tc>
          <w:tcPr>
            <w:tcW w:w="1079" w:type="dxa"/>
            <w:vMerge w:val="continue"/>
            <w:tcBorders>
              <w:top w:val="nil"/>
            </w:tcBorders>
            <w:noWrap w:val="0"/>
            <w:vAlign w:val="center"/>
          </w:tcPr>
          <w:p w14:paraId="5A7BB44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73189CA2">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22628F4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行政成本控制</w:t>
            </w:r>
          </w:p>
        </w:tc>
        <w:tc>
          <w:tcPr>
            <w:tcW w:w="1319" w:type="dxa"/>
            <w:noWrap w:val="0"/>
            <w:vAlign w:val="center"/>
          </w:tcPr>
          <w:p w14:paraId="7A2D189D">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“三公”经费同比下降</w:t>
            </w:r>
          </w:p>
        </w:tc>
        <w:tc>
          <w:tcPr>
            <w:tcW w:w="1259" w:type="dxa"/>
            <w:noWrap w:val="0"/>
            <w:vAlign w:val="center"/>
          </w:tcPr>
          <w:p w14:paraId="600D1F48">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下降42.88%</w:t>
            </w:r>
          </w:p>
        </w:tc>
        <w:tc>
          <w:tcPr>
            <w:tcW w:w="719" w:type="dxa"/>
            <w:noWrap w:val="0"/>
            <w:vAlign w:val="center"/>
          </w:tcPr>
          <w:p w14:paraId="21253B36">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802" w:type="dxa"/>
            <w:noWrap w:val="0"/>
            <w:vAlign w:val="center"/>
          </w:tcPr>
          <w:p w14:paraId="7F214A5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2</w:t>
            </w:r>
          </w:p>
        </w:tc>
        <w:tc>
          <w:tcPr>
            <w:tcW w:w="1275" w:type="dxa"/>
            <w:noWrap w:val="0"/>
            <w:vAlign w:val="center"/>
          </w:tcPr>
          <w:p w14:paraId="30C79956">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1077FE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01FB6E14">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B4961D4">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5299E2C3">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201EFAB1">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2E8BFA7A">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40F723AF">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3F7DEA2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tcBorders>
              <w:bottom w:val="nil"/>
            </w:tcBorders>
            <w:noWrap w:val="0"/>
            <w:vAlign w:val="center"/>
          </w:tcPr>
          <w:p w14:paraId="74604E74">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经济效</w:t>
            </w:r>
          </w:p>
          <w:p w14:paraId="3B3AE7C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103E9DA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提高居民人均收入</w:t>
            </w:r>
          </w:p>
        </w:tc>
        <w:tc>
          <w:tcPr>
            <w:tcW w:w="1319" w:type="dxa"/>
            <w:noWrap w:val="0"/>
            <w:vAlign w:val="center"/>
          </w:tcPr>
          <w:p w14:paraId="496FBB7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显著提高</w:t>
            </w:r>
          </w:p>
        </w:tc>
        <w:tc>
          <w:tcPr>
            <w:tcW w:w="1259" w:type="dxa"/>
            <w:noWrap w:val="0"/>
            <w:vAlign w:val="center"/>
          </w:tcPr>
          <w:p w14:paraId="4348595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显著提高</w:t>
            </w:r>
          </w:p>
        </w:tc>
        <w:tc>
          <w:tcPr>
            <w:tcW w:w="719" w:type="dxa"/>
            <w:noWrap w:val="0"/>
            <w:vAlign w:val="center"/>
          </w:tcPr>
          <w:p w14:paraId="2C9EEF6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noWrap w:val="0"/>
            <w:vAlign w:val="center"/>
          </w:tcPr>
          <w:p w14:paraId="14B1859C">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1275" w:type="dxa"/>
            <w:noWrap w:val="0"/>
            <w:vAlign w:val="center"/>
          </w:tcPr>
          <w:p w14:paraId="69FAA669">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tc>
      </w:tr>
      <w:tr w14:paraId="0A979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84" w:type="dxa"/>
            <w:vMerge w:val="continue"/>
            <w:tcBorders>
              <w:top w:val="nil"/>
              <w:bottom w:val="nil"/>
            </w:tcBorders>
            <w:noWrap w:val="0"/>
            <w:textDirection w:val="tbRlV"/>
            <w:vAlign w:val="top"/>
          </w:tcPr>
          <w:p w14:paraId="39A42F87">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C3C504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8865444">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社会效</w:t>
            </w:r>
          </w:p>
          <w:p w14:paraId="7F2FF9CE">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62995BB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促进社会就业</w:t>
            </w:r>
          </w:p>
        </w:tc>
        <w:tc>
          <w:tcPr>
            <w:tcW w:w="1319" w:type="dxa"/>
            <w:noWrap w:val="0"/>
            <w:vAlign w:val="center"/>
          </w:tcPr>
          <w:p w14:paraId="759564ED">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就业人数增加</w:t>
            </w:r>
          </w:p>
        </w:tc>
        <w:tc>
          <w:tcPr>
            <w:tcW w:w="1259" w:type="dxa"/>
            <w:noWrap w:val="0"/>
            <w:vAlign w:val="center"/>
          </w:tcPr>
          <w:p w14:paraId="5C20C4E9">
            <w:pPr>
              <w:keepNext w:val="0"/>
              <w:keepLines w:val="0"/>
              <w:widowControl/>
              <w:suppressLineNumbers w:val="0"/>
              <w:jc w:val="center"/>
              <w:textAlignment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就业人数增加</w:t>
            </w:r>
          </w:p>
        </w:tc>
        <w:tc>
          <w:tcPr>
            <w:tcW w:w="719" w:type="dxa"/>
            <w:noWrap w:val="0"/>
            <w:vAlign w:val="center"/>
          </w:tcPr>
          <w:p w14:paraId="3997EC17">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noWrap w:val="0"/>
            <w:vAlign w:val="center"/>
          </w:tcPr>
          <w:p w14:paraId="56C7E80E">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w:t>
            </w:r>
          </w:p>
        </w:tc>
        <w:tc>
          <w:tcPr>
            <w:tcW w:w="1275" w:type="dxa"/>
            <w:noWrap w:val="0"/>
            <w:vAlign w:val="center"/>
          </w:tcPr>
          <w:p w14:paraId="2A61E2E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46EDB8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1084" w:type="dxa"/>
            <w:vMerge w:val="continue"/>
            <w:tcBorders>
              <w:top w:val="nil"/>
              <w:bottom w:val="nil"/>
            </w:tcBorders>
            <w:noWrap w:val="0"/>
            <w:textDirection w:val="tbRlV"/>
            <w:vAlign w:val="top"/>
          </w:tcPr>
          <w:p w14:paraId="0BEC8AF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AEBA04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30A9152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3788D35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促进社会治安稳定</w:t>
            </w:r>
          </w:p>
        </w:tc>
        <w:tc>
          <w:tcPr>
            <w:tcW w:w="1319" w:type="dxa"/>
            <w:noWrap w:val="0"/>
            <w:vAlign w:val="center"/>
          </w:tcPr>
          <w:p w14:paraId="5361C33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显著促进</w:t>
            </w:r>
          </w:p>
        </w:tc>
        <w:tc>
          <w:tcPr>
            <w:tcW w:w="1259" w:type="dxa"/>
            <w:noWrap w:val="0"/>
            <w:vAlign w:val="center"/>
          </w:tcPr>
          <w:p w14:paraId="095411E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显著促进</w:t>
            </w:r>
          </w:p>
        </w:tc>
        <w:tc>
          <w:tcPr>
            <w:tcW w:w="719" w:type="dxa"/>
            <w:noWrap w:val="0"/>
            <w:vAlign w:val="center"/>
          </w:tcPr>
          <w:p w14:paraId="3F6880B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noWrap w:val="0"/>
            <w:vAlign w:val="center"/>
          </w:tcPr>
          <w:p w14:paraId="6A8C318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1275" w:type="dxa"/>
            <w:noWrap w:val="0"/>
            <w:vAlign w:val="center"/>
          </w:tcPr>
          <w:p w14:paraId="7A1B9F5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2C731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4" w:hRule="atLeast"/>
        </w:trPr>
        <w:tc>
          <w:tcPr>
            <w:tcW w:w="1084" w:type="dxa"/>
            <w:vMerge w:val="continue"/>
            <w:tcBorders>
              <w:top w:val="nil"/>
              <w:bottom w:val="nil"/>
            </w:tcBorders>
            <w:noWrap w:val="0"/>
            <w:textDirection w:val="tbRlV"/>
            <w:vAlign w:val="top"/>
          </w:tcPr>
          <w:p w14:paraId="00920DFE">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54B2E7D">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2A982E5">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生态效</w:t>
            </w:r>
          </w:p>
          <w:p w14:paraId="09A107E6">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58767ABB">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节能降耗</w:t>
            </w:r>
          </w:p>
        </w:tc>
        <w:tc>
          <w:tcPr>
            <w:tcW w:w="1319" w:type="dxa"/>
            <w:noWrap w:val="0"/>
            <w:vAlign w:val="center"/>
          </w:tcPr>
          <w:p w14:paraId="0C7D869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人均用水用电同比下降</w:t>
            </w:r>
          </w:p>
        </w:tc>
        <w:tc>
          <w:tcPr>
            <w:tcW w:w="1259" w:type="dxa"/>
            <w:noWrap w:val="0"/>
            <w:vAlign w:val="center"/>
          </w:tcPr>
          <w:p w14:paraId="241B2DD1">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上升54.31%</w:t>
            </w:r>
          </w:p>
        </w:tc>
        <w:tc>
          <w:tcPr>
            <w:tcW w:w="719" w:type="dxa"/>
            <w:noWrap w:val="0"/>
            <w:vAlign w:val="center"/>
          </w:tcPr>
          <w:p w14:paraId="30855CA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noWrap w:val="0"/>
            <w:vAlign w:val="center"/>
          </w:tcPr>
          <w:p w14:paraId="3D10716E">
            <w:pPr>
              <w:keepNext w:val="0"/>
              <w:keepLines w:val="0"/>
              <w:widowControl/>
              <w:suppressLineNumbers w:val="0"/>
              <w:jc w:val="center"/>
              <w:textAlignment w:val="center"/>
              <w:rPr>
                <w:rFonts w:hint="default"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2</w:t>
            </w:r>
          </w:p>
        </w:tc>
        <w:tc>
          <w:tcPr>
            <w:tcW w:w="1275" w:type="dxa"/>
            <w:noWrap w:val="0"/>
            <w:vAlign w:val="center"/>
          </w:tcPr>
          <w:p w14:paraId="540D0BA4">
            <w:pPr>
              <w:keepNext w:val="0"/>
              <w:keepLines w:val="0"/>
              <w:widowControl/>
              <w:suppressLineNumbers w:val="0"/>
              <w:jc w:val="center"/>
              <w:textAlignment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人均用水用电同比上升，厉行节约</w:t>
            </w:r>
          </w:p>
        </w:tc>
      </w:tr>
      <w:tr w14:paraId="414844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1084" w:type="dxa"/>
            <w:vMerge w:val="continue"/>
            <w:tcBorders>
              <w:top w:val="nil"/>
              <w:bottom w:val="nil"/>
            </w:tcBorders>
            <w:noWrap w:val="0"/>
            <w:textDirection w:val="tbRlV"/>
            <w:vAlign w:val="top"/>
          </w:tcPr>
          <w:p w14:paraId="08AF885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A50119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6A087CB0">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75CCB7B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环境质量提升</w:t>
            </w:r>
          </w:p>
        </w:tc>
        <w:tc>
          <w:tcPr>
            <w:tcW w:w="1319" w:type="dxa"/>
            <w:noWrap w:val="0"/>
            <w:vAlign w:val="center"/>
          </w:tcPr>
          <w:p w14:paraId="359D434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应清理的垃圾全面清理完毕</w:t>
            </w:r>
          </w:p>
        </w:tc>
        <w:tc>
          <w:tcPr>
            <w:tcW w:w="1259" w:type="dxa"/>
            <w:noWrap w:val="0"/>
            <w:vAlign w:val="center"/>
          </w:tcPr>
          <w:p w14:paraId="47FC039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应清理的垃圾已全面清理完毕</w:t>
            </w:r>
          </w:p>
        </w:tc>
        <w:tc>
          <w:tcPr>
            <w:tcW w:w="719" w:type="dxa"/>
            <w:noWrap w:val="0"/>
            <w:vAlign w:val="center"/>
          </w:tcPr>
          <w:p w14:paraId="0888C7D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802" w:type="dxa"/>
            <w:noWrap w:val="0"/>
            <w:vAlign w:val="center"/>
          </w:tcPr>
          <w:p w14:paraId="3774520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4</w:t>
            </w:r>
          </w:p>
        </w:tc>
        <w:tc>
          <w:tcPr>
            <w:tcW w:w="1275" w:type="dxa"/>
            <w:noWrap w:val="0"/>
            <w:vAlign w:val="center"/>
          </w:tcPr>
          <w:p w14:paraId="58917C13">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29748A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1084" w:type="dxa"/>
            <w:vMerge w:val="continue"/>
            <w:tcBorders>
              <w:top w:val="nil"/>
              <w:bottom w:val="nil"/>
            </w:tcBorders>
            <w:noWrap w:val="0"/>
            <w:textDirection w:val="tbRlV"/>
            <w:vAlign w:val="top"/>
          </w:tcPr>
          <w:p w14:paraId="01722635">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05267CA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126907C7">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可持续影</w:t>
            </w:r>
          </w:p>
          <w:p w14:paraId="4D586A6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5EF1B64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稳抓社会治理</w:t>
            </w:r>
          </w:p>
        </w:tc>
        <w:tc>
          <w:tcPr>
            <w:tcW w:w="1319" w:type="dxa"/>
            <w:noWrap w:val="0"/>
            <w:vAlign w:val="center"/>
          </w:tcPr>
          <w:p w14:paraId="25C18D4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持续推进</w:t>
            </w:r>
          </w:p>
        </w:tc>
        <w:tc>
          <w:tcPr>
            <w:tcW w:w="1259" w:type="dxa"/>
            <w:noWrap w:val="0"/>
            <w:vAlign w:val="center"/>
          </w:tcPr>
          <w:p w14:paraId="33AADD04">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持续推进</w:t>
            </w:r>
          </w:p>
        </w:tc>
        <w:tc>
          <w:tcPr>
            <w:tcW w:w="719" w:type="dxa"/>
            <w:noWrap w:val="0"/>
            <w:vAlign w:val="center"/>
          </w:tcPr>
          <w:p w14:paraId="12EEFD7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noWrap w:val="0"/>
            <w:vAlign w:val="center"/>
          </w:tcPr>
          <w:p w14:paraId="068C212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noWrap w:val="0"/>
            <w:vAlign w:val="center"/>
          </w:tcPr>
          <w:p w14:paraId="5E477284">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689D28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084" w:type="dxa"/>
            <w:vMerge w:val="continue"/>
            <w:tcBorders>
              <w:top w:val="nil"/>
              <w:bottom w:val="nil"/>
            </w:tcBorders>
            <w:noWrap w:val="0"/>
            <w:textDirection w:val="tbRlV"/>
            <w:vAlign w:val="top"/>
          </w:tcPr>
          <w:p w14:paraId="58C47C0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D120AD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3FAA724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c>
          <w:tcPr>
            <w:tcW w:w="1269" w:type="dxa"/>
            <w:noWrap w:val="0"/>
            <w:vAlign w:val="center"/>
          </w:tcPr>
          <w:p w14:paraId="5A39CCBE">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提升民生服务</w:t>
            </w:r>
          </w:p>
        </w:tc>
        <w:tc>
          <w:tcPr>
            <w:tcW w:w="1319" w:type="dxa"/>
            <w:noWrap w:val="0"/>
            <w:vAlign w:val="center"/>
          </w:tcPr>
          <w:p w14:paraId="3358741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持续推进</w:t>
            </w:r>
          </w:p>
        </w:tc>
        <w:tc>
          <w:tcPr>
            <w:tcW w:w="1259" w:type="dxa"/>
            <w:noWrap w:val="0"/>
            <w:vAlign w:val="center"/>
          </w:tcPr>
          <w:p w14:paraId="3B825759">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持续推进</w:t>
            </w:r>
          </w:p>
        </w:tc>
        <w:tc>
          <w:tcPr>
            <w:tcW w:w="719" w:type="dxa"/>
            <w:noWrap w:val="0"/>
            <w:vAlign w:val="center"/>
          </w:tcPr>
          <w:p w14:paraId="54585DBA">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802" w:type="dxa"/>
            <w:noWrap w:val="0"/>
            <w:vAlign w:val="center"/>
          </w:tcPr>
          <w:p w14:paraId="22D894F3">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5</w:t>
            </w:r>
          </w:p>
        </w:tc>
        <w:tc>
          <w:tcPr>
            <w:tcW w:w="1275" w:type="dxa"/>
            <w:noWrap w:val="0"/>
            <w:vAlign w:val="center"/>
          </w:tcPr>
          <w:p w14:paraId="048A45A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3FFF7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1084" w:type="dxa"/>
            <w:vMerge w:val="continue"/>
            <w:tcBorders>
              <w:top w:val="nil"/>
              <w:bottom w:val="nil"/>
            </w:tcBorders>
            <w:noWrap w:val="0"/>
            <w:textDirection w:val="tbRlV"/>
            <w:vAlign w:val="top"/>
          </w:tcPr>
          <w:p w14:paraId="6A3831C4">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48722A0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55EE4ED1">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48D8907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5D0195DC">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2"/>
                <w:sz w:val="21"/>
                <w:szCs w:val="21"/>
                <w14:textFill>
                  <w14:solidFill>
                    <w14:schemeClr w14:val="tx1"/>
                  </w14:solidFill>
                </w14:textFill>
              </w:rPr>
              <w:t>服务对象</w:t>
            </w:r>
          </w:p>
          <w:p w14:paraId="69B2CB7A">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pacing w:val="3"/>
                <w:sz w:val="21"/>
                <w:szCs w:val="21"/>
                <w14:textFill>
                  <w14:solidFill>
                    <w14:schemeClr w14:val="tx1"/>
                  </w14:solidFill>
                </w14:textFill>
              </w:rPr>
              <w:t>满意度指</w:t>
            </w:r>
          </w:p>
          <w:p w14:paraId="6E19FA99">
            <w:pPr>
              <w:keepNext w:val="0"/>
              <w:keepLines w:val="0"/>
              <w:pageBreakBefore w:val="0"/>
              <w:widowControl w:val="0"/>
              <w:kinsoku/>
              <w:wordWrap/>
              <w:overflowPunct/>
              <w:topLinePunct w:val="0"/>
              <w:autoSpaceDE/>
              <w:autoSpaceDN/>
              <w:bidi w:val="0"/>
              <w:adjustRightInd/>
              <w:snapToGrid/>
              <w:spacing w:line="220" w:lineRule="auto"/>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0C6A561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群众满意度</w:t>
            </w:r>
          </w:p>
        </w:tc>
        <w:tc>
          <w:tcPr>
            <w:tcW w:w="1319" w:type="dxa"/>
            <w:noWrap w:val="0"/>
            <w:vAlign w:val="center"/>
          </w:tcPr>
          <w:p w14:paraId="50457F26">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w:t>
            </w:r>
            <w:r>
              <w:rPr>
                <w:rFonts w:hint="eastAsia" w:ascii="宋体" w:hAnsi="宋体" w:eastAsia="宋体" w:cs="宋体"/>
                <w:color w:val="000000" w:themeColor="text1"/>
                <w:sz w:val="21"/>
                <w:szCs w:val="21"/>
                <w:lang w:val="en-US" w:eastAsia="zh-CN"/>
                <w14:textFill>
                  <w14:solidFill>
                    <w14:schemeClr w14:val="tx1"/>
                  </w14:solidFill>
                </w14:textFill>
              </w:rPr>
              <w:t>95%</w:t>
            </w:r>
          </w:p>
        </w:tc>
        <w:tc>
          <w:tcPr>
            <w:tcW w:w="1259" w:type="dxa"/>
            <w:noWrap w:val="0"/>
            <w:vAlign w:val="center"/>
          </w:tcPr>
          <w:p w14:paraId="0B7BF854">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96</w:t>
            </w:r>
          </w:p>
        </w:tc>
        <w:tc>
          <w:tcPr>
            <w:tcW w:w="719" w:type="dxa"/>
            <w:noWrap w:val="0"/>
            <w:vAlign w:val="center"/>
          </w:tcPr>
          <w:p w14:paraId="12CD76AE">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802" w:type="dxa"/>
            <w:noWrap w:val="0"/>
            <w:vAlign w:val="center"/>
          </w:tcPr>
          <w:p w14:paraId="36637861">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w:t>
            </w:r>
          </w:p>
        </w:tc>
        <w:tc>
          <w:tcPr>
            <w:tcW w:w="1275" w:type="dxa"/>
            <w:noWrap w:val="0"/>
            <w:vAlign w:val="center"/>
          </w:tcPr>
          <w:p w14:paraId="0AEC282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宋体" w:hAnsi="宋体" w:eastAsia="宋体" w:cs="宋体"/>
                <w:color w:val="000000" w:themeColor="text1"/>
                <w:sz w:val="21"/>
                <w:szCs w:val="21"/>
                <w14:textFill>
                  <w14:solidFill>
                    <w14:schemeClr w14:val="tx1"/>
                  </w14:solidFill>
                </w14:textFill>
              </w:rPr>
            </w:pPr>
          </w:p>
        </w:tc>
      </w:tr>
      <w:tr w14:paraId="0D19C8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2" w:hRule="atLeast"/>
        </w:trPr>
        <w:tc>
          <w:tcPr>
            <w:tcW w:w="7039" w:type="dxa"/>
            <w:gridSpan w:val="6"/>
            <w:noWrap w:val="0"/>
            <w:vAlign w:val="center"/>
          </w:tcPr>
          <w:p w14:paraId="54155376">
            <w:pPr>
              <w:keepNext w:val="0"/>
              <w:keepLines w:val="0"/>
              <w:pageBreakBefore w:val="0"/>
              <w:widowControl w:val="0"/>
              <w:tabs>
                <w:tab w:val="left" w:pos="4026"/>
                <w:tab w:val="center" w:pos="5211"/>
              </w:tabs>
              <w:kinsoku/>
              <w:wordWrap/>
              <w:overflowPunct/>
              <w:topLinePunct w:val="0"/>
              <w:autoSpaceDE/>
              <w:autoSpaceDN/>
              <w:bidi w:val="0"/>
              <w:adjustRightInd/>
              <w:snapToGrid/>
              <w:spacing w:line="251" w:lineRule="exact"/>
              <w:jc w:val="left"/>
              <w:textAlignment w:val="auto"/>
              <w:rPr>
                <w:color w:val="000000" w:themeColor="text1"/>
                <w14:textFill>
                  <w14:solidFill>
                    <w14:schemeClr w14:val="tx1"/>
                  </w14:solidFill>
                </w14:textFill>
              </w:rPr>
            </w:pPr>
            <w:r>
              <w:rPr>
                <w:rFonts w:hint="eastAsia"/>
                <w:color w:val="000000" w:themeColor="text1"/>
                <w:lang w:eastAsia="zh-CN"/>
                <w14:textFill>
                  <w14:solidFill>
                    <w14:schemeClr w14:val="tx1"/>
                  </w14:solidFill>
                </w14:textFill>
              </w:rPr>
              <w:tab/>
            </w: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5FBCEE7E">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5BA86C3F">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14:paraId="745A611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75C2190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9"/>
          <w:sz w:val="22"/>
          <w:szCs w:val="22"/>
          <w:lang w:eastAsia="zh-CN"/>
          <w14:textFill>
            <w14:solidFill>
              <w14:schemeClr w14:val="tx1"/>
            </w14:solidFill>
          </w14:textFill>
        </w:rPr>
        <w:t>葛咏也</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3"/>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lang w:val="en-US" w:eastAsia="zh-CN"/>
          <w14:textFill>
            <w14:solidFill>
              <w14:schemeClr w14:val="tx1"/>
            </w14:solidFill>
          </w14:textFill>
        </w:rPr>
        <w:t>13575012295</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4FCF2F5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314AF41A">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511B9A10">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02E6ADD6">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岳阳楼区东茅岭街道办事处</w:t>
      </w:r>
    </w:p>
    <w:p w14:paraId="38C8A714">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14:paraId="62B586D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6F7575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3BD48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EDE3D0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461566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4C4A7C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F3A769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951393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762DC1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CCB04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121517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D7220A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8D23A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F3B063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F37620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EC4497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573C86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A76E74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7BA983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79D2B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FAD85D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3433CE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04D73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C254E1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4AAD91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460620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0BE92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部门(单位)名称：岳阳市岳阳楼区东茅岭街道办事处   ( 盖 章 )</w:t>
      </w:r>
    </w:p>
    <w:p w14:paraId="6253B81B">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6 月 15 日</w:t>
      </w:r>
    </w:p>
    <w:p w14:paraId="0CEB9DE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C201CF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249495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018ACA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7DF300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2022年度岳阳楼区东茅岭街道办事处</w:t>
      </w:r>
    </w:p>
    <w:p w14:paraId="0C47314B">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33BF883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C2E17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401F37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467C456">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75F5785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Chars="200" w:firstLine="321"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（一）基本概况</w:t>
      </w:r>
    </w:p>
    <w:p w14:paraId="6302344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岳阳楼区东茅岭街道办事处成立于1984年，办事处辖区面积6平方公里，常住居民人数5万左右，辖区共6个社区。2022年办事处编制人数60人，实际人数60人，退休人员23人，共计83人。根据编办核定，我办事处机构设置共设有6个职能办公室（党政办公室、党建办公室、经济发展办公室、社会事务办公室、应急管理办公室、综合信访办公室），4个站所（社会事业综合服务中心、产业项目综合服务中心、公共服务和网格化中心、退役军人服务站），综合行政执法大队、武装部、财政所、司法所、环境卫生服务中心。</w:t>
      </w:r>
    </w:p>
    <w:p w14:paraId="3FECB20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（二）职能职责</w:t>
      </w:r>
    </w:p>
    <w:p w14:paraId="06042DE6">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在区委、区政府的领导下，贯彻执行党路线、方针、政策和国家的各项法律、法规；负责街道辖区内的地区性、群众性、公益性、社会性工作。</w:t>
      </w:r>
    </w:p>
    <w:p w14:paraId="27D969A0">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（1）负责精神文明建设工作，积极组织以提高市民质素为目的的活动，树立文明新风。</w:t>
      </w:r>
    </w:p>
    <w:p w14:paraId="2E4A2B68">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（2）按照职责范围，负责街道辖区内的城市建设和管理、</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"https://www.baidu.com/s?wd=%E5%B8%82%E5%AE%B9%E7%8E%AF%E5%A2%83%E5%8D%AB%E7%94%9F&amp;tn=SE_PcZhidaonwhc_ngpagmjz&amp;rsv_dl=gh_pc_zhidao"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市容环境卫生</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"https://www.baidu.com/s?wd=%E5%9B%AD%E6%9E%97%E7%BB%BF%E5%8C%96&amp;tn=SE_PcZhidaonwhc_ngpagmjz&amp;rsv_dl=gh_pc_zhidao"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园林绿化</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、环境保护、市政、房地产等监督、管理、服务工作。</w:t>
      </w:r>
    </w:p>
    <w:p w14:paraId="55D11216">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（3）负责街道辖区内的维护稳定及</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"https://www.baidu.com/s?wd=%E7%A4%BE%E4%BC%9A%E6%B2%BB%E5%AE%89%E7%BB%BC%E5%90%88%E6%B2%BB%E7%90%86&amp;tn=SE_PcZhidaonwhc_ngpagmjz&amp;rsv_dl=gh_pc_zhidao"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社会治安综合治理</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工作，依照有关规定做好出租屋和外来暂住人员的管理工作；负责民事调解，法律服务工作，维护居民的合法权益。</w:t>
      </w:r>
    </w:p>
    <w:p w14:paraId="5A2DBC27">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（4）负责</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"https://www.baidu.com/s?wd=%E7%A4%BE%E5%8C%BA%E5%BB%BA%E8%AE%BE&amp;tn=SE_PcZhidaonwhc_ngpagmjz&amp;rsv_dl=gh_pc_zhidao"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社区建设</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和管理，积极开展社区服务工作，大力兴办社区福利事业，发动和组织社区成员开展各类社区公益活动；负责拥军优属、</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"https://www.baidu.com/s?wd=%E4%BC%98%E6%8A%9A%E5%AE%89%E7%BD%AE&amp;tn=SE_PcZhidaonwhc_ngpagmjz&amp;rsv_dl=gh_pc_zhidao"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优抚安置</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fldChar w:fldCharType="begin"/>
      </w:r>
      <w:r>
        <w:rPr>
          <w:rFonts w:hint="eastAsia" w:ascii="仿宋_GB2312" w:hAnsi="仿宋_GB2312" w:eastAsia="仿宋_GB2312" w:cs="仿宋_GB2312"/>
          <w:kern w:val="0"/>
          <w:sz w:val="32"/>
          <w:szCs w:val="32"/>
        </w:rPr>
        <w:instrText xml:space="preserve"> HYPERLINK "https://www.baidu.com/s?wd=%E7%A4%BE%E4%BC%9A%E6%95%91%E6%B5%8E&amp;tn=SE_PcZhidaonwhc_ngpagmjz&amp;rsv_dl=gh_pc_zhidao" \t "https://zhidao.baidu.com/question/_blank" </w:instrText>
      </w:r>
      <w:r>
        <w:rPr>
          <w:rFonts w:hint="eastAsia" w:ascii="仿宋_GB2312" w:hAnsi="仿宋_GB2312" w:eastAsia="仿宋_GB2312" w:cs="仿宋_GB2312"/>
          <w:kern w:val="0"/>
          <w:sz w:val="32"/>
          <w:szCs w:val="32"/>
        </w:rPr>
        <w:fldChar w:fldCharType="separate"/>
      </w:r>
      <w:r>
        <w:rPr>
          <w:rFonts w:hint="eastAsia" w:ascii="仿宋_GB2312" w:hAnsi="仿宋_GB2312" w:eastAsia="仿宋_GB2312" w:cs="仿宋_GB2312"/>
          <w:kern w:val="0"/>
          <w:sz w:val="32"/>
          <w:szCs w:val="32"/>
        </w:rPr>
        <w:t>社会救济</w:t>
      </w:r>
      <w:r>
        <w:rPr>
          <w:rFonts w:hint="eastAsia" w:ascii="仿宋_GB2312" w:hAnsi="仿宋_GB2312" w:eastAsia="仿宋_GB2312" w:cs="仿宋_GB2312"/>
          <w:kern w:val="0"/>
          <w:sz w:val="32"/>
          <w:szCs w:val="32"/>
        </w:rPr>
        <w:fldChar w:fldCharType="end"/>
      </w:r>
      <w:r>
        <w:rPr>
          <w:rFonts w:hint="eastAsia" w:ascii="仿宋_GB2312" w:hAnsi="仿宋_GB2312" w:eastAsia="仿宋_GB2312" w:cs="仿宋_GB2312"/>
          <w:kern w:val="0"/>
          <w:sz w:val="32"/>
          <w:szCs w:val="32"/>
        </w:rPr>
        <w:t>、社会福利、社区文化、科普、体育、教育等工作。</w:t>
      </w:r>
    </w:p>
    <w:p w14:paraId="5CA7EB50">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（5）发展街道经济，管理街道自有国有资产和集体资产，为街道经济组织提供人才、科技、信息和各种服务，以经济、法律和必要的行政手段推动街道经济发展和维护市场经济秩序。</w:t>
      </w:r>
    </w:p>
    <w:p w14:paraId="33B4474E">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（6）负责计划生育、劳动就业、安全生产管理、控建拆违、民兵、兵役等工作。</w:t>
      </w:r>
    </w:p>
    <w:p w14:paraId="3A962024">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（7）指导和帮助社区搞好组织建设和制度建设，发挥社区的群众自治组织作用。</w:t>
      </w:r>
    </w:p>
    <w:p w14:paraId="3FF56721">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（8）配合有关部门做好防汛、防风、防火、防震、防灾和抢险工作。</w:t>
      </w:r>
    </w:p>
    <w:p w14:paraId="4DC2C938">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eastAsia"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（9）向区人民政府反映居民群众的意见和要求，办理人民群众来信来访事项。</w:t>
      </w:r>
    </w:p>
    <w:p w14:paraId="1BB7945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kern w:val="0"/>
          <w:sz w:val="32"/>
          <w:szCs w:val="32"/>
        </w:rPr>
        <w:t>（10）承办区委、区政府和上级部门交办的其他事项。</w:t>
      </w:r>
    </w:p>
    <w:p w14:paraId="6132CFCF">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一般公共预算支出情况</w:t>
      </w:r>
    </w:p>
    <w:p w14:paraId="5A5ECB09">
      <w:pPr>
        <w:keepNext w:val="0"/>
        <w:keepLines w:val="0"/>
        <w:pageBreakBefore w:val="0"/>
        <w:widowControl/>
        <w:kinsoku/>
        <w:wordWrap/>
        <w:overflowPunct/>
        <w:topLinePunct w:val="0"/>
        <w:autoSpaceDE/>
        <w:autoSpaceDN/>
        <w:bidi w:val="0"/>
        <w:adjustRightInd/>
        <w:snapToGrid/>
        <w:spacing w:line="240" w:lineRule="auto"/>
        <w:ind w:firstLine="640" w:firstLineChars="200"/>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rPr>
        <w:t>本单位2022年一般公共预算整体支出2435.7元。按收入性质分，其中：一般公共预算收入891.22万元，其他资金收入1544.48万元。按支出性质分，其中：基本支出1820.97万元，项目支出614.73万元。</w:t>
      </w:r>
    </w:p>
    <w:p w14:paraId="245146A2">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基本支出情况</w:t>
      </w:r>
    </w:p>
    <w:p w14:paraId="1DEB8325">
      <w:pPr>
        <w:keepNext w:val="0"/>
        <w:keepLines w:val="0"/>
        <w:pageBreakBefore w:val="0"/>
        <w:widowControl/>
        <w:kinsoku/>
        <w:wordWrap/>
        <w:overflowPunct/>
        <w:topLinePunct w:val="0"/>
        <w:autoSpaceDE/>
        <w:autoSpaceDN/>
        <w:bidi w:val="0"/>
        <w:adjustRightInd/>
        <w:snapToGrid/>
        <w:spacing w:line="240" w:lineRule="auto"/>
        <w:ind w:firstLine="562" w:firstLineChars="200"/>
        <w:textAlignment w:val="auto"/>
        <w:rPr>
          <w:rFonts w:hint="eastAsia" w:ascii="Times New Roman" w:hAnsi="Times New Roman" w:eastAsia="仿宋_GB2312" w:cs="仿宋_GB2312"/>
          <w:kern w:val="0"/>
          <w:sz w:val="32"/>
          <w:szCs w:val="32"/>
          <w:lang w:val="zh-CN" w:eastAsia="zh-CN"/>
        </w:rPr>
      </w:pPr>
      <w:r>
        <w:rPr>
          <w:rFonts w:hint="eastAsia" w:ascii="宋体" w:hAnsi="宋体" w:eastAsia="宋体" w:cs="宋体"/>
          <w:b/>
          <w:bCs/>
          <w:sz w:val="28"/>
          <w:szCs w:val="28"/>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预算配置情况评价分析 </w:t>
      </w:r>
      <w:r>
        <w:rPr>
          <w:rFonts w:ascii="宋体" w:hAnsi="宋体" w:eastAsia="宋体" w:cs="宋体"/>
          <w:b/>
          <w:bCs/>
          <w:sz w:val="28"/>
          <w:szCs w:val="28"/>
        </w:rPr>
        <w:t xml:space="preserve"> </w:t>
      </w:r>
      <w:r>
        <w:rPr>
          <w:rFonts w:hint="eastAsia" w:ascii="Times New Roman" w:hAnsi="Times New Roman" w:eastAsia="仿宋_GB2312" w:cs="仿宋_GB2312"/>
          <w:kern w:val="0"/>
          <w:sz w:val="32"/>
          <w:szCs w:val="32"/>
          <w:lang w:val="en-US" w:eastAsia="zh-CN"/>
        </w:rPr>
        <w:t>根据岳阳楼区编制部门文件规定岳阳楼区东茅岭街道办事处人员编制60人，2022年决算报表反映实际在职人员60人，财政供养人员控制率为100%。</w:t>
      </w:r>
    </w:p>
    <w:p w14:paraId="05D15F6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b/>
          <w:bCs/>
          <w:kern w:val="0"/>
          <w:sz w:val="32"/>
          <w:szCs w:val="32"/>
          <w:lang w:val="en-US" w:eastAsia="zh-CN"/>
        </w:rPr>
        <w:t>2、</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 xml:space="preserve">整体支出情况分析  </w:t>
      </w:r>
      <w:r>
        <w:rPr>
          <w:rFonts w:hint="eastAsia" w:ascii="Times New Roman" w:hAnsi="Times New Roman" w:eastAsia="仿宋_GB2312" w:cs="仿宋_GB2312"/>
          <w:kern w:val="0"/>
          <w:sz w:val="32"/>
          <w:szCs w:val="32"/>
          <w:lang w:val="en-US" w:eastAsia="zh-CN"/>
        </w:rPr>
        <w:t>2022年度基本支出1820.97万元，其中：工资福利支出894.23万元，占基本支出的49.11%。主要包括基本工资、津贴补贴、</w:t>
      </w:r>
      <w:r>
        <w:rPr>
          <w:rFonts w:hint="eastAsia" w:ascii="Times New Roman" w:hAnsi="Times New Roman" w:eastAsia="仿宋_GB2312" w:cs="仿宋_GB2312"/>
          <w:kern w:val="0"/>
          <w:sz w:val="32"/>
          <w:szCs w:val="32"/>
          <w:lang w:val="zh-CN" w:eastAsia="zh-CN"/>
        </w:rPr>
        <w:t>奖金、绩效工资、机关事业单位基本养老保险缴费、职业年金缴费、职工基本医疗保险缴费、公务员医疗补助缴费、其他社会保障缴费、住房公积金、其他工资福利支出。</w:t>
      </w:r>
      <w:r>
        <w:rPr>
          <w:rFonts w:hint="eastAsia" w:ascii="Times New Roman" w:hAnsi="Times New Roman" w:eastAsia="仿宋_GB2312" w:cs="仿宋_GB2312"/>
          <w:kern w:val="0"/>
          <w:sz w:val="32"/>
          <w:szCs w:val="32"/>
          <w:lang w:val="en-US" w:eastAsia="zh-CN"/>
        </w:rPr>
        <w:t>商品和服务支出829.94万元，占基本支出的45.57%。主要包括办公费、印刷费、咨询费、手续费、水费、电费、邮电费、差旅费、维修（护）费、租赁费、会议费、培训费、公务接待费、专用材料费、劳务费、工会经费、其他交通费用、其他商品和服务支出。对个人和家庭的补助96.8万元，占基本支出的5.32%。主要包括退休费、</w:t>
      </w:r>
      <w:r>
        <w:rPr>
          <w:rFonts w:hint="eastAsia" w:ascii="Times New Roman" w:hAnsi="Times New Roman" w:eastAsia="仿宋_GB2312" w:cs="仿宋_GB2312"/>
          <w:kern w:val="0"/>
          <w:sz w:val="32"/>
          <w:szCs w:val="32"/>
          <w:lang w:val="zh-CN" w:eastAsia="zh-CN"/>
        </w:rPr>
        <w:t>抚恤金、奖励金、其他对个人和家庭的补助</w:t>
      </w:r>
      <w:r>
        <w:rPr>
          <w:rFonts w:hint="eastAsia" w:ascii="Times New Roman" w:hAnsi="Times New Roman" w:eastAsia="仿宋_GB2312" w:cs="仿宋_GB2312"/>
          <w:kern w:val="0"/>
          <w:sz w:val="32"/>
          <w:szCs w:val="32"/>
          <w:lang w:val="en-US" w:eastAsia="zh-CN"/>
        </w:rPr>
        <w:t>。</w:t>
      </w:r>
    </w:p>
    <w:p w14:paraId="0EF4D450">
      <w:pPr>
        <w:keepNext w:val="0"/>
        <w:keepLines w:val="0"/>
        <w:pageBreakBefore w:val="0"/>
        <w:widowControl w:val="0"/>
        <w:kinsoku/>
        <w:wordWrap/>
        <w:overflowPunct/>
        <w:topLinePunct w:val="0"/>
        <w:autoSpaceDE/>
        <w:autoSpaceDN/>
        <w:bidi w:val="0"/>
        <w:adjustRightInd/>
        <w:snapToGrid/>
        <w:spacing w:line="240" w:lineRule="auto"/>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(二)项目支出情况</w:t>
      </w:r>
    </w:p>
    <w:p w14:paraId="704D897E">
      <w:pPr>
        <w:keepNext w:val="0"/>
        <w:keepLines w:val="0"/>
        <w:pageBreakBefore w:val="0"/>
        <w:tabs>
          <w:tab w:val="left" w:pos="426"/>
          <w:tab w:val="center" w:pos="4153"/>
        </w:tabs>
        <w:kinsoku/>
        <w:wordWrap/>
        <w:overflowPunct/>
        <w:topLinePunct w:val="0"/>
        <w:autoSpaceDE/>
        <w:autoSpaceDN/>
        <w:bidi w:val="0"/>
        <w:adjustRightInd/>
        <w:snapToGrid/>
        <w:spacing w:line="240" w:lineRule="auto"/>
        <w:ind w:firstLine="843" w:firstLineChars="300"/>
        <w:textAlignment w:val="auto"/>
        <w:rPr>
          <w:rFonts w:hint="eastAsia" w:ascii="Times New Roman" w:hAnsi="Times New Roman" w:eastAsia="仿宋_GB2312" w:cs="仿宋_GB2312"/>
          <w:kern w:val="0"/>
          <w:sz w:val="32"/>
          <w:szCs w:val="32"/>
          <w:lang w:val="en-US" w:eastAsia="zh-CN"/>
        </w:rPr>
      </w:pPr>
      <w:r>
        <w:rPr>
          <w:rFonts w:hint="eastAsia" w:ascii="宋体" w:hAnsi="宋体" w:eastAsia="宋体" w:cs="宋体"/>
          <w:b/>
          <w:bCs/>
          <w:sz w:val="28"/>
          <w:szCs w:val="28"/>
          <w:shd w:val="clear" w:color="auto" w:fill="FFFFFF"/>
          <w:lang w:val="en-US" w:eastAsia="zh-CN"/>
        </w:rPr>
        <w:t>1、</w:t>
      </w: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项目资金拨入情况分析</w:t>
      </w:r>
      <w:r>
        <w:rPr>
          <w:rFonts w:hint="eastAsia" w:ascii="宋体" w:hAnsi="宋体" w:eastAsia="宋体" w:cs="宋体"/>
          <w:b/>
          <w:bCs/>
          <w:sz w:val="28"/>
          <w:szCs w:val="28"/>
          <w:shd w:val="clear" w:color="auto" w:fill="FFFFFF"/>
          <w:lang w:val="en-US" w:eastAsia="zh-CN"/>
        </w:rPr>
        <w:t xml:space="preserve">  </w:t>
      </w:r>
      <w:r>
        <w:rPr>
          <w:rFonts w:hint="eastAsia" w:ascii="Times New Roman" w:hAnsi="Times New Roman" w:eastAsia="仿宋_GB2312" w:cs="仿宋_GB2312"/>
          <w:kern w:val="0"/>
          <w:sz w:val="32"/>
          <w:szCs w:val="32"/>
          <w:lang w:val="en-US" w:eastAsia="zh-CN"/>
        </w:rPr>
        <w:t>2022年岳阳楼区东茅岭街道办事处项目资金到位率100％。</w:t>
      </w:r>
    </w:p>
    <w:p w14:paraId="304DE54A">
      <w:pPr>
        <w:pStyle w:val="2"/>
        <w:keepNext w:val="0"/>
        <w:keepLines w:val="0"/>
        <w:pageBreakBefore w:val="0"/>
        <w:widowControl w:val="0"/>
        <w:kinsoku/>
        <w:wordWrap/>
        <w:overflowPunct/>
        <w:topLinePunct w:val="0"/>
        <w:autoSpaceDE/>
        <w:autoSpaceDN/>
        <w:bidi w:val="0"/>
        <w:adjustRightInd/>
        <w:snapToGrid/>
        <w:spacing w:line="240" w:lineRule="auto"/>
        <w:ind w:firstLine="964" w:firstLineChars="300"/>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kern w:val="2"/>
          <w:position w:val="0"/>
          <w:sz w:val="32"/>
          <w:szCs w:val="32"/>
          <w:lang w:val="en-US" w:eastAsia="zh-CN" w:bidi="ar-SA"/>
          <w14:textFill>
            <w14:solidFill>
              <w14:schemeClr w14:val="tx1"/>
            </w14:solidFill>
          </w14:textFill>
        </w:rPr>
        <w:t xml:space="preserve">2、项目资金使用情况分析  </w:t>
      </w:r>
      <w:r>
        <w:rPr>
          <w:rFonts w:hint="eastAsia" w:ascii="Times New Roman" w:hAnsi="Times New Roman" w:eastAsia="仿宋_GB2312" w:cs="仿宋_GB2312"/>
          <w:kern w:val="0"/>
          <w:sz w:val="32"/>
          <w:szCs w:val="32"/>
          <w:lang w:val="en-US" w:eastAsia="zh-CN" w:bidi="ar-SA"/>
        </w:rPr>
        <w:t>2022年度项目支出614.73万元，其中超30万元的项目支出共计480.67万元，占总项目支出78.19%。其中；环卫工人工资309.71万元，用于2022年环卫工人工资发放；环卫工人保险83.96万元，用于2022年环卫工人社会保险费缴纳和购买商业保险；老旧小区改造30万元，用于2020年老旧小区改造工程款；入伍义务兵家庭优待金57万元，用于发放2021-2022年入伍义务兵家庭优待金。</w:t>
      </w:r>
    </w:p>
    <w:p w14:paraId="73EDD1A8">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14:paraId="3CBDF9DF">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2022年度本单位无政府性基金预算支出。</w:t>
      </w:r>
    </w:p>
    <w:p w14:paraId="1968F3E2">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四、国有资本经营预算支出情况</w:t>
      </w:r>
    </w:p>
    <w:p w14:paraId="58BBAA0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 xml:space="preserve">    </w:t>
      </w:r>
      <w:r>
        <w:rPr>
          <w:rFonts w:hint="eastAsia" w:ascii="Times New Roman" w:hAnsi="Times New Roman" w:eastAsia="仿宋_GB2312" w:cs="仿宋_GB2312"/>
          <w:kern w:val="0"/>
          <w:sz w:val="32"/>
          <w:szCs w:val="32"/>
          <w:lang w:val="en-US" w:eastAsia="zh-CN" w:bidi="ar-SA"/>
        </w:rPr>
        <w:t>2022年度本单位无国有资本经营预算支出。</w:t>
      </w:r>
    </w:p>
    <w:p w14:paraId="5931D21E">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48A2042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2022年度本单位无社会保险基金预算支出。</w:t>
      </w:r>
    </w:p>
    <w:p w14:paraId="654C06A1">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部门整体支出绩效情况</w:t>
      </w:r>
    </w:p>
    <w:p w14:paraId="3A8F91C9">
      <w:pPr>
        <w:keepNext w:val="0"/>
        <w:keepLines w:val="0"/>
        <w:pageBreakBefore w:val="0"/>
        <w:widowControl w:val="0"/>
        <w:numPr>
          <w:ilvl w:val="0"/>
          <w:numId w:val="4"/>
        </w:numPr>
        <w:kinsoku/>
        <w:wordWrap/>
        <w:overflowPunct/>
        <w:topLinePunct w:val="0"/>
        <w:autoSpaceDE/>
        <w:autoSpaceDN/>
        <w:bidi w:val="0"/>
        <w:adjustRightInd/>
        <w:snapToGrid/>
        <w:spacing w:line="240" w:lineRule="auto"/>
        <w:ind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年度工作履职目标及履职情况</w:t>
      </w:r>
    </w:p>
    <w:p w14:paraId="506436D0">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sz w:val="32"/>
          <w:szCs w:val="32"/>
        </w:rPr>
        <w:t>今年以来，在区委、区政府的坚强领导和正确指导下，</w:t>
      </w:r>
      <w:r>
        <w:rPr>
          <w:rFonts w:hint="eastAsia" w:ascii="仿宋_GB2312" w:hAnsi="仿宋_GB2312" w:eastAsia="仿宋_GB2312" w:cs="仿宋_GB2312"/>
          <w:sz w:val="32"/>
          <w:szCs w:val="32"/>
          <w:lang w:eastAsia="zh-CN"/>
        </w:rPr>
        <w:t>东茅岭</w:t>
      </w:r>
      <w:r>
        <w:rPr>
          <w:rFonts w:hint="eastAsia" w:ascii="仿宋_GB2312" w:hAnsi="仿宋_GB2312" w:eastAsia="仿宋_GB2312" w:cs="仿宋_GB2312"/>
          <w:sz w:val="32"/>
          <w:szCs w:val="32"/>
        </w:rPr>
        <w:t>街道始终围绕中心大局、发挥区位特点、坚持统筹推进，以建设更高标准的宜居街道为目标，</w:t>
      </w:r>
      <w:r>
        <w:rPr>
          <w:rFonts w:hint="eastAsia" w:ascii="仿宋_GB2312" w:hAnsi="仿宋_GB2312" w:eastAsia="仿宋_GB2312" w:cs="仿宋_GB2312"/>
          <w:sz w:val="32"/>
          <w:szCs w:val="32"/>
          <w:lang w:eastAsia="zh-CN"/>
        </w:rPr>
        <w:t>认真落实“疫情要防住、经济要稳住、发展要安全”总要求，</w:t>
      </w:r>
      <w:r>
        <w:rPr>
          <w:rFonts w:hint="eastAsia" w:ascii="仿宋_GB2312" w:hAnsi="仿宋_GB2312" w:eastAsia="仿宋_GB2312" w:cs="仿宋_GB2312"/>
          <w:sz w:val="32"/>
          <w:szCs w:val="32"/>
        </w:rPr>
        <w:t>锐意进取、真抓实干，小区</w:t>
      </w:r>
      <w:r>
        <w:rPr>
          <w:rFonts w:hint="eastAsia" w:ascii="仿宋_GB2312" w:hAnsi="仿宋_GB2312" w:eastAsia="仿宋_GB2312" w:cs="仿宋_GB2312"/>
          <w:sz w:val="32"/>
          <w:szCs w:val="32"/>
          <w:lang w:eastAsia="zh-CN"/>
        </w:rPr>
        <w:t>旧</w:t>
      </w:r>
      <w:r>
        <w:rPr>
          <w:rFonts w:hint="eastAsia" w:ascii="仿宋_GB2312" w:hAnsi="仿宋_GB2312" w:eastAsia="仿宋_GB2312" w:cs="仿宋_GB2312"/>
          <w:sz w:val="32"/>
          <w:szCs w:val="32"/>
        </w:rPr>
        <w:t>改</w:t>
      </w:r>
      <w:r>
        <w:rPr>
          <w:rFonts w:hint="eastAsia" w:ascii="仿宋_GB2312" w:hAnsi="仿宋_GB2312" w:eastAsia="仿宋_GB2312" w:cs="仿宋_GB2312"/>
          <w:sz w:val="32"/>
          <w:szCs w:val="32"/>
          <w:lang w:eastAsia="zh-CN"/>
        </w:rPr>
        <w:t>、危房</w:t>
      </w:r>
      <w:r>
        <w:rPr>
          <w:rFonts w:hint="eastAsia" w:ascii="仿宋_GB2312" w:hAnsi="仿宋_GB2312" w:eastAsia="仿宋_GB2312" w:cs="仿宋_GB2312"/>
          <w:sz w:val="32"/>
          <w:szCs w:val="32"/>
        </w:rPr>
        <w:t>整治、禁违拆违、社区建设、</w:t>
      </w:r>
      <w:r>
        <w:rPr>
          <w:rFonts w:hint="eastAsia" w:ascii="仿宋_GB2312" w:hAnsi="仿宋_GB2312" w:eastAsia="仿宋_GB2312" w:cs="仿宋_GB2312"/>
          <w:sz w:val="32"/>
          <w:szCs w:val="32"/>
          <w:lang w:eastAsia="zh-CN"/>
        </w:rPr>
        <w:t>疫苗接种、</w:t>
      </w:r>
      <w:r>
        <w:rPr>
          <w:rFonts w:hint="eastAsia" w:ascii="仿宋_GB2312" w:hAnsi="仿宋_GB2312" w:eastAsia="仿宋_GB2312" w:cs="仿宋_GB2312"/>
          <w:sz w:val="32"/>
          <w:szCs w:val="32"/>
        </w:rPr>
        <w:t>信访维稳等工作成效显著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color w:val="auto"/>
          <w:sz w:val="32"/>
          <w:szCs w:val="32"/>
        </w:rPr>
        <w:t>现就</w:t>
      </w:r>
      <w:r>
        <w:rPr>
          <w:rFonts w:hint="eastAsia" w:ascii="仿宋_GB2312" w:hAnsi="仿宋_GB2312" w:eastAsia="仿宋_GB2312" w:cs="仿宋_GB2312"/>
          <w:color w:val="auto"/>
          <w:sz w:val="32"/>
          <w:szCs w:val="32"/>
          <w:lang w:eastAsia="zh-CN"/>
        </w:rPr>
        <w:t>今年</w:t>
      </w:r>
      <w:r>
        <w:rPr>
          <w:rFonts w:hint="eastAsia" w:ascii="仿宋_GB2312" w:hAnsi="仿宋_GB2312" w:eastAsia="仿宋_GB2312" w:cs="仿宋_GB2312"/>
          <w:color w:val="auto"/>
          <w:sz w:val="32"/>
          <w:szCs w:val="32"/>
        </w:rPr>
        <w:t>工作情况从</w:t>
      </w:r>
      <w:r>
        <w:rPr>
          <w:rFonts w:hint="eastAsia" w:ascii="仿宋_GB2312" w:hAnsi="仿宋_GB2312" w:eastAsia="仿宋_GB2312" w:cs="仿宋_GB2312"/>
          <w:color w:val="auto"/>
          <w:sz w:val="32"/>
          <w:szCs w:val="32"/>
          <w:lang w:eastAsia="zh-CN"/>
        </w:rPr>
        <w:t>四</w:t>
      </w:r>
      <w:r>
        <w:rPr>
          <w:rFonts w:hint="eastAsia" w:ascii="仿宋_GB2312" w:hAnsi="仿宋_GB2312" w:eastAsia="仿宋_GB2312" w:cs="仿宋_GB2312"/>
          <w:color w:val="auto"/>
          <w:sz w:val="32"/>
          <w:szCs w:val="32"/>
        </w:rPr>
        <w:t>个方面汇报如下：</w:t>
      </w:r>
    </w:p>
    <w:p w14:paraId="4B5ED9A7">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1、积蓄商圈优势，服务发展有为有位</w:t>
      </w:r>
    </w:p>
    <w:p w14:paraId="5787D16A">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(1)、片区旧改呈现新面貌。</w:t>
      </w:r>
      <w:r>
        <w:rPr>
          <w:rFonts w:hint="eastAsia" w:ascii="仿宋_GB2312" w:hAnsi="仿宋_GB2312" w:eastAsia="仿宋_GB2312" w:cs="仿宋_GB2312"/>
          <w:b w:val="0"/>
          <w:bCs w:val="0"/>
          <w:color w:val="auto"/>
          <w:sz w:val="32"/>
          <w:szCs w:val="32"/>
          <w:lang w:val="en-US" w:eastAsia="zh-CN"/>
        </w:rPr>
        <w:t>东茅岭片区旧改环绕小龙城、中华时代广场、北辅道等老商业区周边区域，涉及到6000余户1.5万人，社会广泛关注。片区共有10个邻里、9个独立小区、7个基础配套项目，总投资3800万元。全体班子成员联点包片，组成10个党群工作组，充分调动居民理事会、业主委员会、物业公司等各方力量共同参与，居民筹资达60余万元。“零补偿”拆除违法建设1.4万平米，特别是建二小区80多处违章建筑、电信11个临街搭建门面、皮塑巷13个占道门店等难啃的硬骨头全部拆除到位。目前，所有项目已如期完工，辖区路平、灯亮、水畅、院美，消防通道全线贯通，老商业区旧貌换新颜。</w:t>
      </w:r>
    </w:p>
    <w:p w14:paraId="31C0C536">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(2)、经济指标展现新增幅。</w:t>
      </w:r>
      <w:r>
        <w:rPr>
          <w:rFonts w:hint="eastAsia" w:ascii="仿宋_GB2312" w:hAnsi="仿宋_GB2312" w:eastAsia="仿宋_GB2312" w:cs="仿宋_GB2312"/>
          <w:b w:val="0"/>
          <w:bCs w:val="0"/>
          <w:color w:val="auto"/>
          <w:sz w:val="32"/>
          <w:szCs w:val="32"/>
          <w:lang w:val="en-US" w:eastAsia="zh-CN"/>
        </w:rPr>
        <w:t>全面贯彻落实区委、区政府关于促进区域经济发展扶持奖励办法、促进高端服务业发展激励政策。开展企业联手帮扶，定期走访步步高、格兰云天、天虹广场、现代武商、康星百货等核心商圈企业，开展“送政策、解难题、优服务”系列行动，派驻企业联络员，累计帮扶解决企业发展难题20余个。全力服务重点税源企业20家，全年税收入库7308万元，超额完成目标任务，完成比例达110%。认真落实国务院和省、市、区扎实稳住经济一揽子政策措施，围绕保市场主体、稳投资、促消费，全年完成固定资产投资6.37亿元。</w:t>
      </w:r>
    </w:p>
    <w:p w14:paraId="6516A00A">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(3)、招商引资再现新成效。</w:t>
      </w:r>
      <w:r>
        <w:rPr>
          <w:rFonts w:hint="eastAsia" w:ascii="仿宋_GB2312" w:hAnsi="仿宋_GB2312" w:eastAsia="仿宋_GB2312" w:cs="仿宋_GB2312"/>
          <w:b w:val="0"/>
          <w:bCs w:val="0"/>
          <w:color w:val="auto"/>
          <w:sz w:val="32"/>
          <w:szCs w:val="32"/>
          <w:lang w:val="en-US" w:eastAsia="zh-CN"/>
        </w:rPr>
        <w:t>积极推进“湘商回归”工作，认真开展在外企业家、企业高管、科技人才、杰出青年、领导干部等核查摸底，建立湘商数据库，目前入库信息200余条，真正把迎老乡、回故乡、建家乡行动落实在商圈沃土。全力服务市城市运营集团，认真配合做好投资6000万元的小龙城数字产业园提质改造，协助引入虎牙直播、筑梦空间、好活云、礼一等行业头部企业成功入驻。认真落实“一件事一次办”，优化街道社区窗口服务，为入驻企业开辟绿色通道、提供保姆式服务。</w:t>
      </w:r>
    </w:p>
    <w:p w14:paraId="56291C55">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2、突出品质追求，城市建管精细精美</w:t>
      </w:r>
    </w:p>
    <w:p w14:paraId="42B5DCF3">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(1)、文明创建标准更高。</w:t>
      </w:r>
      <w:r>
        <w:rPr>
          <w:rFonts w:hint="eastAsia" w:ascii="仿宋_GB2312" w:hAnsi="仿宋_GB2312" w:eastAsia="仿宋_GB2312" w:cs="仿宋_GB2312"/>
          <w:b w:val="0"/>
          <w:bCs w:val="0"/>
          <w:color w:val="auto"/>
          <w:sz w:val="32"/>
          <w:szCs w:val="32"/>
          <w:lang w:val="en-US" w:eastAsia="zh-CN"/>
        </w:rPr>
        <w:t>深化文明城市建设，聚焦居民关注的城市管理领域，精准施策、长效治理。常态化整治出店经营、夜市扰民、乱停乱靠、牛皮癣、油烟污染、飞线充电等乱象，全年集中开展整治行动30余次。扎实推进炮台山、柴家山、年丰巷等3个样本社区建设，完善新时代文明实践站功能，打造了东茅岭路、炮台山路等4条示范街，高质量完成国检入户测评，为岳阳顺利通过全国文明城市复检做出了应尽的贡献。保持禁违治违高压态势，坚持抓早抓小、控点治面、铁腕拆除，以老旧小区改造为主阵地并辐射整个街道辖区，全年共拆除存量违法建设575处1.9万平米，街道作为全市禁违治违先进单位予以通报表扬。</w:t>
      </w:r>
    </w:p>
    <w:p w14:paraId="285910C5">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(2)、惠民利民服务更细。</w:t>
      </w:r>
      <w:r>
        <w:rPr>
          <w:rFonts w:hint="eastAsia" w:ascii="仿宋_GB2312" w:hAnsi="仿宋_GB2312" w:eastAsia="仿宋_GB2312" w:cs="仿宋_GB2312"/>
          <w:b w:val="0"/>
          <w:bCs w:val="0"/>
          <w:color w:val="auto"/>
          <w:sz w:val="32"/>
          <w:szCs w:val="32"/>
          <w:lang w:val="en-US" w:eastAsia="zh-CN"/>
        </w:rPr>
        <w:t>严格落实“党建+网格化”微治理工作，按照“街巷定界、无缝覆盖、因地制宜、规模适度”的原则，将6个社区划分为48个网格129个微网格，全部配备微网格员。每月开展最美网格员、最美共产党员、最美志愿者、最美环卫工人评选。大力开展“一门式”服务，广泛推广“越办越好”APP和“一件事一次办”微信小程序，全年高效处理12345工单1500起，确保“小事不出网格、矛盾不出社区”，极大地提升了服务效能。自筹资金对东茅岭社区、炮台山社区平台建设进行提质改造，服务平台、服务水平得到明显提升。深入宣传医保征缴，定目标、定进度、定人员、定责任，多形式、多渠道征缴。目前，已超额完成目标任务，征缴率达到102%，进入全区先进行列。全年办理特困家庭低保37户57人，大病救助32户，临时救助63人，免费殡葬减免服务40件，帮扶解困温暖人心。</w:t>
      </w:r>
    </w:p>
    <w:p w14:paraId="58B51A51">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(3)、环卫保洁辖区更美。</w:t>
      </w:r>
      <w:r>
        <w:rPr>
          <w:rFonts w:hint="eastAsia" w:ascii="仿宋_GB2312" w:hAnsi="仿宋_GB2312" w:eastAsia="仿宋_GB2312" w:cs="仿宋_GB2312"/>
          <w:b w:val="0"/>
          <w:bCs w:val="0"/>
          <w:color w:val="auto"/>
          <w:sz w:val="32"/>
          <w:szCs w:val="32"/>
          <w:lang w:val="en-US" w:eastAsia="zh-CN"/>
        </w:rPr>
        <w:t>始终将环境卫生作为最普惠的民生实事来抓。严格落实“三级书记”抓环卫、巡街巡查、督查考评、每周大扫除等制度，组织街道站所、社区干部、环卫工人、微网格员、志愿者等开展环境卫生大扫除230余次，共清理清运各类垃圾、杂物8600余吨，房前屋后、楼顶院中、背街小巷常态化保持清洁干净，街道多次获评环卫先进。倡导生活垃圾分类，全力推进省级示范街道创建，设置81个四分类垃圾投放亭，自建垃圾分类暂存点，覆盖68个小区。高标准打造宣教中心，每月组织居民、志愿者、辖区中小学生开展垃圾分类知识讲座，垃圾分类新风日渐形成。</w:t>
      </w:r>
    </w:p>
    <w:p w14:paraId="00015ECF">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3、聚焦风险防范，守护安全尽职尽责</w:t>
      </w:r>
    </w:p>
    <w:p w14:paraId="056BB15E">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(1)、筑牢疫情防控防线。</w:t>
      </w:r>
      <w:r>
        <w:rPr>
          <w:rFonts w:hint="eastAsia" w:ascii="仿宋_GB2312" w:hAnsi="仿宋_GB2312" w:eastAsia="仿宋_GB2312" w:cs="仿宋_GB2312"/>
          <w:color w:val="auto"/>
          <w:sz w:val="32"/>
          <w:szCs w:val="32"/>
          <w:lang w:val="en-US" w:eastAsia="zh-CN"/>
        </w:rPr>
        <w:t>我们始终把疫情防控作为最大的民生保障来抓。创造并一以贯之坚持“书记挂帅、班子下沉、专班联动、社区发力；单位协助、物业支持、居民参与、每周调度”的东茅岭防疫新模式，真正做到了事事有着落、处处防风险、人人担责任。全力冲刺疫苗接种，60岁以上人群加强针接种率排名全区第一，并在全市防疫专刊发文推荐东办经验。连续三次全员核酸检测率突破100%，排名全区前三位。数据专班全年无休连轴转，累计排查数据5万余条，确保中高风险返岳人员不漏一人，区防指多次通报表扬。对重点地区来岳人员、密切接触者、涉外回国人员实行分类管控、闭环管理，真正守护了辖区居民生命安全。</w:t>
      </w:r>
    </w:p>
    <w:p w14:paraId="55E2C1D5">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(2)、守护信访维稳底线。</w:t>
      </w:r>
      <w:r>
        <w:rPr>
          <w:rFonts w:hint="eastAsia" w:ascii="仿宋_GB2312" w:hAnsi="仿宋_GB2312" w:eastAsia="仿宋_GB2312" w:cs="仿宋_GB2312"/>
          <w:color w:val="auto"/>
          <w:sz w:val="32"/>
          <w:szCs w:val="32"/>
          <w:lang w:val="en-US" w:eastAsia="zh-CN"/>
        </w:rPr>
        <w:t>今年年段格外特殊，是信访维稳压力最大的一年。受新冠疫情、经济下行等因素影响，友阿、德赛、中华时代广场、世纪星等各类商业纠纷反复爆发、形势危急，先后有11个群体、近4000人欲到市赴省进京群访闹访；国大还建项目六年未启动，80户安置户时常聚访；联运、路桥纠纷水火不容悬而未决，等等。桩桩件件无不考验着我们的担当与智慧。越是困难越向前。为确保党的二十大、冬奥会、省运会、两会的顺利召开，我们举全街道之力，班子身先士卒，干部担当作为，不推不躲，不靠不等，夜以继日，久久为功。全年成功化解国家信访局交办的陈某某、孙某、冯某某等历史积案3件，化解荣盛东方府日照补偿、巴陵大桥拆迁纠纷</w:t>
      </w:r>
      <w:r>
        <w:rPr>
          <w:rFonts w:hint="eastAsia" w:ascii="仿宋_GB2312" w:hAnsi="仿宋_GB2312" w:eastAsia="仿宋_GB2312" w:cs="仿宋_GB2312"/>
          <w:b w:val="0"/>
          <w:bCs w:val="0"/>
          <w:color w:val="auto"/>
          <w:sz w:val="32"/>
          <w:szCs w:val="32"/>
          <w:lang w:val="en-US" w:eastAsia="zh-CN"/>
        </w:rPr>
        <w:t>等群体信访2起。一年来，德赛、中华时代、国大等重点群体稳控有力，特别是友阿群体，今年5月4日岳阳友阿公司单方面宣布缓租三个月，导致七大群体将近3000人纷纷到街道、友阿公司上访，8月底岳阳友阿公司再次宣布无期限断租，彻底引爆民愤，业主纷纷到省友阿集团上访。从今年5月至今，我们无时无刻不在维稳，耗费我们大量人力物力财力的同时，也在检验着我们的担当、能力和智慧。至目前，无一人进京非访，得到了市区</w:t>
      </w:r>
      <w:r>
        <w:rPr>
          <w:rFonts w:hint="eastAsia" w:ascii="仿宋_GB2312" w:hAnsi="仿宋_GB2312" w:eastAsia="仿宋_GB2312" w:cs="仿宋_GB2312"/>
          <w:color w:val="auto"/>
          <w:sz w:val="32"/>
          <w:szCs w:val="32"/>
          <w:lang w:val="en-US" w:eastAsia="zh-CN"/>
        </w:rPr>
        <w:t>两级高度肯定。</w:t>
      </w:r>
    </w:p>
    <w:p w14:paraId="38A0A4E7">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(3)、把住城市安全红线。</w:t>
      </w:r>
      <w:r>
        <w:rPr>
          <w:rFonts w:hint="eastAsia" w:ascii="仿宋_GB2312" w:hAnsi="仿宋_GB2312" w:eastAsia="仿宋_GB2312" w:cs="仿宋_GB2312"/>
          <w:color w:val="auto"/>
          <w:sz w:val="32"/>
          <w:szCs w:val="32"/>
          <w:lang w:val="en-US" w:eastAsia="zh-CN"/>
        </w:rPr>
        <w:t>充分吸取长沙“4.29”自建房倒塌重大事故教训，对辖区内经营性自建房地毯式摸底，共排查出房屋46栋，并组织专业机构鉴定，出具危险等级报告。其中，重大风险1处、较大风险3处，都以最快速度进行加固、拆除。对排查出的190栋非经营性自建房，召集居民宣讲政策，动员自查自改，彻底消除了危房隐患。全方位开展楼顶“扫雷”、消防保畅、燃气清查等行动16次，在东风广场、步步高商超、胡家组开展消防演练3次，处置重大安全隐患5处。</w:t>
      </w:r>
      <w:r>
        <w:rPr>
          <w:rFonts w:hint="eastAsia" w:ascii="仿宋_GB2312" w:hAnsi="仿宋_GB2312" w:eastAsia="仿宋_GB2312" w:cs="仿宋_GB2312"/>
          <w:b w:val="0"/>
          <w:bCs w:val="0"/>
          <w:color w:val="auto"/>
          <w:sz w:val="32"/>
          <w:szCs w:val="32"/>
          <w:lang w:val="en-US" w:eastAsia="zh-CN"/>
        </w:rPr>
        <w:t>持续推进禁毒、反电诈工作，全力劝返5位缅北涉诈人员，今年来，电信诈骗发案率下降26%、吸毒人员新增下降65%，东茅岭社区、炮台山社区禁毒反诈党组织建整提质工作获得市委组织部充分肯定。扎实推进常态化扫黑除恶，每周开展4次夜间综治巡逻，召开小区“警情通报会”，发案率持续下降，破案率稳步上升。</w:t>
      </w:r>
    </w:p>
    <w:p w14:paraId="67FAFADF">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4、坚守初心本色，党建引领常抓常新</w:t>
      </w:r>
    </w:p>
    <w:p w14:paraId="71E0E412">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b/>
          <w:bCs/>
          <w:color w:val="auto"/>
          <w:sz w:val="32"/>
          <w:szCs w:val="32"/>
          <w:lang w:val="en-US" w:eastAsia="zh-CN"/>
        </w:rPr>
        <w:t>(1)、学习实践，把“二十大”精神落地。</w:t>
      </w:r>
      <w:r>
        <w:rPr>
          <w:rFonts w:hint="eastAsia" w:ascii="仿宋_GB2312" w:hAnsi="仿宋_GB2312" w:eastAsia="仿宋_GB2312" w:cs="仿宋_GB2312"/>
          <w:color w:val="auto"/>
          <w:sz w:val="32"/>
          <w:szCs w:val="32"/>
          <w:lang w:val="en-US" w:eastAsia="zh-CN"/>
        </w:rPr>
        <w:t>坚持以上率下，把学习贯彻党的“二十大”精神作为首要政治任务落实、作为意识形态工作落地生根、开花结果。工委班子先后两次召开专题会议讨论，开展中心组学习，邀请专家授课。各社区、站所、股室紧密结合各自实际，扣牢“关键字”，把准“风向标”，撰写心得体会，对照精神找实践差距。深入小区、居民区和商圈支部宣讲，将“二十大”精神传到一线，教育辖区党员、员工、居民净化思想灵魂，在服务大局中坚定政治方向，在聚焦主业中担当作为。制定“我为群众办实事”清单18条，主动认领任务，积极回应群众关切，引领学习“二十大”精神走实、走深。今年来，共开展理论中心组学习14次，意识形态领域专题培训学习2次，党员集体学习35次，“格格微课”72次，政治素养不断提升。</w:t>
      </w:r>
    </w:p>
    <w:p w14:paraId="10162EEE">
      <w:pPr>
        <w:keepNext w:val="0"/>
        <w:keepLines w:val="0"/>
        <w:pageBreakBefore w:val="0"/>
        <w:widowControl w:val="0"/>
        <w:kinsoku/>
        <w:wordWrap/>
        <w:overflowPunct/>
        <w:topLinePunct w:val="0"/>
        <w:autoSpaceDE/>
        <w:autoSpaceDN/>
        <w:bidi w:val="0"/>
        <w:adjustRightInd/>
        <w:snapToGrid/>
        <w:spacing w:line="240" w:lineRule="auto"/>
        <w:ind w:firstLine="643" w:firstLineChars="200"/>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(2)、严管厚爱，用“清廉人”干事创业。</w:t>
      </w:r>
      <w:r>
        <w:rPr>
          <w:rFonts w:hint="eastAsia" w:ascii="仿宋_GB2312" w:hAnsi="仿宋_GB2312" w:eastAsia="仿宋_GB2312" w:cs="仿宋_GB2312"/>
          <w:color w:val="auto"/>
          <w:sz w:val="32"/>
          <w:szCs w:val="32"/>
          <w:lang w:val="en-US" w:eastAsia="zh-CN"/>
        </w:rPr>
        <w:t>将“作风建设年”落到实处，扎实开展“一堂廉政党课、一次清廉体验、一轮廉洁家访、一项重点整治”系列活动，整治违规收受红包礼金，接受了“清廉楼区”专项巡察，反响较好。今年来，组织开展法纪教育活动2次，下发中心工作督查通报6期、作风督查通报14期，形成了有效震慑。加大干部队伍提拔、交流力度，把真正想干事、会干事、能干成事的优秀干部用到重要岗位。今年，共调整交流干部16人，其中，提拔重用7人，形成了能者上、庸者下的正确用人导向，激发干部队伍干事创业激情。</w:t>
      </w:r>
    </w:p>
    <w:p w14:paraId="0B34553E">
      <w:pPr>
        <w:keepNext w:val="0"/>
        <w:keepLines w:val="0"/>
        <w:pageBreakBefore w:val="0"/>
        <w:widowControl w:val="0"/>
        <w:kinsoku/>
        <w:wordWrap/>
        <w:overflowPunct/>
        <w:topLinePunct w:val="0"/>
        <w:autoSpaceDE/>
        <w:autoSpaceDN/>
        <w:bidi w:val="0"/>
        <w:adjustRightInd/>
        <w:snapToGrid/>
        <w:spacing w:line="240" w:lineRule="auto"/>
        <w:ind w:firstLine="643"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lang w:val="en-US" w:eastAsia="zh-CN"/>
        </w:rPr>
        <w:t>(3)、创新抓手，建“功能型”支部服务。</w:t>
      </w:r>
      <w:r>
        <w:rPr>
          <w:rFonts w:hint="eastAsia" w:ascii="仿宋_GB2312" w:hAnsi="仿宋_GB2312" w:eastAsia="仿宋_GB2312" w:cs="仿宋_GB2312"/>
          <w:b w:val="0"/>
          <w:bCs w:val="0"/>
          <w:color w:val="auto"/>
          <w:sz w:val="32"/>
          <w:szCs w:val="32"/>
          <w:lang w:val="en-US" w:eastAsia="zh-CN"/>
        </w:rPr>
        <w:t>街道以建设功能型小区党支部为抓手，将基层治理延伸到最末端、最前沿，较好解决了服务群众“最后一公里”问题，岳阳电视台、《岳阳组织工作》专题推介。紧紧围绕打造“党建引领的战斗堡垒、和谐示范的治理单元、先锋先行的红色驿站、亲民爱民的邻里中心”的创建目标，新建功能型党支部28个，将一批志愿队伍、社会贤达、热心业主、红色能量组织起来，成为功能型党支部的主要力量。一年来，功能型党支部带头宣传党的政策、带头维护业委会权威、带头执行物业管理制度、带头推动社区中心工作、带头维护小区平安、带头倡导邻里友善、带头调解矛盾纠纷，在疫情防控、安全生产、信访维稳、文明创建等工作中发挥了至关重要的作用，居民群众纷纷点赞。</w:t>
      </w:r>
    </w:p>
    <w:p w14:paraId="36D52F6E">
      <w:pPr>
        <w:keepNext w:val="0"/>
        <w:keepLines w:val="0"/>
        <w:pageBreakBefore w:val="0"/>
        <w:widowControl w:val="0"/>
        <w:kinsoku/>
        <w:wordWrap/>
        <w:overflowPunct/>
        <w:topLinePunct w:val="0"/>
        <w:autoSpaceDE/>
        <w:autoSpaceDN/>
        <w:bidi w:val="0"/>
        <w:adjustRightInd/>
        <w:snapToGrid/>
        <w:spacing w:line="240" w:lineRule="auto"/>
        <w:ind w:firstLine="643" w:firstLineChars="200"/>
        <w:jc w:val="left"/>
        <w:textAlignment w:val="auto"/>
        <w:rPr>
          <w:rFonts w:hint="eastAsia" w:ascii="仿宋_GB2312" w:hAnsi="仿宋_GB2312" w:eastAsia="仿宋_GB2312" w:cs="仿宋_GB2312"/>
          <w:b/>
          <w:bCs/>
          <w:color w:val="auto"/>
          <w:sz w:val="32"/>
          <w:szCs w:val="32"/>
          <w:lang w:val="en-US" w:eastAsia="zh-CN"/>
        </w:rPr>
      </w:pPr>
      <w:r>
        <w:rPr>
          <w:rFonts w:hint="eastAsia" w:ascii="仿宋_GB2312" w:hAnsi="仿宋_GB2312" w:eastAsia="仿宋_GB2312" w:cs="仿宋_GB2312"/>
          <w:b/>
          <w:bCs/>
          <w:color w:val="auto"/>
          <w:sz w:val="32"/>
          <w:szCs w:val="32"/>
          <w:lang w:val="en-US" w:eastAsia="zh-CN"/>
        </w:rPr>
        <w:t>（二）部门履职效益</w:t>
      </w:r>
    </w:p>
    <w:p w14:paraId="21885EC9">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经济效益：坚持稳增长、促提升，做强街域经济。2022年以来，街道在区委区政府的领导下，扎实做好稳经济、促发展、防风险、保安全等各项工作，各项经济指标均在全区排名前列，始终围绕中心大局、发挥区位特点、坚持统筹推进，以建设更高标准的宜居街道为目标开展各项工作。</w:t>
      </w:r>
    </w:p>
    <w:p w14:paraId="5B50C8F1">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1、税收完成情况：2022年全年税收目标任务6624万元，共计完成税收入库数7308万元，超收684万元。</w:t>
      </w:r>
    </w:p>
    <w:p w14:paraId="45042628">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2、固定资产投资情况：街道全年完成固定资产投资6.37亿元。</w:t>
      </w:r>
    </w:p>
    <w:p w14:paraId="4E19355B">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3、单位固定资产情况：截止2022年12月31日本单位固定资产原值236.17万元，固定资产累计折旧120.78万元，固定资产净值115.39万元。其中土地、房屋及构筑物原值89.55万元；通用设备原值109.07万元；专用设备原值0.16万元；家具、用具、装具及动植物37.39万元。</w:t>
      </w:r>
    </w:p>
    <w:p w14:paraId="2E2EA77E">
      <w:pPr>
        <w:keepNext w:val="0"/>
        <w:keepLines w:val="0"/>
        <w:pageBreakBefore w:val="0"/>
        <w:widowControl w:val="0"/>
        <w:kinsoku/>
        <w:wordWrap/>
        <w:overflowPunct/>
        <w:topLinePunct w:val="0"/>
        <w:autoSpaceDE/>
        <w:autoSpaceDN/>
        <w:bidi w:val="0"/>
        <w:adjustRightInd/>
        <w:snapToGrid/>
        <w:spacing w:line="240" w:lineRule="auto"/>
        <w:ind w:firstLine="640" w:firstLineChars="200"/>
        <w:jc w:val="left"/>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4、“三公”经费支出情况：2022年度“三公”经费支出决算5.14万元，其中公务用车购置费及运行维护费支出决算0万元；因公出国（境）费支出决算0万元；公务接待费支出决算5.14万元。</w:t>
      </w:r>
    </w:p>
    <w:p w14:paraId="36978BDB">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（三）部门整体支出管理情况分析</w:t>
      </w:r>
      <w:r>
        <w:rPr>
          <w:rFonts w:hint="eastAsia" w:ascii="仿宋_GB2312" w:hAnsi="仿宋_GB2312" w:eastAsia="仿宋_GB2312" w:cs="仿宋_GB2312"/>
          <w:b/>
          <w:bCs/>
          <w:color w:val="000000" w:themeColor="text1"/>
          <w:spacing w:val="0"/>
          <w:position w:val="0"/>
          <w:sz w:val="32"/>
          <w:szCs w:val="32"/>
          <w:lang w:val="en-US" w:eastAsia="zh-CN"/>
          <w14:textFill>
            <w14:solidFill>
              <w14:schemeClr w14:val="tx1"/>
            </w14:solidFill>
          </w14:textFill>
        </w:rPr>
        <w:tab/>
      </w:r>
    </w:p>
    <w:p w14:paraId="0154E2E7">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b/>
          <w:bCs/>
          <w:kern w:val="0"/>
          <w:sz w:val="32"/>
          <w:szCs w:val="32"/>
          <w:lang w:val="en-US" w:eastAsia="zh-CN" w:bidi="ar-SA"/>
        </w:rPr>
        <w:t>1、严格预算支出管理，以支定收编制整体预算。</w:t>
      </w:r>
      <w:r>
        <w:rPr>
          <w:rFonts w:hint="eastAsia" w:ascii="Times New Roman" w:hAnsi="Times New Roman" w:eastAsia="仿宋_GB2312" w:cs="仿宋_GB2312"/>
          <w:kern w:val="0"/>
          <w:sz w:val="32"/>
          <w:szCs w:val="32"/>
          <w:lang w:val="en-US" w:eastAsia="zh-CN" w:bidi="ar-SA"/>
        </w:rPr>
        <w:t>人员经费按照配置定额，逐人核定编制，公用经费分大类编制，按定额编制；根据“总量控制、计划管理”的要求从严控制行政经费，压缩公务费开支。按照项目资金的规定使用财政资金，保障部门整体支出的规范化、制度化。</w:t>
      </w:r>
    </w:p>
    <w:p w14:paraId="25DAAAA1">
      <w:pPr>
        <w:keepNext w:val="0"/>
        <w:keepLines w:val="0"/>
        <w:pageBreakBefore w:val="0"/>
        <w:widowControl w:val="0"/>
        <w:kinsoku/>
        <w:wordWrap/>
        <w:overflowPunct/>
        <w:topLinePunct w:val="0"/>
        <w:autoSpaceDE/>
        <w:autoSpaceDN/>
        <w:bidi w:val="0"/>
        <w:adjustRightInd/>
        <w:snapToGrid/>
        <w:ind w:firstLine="643" w:firstLineChars="200"/>
        <w:textAlignment w:val="auto"/>
        <w:rPr>
          <w:rFonts w:ascii="宋体" w:hAnsi="Calibri" w:eastAsia="宋体" w:cs="仿宋_GB2312"/>
          <w:sz w:val="28"/>
          <w:szCs w:val="28"/>
        </w:rPr>
      </w:pPr>
      <w:r>
        <w:rPr>
          <w:rFonts w:hint="eastAsia" w:ascii="Times New Roman" w:hAnsi="Times New Roman" w:eastAsia="仿宋_GB2312" w:cs="仿宋_GB2312"/>
          <w:b/>
          <w:bCs/>
          <w:kern w:val="0"/>
          <w:sz w:val="32"/>
          <w:szCs w:val="32"/>
          <w:lang w:val="en-US" w:eastAsia="zh-CN" w:bidi="ar-SA"/>
        </w:rPr>
        <w:t>2、严格财务管理。</w:t>
      </w:r>
      <w:r>
        <w:rPr>
          <w:rFonts w:hint="eastAsia" w:ascii="Times New Roman" w:hAnsi="Times New Roman" w:eastAsia="仿宋_GB2312" w:cs="仿宋_GB2312"/>
          <w:kern w:val="0"/>
          <w:sz w:val="32"/>
          <w:szCs w:val="32"/>
          <w:lang w:val="en-US" w:eastAsia="zh-CN" w:bidi="ar-SA"/>
        </w:rPr>
        <w:t>按照国家相关法律法规，制定了机关财务收支、预算管理、资产管理、单位政府采购管理等制度，并严格按照制度管理和执行，防范风险，保证财政资金的安全和高效运行。</w:t>
      </w:r>
    </w:p>
    <w:p w14:paraId="43E6B21F">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存在的问题及原因分析</w:t>
      </w:r>
    </w:p>
    <w:p w14:paraId="511D692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单位预算绩效管理理念不强，参与度不高。自全面实施预算绩效管理以来，财政预算中的效率和效益还未受到足够重视，对财政资金的使用绩效疏于管理的情况仍然存在，单位还未从被动的“要我评价”转到主动的“我要评价”上来，阻碍了预算绩效管理在单位内部的参与度。</w:t>
      </w:r>
    </w:p>
    <w:p w14:paraId="2004D5EE">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18BEC783">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1</w:t>
      </w:r>
      <w:r>
        <w:rPr>
          <w:rFonts w:hint="eastAsia" w:eastAsia="仿宋_GB2312" w:cs="仿宋_GB2312"/>
          <w:kern w:val="0"/>
          <w:sz w:val="32"/>
          <w:szCs w:val="32"/>
          <w:lang w:val="en-US" w:eastAsia="zh-CN" w:bidi="ar-SA"/>
        </w:rPr>
        <w:t>、</w:t>
      </w:r>
      <w:r>
        <w:rPr>
          <w:rFonts w:hint="eastAsia" w:ascii="Times New Roman" w:hAnsi="Times New Roman" w:eastAsia="仿宋_GB2312" w:cs="仿宋_GB2312"/>
          <w:kern w:val="0"/>
          <w:sz w:val="32"/>
          <w:szCs w:val="32"/>
          <w:lang w:val="en-US" w:eastAsia="zh-CN" w:bidi="ar-SA"/>
        </w:rPr>
        <w:t>加大宣传力度，强化部门预算绩效管理意识。采取集中学习、培训等方式，加大对各站所预算绩效管理的培训力度，提高预算绩效管理的重要性认识，加强业务知识学习，让预算绩效管理渗透到各项资金中，发挥资金使用效益。</w:t>
      </w:r>
    </w:p>
    <w:p w14:paraId="187CCA3F">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2</w:t>
      </w:r>
      <w:r>
        <w:rPr>
          <w:rFonts w:hint="eastAsia" w:eastAsia="仿宋_GB2312" w:cs="仿宋_GB2312"/>
          <w:kern w:val="0"/>
          <w:sz w:val="32"/>
          <w:szCs w:val="32"/>
          <w:lang w:val="en-US" w:eastAsia="zh-CN" w:bidi="ar-SA"/>
        </w:rPr>
        <w:t>、</w:t>
      </w:r>
      <w:r>
        <w:rPr>
          <w:rFonts w:hint="eastAsia" w:ascii="Times New Roman" w:hAnsi="Times New Roman" w:eastAsia="仿宋_GB2312" w:cs="仿宋_GB2312"/>
          <w:kern w:val="0"/>
          <w:sz w:val="32"/>
          <w:szCs w:val="32"/>
          <w:lang w:val="en-US" w:eastAsia="zh-CN" w:bidi="ar-SA"/>
        </w:rPr>
        <w:t>在项目实施过程中，需不断改进和细化绩效目标内容及指标体系，根据工作重心作出相应调整，切实推动绩效目标任务的顺利完成。</w:t>
      </w:r>
    </w:p>
    <w:p w14:paraId="4FE3B261">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640" w:firstLineChars="20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3、初步树立绩效理念，通过开展绩效评价，我街道全体工作人员</w:t>
      </w:r>
      <w:r>
        <w:rPr>
          <w:rFonts w:hint="eastAsia" w:eastAsia="仿宋_GB2312" w:cs="仿宋_GB2312"/>
          <w:kern w:val="0"/>
          <w:sz w:val="32"/>
          <w:szCs w:val="32"/>
          <w:lang w:val="en-US" w:eastAsia="zh-CN" w:bidi="ar-SA"/>
        </w:rPr>
        <w:t>必须</w:t>
      </w:r>
      <w:r>
        <w:rPr>
          <w:rFonts w:hint="eastAsia" w:ascii="Times New Roman" w:hAnsi="Times New Roman" w:eastAsia="仿宋_GB2312" w:cs="仿宋_GB2312"/>
          <w:kern w:val="0"/>
          <w:sz w:val="32"/>
          <w:szCs w:val="32"/>
          <w:lang w:val="en-US" w:eastAsia="zh-CN" w:bidi="ar-SA"/>
        </w:rPr>
        <w:t>转变观念，开始重视支出绩效问题，由重资金争取，重过程管理，向重支出责任，重产出和结果转变。</w:t>
      </w:r>
      <w:r>
        <w:rPr>
          <w:rFonts w:hint="eastAsia" w:eastAsia="仿宋_GB2312" w:cs="仿宋_GB2312"/>
          <w:kern w:val="0"/>
          <w:sz w:val="32"/>
          <w:szCs w:val="32"/>
          <w:lang w:val="en-US" w:eastAsia="zh-CN" w:bidi="ar-SA"/>
        </w:rPr>
        <w:t>形成</w:t>
      </w:r>
      <w:r>
        <w:rPr>
          <w:rFonts w:hint="eastAsia" w:ascii="Times New Roman" w:hAnsi="Times New Roman" w:eastAsia="仿宋_GB2312" w:cs="仿宋_GB2312"/>
          <w:kern w:val="0"/>
          <w:sz w:val="32"/>
          <w:szCs w:val="32"/>
          <w:lang w:val="en-US" w:eastAsia="zh-CN" w:bidi="ar-SA"/>
        </w:rPr>
        <w:t>以提高资金使用绩效为目标、以结果为导向的管理理念。</w:t>
      </w:r>
    </w:p>
    <w:p w14:paraId="242C3410">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Times New Roman" w:hAnsi="Times New Roman" w:eastAsia="仿宋_GB2312" w:cs="仿宋_GB2312"/>
          <w:kern w:val="0"/>
          <w:sz w:val="32"/>
          <w:szCs w:val="32"/>
          <w:lang w:val="en-US" w:eastAsia="zh-CN" w:bidi="ar-SA"/>
        </w:rPr>
      </w:pPr>
      <w:r>
        <w:rPr>
          <w:rFonts w:hint="eastAsia" w:ascii="Times New Roman" w:hAnsi="Times New Roman" w:eastAsia="仿宋_GB2312" w:cs="仿宋_GB2312"/>
          <w:kern w:val="0"/>
          <w:sz w:val="32"/>
          <w:szCs w:val="32"/>
          <w:lang w:val="en-US" w:eastAsia="zh-CN" w:bidi="ar-SA"/>
        </w:rPr>
        <w:t>　　4、强化责任意识，通过设定明确可衡量的绩效目标，各部门更清楚地了解财政资金支出所要取得的社会和经济效益，其职能和目标得到进一步明确；通过绩效评价，考核各</w:t>
      </w:r>
      <w:r>
        <w:rPr>
          <w:rFonts w:hint="eastAsia" w:eastAsia="仿宋_GB2312" w:cs="仿宋_GB2312"/>
          <w:kern w:val="0"/>
          <w:sz w:val="32"/>
          <w:szCs w:val="32"/>
          <w:lang w:val="en-US" w:eastAsia="zh-CN" w:bidi="ar-SA"/>
        </w:rPr>
        <w:t>站所</w:t>
      </w:r>
      <w:r>
        <w:rPr>
          <w:rFonts w:hint="eastAsia" w:ascii="Times New Roman" w:hAnsi="Times New Roman" w:eastAsia="仿宋_GB2312" w:cs="仿宋_GB2312"/>
          <w:kern w:val="0"/>
          <w:sz w:val="32"/>
          <w:szCs w:val="32"/>
          <w:lang w:val="en-US" w:eastAsia="zh-CN" w:bidi="ar-SA"/>
        </w:rPr>
        <w:t>绩效目标实际完成情况和取得的成效，并与下年度预算安排挂钩，用财要问效，无效要问责，在一定程度上强化了单位整体和部门的财经纪律约束意识和责任意识。</w:t>
      </w:r>
    </w:p>
    <w:p w14:paraId="3C97BF0C">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23" w:lineRule="atLeast"/>
        <w:ind w:left="0" w:right="0" w:firstLine="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　　5、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14:paraId="5E46794A">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部门整体支出绩效自评结果拟应用和公开情况</w:t>
      </w:r>
    </w:p>
    <w:p w14:paraId="3DBCB89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Times New Roman" w:hAnsi="Times New Roman" w:eastAsia="仿宋_GB2312" w:cs="仿宋_GB2312"/>
          <w:kern w:val="0"/>
          <w:sz w:val="32"/>
          <w:szCs w:val="32"/>
          <w:lang w:val="en-US" w:eastAsia="zh-CN" w:bidi="ar-SA"/>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5D8E1218">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其他需要说明的情况</w:t>
      </w:r>
    </w:p>
    <w:p w14:paraId="1C1CEA7C">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auto"/>
          <w:spacing w:val="0"/>
          <w:position w:val="0"/>
          <w:sz w:val="32"/>
          <w:szCs w:val="32"/>
          <w:lang w:val="en-US" w:eastAsia="zh-CN"/>
        </w:rPr>
      </w:pPr>
      <w:r>
        <w:rPr>
          <w:rFonts w:hint="eastAsia" w:ascii="仿宋_GB2312" w:hAnsi="仿宋_GB2312" w:eastAsia="仿宋_GB2312" w:cs="仿宋_GB2312"/>
          <w:color w:val="auto"/>
          <w:spacing w:val="0"/>
          <w:position w:val="0"/>
          <w:sz w:val="32"/>
          <w:szCs w:val="32"/>
          <w:lang w:val="en-US" w:eastAsia="zh-CN"/>
        </w:rPr>
        <w:t>无</w:t>
      </w:r>
    </w:p>
    <w:p w14:paraId="70DC4396">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4F00416">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DE2D3F9">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63595E64">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7C542299">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58D5BCCF">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6DFC4826">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09C2007F">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00F01CFC">
      <w:pPr>
        <w:keepNext w:val="0"/>
        <w:keepLines w:val="0"/>
        <w:pageBreakBefore w:val="0"/>
        <w:widowControl w:val="0"/>
        <w:kinsoku/>
        <w:wordWrap/>
        <w:overflowPunct/>
        <w:topLinePunct w:val="0"/>
        <w:autoSpaceDE/>
        <w:autoSpaceDN/>
        <w:bidi w:val="0"/>
        <w:adjustRightInd/>
        <w:snapToGrid/>
        <w:spacing w:line="240" w:lineRule="auto"/>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7D4FF46E">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37338D9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51631A3B">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4AADE7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1CAE8BE4">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6DF0D70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04CECD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环卫工人工资</w:t>
            </w:r>
          </w:p>
        </w:tc>
      </w:tr>
      <w:tr w14:paraId="4A7F78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1E20387E">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04C54B1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区环卫局</w:t>
            </w:r>
          </w:p>
        </w:tc>
        <w:tc>
          <w:tcPr>
            <w:tcW w:w="1140" w:type="dxa"/>
            <w:noWrap w:val="0"/>
            <w:vAlign w:val="center"/>
          </w:tcPr>
          <w:p w14:paraId="1B51822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3B9907F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东茅岭街道办事处</w:t>
            </w:r>
          </w:p>
        </w:tc>
      </w:tr>
      <w:tr w14:paraId="501CA1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5E11A43E">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412762B9">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71E2C45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77736D0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2DD62E85">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7DF20B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7482CF9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9" w:type="dxa"/>
            <w:noWrap w:val="0"/>
            <w:vAlign w:val="center"/>
          </w:tcPr>
          <w:p w14:paraId="67B335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533B31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704BE411">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136AB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5FF7085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2AB92DE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480E615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70F72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1B744B3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B0547FA">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4FC9C6C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7D077F6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309.71</w:t>
            </w:r>
          </w:p>
        </w:tc>
        <w:tc>
          <w:tcPr>
            <w:tcW w:w="1140" w:type="dxa"/>
            <w:noWrap w:val="0"/>
            <w:vAlign w:val="center"/>
          </w:tcPr>
          <w:p w14:paraId="7114E4A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309.71</w:t>
            </w:r>
          </w:p>
        </w:tc>
        <w:tc>
          <w:tcPr>
            <w:tcW w:w="685" w:type="dxa"/>
            <w:noWrap w:val="0"/>
            <w:vAlign w:val="center"/>
          </w:tcPr>
          <w:p w14:paraId="2179E851">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32E0C5C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6C1B75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00762F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2776FC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577F08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79B00B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591D001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309.71</w:t>
            </w:r>
          </w:p>
        </w:tc>
        <w:tc>
          <w:tcPr>
            <w:tcW w:w="1140" w:type="dxa"/>
            <w:noWrap w:val="0"/>
            <w:vAlign w:val="center"/>
          </w:tcPr>
          <w:p w14:paraId="31D7A20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309.71</w:t>
            </w:r>
          </w:p>
        </w:tc>
        <w:tc>
          <w:tcPr>
            <w:tcW w:w="685" w:type="dxa"/>
            <w:noWrap w:val="0"/>
            <w:vAlign w:val="center"/>
          </w:tcPr>
          <w:p w14:paraId="1067749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99F25B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67978CD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00C42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F6C0B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9899D5D">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7D15EBD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11EFE50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29C4E7F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6CB13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1CBD7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7D0BA1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6C7A13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898BF0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36F2270">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68846BD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44EFFFC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75E19F3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2898866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1F535D9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91FA1D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387DE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5066203D">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4D00B03">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5E93C15F">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49DA263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49A96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20D680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05444E07">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1、辖区环卫工人工资发放人数≥120人</w:t>
            </w:r>
          </w:p>
          <w:p w14:paraId="129C7A58">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2、每月确保环卫工资按时正常发放</w:t>
            </w:r>
          </w:p>
          <w:p w14:paraId="488182CE">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3、总成本不超过预算金额</w:t>
            </w:r>
          </w:p>
          <w:p w14:paraId="3B01CE11">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4、优化社区环境治理</w:t>
            </w:r>
          </w:p>
          <w:p w14:paraId="444CF2E6">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default"/>
                <w:lang w:val="en-US" w:eastAsia="zh-CN"/>
              </w:rPr>
              <w:t>5、规范内部管理</w:t>
            </w:r>
          </w:p>
        </w:tc>
        <w:tc>
          <w:tcPr>
            <w:tcW w:w="3985" w:type="dxa"/>
            <w:gridSpan w:val="4"/>
            <w:noWrap w:val="0"/>
            <w:vAlign w:val="center"/>
          </w:tcPr>
          <w:p w14:paraId="0884ACB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1、辖区环卫工人工资发放人数134人</w:t>
            </w:r>
          </w:p>
          <w:p w14:paraId="287079B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2、每月20日前环卫工资足额发放</w:t>
            </w:r>
          </w:p>
          <w:p w14:paraId="00BDA12B">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3、总成本不超过预算金额309.71万元</w:t>
            </w:r>
          </w:p>
          <w:p w14:paraId="289F606A">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4、社区环境治理有效提高</w:t>
            </w:r>
          </w:p>
          <w:p w14:paraId="11C0EED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default" w:ascii="Arial" w:eastAsiaTheme="minorEastAsia"/>
                <w:color w:val="000000" w:themeColor="text1"/>
                <w:spacing w:val="0"/>
                <w:sz w:val="21"/>
                <w:szCs w:val="21"/>
                <w:lang w:val="en-US" w:eastAsia="zh-CN"/>
                <w14:textFill>
                  <w14:solidFill>
                    <w14:schemeClr w14:val="tx1"/>
                  </w14:solidFill>
                </w14:textFill>
              </w:rPr>
              <w:t>5、规范内部管理持续发展</w:t>
            </w:r>
          </w:p>
        </w:tc>
      </w:tr>
      <w:tr w14:paraId="0FC71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2CFA2FC2">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4259977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617E1A4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12C223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9" w:type="dxa"/>
            <w:noWrap w:val="0"/>
            <w:vAlign w:val="center"/>
          </w:tcPr>
          <w:p w14:paraId="7E47F8A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3FDF776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2CB460A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4FA436D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2034A7F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B546C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15235A0B">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43B16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1" w:hRule="atLeast"/>
        </w:trPr>
        <w:tc>
          <w:tcPr>
            <w:tcW w:w="1075" w:type="dxa"/>
            <w:vMerge w:val="continue"/>
            <w:tcBorders>
              <w:top w:val="nil"/>
              <w:bottom w:val="nil"/>
            </w:tcBorders>
            <w:noWrap w:val="0"/>
            <w:textDirection w:val="tbRlV"/>
            <w:vAlign w:val="center"/>
          </w:tcPr>
          <w:p w14:paraId="18B090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680C9D8">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7EB3BA1">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EAAFB00">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B6C912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0B662FD">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1CD8509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60A6B405">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5016F12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辖区</w:t>
            </w:r>
            <w:r>
              <w:rPr>
                <w:rFonts w:hint="eastAsia" w:ascii="宋体" w:hAnsi="宋体" w:eastAsia="宋体" w:cs="宋体"/>
                <w:lang w:val="en-US" w:eastAsia="zh-CN"/>
              </w:rPr>
              <w:t>环卫工人工资发放人数</w:t>
            </w:r>
          </w:p>
        </w:tc>
        <w:tc>
          <w:tcPr>
            <w:tcW w:w="979" w:type="dxa"/>
            <w:noWrap w:val="0"/>
            <w:vAlign w:val="center"/>
          </w:tcPr>
          <w:p w14:paraId="69660C9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3"/>
                <w:sz w:val="22"/>
                <w:szCs w:val="22"/>
              </w:rPr>
              <w:t>≥</w:t>
            </w:r>
            <w:r>
              <w:rPr>
                <w:rFonts w:hint="eastAsia" w:ascii="宋体" w:hAnsi="宋体" w:eastAsia="宋体" w:cs="宋体"/>
                <w:color w:val="000000"/>
                <w:spacing w:val="-3"/>
                <w:sz w:val="22"/>
                <w:szCs w:val="22"/>
                <w:lang w:val="en-US" w:eastAsia="zh-CN"/>
              </w:rPr>
              <w:t>120</w:t>
            </w:r>
            <w:r>
              <w:rPr>
                <w:rFonts w:hint="eastAsia" w:ascii="宋体" w:hAnsi="宋体" w:eastAsia="宋体" w:cs="宋体"/>
                <w:color w:val="000000"/>
                <w:spacing w:val="-4"/>
                <w:sz w:val="22"/>
                <w:szCs w:val="22"/>
              </w:rPr>
              <w:t>人</w:t>
            </w:r>
          </w:p>
        </w:tc>
        <w:tc>
          <w:tcPr>
            <w:tcW w:w="1140" w:type="dxa"/>
            <w:noWrap w:val="0"/>
            <w:vAlign w:val="center"/>
          </w:tcPr>
          <w:p w14:paraId="0478F25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134人</w:t>
            </w:r>
          </w:p>
        </w:tc>
        <w:tc>
          <w:tcPr>
            <w:tcW w:w="685" w:type="dxa"/>
            <w:noWrap w:val="0"/>
            <w:vAlign w:val="center"/>
          </w:tcPr>
          <w:p w14:paraId="1D95DE9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7D2D562">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BD1EE34">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2033E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1" w:hRule="atLeast"/>
        </w:trPr>
        <w:tc>
          <w:tcPr>
            <w:tcW w:w="1075" w:type="dxa"/>
            <w:vMerge w:val="continue"/>
            <w:tcBorders>
              <w:top w:val="nil"/>
              <w:bottom w:val="nil"/>
            </w:tcBorders>
            <w:noWrap w:val="0"/>
            <w:textDirection w:val="tbRlV"/>
            <w:vAlign w:val="center"/>
          </w:tcPr>
          <w:p w14:paraId="4D0F864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B6DB7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0A05F4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3DD36671">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每月工资发放完成率</w:t>
            </w:r>
          </w:p>
        </w:tc>
        <w:tc>
          <w:tcPr>
            <w:tcW w:w="979" w:type="dxa"/>
            <w:noWrap w:val="0"/>
            <w:vAlign w:val="center"/>
          </w:tcPr>
          <w:p w14:paraId="59BDA64F">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1140" w:type="dxa"/>
            <w:noWrap w:val="0"/>
            <w:vAlign w:val="center"/>
          </w:tcPr>
          <w:p w14:paraId="4C1A4905">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685" w:type="dxa"/>
            <w:noWrap w:val="0"/>
            <w:vAlign w:val="center"/>
          </w:tcPr>
          <w:p w14:paraId="5FAB9671">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15</w:t>
            </w:r>
          </w:p>
        </w:tc>
        <w:tc>
          <w:tcPr>
            <w:tcW w:w="795" w:type="dxa"/>
            <w:noWrap w:val="0"/>
            <w:vAlign w:val="center"/>
          </w:tcPr>
          <w:p w14:paraId="0B1CE894">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15</w:t>
            </w:r>
          </w:p>
        </w:tc>
        <w:tc>
          <w:tcPr>
            <w:tcW w:w="1365" w:type="dxa"/>
            <w:noWrap w:val="0"/>
            <w:vAlign w:val="center"/>
          </w:tcPr>
          <w:p w14:paraId="1B2B458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F74DB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1" w:hRule="atLeast"/>
        </w:trPr>
        <w:tc>
          <w:tcPr>
            <w:tcW w:w="1075" w:type="dxa"/>
            <w:vMerge w:val="continue"/>
            <w:tcBorders>
              <w:top w:val="nil"/>
              <w:bottom w:val="nil"/>
            </w:tcBorders>
            <w:noWrap w:val="0"/>
            <w:textDirection w:val="tbRlV"/>
            <w:vAlign w:val="center"/>
          </w:tcPr>
          <w:p w14:paraId="721E392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FA9FEF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526989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1A9DE8B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环卫工人工资</w:t>
            </w:r>
            <w:r>
              <w:rPr>
                <w:rFonts w:hint="eastAsia" w:ascii="宋体" w:hAnsi="宋体" w:eastAsia="宋体" w:cs="宋体"/>
                <w:color w:val="000000"/>
                <w:spacing w:val="-2"/>
                <w:sz w:val="22"/>
                <w:szCs w:val="22"/>
              </w:rPr>
              <w:t>发放</w:t>
            </w:r>
            <w:r>
              <w:rPr>
                <w:rFonts w:hint="eastAsia" w:ascii="宋体" w:hAnsi="宋体" w:eastAsia="宋体" w:cs="宋体"/>
                <w:color w:val="000000"/>
                <w:spacing w:val="-1"/>
                <w:sz w:val="22"/>
                <w:szCs w:val="22"/>
              </w:rPr>
              <w:t>及时率</w:t>
            </w:r>
          </w:p>
        </w:tc>
        <w:tc>
          <w:tcPr>
            <w:tcW w:w="979" w:type="dxa"/>
            <w:noWrap w:val="0"/>
            <w:vAlign w:val="center"/>
          </w:tcPr>
          <w:p w14:paraId="6936C41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13"/>
                <w:sz w:val="22"/>
                <w:szCs w:val="22"/>
                <w:lang w:eastAsia="zh-CN"/>
              </w:rPr>
              <w:t>每月</w:t>
            </w:r>
            <w:r>
              <w:rPr>
                <w:rFonts w:hint="eastAsia" w:ascii="宋体" w:hAnsi="宋体" w:eastAsia="宋体" w:cs="宋体"/>
                <w:spacing w:val="-6"/>
                <w:sz w:val="22"/>
                <w:szCs w:val="22"/>
                <w:lang w:eastAsia="zh-CN"/>
              </w:rPr>
              <w:t xml:space="preserve"> </w:t>
            </w:r>
            <w:r>
              <w:rPr>
                <w:rFonts w:hint="eastAsia" w:ascii="宋体" w:hAnsi="宋体" w:eastAsia="宋体" w:cs="宋体"/>
                <w:spacing w:val="-6"/>
                <w:sz w:val="22"/>
                <w:szCs w:val="22"/>
                <w:lang w:val="en-US" w:eastAsia="zh-CN"/>
              </w:rPr>
              <w:t>20</w:t>
            </w:r>
            <w:r>
              <w:rPr>
                <w:rFonts w:hint="eastAsia" w:ascii="宋体" w:hAnsi="宋体" w:eastAsia="宋体" w:cs="宋体"/>
                <w:spacing w:val="-8"/>
                <w:sz w:val="22"/>
                <w:szCs w:val="22"/>
                <w:lang w:eastAsia="zh-CN"/>
              </w:rPr>
              <w:t xml:space="preserve"> </w:t>
            </w:r>
            <w:r>
              <w:rPr>
                <w:rFonts w:hint="eastAsia" w:ascii="宋体" w:hAnsi="宋体" w:eastAsia="宋体" w:cs="宋体"/>
                <w:color w:val="000000"/>
                <w:spacing w:val="-13"/>
                <w:sz w:val="22"/>
                <w:szCs w:val="22"/>
                <w:lang w:eastAsia="zh-CN"/>
              </w:rPr>
              <w:t>日前足额发放</w:t>
            </w:r>
          </w:p>
        </w:tc>
        <w:tc>
          <w:tcPr>
            <w:tcW w:w="1140" w:type="dxa"/>
            <w:noWrap w:val="0"/>
            <w:vAlign w:val="center"/>
          </w:tcPr>
          <w:p w14:paraId="4C7EB17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定时</w:t>
            </w:r>
          </w:p>
        </w:tc>
        <w:tc>
          <w:tcPr>
            <w:tcW w:w="685" w:type="dxa"/>
            <w:noWrap w:val="0"/>
            <w:vAlign w:val="center"/>
          </w:tcPr>
          <w:p w14:paraId="2E5857C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557AAF1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15</w:t>
            </w:r>
          </w:p>
        </w:tc>
        <w:tc>
          <w:tcPr>
            <w:tcW w:w="1365" w:type="dxa"/>
            <w:noWrap w:val="0"/>
            <w:vAlign w:val="center"/>
          </w:tcPr>
          <w:p w14:paraId="5E08870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260B8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trPr>
        <w:tc>
          <w:tcPr>
            <w:tcW w:w="1075" w:type="dxa"/>
            <w:vMerge w:val="continue"/>
            <w:tcBorders>
              <w:top w:val="nil"/>
              <w:bottom w:val="nil"/>
            </w:tcBorders>
            <w:noWrap w:val="0"/>
            <w:textDirection w:val="tbRlV"/>
            <w:vAlign w:val="center"/>
          </w:tcPr>
          <w:p w14:paraId="63464D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CFAC94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E1817F5">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47CB9F83">
            <w:pPr>
              <w:keepNext w:val="0"/>
              <w:keepLines w:val="0"/>
              <w:widowControl/>
              <w:suppressLineNumbers w:val="0"/>
              <w:jc w:val="center"/>
              <w:textAlignment w:val="center"/>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总成本控制</w:t>
            </w:r>
          </w:p>
        </w:tc>
        <w:tc>
          <w:tcPr>
            <w:tcW w:w="979" w:type="dxa"/>
            <w:noWrap w:val="0"/>
            <w:vAlign w:val="center"/>
          </w:tcPr>
          <w:p w14:paraId="7C299EBB">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不超过预算金额</w:t>
            </w:r>
          </w:p>
        </w:tc>
        <w:tc>
          <w:tcPr>
            <w:tcW w:w="1140" w:type="dxa"/>
            <w:noWrap w:val="0"/>
            <w:vAlign w:val="center"/>
          </w:tcPr>
          <w:p w14:paraId="4990B31A">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309.71万元</w:t>
            </w:r>
          </w:p>
        </w:tc>
        <w:tc>
          <w:tcPr>
            <w:tcW w:w="685" w:type="dxa"/>
            <w:noWrap w:val="0"/>
            <w:vAlign w:val="center"/>
          </w:tcPr>
          <w:p w14:paraId="3BAFDA50">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795" w:type="dxa"/>
            <w:noWrap w:val="0"/>
            <w:vAlign w:val="center"/>
          </w:tcPr>
          <w:p w14:paraId="66ED77EA">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1365" w:type="dxa"/>
            <w:noWrap w:val="0"/>
            <w:vAlign w:val="center"/>
          </w:tcPr>
          <w:p w14:paraId="09B8B51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A228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6" w:hRule="atLeast"/>
        </w:trPr>
        <w:tc>
          <w:tcPr>
            <w:tcW w:w="1075" w:type="dxa"/>
            <w:vMerge w:val="continue"/>
            <w:tcBorders>
              <w:top w:val="nil"/>
              <w:bottom w:val="nil"/>
            </w:tcBorders>
            <w:noWrap w:val="0"/>
            <w:textDirection w:val="tbRlV"/>
            <w:vAlign w:val="center"/>
          </w:tcPr>
          <w:p w14:paraId="143E69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18C2182">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63C729BC">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2C5715DA">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42E2251">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688538C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7658F7E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4"/>
                <w:sz w:val="21"/>
                <w:szCs w:val="21"/>
                <w14:textFill>
                  <w14:solidFill>
                    <w14:schemeClr w14:val="tx1"/>
                  </w14:solidFill>
                </w14:textFill>
              </w:rPr>
              <w:t>经济效</w:t>
            </w:r>
          </w:p>
          <w:p w14:paraId="534A80F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0A5754A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提高居民人均收入</w:t>
            </w:r>
          </w:p>
        </w:tc>
        <w:tc>
          <w:tcPr>
            <w:tcW w:w="979" w:type="dxa"/>
            <w:noWrap w:val="0"/>
            <w:vAlign w:val="center"/>
          </w:tcPr>
          <w:p w14:paraId="431D779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2"/>
                <w:sz w:val="21"/>
                <w:szCs w:val="21"/>
              </w:rPr>
              <w:t>显著提高</w:t>
            </w:r>
          </w:p>
        </w:tc>
        <w:tc>
          <w:tcPr>
            <w:tcW w:w="1140" w:type="dxa"/>
            <w:noWrap w:val="0"/>
            <w:vAlign w:val="center"/>
          </w:tcPr>
          <w:p w14:paraId="619EBE1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显著提高</w:t>
            </w:r>
          </w:p>
        </w:tc>
        <w:tc>
          <w:tcPr>
            <w:tcW w:w="685" w:type="dxa"/>
            <w:noWrap w:val="0"/>
            <w:vAlign w:val="center"/>
          </w:tcPr>
          <w:p w14:paraId="5B0235AD">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3F48BD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ED4D53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D0F4E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7A6E018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413910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267034A">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社会效</w:t>
            </w:r>
          </w:p>
          <w:p w14:paraId="78C2979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7F2DF2D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优化了社区环境治理</w:t>
            </w:r>
          </w:p>
        </w:tc>
        <w:tc>
          <w:tcPr>
            <w:tcW w:w="979" w:type="dxa"/>
            <w:noWrap w:val="0"/>
            <w:vAlign w:val="center"/>
          </w:tcPr>
          <w:p w14:paraId="56A9149F">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有效提高</w:t>
            </w:r>
          </w:p>
        </w:tc>
        <w:tc>
          <w:tcPr>
            <w:tcW w:w="1140" w:type="dxa"/>
            <w:noWrap w:val="0"/>
            <w:vAlign w:val="center"/>
          </w:tcPr>
          <w:p w14:paraId="1DC7577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有效提高</w:t>
            </w:r>
          </w:p>
        </w:tc>
        <w:tc>
          <w:tcPr>
            <w:tcW w:w="685" w:type="dxa"/>
            <w:noWrap w:val="0"/>
            <w:vAlign w:val="center"/>
          </w:tcPr>
          <w:p w14:paraId="7125553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5CFD3F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E35C79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6915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val="0"/>
            <w:textDirection w:val="tbRlV"/>
            <w:vAlign w:val="center"/>
          </w:tcPr>
          <w:p w14:paraId="71400C2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56A629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7624B41">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可持续</w:t>
            </w:r>
          </w:p>
          <w:p w14:paraId="3EA4FFA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2F9D1372">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内部管理规范</w:t>
            </w:r>
          </w:p>
        </w:tc>
        <w:tc>
          <w:tcPr>
            <w:tcW w:w="979" w:type="dxa"/>
            <w:noWrap w:val="0"/>
            <w:vAlign w:val="center"/>
          </w:tcPr>
          <w:p w14:paraId="56AC269E">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持续发展</w:t>
            </w:r>
          </w:p>
        </w:tc>
        <w:tc>
          <w:tcPr>
            <w:tcW w:w="1140" w:type="dxa"/>
            <w:noWrap w:val="0"/>
            <w:vAlign w:val="center"/>
          </w:tcPr>
          <w:p w14:paraId="36A00352">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持续发展</w:t>
            </w:r>
          </w:p>
        </w:tc>
        <w:tc>
          <w:tcPr>
            <w:tcW w:w="685" w:type="dxa"/>
            <w:noWrap w:val="0"/>
            <w:vAlign w:val="center"/>
          </w:tcPr>
          <w:p w14:paraId="072E7EF4">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795" w:type="dxa"/>
            <w:noWrap w:val="0"/>
            <w:vAlign w:val="center"/>
          </w:tcPr>
          <w:p w14:paraId="201A0DCA">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1365" w:type="dxa"/>
            <w:noWrap w:val="0"/>
            <w:vAlign w:val="center"/>
          </w:tcPr>
          <w:p w14:paraId="51ED05F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9C59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2A849C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CF4C2EC">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518C0B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0492197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6830E9E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服务对象</w:t>
            </w:r>
          </w:p>
          <w:p w14:paraId="3AEE903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满意度</w:t>
            </w:r>
          </w:p>
          <w:p w14:paraId="2F4DE6C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5EBF74C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群众对街道、社区满意度提升</w:t>
            </w:r>
          </w:p>
        </w:tc>
        <w:tc>
          <w:tcPr>
            <w:tcW w:w="979" w:type="dxa"/>
            <w:noWrap w:val="0"/>
            <w:vAlign w:val="center"/>
          </w:tcPr>
          <w:p w14:paraId="6073E21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100%</w:t>
            </w:r>
          </w:p>
        </w:tc>
        <w:tc>
          <w:tcPr>
            <w:tcW w:w="1140" w:type="dxa"/>
            <w:noWrap w:val="0"/>
            <w:vAlign w:val="center"/>
          </w:tcPr>
          <w:p w14:paraId="774142A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themeColor="text1"/>
                <w:sz w:val="20"/>
                <w:lang w:val="en-US" w:eastAsia="zh-CN"/>
                <w14:textFill>
                  <w14:solidFill>
                    <w14:schemeClr w14:val="tx1"/>
                  </w14:solidFill>
                </w14:textFill>
              </w:rPr>
              <w:t>100%</w:t>
            </w:r>
          </w:p>
        </w:tc>
        <w:tc>
          <w:tcPr>
            <w:tcW w:w="685" w:type="dxa"/>
            <w:noWrap w:val="0"/>
            <w:vAlign w:val="center"/>
          </w:tcPr>
          <w:p w14:paraId="6720F67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59924B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FDE66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3D133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0"/>
            <w:vAlign w:val="center"/>
          </w:tcPr>
          <w:p w14:paraId="17EA4CEF">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0D8B7C7">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215B6A7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2039B3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3006E825">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葛咏也</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13575012295</w:t>
      </w:r>
      <w:r>
        <w:rPr>
          <w:rFonts w:ascii="仿宋" w:hAnsi="仿宋" w:eastAsia="仿宋" w:cs="仿宋"/>
          <w:color w:val="000000" w:themeColor="text1"/>
          <w:spacing w:val="3"/>
          <w:sz w:val="23"/>
          <w:szCs w:val="23"/>
          <w14:textFill>
            <w14:solidFill>
              <w14:schemeClr w14:val="tx1"/>
            </w14:solidFill>
          </w14:textFill>
        </w:rPr>
        <w:t xml:space="preserve">   </w:t>
      </w:r>
      <w:r>
        <w:rPr>
          <w:rFonts w:hint="eastAsia" w:ascii="仿宋" w:hAnsi="仿宋" w:eastAsia="仿宋" w:cs="仿宋"/>
          <w:color w:val="000000" w:themeColor="text1"/>
          <w:spacing w:val="3"/>
          <w:sz w:val="23"/>
          <w:szCs w:val="23"/>
          <w:lang w:val="en-US" w:eastAsia="zh-CN"/>
          <w14:textFill>
            <w14:solidFill>
              <w14:schemeClr w14:val="tx1"/>
            </w14:solidFill>
          </w14:textFill>
        </w:rPr>
        <w:t xml:space="preserve">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43FBDEB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7900A9B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79462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27E3005C">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4FCDA606">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39A9E2B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环卫工人保险</w:t>
            </w:r>
          </w:p>
        </w:tc>
      </w:tr>
      <w:tr w14:paraId="07707D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468E821C">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4C954B2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区环卫局</w:t>
            </w:r>
          </w:p>
        </w:tc>
        <w:tc>
          <w:tcPr>
            <w:tcW w:w="1140" w:type="dxa"/>
            <w:noWrap w:val="0"/>
            <w:vAlign w:val="center"/>
          </w:tcPr>
          <w:p w14:paraId="111CFCA2">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1F3D5FB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东茅岭街道办事处</w:t>
            </w:r>
          </w:p>
        </w:tc>
      </w:tr>
      <w:tr w14:paraId="4967AD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4389094A">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46E32795">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4F34852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3A1732E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5AD99DAA">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81" w:type="dxa"/>
            <w:noWrap w:val="0"/>
            <w:vAlign w:val="center"/>
          </w:tcPr>
          <w:p w14:paraId="5CF0349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943A1C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979" w:type="dxa"/>
            <w:noWrap w:val="0"/>
            <w:vAlign w:val="center"/>
          </w:tcPr>
          <w:p w14:paraId="4022995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DB5A6B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2786A20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915411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1E45CC7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1483D6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8278D3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490639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7737B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8FDC6B5">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81" w:type="dxa"/>
            <w:noWrap w:val="0"/>
            <w:vAlign w:val="center"/>
          </w:tcPr>
          <w:p w14:paraId="643B66A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39BD1AB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83.96</w:t>
            </w:r>
          </w:p>
        </w:tc>
        <w:tc>
          <w:tcPr>
            <w:tcW w:w="1140" w:type="dxa"/>
            <w:noWrap w:val="0"/>
            <w:vAlign w:val="center"/>
          </w:tcPr>
          <w:p w14:paraId="02FBBF4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83.96</w:t>
            </w:r>
          </w:p>
        </w:tc>
        <w:tc>
          <w:tcPr>
            <w:tcW w:w="685" w:type="dxa"/>
            <w:noWrap w:val="0"/>
            <w:vAlign w:val="center"/>
          </w:tcPr>
          <w:p w14:paraId="2B3C3E21">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0E8B414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31A84C4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30FA7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6F62B3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B486D6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81" w:type="dxa"/>
            <w:noWrap w:val="0"/>
            <w:vAlign w:val="center"/>
          </w:tcPr>
          <w:p w14:paraId="3F5E44E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1716EB8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83.96</w:t>
            </w:r>
          </w:p>
        </w:tc>
        <w:tc>
          <w:tcPr>
            <w:tcW w:w="1140" w:type="dxa"/>
            <w:noWrap w:val="0"/>
            <w:vAlign w:val="center"/>
          </w:tcPr>
          <w:p w14:paraId="6443208C">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83.96</w:t>
            </w:r>
          </w:p>
        </w:tc>
        <w:tc>
          <w:tcPr>
            <w:tcW w:w="685" w:type="dxa"/>
            <w:noWrap w:val="0"/>
            <w:vAlign w:val="center"/>
          </w:tcPr>
          <w:p w14:paraId="3E6BE93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DBED7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B1195D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0B0E1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D9F3E3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117565B7">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81" w:type="dxa"/>
            <w:noWrap w:val="0"/>
            <w:vAlign w:val="center"/>
          </w:tcPr>
          <w:p w14:paraId="49650C4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3F3C28B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27A3DCD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698DFA0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BDF67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9F3AE0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F9D4C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0438913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287B5DE1">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81" w:type="dxa"/>
            <w:noWrap w:val="0"/>
            <w:vAlign w:val="center"/>
          </w:tcPr>
          <w:p w14:paraId="5DD4483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979" w:type="dxa"/>
            <w:noWrap w:val="0"/>
            <w:vAlign w:val="center"/>
          </w:tcPr>
          <w:p w14:paraId="5122D3B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14A8CD0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55AF9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7CF808E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DADEBC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8538B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22C7778B">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5BA8B2A1">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465A2EAE">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06B4470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76F306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64" w:hRule="atLeast"/>
        </w:trPr>
        <w:tc>
          <w:tcPr>
            <w:tcW w:w="1075" w:type="dxa"/>
            <w:vMerge w:val="continue"/>
            <w:tcBorders>
              <w:top w:val="nil"/>
            </w:tcBorders>
            <w:noWrap w:val="0"/>
            <w:vAlign w:val="center"/>
          </w:tcPr>
          <w:p w14:paraId="7D9E76A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321F3E1E">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1、辖区环卫工人每月社会保险费缴纳人数≥60人</w:t>
            </w:r>
          </w:p>
          <w:p w14:paraId="6149A9A3">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2、每月按时缴纳环卫工人养老、医疗、工伤及失业保险</w:t>
            </w:r>
          </w:p>
          <w:p w14:paraId="459218CA">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3、总成本不超过预算金额</w:t>
            </w:r>
          </w:p>
          <w:p w14:paraId="33699771">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eastAsia"/>
                <w:lang w:val="en-US" w:eastAsia="zh-CN"/>
              </w:rPr>
            </w:pPr>
            <w:r>
              <w:rPr>
                <w:rFonts w:hint="eastAsia"/>
                <w:lang w:val="en-US" w:eastAsia="zh-CN"/>
              </w:rPr>
              <w:t>4、优化社区环境治理</w:t>
            </w:r>
          </w:p>
          <w:p w14:paraId="6C77068C">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Chars="0" w:right="0" w:rightChars="0"/>
              <w:jc w:val="left"/>
              <w:textAlignment w:val="auto"/>
              <w:rPr>
                <w:rFonts w:hint="default"/>
                <w:lang w:val="en-US" w:eastAsia="zh-CN"/>
              </w:rPr>
            </w:pPr>
            <w:r>
              <w:rPr>
                <w:rFonts w:hint="eastAsia"/>
                <w:lang w:val="en-US" w:eastAsia="zh-CN"/>
              </w:rPr>
              <w:t>5、规范内部管理</w:t>
            </w:r>
          </w:p>
        </w:tc>
        <w:tc>
          <w:tcPr>
            <w:tcW w:w="3985" w:type="dxa"/>
            <w:gridSpan w:val="4"/>
            <w:noWrap w:val="0"/>
            <w:vAlign w:val="center"/>
          </w:tcPr>
          <w:p w14:paraId="2B48C5F0">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lang w:val="en-US" w:eastAsia="zh-CN"/>
              </w:rPr>
            </w:pPr>
            <w:r>
              <w:rPr>
                <w:rFonts w:hint="eastAsia"/>
                <w:lang w:val="en-US" w:eastAsia="zh-CN"/>
              </w:rPr>
              <w:t>1、辖区环卫工人每月社会保险费缴纳人数64人</w:t>
            </w:r>
          </w:p>
          <w:p w14:paraId="35F2E89B">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lang w:val="en-US" w:eastAsia="zh-CN"/>
              </w:rPr>
            </w:pPr>
            <w:r>
              <w:rPr>
                <w:rFonts w:hint="eastAsia"/>
                <w:lang w:val="en-US" w:eastAsia="zh-CN"/>
              </w:rPr>
              <w:t>2、每月20日前及时缴纳环卫工人养老、医疗、工伤及失业保险</w:t>
            </w:r>
          </w:p>
          <w:p w14:paraId="5DF6190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lang w:val="en-US" w:eastAsia="zh-CN"/>
              </w:rPr>
            </w:pPr>
            <w:r>
              <w:rPr>
                <w:rFonts w:hint="eastAsia"/>
                <w:lang w:val="en-US" w:eastAsia="zh-CN"/>
              </w:rPr>
              <w:t>3、总成本不超过预算金额83.96万元</w:t>
            </w:r>
          </w:p>
          <w:p w14:paraId="7BDB2CDC">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lang w:val="en-US" w:eastAsia="zh-CN"/>
              </w:rPr>
            </w:pPr>
            <w:r>
              <w:rPr>
                <w:rFonts w:hint="eastAsia"/>
                <w:lang w:val="en-US" w:eastAsia="zh-CN"/>
              </w:rPr>
              <w:t>4、社区环境治理有效提高</w:t>
            </w:r>
          </w:p>
          <w:p w14:paraId="19583178">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lang w:val="en-US" w:eastAsia="zh-CN"/>
              </w:rPr>
              <w:t>5、规范内部管理持续发展</w:t>
            </w:r>
          </w:p>
        </w:tc>
      </w:tr>
      <w:tr w14:paraId="1B8D7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2F44B6E">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3EBB374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787565A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81" w:type="dxa"/>
            <w:noWrap w:val="0"/>
            <w:vAlign w:val="center"/>
          </w:tcPr>
          <w:p w14:paraId="35FE375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979" w:type="dxa"/>
            <w:noWrap w:val="0"/>
            <w:vAlign w:val="center"/>
          </w:tcPr>
          <w:p w14:paraId="52B5388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5EEDAAD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48B1669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373EB6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09FEBB5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3A9A9A8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3DA1151A">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78E6B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2" w:hRule="atLeast"/>
        </w:trPr>
        <w:tc>
          <w:tcPr>
            <w:tcW w:w="1075" w:type="dxa"/>
            <w:vMerge w:val="continue"/>
            <w:tcBorders>
              <w:top w:val="nil"/>
              <w:bottom w:val="nil"/>
            </w:tcBorders>
            <w:noWrap w:val="0"/>
            <w:textDirection w:val="tbRlV"/>
            <w:vAlign w:val="center"/>
          </w:tcPr>
          <w:p w14:paraId="05A3800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C431BAB">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744A1C6A">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0BA9961">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7AC2710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B1D2B26">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6836548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5B4BCD16">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381" w:type="dxa"/>
            <w:noWrap w:val="0"/>
            <w:vAlign w:val="center"/>
          </w:tcPr>
          <w:p w14:paraId="65D01CDA">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辖区环卫工人每月社会保险费缴纳人数</w:t>
            </w:r>
          </w:p>
        </w:tc>
        <w:tc>
          <w:tcPr>
            <w:tcW w:w="979" w:type="dxa"/>
            <w:noWrap w:val="0"/>
            <w:vAlign w:val="center"/>
          </w:tcPr>
          <w:p w14:paraId="0CAD2BE6">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2"/>
                <w:szCs w:val="22"/>
                <w:u w:val="none"/>
                <w:lang w:val="en-US" w:eastAsia="zh-CN" w:bidi="ar"/>
              </w:rPr>
              <w:t>≥60人</w:t>
            </w:r>
          </w:p>
        </w:tc>
        <w:tc>
          <w:tcPr>
            <w:tcW w:w="1140" w:type="dxa"/>
            <w:noWrap w:val="0"/>
            <w:vAlign w:val="center"/>
          </w:tcPr>
          <w:p w14:paraId="782A0D25">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0"/>
                <w:szCs w:val="20"/>
                <w:u w:val="none"/>
                <w:lang w:val="en-US" w:eastAsia="zh-CN" w:bidi="ar"/>
              </w:rPr>
              <w:t>64人</w:t>
            </w:r>
          </w:p>
        </w:tc>
        <w:tc>
          <w:tcPr>
            <w:tcW w:w="685" w:type="dxa"/>
            <w:noWrap w:val="0"/>
            <w:vAlign w:val="center"/>
          </w:tcPr>
          <w:p w14:paraId="7DB39F3D">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795" w:type="dxa"/>
            <w:noWrap w:val="0"/>
            <w:vAlign w:val="center"/>
          </w:tcPr>
          <w:p w14:paraId="0C2A7F20">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w:t>
            </w:r>
          </w:p>
        </w:tc>
        <w:tc>
          <w:tcPr>
            <w:tcW w:w="1365" w:type="dxa"/>
            <w:noWrap w:val="0"/>
            <w:vAlign w:val="center"/>
          </w:tcPr>
          <w:p w14:paraId="11D21E38">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9643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val="0"/>
            <w:textDirection w:val="tbRlV"/>
            <w:vAlign w:val="center"/>
          </w:tcPr>
          <w:p w14:paraId="58FBCC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6D87F8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482C0F6">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381" w:type="dxa"/>
            <w:noWrap w:val="0"/>
            <w:vAlign w:val="center"/>
          </w:tcPr>
          <w:p w14:paraId="6BF5065E">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每月工资发放完成率</w:t>
            </w:r>
          </w:p>
        </w:tc>
        <w:tc>
          <w:tcPr>
            <w:tcW w:w="979" w:type="dxa"/>
            <w:noWrap w:val="0"/>
            <w:vAlign w:val="center"/>
          </w:tcPr>
          <w:p w14:paraId="37AB7987">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1140" w:type="dxa"/>
            <w:noWrap w:val="0"/>
            <w:vAlign w:val="center"/>
          </w:tcPr>
          <w:p w14:paraId="06356888">
            <w:pPr>
              <w:keepNext w:val="0"/>
              <w:keepLines w:val="0"/>
              <w:widowControl/>
              <w:suppressLineNumbers w:val="0"/>
              <w:jc w:val="center"/>
              <w:textAlignment w:val="center"/>
              <w:rPr>
                <w:rFonts w:hint="eastAsia" w:ascii="宋体" w:hAnsi="宋体" w:eastAsia="宋体" w:cs="宋体"/>
                <w:color w:val="000000" w:themeColor="text1"/>
                <w:kern w:val="2"/>
                <w:sz w:val="19"/>
                <w:szCs w:val="24"/>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100%</w:t>
            </w:r>
          </w:p>
        </w:tc>
        <w:tc>
          <w:tcPr>
            <w:tcW w:w="685" w:type="dxa"/>
            <w:noWrap w:val="0"/>
            <w:vAlign w:val="center"/>
          </w:tcPr>
          <w:p w14:paraId="1A70AA78">
            <w:pPr>
              <w:keepNext w:val="0"/>
              <w:keepLines w:val="0"/>
              <w:widowControl/>
              <w:suppressLineNumbers w:val="0"/>
              <w:jc w:val="center"/>
              <w:textAlignment w:val="center"/>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15</w:t>
            </w:r>
          </w:p>
        </w:tc>
        <w:tc>
          <w:tcPr>
            <w:tcW w:w="795" w:type="dxa"/>
            <w:noWrap w:val="0"/>
            <w:vAlign w:val="center"/>
          </w:tcPr>
          <w:p w14:paraId="024AD7E6">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15</w:t>
            </w:r>
          </w:p>
        </w:tc>
        <w:tc>
          <w:tcPr>
            <w:tcW w:w="1365" w:type="dxa"/>
            <w:noWrap w:val="0"/>
            <w:vAlign w:val="center"/>
          </w:tcPr>
          <w:p w14:paraId="6E393BE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4D58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0" w:hRule="atLeast"/>
        </w:trPr>
        <w:tc>
          <w:tcPr>
            <w:tcW w:w="1075" w:type="dxa"/>
            <w:vMerge w:val="continue"/>
            <w:tcBorders>
              <w:top w:val="nil"/>
              <w:bottom w:val="nil"/>
            </w:tcBorders>
            <w:noWrap w:val="0"/>
            <w:textDirection w:val="tbRlV"/>
            <w:vAlign w:val="center"/>
          </w:tcPr>
          <w:p w14:paraId="2D321B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9F0CA6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2161025">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381" w:type="dxa"/>
            <w:noWrap w:val="0"/>
            <w:vAlign w:val="center"/>
          </w:tcPr>
          <w:p w14:paraId="072F19D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环卫工人保险每月及时缴纳率</w:t>
            </w:r>
          </w:p>
        </w:tc>
        <w:tc>
          <w:tcPr>
            <w:tcW w:w="979" w:type="dxa"/>
            <w:noWrap w:val="0"/>
            <w:vAlign w:val="center"/>
          </w:tcPr>
          <w:p w14:paraId="4278FD7C">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ascii="宋体" w:hAnsi="宋体" w:eastAsia="宋体" w:cs="宋体"/>
                <w:color w:val="000000"/>
                <w:spacing w:val="-13"/>
                <w:sz w:val="22"/>
                <w:szCs w:val="22"/>
                <w:lang w:eastAsia="zh-CN"/>
              </w:rPr>
              <w:t>每月</w:t>
            </w:r>
            <w:r>
              <w:rPr>
                <w:rFonts w:ascii="宋体" w:hAnsi="宋体" w:eastAsia="宋体" w:cs="宋体"/>
                <w:spacing w:val="-6"/>
                <w:sz w:val="22"/>
                <w:szCs w:val="22"/>
                <w:lang w:eastAsia="zh-CN"/>
              </w:rPr>
              <w:t xml:space="preserve"> </w:t>
            </w:r>
            <w:r>
              <w:rPr>
                <w:rFonts w:hint="eastAsia" w:ascii="宋体" w:hAnsi="宋体" w:eastAsia="宋体" w:cs="宋体"/>
                <w:spacing w:val="-6"/>
                <w:sz w:val="22"/>
                <w:szCs w:val="22"/>
                <w:lang w:val="en-US" w:eastAsia="zh-CN"/>
              </w:rPr>
              <w:t>20</w:t>
            </w:r>
            <w:r>
              <w:rPr>
                <w:rFonts w:ascii="宋体" w:hAnsi="宋体" w:eastAsia="宋体" w:cs="宋体"/>
                <w:spacing w:val="-8"/>
                <w:sz w:val="22"/>
                <w:szCs w:val="22"/>
                <w:lang w:eastAsia="zh-CN"/>
              </w:rPr>
              <w:t xml:space="preserve"> </w:t>
            </w:r>
            <w:r>
              <w:rPr>
                <w:rFonts w:ascii="宋体" w:hAnsi="宋体" w:eastAsia="宋体" w:cs="宋体"/>
                <w:color w:val="000000"/>
                <w:spacing w:val="-13"/>
                <w:sz w:val="22"/>
                <w:szCs w:val="22"/>
                <w:lang w:eastAsia="zh-CN"/>
              </w:rPr>
              <w:t>日前</w:t>
            </w:r>
            <w:r>
              <w:rPr>
                <w:rFonts w:hint="eastAsia" w:ascii="宋体" w:hAnsi="宋体" w:eastAsia="宋体" w:cs="宋体"/>
                <w:color w:val="000000"/>
                <w:spacing w:val="-13"/>
                <w:sz w:val="22"/>
                <w:szCs w:val="22"/>
                <w:lang w:eastAsia="zh-CN"/>
              </w:rPr>
              <w:t>及时缴纳</w:t>
            </w:r>
          </w:p>
        </w:tc>
        <w:tc>
          <w:tcPr>
            <w:tcW w:w="1140" w:type="dxa"/>
            <w:noWrap w:val="0"/>
            <w:vAlign w:val="center"/>
          </w:tcPr>
          <w:p w14:paraId="4392CB9D">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定时</w:t>
            </w:r>
          </w:p>
        </w:tc>
        <w:tc>
          <w:tcPr>
            <w:tcW w:w="685" w:type="dxa"/>
            <w:noWrap w:val="0"/>
            <w:vAlign w:val="center"/>
          </w:tcPr>
          <w:p w14:paraId="0715E1F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15</w:t>
            </w:r>
          </w:p>
        </w:tc>
        <w:tc>
          <w:tcPr>
            <w:tcW w:w="795" w:type="dxa"/>
            <w:noWrap w:val="0"/>
            <w:vAlign w:val="center"/>
          </w:tcPr>
          <w:p w14:paraId="7C83D1B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13</w:t>
            </w:r>
          </w:p>
        </w:tc>
        <w:tc>
          <w:tcPr>
            <w:tcW w:w="1365" w:type="dxa"/>
            <w:noWrap w:val="0"/>
            <w:vAlign w:val="center"/>
          </w:tcPr>
          <w:p w14:paraId="1BEA40D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5-6月社保费未及时缴纳</w:t>
            </w:r>
          </w:p>
        </w:tc>
      </w:tr>
      <w:tr w14:paraId="22CA7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8" w:hRule="atLeast"/>
        </w:trPr>
        <w:tc>
          <w:tcPr>
            <w:tcW w:w="1075" w:type="dxa"/>
            <w:vMerge w:val="continue"/>
            <w:tcBorders>
              <w:top w:val="nil"/>
              <w:bottom w:val="nil"/>
            </w:tcBorders>
            <w:noWrap w:val="0"/>
            <w:textDirection w:val="tbRlV"/>
            <w:vAlign w:val="center"/>
          </w:tcPr>
          <w:p w14:paraId="27EC12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D425D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DCB820A">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381" w:type="dxa"/>
            <w:noWrap w:val="0"/>
            <w:vAlign w:val="center"/>
          </w:tcPr>
          <w:p w14:paraId="10EF6564">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总成本控制</w:t>
            </w:r>
          </w:p>
        </w:tc>
        <w:tc>
          <w:tcPr>
            <w:tcW w:w="979" w:type="dxa"/>
            <w:noWrap w:val="0"/>
            <w:vAlign w:val="center"/>
          </w:tcPr>
          <w:p w14:paraId="35D5E0E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宋体" w:hAnsi="宋体" w:eastAsia="宋体" w:cs="宋体"/>
                <w:color w:val="000000"/>
                <w:spacing w:val="-2"/>
                <w:sz w:val="22"/>
                <w:szCs w:val="22"/>
              </w:rPr>
              <w:t>不超过预算金额</w:t>
            </w:r>
          </w:p>
        </w:tc>
        <w:tc>
          <w:tcPr>
            <w:tcW w:w="1140" w:type="dxa"/>
            <w:noWrap w:val="0"/>
            <w:vAlign w:val="center"/>
          </w:tcPr>
          <w:p w14:paraId="5F5628F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default"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83.96万元</w:t>
            </w:r>
          </w:p>
        </w:tc>
        <w:tc>
          <w:tcPr>
            <w:tcW w:w="685" w:type="dxa"/>
            <w:noWrap w:val="0"/>
            <w:vAlign w:val="center"/>
          </w:tcPr>
          <w:p w14:paraId="70E2509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CEEDF7D">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07081D2">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772A9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1075" w:type="dxa"/>
            <w:vMerge w:val="continue"/>
            <w:tcBorders>
              <w:top w:val="nil"/>
              <w:bottom w:val="nil"/>
            </w:tcBorders>
            <w:noWrap w:val="0"/>
            <w:textDirection w:val="tbRlV"/>
            <w:vAlign w:val="center"/>
          </w:tcPr>
          <w:p w14:paraId="110C96B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07CA1F51">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0677504F">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04FE88CD">
            <w:pPr>
              <w:keepNext w:val="0"/>
              <w:keepLines w:val="0"/>
              <w:pageBreakBefore w:val="0"/>
              <w:widowControl w:val="0"/>
              <w:kinsoku/>
              <w:wordWrap/>
              <w:overflowPunct/>
              <w:topLinePunct w:val="0"/>
              <w:autoSpaceDE/>
              <w:autoSpaceDN/>
              <w:bidi w:val="0"/>
              <w:adjustRightInd/>
              <w:snapToGrid/>
              <w:spacing w:line="301" w:lineRule="auto"/>
              <w:ind w:left="0" w:right="0"/>
              <w:jc w:val="both"/>
              <w:textAlignment w:val="auto"/>
              <w:rPr>
                <w:rFonts w:ascii="Arial"/>
                <w:color w:val="000000" w:themeColor="text1"/>
                <w:spacing w:val="0"/>
                <w:sz w:val="21"/>
                <w:szCs w:val="21"/>
                <w14:textFill>
                  <w14:solidFill>
                    <w14:schemeClr w14:val="tx1"/>
                  </w14:solidFill>
                </w14:textFill>
              </w:rPr>
            </w:pPr>
          </w:p>
          <w:p w14:paraId="25750644">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4FC0685D">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0B95EBE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221CA1B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45D08798">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提高居民人均收入</w:t>
            </w:r>
          </w:p>
        </w:tc>
        <w:tc>
          <w:tcPr>
            <w:tcW w:w="979" w:type="dxa"/>
            <w:noWrap w:val="0"/>
            <w:vAlign w:val="center"/>
          </w:tcPr>
          <w:p w14:paraId="13093D1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spacing w:val="-2"/>
                <w:sz w:val="21"/>
                <w:szCs w:val="21"/>
              </w:rPr>
              <w:t>显著提高</w:t>
            </w:r>
          </w:p>
        </w:tc>
        <w:tc>
          <w:tcPr>
            <w:tcW w:w="1140" w:type="dxa"/>
            <w:noWrap w:val="0"/>
            <w:vAlign w:val="center"/>
          </w:tcPr>
          <w:p w14:paraId="74E852C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显著提高</w:t>
            </w:r>
          </w:p>
        </w:tc>
        <w:tc>
          <w:tcPr>
            <w:tcW w:w="685" w:type="dxa"/>
            <w:noWrap w:val="0"/>
            <w:vAlign w:val="center"/>
          </w:tcPr>
          <w:p w14:paraId="140B668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4EA2FD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72CA258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8A807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trPr>
        <w:tc>
          <w:tcPr>
            <w:tcW w:w="1075" w:type="dxa"/>
            <w:vMerge w:val="continue"/>
            <w:tcBorders>
              <w:top w:val="nil"/>
              <w:bottom w:val="nil"/>
            </w:tcBorders>
            <w:noWrap w:val="0"/>
            <w:textDirection w:val="tbRlV"/>
            <w:vAlign w:val="center"/>
          </w:tcPr>
          <w:p w14:paraId="08A3E9C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4918614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7D7D44E1">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2F02A4A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381" w:type="dxa"/>
            <w:noWrap w:val="0"/>
            <w:vAlign w:val="center"/>
          </w:tcPr>
          <w:p w14:paraId="460FB03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优化了社区环境治理</w:t>
            </w:r>
          </w:p>
        </w:tc>
        <w:tc>
          <w:tcPr>
            <w:tcW w:w="979" w:type="dxa"/>
            <w:noWrap w:val="0"/>
            <w:vAlign w:val="center"/>
          </w:tcPr>
          <w:p w14:paraId="2E80E2EA">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有效提高</w:t>
            </w:r>
          </w:p>
        </w:tc>
        <w:tc>
          <w:tcPr>
            <w:tcW w:w="1140" w:type="dxa"/>
            <w:noWrap w:val="0"/>
            <w:vAlign w:val="center"/>
          </w:tcPr>
          <w:p w14:paraId="797DB55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有效提高</w:t>
            </w:r>
          </w:p>
        </w:tc>
        <w:tc>
          <w:tcPr>
            <w:tcW w:w="685" w:type="dxa"/>
            <w:noWrap w:val="0"/>
            <w:vAlign w:val="center"/>
          </w:tcPr>
          <w:p w14:paraId="55FEB24E">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6F76C8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040790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60DE3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2" w:hRule="atLeast"/>
        </w:trPr>
        <w:tc>
          <w:tcPr>
            <w:tcW w:w="1075" w:type="dxa"/>
            <w:vMerge w:val="continue"/>
            <w:tcBorders>
              <w:top w:val="nil"/>
              <w:bottom w:val="nil"/>
            </w:tcBorders>
            <w:noWrap w:val="0"/>
            <w:textDirection w:val="tbRlV"/>
            <w:vAlign w:val="center"/>
          </w:tcPr>
          <w:p w14:paraId="3C0464B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3A0518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E75CB50">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75E5D1AA">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381" w:type="dxa"/>
            <w:noWrap w:val="0"/>
            <w:vAlign w:val="center"/>
          </w:tcPr>
          <w:p w14:paraId="3D23456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内部管理规范</w:t>
            </w:r>
          </w:p>
        </w:tc>
        <w:tc>
          <w:tcPr>
            <w:tcW w:w="979" w:type="dxa"/>
            <w:noWrap w:val="0"/>
            <w:vAlign w:val="center"/>
          </w:tcPr>
          <w:p w14:paraId="20F5831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持续发展</w:t>
            </w:r>
          </w:p>
        </w:tc>
        <w:tc>
          <w:tcPr>
            <w:tcW w:w="1140" w:type="dxa"/>
            <w:noWrap w:val="0"/>
            <w:vAlign w:val="center"/>
          </w:tcPr>
          <w:p w14:paraId="449E4458">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Theme="minorEastAsia" w:hAnsiTheme="minorEastAsia" w:eastAsiaTheme="minorEastAsia" w:cstheme="minorEastAsia"/>
                <w:color w:val="000000" w:themeColor="text1"/>
                <w:kern w:val="2"/>
                <w:sz w:val="21"/>
                <w:szCs w:val="21"/>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持续发展</w:t>
            </w:r>
          </w:p>
        </w:tc>
        <w:tc>
          <w:tcPr>
            <w:tcW w:w="685" w:type="dxa"/>
            <w:noWrap w:val="0"/>
            <w:vAlign w:val="center"/>
          </w:tcPr>
          <w:p w14:paraId="5A63F8A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52BAE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72B4F7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1C40B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3" w:hRule="atLeast"/>
        </w:trPr>
        <w:tc>
          <w:tcPr>
            <w:tcW w:w="1075" w:type="dxa"/>
            <w:vMerge w:val="continue"/>
            <w:tcBorders>
              <w:top w:val="nil"/>
              <w:bottom w:val="nil"/>
            </w:tcBorders>
            <w:noWrap w:val="0"/>
            <w:textDirection w:val="tbRlV"/>
            <w:vAlign w:val="center"/>
          </w:tcPr>
          <w:p w14:paraId="08B1C54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540AFD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0DE054E2">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4EFF663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63ACF64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63E5A534">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697E115E">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381" w:type="dxa"/>
            <w:noWrap w:val="0"/>
            <w:vAlign w:val="center"/>
          </w:tcPr>
          <w:p w14:paraId="345F2D6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群众对街道、社区满意度提升</w:t>
            </w:r>
          </w:p>
        </w:tc>
        <w:tc>
          <w:tcPr>
            <w:tcW w:w="979" w:type="dxa"/>
            <w:noWrap w:val="0"/>
            <w:vAlign w:val="center"/>
          </w:tcPr>
          <w:p w14:paraId="45281CE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140" w:type="dxa"/>
            <w:noWrap w:val="0"/>
            <w:vAlign w:val="center"/>
          </w:tcPr>
          <w:p w14:paraId="51E92B0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Arial" w:hAnsiTheme="minorHAnsi" w:eastAsiaTheme="minorEastAsia" w:cstheme="minorBidi"/>
                <w:color w:val="000000" w:themeColor="text1"/>
                <w:kern w:val="2"/>
                <w:sz w:val="19"/>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685" w:type="dxa"/>
            <w:noWrap w:val="0"/>
            <w:vAlign w:val="center"/>
          </w:tcPr>
          <w:p w14:paraId="70FE0A2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1F73D1D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1D821BE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F5D07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6735" w:type="dxa"/>
            <w:gridSpan w:val="6"/>
            <w:noWrap w:val="0"/>
            <w:vAlign w:val="center"/>
          </w:tcPr>
          <w:p w14:paraId="66795A4B">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4A0333C0">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5144DC7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98</w:t>
            </w:r>
          </w:p>
        </w:tc>
        <w:tc>
          <w:tcPr>
            <w:tcW w:w="1365" w:type="dxa"/>
            <w:noWrap w:val="0"/>
            <w:vAlign w:val="center"/>
          </w:tcPr>
          <w:p w14:paraId="53EFC72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1FB12C60">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葛咏也</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13575012295    </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36A8755E">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0247A1F7">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9"/>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144"/>
        <w:gridCol w:w="1050"/>
        <w:gridCol w:w="685"/>
        <w:gridCol w:w="795"/>
        <w:gridCol w:w="1365"/>
      </w:tblGrid>
      <w:tr w14:paraId="167FD2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6C9FBB80">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64B52E3C">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794675D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入伍义务兵家庭优待金</w:t>
            </w:r>
          </w:p>
        </w:tc>
      </w:tr>
      <w:tr w14:paraId="2F3BBA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225A85E2">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610" w:type="dxa"/>
            <w:gridSpan w:val="4"/>
            <w:noWrap w:val="0"/>
            <w:vAlign w:val="center"/>
          </w:tcPr>
          <w:p w14:paraId="0A6AB6D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区退役军人事务局</w:t>
            </w:r>
          </w:p>
        </w:tc>
        <w:tc>
          <w:tcPr>
            <w:tcW w:w="1050" w:type="dxa"/>
            <w:noWrap w:val="0"/>
            <w:vAlign w:val="center"/>
          </w:tcPr>
          <w:p w14:paraId="4292D8E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6F727BC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eastAsia="zh-CN"/>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东茅岭街道办事处</w:t>
            </w:r>
          </w:p>
        </w:tc>
      </w:tr>
      <w:tr w14:paraId="258FB5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0E528808">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527E60DB">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31525E4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0067959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20292A92">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06" w:type="dxa"/>
            <w:noWrap w:val="0"/>
            <w:vAlign w:val="center"/>
          </w:tcPr>
          <w:p w14:paraId="45D3E19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2425B1D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4" w:type="dxa"/>
            <w:noWrap w:val="0"/>
            <w:vAlign w:val="center"/>
          </w:tcPr>
          <w:p w14:paraId="33C0743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7E11C71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050" w:type="dxa"/>
            <w:noWrap w:val="0"/>
            <w:vAlign w:val="center"/>
          </w:tcPr>
          <w:p w14:paraId="79044FF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27EF552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667A41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52F4400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1057421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4520A9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0E30FC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D2CB95B">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306" w:type="dxa"/>
            <w:noWrap w:val="0"/>
            <w:vAlign w:val="center"/>
          </w:tcPr>
          <w:p w14:paraId="5389292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5EF6E86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w:t>
            </w:r>
          </w:p>
        </w:tc>
        <w:tc>
          <w:tcPr>
            <w:tcW w:w="1050" w:type="dxa"/>
            <w:noWrap w:val="0"/>
            <w:vAlign w:val="center"/>
          </w:tcPr>
          <w:p w14:paraId="1399539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w:t>
            </w:r>
          </w:p>
        </w:tc>
        <w:tc>
          <w:tcPr>
            <w:tcW w:w="685" w:type="dxa"/>
            <w:noWrap w:val="0"/>
            <w:vAlign w:val="center"/>
          </w:tcPr>
          <w:p w14:paraId="272D3B41">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0AF2E0ED">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76961AD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r>
      <w:tr w14:paraId="3D15E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5B0DCD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F6FF89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306" w:type="dxa"/>
            <w:noWrap w:val="0"/>
            <w:vAlign w:val="center"/>
          </w:tcPr>
          <w:p w14:paraId="4C6EE59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3B53783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w:t>
            </w:r>
          </w:p>
        </w:tc>
        <w:tc>
          <w:tcPr>
            <w:tcW w:w="1050" w:type="dxa"/>
            <w:noWrap w:val="0"/>
            <w:vAlign w:val="center"/>
          </w:tcPr>
          <w:p w14:paraId="69D45DD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57</w:t>
            </w:r>
          </w:p>
        </w:tc>
        <w:tc>
          <w:tcPr>
            <w:tcW w:w="685" w:type="dxa"/>
            <w:noWrap w:val="0"/>
            <w:vAlign w:val="center"/>
          </w:tcPr>
          <w:p w14:paraId="06586DE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0321B91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149826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2352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33F018F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589D823">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306" w:type="dxa"/>
            <w:noWrap w:val="0"/>
            <w:vAlign w:val="center"/>
          </w:tcPr>
          <w:p w14:paraId="7664C42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7D32354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4A50EB9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5C12838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24C9564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305CBC8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F5F20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62898E7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AD78ACA">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306" w:type="dxa"/>
            <w:noWrap w:val="0"/>
            <w:vAlign w:val="center"/>
          </w:tcPr>
          <w:p w14:paraId="3659713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4" w:type="dxa"/>
            <w:noWrap w:val="0"/>
            <w:vAlign w:val="center"/>
          </w:tcPr>
          <w:p w14:paraId="4235052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050" w:type="dxa"/>
            <w:noWrap w:val="0"/>
            <w:vAlign w:val="center"/>
          </w:tcPr>
          <w:p w14:paraId="32680113">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0D062F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D9A3A2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19C2A32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5FD8BC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1BFEDDE9">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46A48645">
            <w:pPr>
              <w:keepNext w:val="0"/>
              <w:keepLines w:val="0"/>
              <w:pageBreakBefore w:val="0"/>
              <w:widowControl w:val="0"/>
              <w:kinsoku/>
              <w:wordWrap/>
              <w:overflowPunct/>
              <w:topLinePunct w:val="0"/>
              <w:autoSpaceDE/>
              <w:autoSpaceDN/>
              <w:bidi w:val="0"/>
              <w:adjustRightInd/>
              <w:snapToGrid/>
              <w:spacing w:line="206" w:lineRule="auto"/>
              <w:ind w:left="0" w:right="0" w:hanging="209"/>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610" w:type="dxa"/>
            <w:gridSpan w:val="4"/>
            <w:noWrap w:val="0"/>
            <w:vAlign w:val="center"/>
          </w:tcPr>
          <w:p w14:paraId="252F9E23">
            <w:pPr>
              <w:keepNext w:val="0"/>
              <w:keepLines w:val="0"/>
              <w:pageBreakBefore w:val="0"/>
              <w:widowControl w:val="0"/>
              <w:kinsoku/>
              <w:wordWrap/>
              <w:overflowPunct/>
              <w:topLinePunct w:val="0"/>
              <w:autoSpaceDE/>
              <w:autoSpaceDN/>
              <w:bidi w:val="0"/>
              <w:adjustRightInd/>
              <w:snapToGrid/>
              <w:spacing w:line="200" w:lineRule="auto"/>
              <w:ind w:left="0" w:right="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895" w:type="dxa"/>
            <w:gridSpan w:val="4"/>
            <w:noWrap w:val="0"/>
            <w:vAlign w:val="center"/>
          </w:tcPr>
          <w:p w14:paraId="4D53586C">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466C8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0" w:hRule="atLeast"/>
        </w:trPr>
        <w:tc>
          <w:tcPr>
            <w:tcW w:w="1075" w:type="dxa"/>
            <w:vMerge w:val="continue"/>
            <w:tcBorders>
              <w:top w:val="nil"/>
            </w:tcBorders>
            <w:noWrap w:val="0"/>
            <w:vAlign w:val="center"/>
          </w:tcPr>
          <w:p w14:paraId="03E7C498">
            <w:pPr>
              <w:keepNext w:val="0"/>
              <w:keepLines w:val="0"/>
              <w:pageBreakBefore w:val="0"/>
              <w:widowControl w:val="0"/>
              <w:kinsoku/>
              <w:wordWrap/>
              <w:overflowPunct/>
              <w:topLinePunct w:val="0"/>
              <w:autoSpaceDE/>
              <w:autoSpaceDN/>
              <w:bidi w:val="0"/>
              <w:adjustRightInd/>
              <w:snapToGrid/>
              <w:ind w:left="0" w:right="0"/>
              <w:jc w:val="left"/>
              <w:textAlignment w:val="auto"/>
              <w:rPr>
                <w:rFonts w:ascii="Arial"/>
                <w:color w:val="000000" w:themeColor="text1"/>
                <w:spacing w:val="0"/>
                <w:sz w:val="21"/>
                <w:szCs w:val="21"/>
                <w14:textFill>
                  <w14:solidFill>
                    <w14:schemeClr w14:val="tx1"/>
                  </w14:solidFill>
                </w14:textFill>
              </w:rPr>
            </w:pPr>
          </w:p>
        </w:tc>
        <w:tc>
          <w:tcPr>
            <w:tcW w:w="4610" w:type="dxa"/>
            <w:gridSpan w:val="4"/>
            <w:noWrap w:val="0"/>
            <w:vAlign w:val="center"/>
          </w:tcPr>
          <w:p w14:paraId="1F7D154F">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1、入伍义务兵家庭优待金发放人数≥23人</w:t>
            </w:r>
          </w:p>
          <w:p w14:paraId="4D6BE914">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2、优待金按要求发放及时</w:t>
            </w:r>
          </w:p>
          <w:p w14:paraId="5F48F269">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3、优待金发放按时效、按要求公示及时</w:t>
            </w:r>
          </w:p>
          <w:p w14:paraId="4BD14233">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4、总成本不超过预算金额</w:t>
            </w:r>
          </w:p>
          <w:p w14:paraId="45EA1807">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right="0" w:rightChars="0"/>
              <w:jc w:val="both"/>
              <w:textAlignment w:val="auto"/>
              <w:rPr>
                <w:rFonts w:hint="eastAsia"/>
                <w:lang w:val="en-US" w:eastAsia="zh-CN"/>
              </w:rPr>
            </w:pPr>
            <w:r>
              <w:rPr>
                <w:rFonts w:hint="eastAsia"/>
                <w:lang w:val="en-US" w:eastAsia="zh-CN"/>
              </w:rPr>
              <w:t>5、提升群众国防意识</w:t>
            </w:r>
          </w:p>
        </w:tc>
        <w:tc>
          <w:tcPr>
            <w:tcW w:w="3895" w:type="dxa"/>
            <w:gridSpan w:val="4"/>
            <w:noWrap w:val="0"/>
            <w:vAlign w:val="center"/>
          </w:tcPr>
          <w:p w14:paraId="66ED9C9E">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1、入伍义务兵家庭优待金发放人数23人</w:t>
            </w:r>
          </w:p>
          <w:p w14:paraId="647C265F">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2、优待金按要求发放及时</w:t>
            </w:r>
          </w:p>
          <w:p w14:paraId="5C24EBED">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3、优待金发放按时效、按要求公示及时</w:t>
            </w:r>
          </w:p>
          <w:p w14:paraId="46697913">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eastAsia" w:asciiTheme="minorHAnsi" w:eastAsiaTheme="minorEastAsia"/>
                <w:lang w:val="en-US" w:eastAsia="zh-CN"/>
              </w:rPr>
            </w:pPr>
            <w:r>
              <w:rPr>
                <w:rFonts w:hint="eastAsia" w:asciiTheme="minorHAnsi" w:eastAsiaTheme="minorEastAsia"/>
                <w:lang w:val="en-US" w:eastAsia="zh-CN"/>
              </w:rPr>
              <w:t>4、总成本不超过预算金额57万元</w:t>
            </w:r>
          </w:p>
          <w:p w14:paraId="2BC94267">
            <w:pPr>
              <w:keepNext w:val="0"/>
              <w:keepLines w:val="0"/>
              <w:pageBreakBefore w:val="0"/>
              <w:widowControl w:val="0"/>
              <w:kinsoku/>
              <w:wordWrap/>
              <w:overflowPunct/>
              <w:topLinePunct w:val="0"/>
              <w:autoSpaceDE/>
              <w:autoSpaceDN/>
              <w:bidi w:val="0"/>
              <w:adjustRightInd/>
              <w:snapToGrid/>
              <w:spacing w:line="240" w:lineRule="exact"/>
              <w:ind w:left="0" w:righ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Theme="minorHAnsi" w:eastAsiaTheme="minorEastAsia"/>
                <w:lang w:val="en-US" w:eastAsia="zh-CN"/>
              </w:rPr>
              <w:t>5、群众国防意识有效提高</w:t>
            </w:r>
          </w:p>
        </w:tc>
      </w:tr>
      <w:tr w14:paraId="34EF92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609CDADE">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64BF30E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603405D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306" w:type="dxa"/>
            <w:noWrap w:val="0"/>
            <w:vAlign w:val="center"/>
          </w:tcPr>
          <w:p w14:paraId="1425C98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44" w:type="dxa"/>
            <w:noWrap w:val="0"/>
            <w:vAlign w:val="center"/>
          </w:tcPr>
          <w:p w14:paraId="3CC2ED5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563597B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050" w:type="dxa"/>
            <w:noWrap w:val="0"/>
            <w:vAlign w:val="center"/>
          </w:tcPr>
          <w:p w14:paraId="40C337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61EC43C9">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790006E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4851A8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14644228">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3A85C5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1075" w:type="dxa"/>
            <w:vMerge w:val="continue"/>
            <w:tcBorders>
              <w:top w:val="nil"/>
              <w:bottom w:val="nil"/>
            </w:tcBorders>
            <w:noWrap w:val="0"/>
            <w:textDirection w:val="tbRlV"/>
            <w:vAlign w:val="center"/>
          </w:tcPr>
          <w:p w14:paraId="725513C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4B0409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0CCD7513">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025314EB">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6E73D97C">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771FA10">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8309024">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11EF7729">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数量指标</w:t>
            </w:r>
          </w:p>
        </w:tc>
        <w:tc>
          <w:tcPr>
            <w:tcW w:w="1306" w:type="dxa"/>
            <w:noWrap w:val="0"/>
            <w:vAlign w:val="center"/>
          </w:tcPr>
          <w:p w14:paraId="1E0B235D">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入伍义务兵家庭优待金发放人数</w:t>
            </w:r>
          </w:p>
        </w:tc>
        <w:tc>
          <w:tcPr>
            <w:tcW w:w="1144" w:type="dxa"/>
            <w:noWrap w:val="0"/>
            <w:vAlign w:val="center"/>
          </w:tcPr>
          <w:p w14:paraId="7096AE2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3"/>
                <w:sz w:val="21"/>
                <w:szCs w:val="21"/>
              </w:rPr>
              <w:t>≥</w:t>
            </w:r>
            <w:r>
              <w:rPr>
                <w:rFonts w:hint="eastAsia" w:ascii="宋体" w:hAnsi="宋体" w:eastAsia="宋体" w:cs="宋体"/>
                <w:color w:val="000000"/>
                <w:spacing w:val="-3"/>
                <w:sz w:val="21"/>
                <w:szCs w:val="21"/>
                <w:lang w:val="en-US" w:eastAsia="zh-CN"/>
              </w:rPr>
              <w:t>23</w:t>
            </w:r>
            <w:r>
              <w:rPr>
                <w:rFonts w:hint="eastAsia" w:ascii="宋体" w:hAnsi="宋体" w:eastAsia="宋体" w:cs="宋体"/>
                <w:color w:val="000000"/>
                <w:spacing w:val="-4"/>
                <w:sz w:val="21"/>
                <w:szCs w:val="21"/>
              </w:rPr>
              <w:t>人</w:t>
            </w:r>
          </w:p>
        </w:tc>
        <w:tc>
          <w:tcPr>
            <w:tcW w:w="1050" w:type="dxa"/>
            <w:noWrap w:val="0"/>
            <w:vAlign w:val="center"/>
          </w:tcPr>
          <w:p w14:paraId="7E8B8173">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23人</w:t>
            </w:r>
          </w:p>
        </w:tc>
        <w:tc>
          <w:tcPr>
            <w:tcW w:w="685" w:type="dxa"/>
            <w:noWrap w:val="0"/>
            <w:vAlign w:val="center"/>
          </w:tcPr>
          <w:p w14:paraId="7058A62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0C59D4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52E602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9B154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3" w:hRule="atLeast"/>
        </w:trPr>
        <w:tc>
          <w:tcPr>
            <w:tcW w:w="1075" w:type="dxa"/>
            <w:vMerge w:val="continue"/>
            <w:tcBorders>
              <w:top w:val="nil"/>
              <w:bottom w:val="nil"/>
            </w:tcBorders>
            <w:noWrap w:val="0"/>
            <w:textDirection w:val="tbRlV"/>
            <w:vAlign w:val="center"/>
          </w:tcPr>
          <w:p w14:paraId="444867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1FC03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20101F1">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质量指标</w:t>
            </w:r>
          </w:p>
        </w:tc>
        <w:tc>
          <w:tcPr>
            <w:tcW w:w="1306" w:type="dxa"/>
            <w:noWrap w:val="0"/>
            <w:vAlign w:val="center"/>
          </w:tcPr>
          <w:p w14:paraId="60F675F1">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入伍义务兵家庭优待金</w:t>
            </w:r>
            <w:r>
              <w:rPr>
                <w:rFonts w:hint="eastAsia" w:ascii="宋体" w:hAnsi="宋体" w:eastAsia="宋体" w:cs="宋体"/>
                <w:color w:val="000000" w:themeColor="text1"/>
                <w:spacing w:val="0"/>
                <w:sz w:val="21"/>
                <w:szCs w:val="21"/>
                <w:lang w:eastAsia="zh-CN"/>
                <w14:textFill>
                  <w14:solidFill>
                    <w14:schemeClr w14:val="tx1"/>
                  </w14:solidFill>
                </w14:textFill>
              </w:rPr>
              <w:t>发放完成率</w:t>
            </w:r>
          </w:p>
        </w:tc>
        <w:tc>
          <w:tcPr>
            <w:tcW w:w="1144" w:type="dxa"/>
            <w:noWrap w:val="0"/>
            <w:vAlign w:val="center"/>
          </w:tcPr>
          <w:p w14:paraId="4FF005B0">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100%</w:t>
            </w:r>
          </w:p>
        </w:tc>
        <w:tc>
          <w:tcPr>
            <w:tcW w:w="1050" w:type="dxa"/>
            <w:noWrap w:val="0"/>
            <w:vAlign w:val="center"/>
          </w:tcPr>
          <w:p w14:paraId="7C552291">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100%</w:t>
            </w:r>
          </w:p>
        </w:tc>
        <w:tc>
          <w:tcPr>
            <w:tcW w:w="685" w:type="dxa"/>
            <w:noWrap w:val="0"/>
            <w:vAlign w:val="center"/>
          </w:tcPr>
          <w:p w14:paraId="1014126D">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9976BE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913B153">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A2130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1075" w:type="dxa"/>
            <w:vMerge w:val="continue"/>
            <w:tcBorders>
              <w:top w:val="nil"/>
              <w:bottom w:val="nil"/>
            </w:tcBorders>
            <w:noWrap w:val="0"/>
            <w:textDirection w:val="tbRlV"/>
            <w:vAlign w:val="center"/>
          </w:tcPr>
          <w:p w14:paraId="1ADB7C0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9B4C59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6C3819A">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时效指标</w:t>
            </w:r>
          </w:p>
        </w:tc>
        <w:tc>
          <w:tcPr>
            <w:tcW w:w="1306" w:type="dxa"/>
            <w:noWrap w:val="0"/>
            <w:vAlign w:val="center"/>
          </w:tcPr>
          <w:p w14:paraId="1C2683D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优待金发放及时率</w:t>
            </w:r>
          </w:p>
        </w:tc>
        <w:tc>
          <w:tcPr>
            <w:tcW w:w="1144" w:type="dxa"/>
            <w:noWrap w:val="0"/>
            <w:vAlign w:val="center"/>
          </w:tcPr>
          <w:p w14:paraId="0AD6CA5D">
            <w:pPr>
              <w:autoSpaceDE w:val="0"/>
              <w:autoSpaceDN w:val="0"/>
              <w:spacing w:before="60"/>
              <w:ind w:left="78" w:leftChars="0"/>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2"/>
                <w:sz w:val="21"/>
                <w:szCs w:val="21"/>
                <w:lang w:eastAsia="zh-CN"/>
              </w:rPr>
              <w:t>及时</w:t>
            </w:r>
          </w:p>
        </w:tc>
        <w:tc>
          <w:tcPr>
            <w:tcW w:w="1050" w:type="dxa"/>
            <w:noWrap w:val="0"/>
            <w:vAlign w:val="center"/>
          </w:tcPr>
          <w:p w14:paraId="2127EF47">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及时</w:t>
            </w:r>
          </w:p>
        </w:tc>
        <w:tc>
          <w:tcPr>
            <w:tcW w:w="685" w:type="dxa"/>
            <w:noWrap w:val="0"/>
            <w:vAlign w:val="center"/>
          </w:tcPr>
          <w:p w14:paraId="1E76FCD0">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D256811">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4F7678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6B0D4C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9" w:hRule="atLeast"/>
        </w:trPr>
        <w:tc>
          <w:tcPr>
            <w:tcW w:w="1075" w:type="dxa"/>
            <w:vMerge w:val="continue"/>
            <w:tcBorders>
              <w:top w:val="nil"/>
              <w:bottom w:val="nil"/>
            </w:tcBorders>
            <w:noWrap w:val="0"/>
            <w:textDirection w:val="tbRlV"/>
            <w:vAlign w:val="center"/>
          </w:tcPr>
          <w:p w14:paraId="0A9657B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C028C5C">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56BA5E85">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p>
        </w:tc>
        <w:tc>
          <w:tcPr>
            <w:tcW w:w="1306" w:type="dxa"/>
            <w:noWrap w:val="0"/>
            <w:vAlign w:val="center"/>
          </w:tcPr>
          <w:p w14:paraId="37A81F7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优待金发放按时效、按要求公示</w:t>
            </w:r>
          </w:p>
        </w:tc>
        <w:tc>
          <w:tcPr>
            <w:tcW w:w="1144" w:type="dxa"/>
            <w:noWrap w:val="0"/>
            <w:vAlign w:val="center"/>
          </w:tcPr>
          <w:p w14:paraId="0C12C2C4">
            <w:pPr>
              <w:autoSpaceDE w:val="0"/>
              <w:autoSpaceDN w:val="0"/>
              <w:spacing w:before="59"/>
              <w:ind w:left="78" w:leftChars="0"/>
              <w:jc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1"/>
                <w:sz w:val="21"/>
                <w:szCs w:val="21"/>
                <w:lang w:eastAsia="zh-CN"/>
              </w:rPr>
              <w:t>及时</w:t>
            </w:r>
          </w:p>
        </w:tc>
        <w:tc>
          <w:tcPr>
            <w:tcW w:w="1050" w:type="dxa"/>
            <w:noWrap w:val="0"/>
            <w:vAlign w:val="center"/>
          </w:tcPr>
          <w:p w14:paraId="400CDF8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及时</w:t>
            </w:r>
          </w:p>
        </w:tc>
        <w:tc>
          <w:tcPr>
            <w:tcW w:w="685" w:type="dxa"/>
            <w:noWrap w:val="0"/>
            <w:vAlign w:val="center"/>
          </w:tcPr>
          <w:p w14:paraId="5389A14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0A63043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5D3D0E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7E290A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 w:hRule="atLeast"/>
        </w:trPr>
        <w:tc>
          <w:tcPr>
            <w:tcW w:w="1075" w:type="dxa"/>
            <w:vMerge w:val="continue"/>
            <w:tcBorders>
              <w:top w:val="nil"/>
              <w:bottom w:val="nil"/>
            </w:tcBorders>
            <w:noWrap w:val="0"/>
            <w:textDirection w:val="tbRlV"/>
            <w:vAlign w:val="center"/>
          </w:tcPr>
          <w:p w14:paraId="580ED10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1C86924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5F4BF6E">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成本指标</w:t>
            </w:r>
          </w:p>
        </w:tc>
        <w:tc>
          <w:tcPr>
            <w:tcW w:w="1306" w:type="dxa"/>
            <w:noWrap w:val="0"/>
            <w:vAlign w:val="center"/>
          </w:tcPr>
          <w:p w14:paraId="5DE6D7B7">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宋体" w:hAnsi="宋体" w:eastAsia="宋体" w:cs="宋体"/>
                <w:color w:val="000000" w:themeColor="text1"/>
                <w:spacing w:val="0"/>
                <w:kern w:val="2"/>
                <w:sz w:val="21"/>
                <w:szCs w:val="21"/>
                <w:lang w:val="en-US" w:eastAsia="zh-CN" w:bidi="ar-SA"/>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专项资金支出</w:t>
            </w:r>
          </w:p>
        </w:tc>
        <w:tc>
          <w:tcPr>
            <w:tcW w:w="1144" w:type="dxa"/>
            <w:noWrap w:val="0"/>
            <w:vAlign w:val="center"/>
          </w:tcPr>
          <w:p w14:paraId="60868BA9">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spacing w:val="-2"/>
                <w:sz w:val="21"/>
                <w:szCs w:val="21"/>
              </w:rPr>
              <w:t>不超过预算金额</w:t>
            </w:r>
          </w:p>
        </w:tc>
        <w:tc>
          <w:tcPr>
            <w:tcW w:w="1050" w:type="dxa"/>
            <w:noWrap w:val="0"/>
            <w:vAlign w:val="center"/>
          </w:tcPr>
          <w:p w14:paraId="1D2526C2">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57万元</w:t>
            </w:r>
          </w:p>
        </w:tc>
        <w:tc>
          <w:tcPr>
            <w:tcW w:w="685" w:type="dxa"/>
            <w:noWrap w:val="0"/>
            <w:vAlign w:val="center"/>
          </w:tcPr>
          <w:p w14:paraId="3355CD1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F2F7D83">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044289B0">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8C85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2" w:hRule="atLeast"/>
        </w:trPr>
        <w:tc>
          <w:tcPr>
            <w:tcW w:w="1075" w:type="dxa"/>
            <w:vMerge w:val="continue"/>
            <w:tcBorders>
              <w:top w:val="nil"/>
              <w:bottom w:val="nil"/>
            </w:tcBorders>
            <w:noWrap w:val="0"/>
            <w:textDirection w:val="tbRlV"/>
            <w:vAlign w:val="center"/>
          </w:tcPr>
          <w:p w14:paraId="20E663A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20CEDD0">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00FC8458">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FF409AB">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76480193">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19599B4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63EFC95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position w:val="4"/>
                <w:sz w:val="21"/>
                <w:szCs w:val="21"/>
                <w14:textFill>
                  <w14:solidFill>
                    <w14:schemeClr w14:val="tx1"/>
                  </w14:solidFill>
                </w14:textFill>
              </w:rPr>
              <w:t>经济效</w:t>
            </w:r>
          </w:p>
          <w:p w14:paraId="7ACCEB7C">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top"/>
          </w:tcPr>
          <w:p w14:paraId="05CE2566">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p>
          <w:p w14:paraId="6D6A9959">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提高居民人均收入</w:t>
            </w:r>
          </w:p>
        </w:tc>
        <w:tc>
          <w:tcPr>
            <w:tcW w:w="1144" w:type="dxa"/>
            <w:noWrap w:val="0"/>
            <w:vAlign w:val="top"/>
          </w:tcPr>
          <w:p w14:paraId="2595A43E">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p>
          <w:p w14:paraId="63C4446F">
            <w:pPr>
              <w:keepNext w:val="0"/>
              <w:keepLines w:val="0"/>
              <w:pageBreakBefore w:val="0"/>
              <w:widowControl w:val="0"/>
              <w:kinsoku/>
              <w:wordWrap/>
              <w:overflowPunct/>
              <w:topLinePunct w:val="0"/>
              <w:autoSpaceDE/>
              <w:autoSpaceDN/>
              <w:bidi w:val="0"/>
              <w:adjustRightInd/>
              <w:snapToGrid/>
              <w:spacing w:line="220" w:lineRule="exact"/>
              <w:ind w:left="0" w:leftChars="0" w:right="0" w:rightChars="0"/>
              <w:jc w:val="center"/>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显著提高</w:t>
            </w:r>
          </w:p>
        </w:tc>
        <w:tc>
          <w:tcPr>
            <w:tcW w:w="1050" w:type="dxa"/>
            <w:noWrap w:val="0"/>
            <w:vAlign w:val="center"/>
          </w:tcPr>
          <w:p w14:paraId="6CB722B4">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显著提高</w:t>
            </w:r>
          </w:p>
        </w:tc>
        <w:tc>
          <w:tcPr>
            <w:tcW w:w="685" w:type="dxa"/>
            <w:noWrap w:val="0"/>
            <w:vAlign w:val="center"/>
          </w:tcPr>
          <w:p w14:paraId="38B7C27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349EFD4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513244A">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71870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6" w:hRule="atLeast"/>
        </w:trPr>
        <w:tc>
          <w:tcPr>
            <w:tcW w:w="1075" w:type="dxa"/>
            <w:vMerge w:val="continue"/>
            <w:tcBorders>
              <w:top w:val="nil"/>
              <w:bottom w:val="nil"/>
            </w:tcBorders>
            <w:noWrap w:val="0"/>
            <w:textDirection w:val="tbRlV"/>
            <w:vAlign w:val="center"/>
          </w:tcPr>
          <w:p w14:paraId="230CCD0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576BBC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C22AED8">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社会效</w:t>
            </w:r>
          </w:p>
          <w:p w14:paraId="24BF78A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益指标</w:t>
            </w:r>
          </w:p>
        </w:tc>
        <w:tc>
          <w:tcPr>
            <w:tcW w:w="1306" w:type="dxa"/>
            <w:noWrap w:val="0"/>
            <w:vAlign w:val="center"/>
          </w:tcPr>
          <w:p w14:paraId="056CE61D">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提升了群众国防意识</w:t>
            </w:r>
          </w:p>
        </w:tc>
        <w:tc>
          <w:tcPr>
            <w:tcW w:w="1144" w:type="dxa"/>
            <w:noWrap w:val="0"/>
            <w:vAlign w:val="center"/>
          </w:tcPr>
          <w:p w14:paraId="6611CDC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有效提高</w:t>
            </w:r>
          </w:p>
        </w:tc>
        <w:tc>
          <w:tcPr>
            <w:tcW w:w="1050" w:type="dxa"/>
            <w:noWrap w:val="0"/>
            <w:vAlign w:val="center"/>
          </w:tcPr>
          <w:p w14:paraId="5E4FB9E0">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有效提高</w:t>
            </w:r>
          </w:p>
        </w:tc>
        <w:tc>
          <w:tcPr>
            <w:tcW w:w="685" w:type="dxa"/>
            <w:noWrap w:val="0"/>
            <w:vAlign w:val="center"/>
          </w:tcPr>
          <w:p w14:paraId="5650B10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72BDB9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13B21C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6C9F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55" w:hRule="atLeast"/>
        </w:trPr>
        <w:tc>
          <w:tcPr>
            <w:tcW w:w="1075" w:type="dxa"/>
            <w:vMerge w:val="continue"/>
            <w:tcBorders>
              <w:top w:val="nil"/>
              <w:bottom w:val="nil"/>
            </w:tcBorders>
            <w:noWrap w:val="0"/>
            <w:textDirection w:val="tbRlV"/>
            <w:vAlign w:val="center"/>
          </w:tcPr>
          <w:p w14:paraId="32EC415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ED0000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36EBED0F">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可持续</w:t>
            </w:r>
          </w:p>
          <w:p w14:paraId="518DBE3C">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影响指标</w:t>
            </w:r>
          </w:p>
        </w:tc>
        <w:tc>
          <w:tcPr>
            <w:tcW w:w="1306" w:type="dxa"/>
            <w:noWrap w:val="0"/>
            <w:vAlign w:val="center"/>
          </w:tcPr>
          <w:p w14:paraId="0E6C7617">
            <w:pPr>
              <w:keepNext w:val="0"/>
              <w:keepLines w:val="0"/>
              <w:widowControl/>
              <w:suppressLineNumbers w:val="0"/>
              <w:jc w:val="center"/>
              <w:textAlignment w:val="center"/>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信息化建设</w:t>
            </w:r>
          </w:p>
        </w:tc>
        <w:tc>
          <w:tcPr>
            <w:tcW w:w="1144" w:type="dxa"/>
            <w:noWrap w:val="0"/>
            <w:vAlign w:val="center"/>
          </w:tcPr>
          <w:p w14:paraId="6D919A8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持续发展</w:t>
            </w:r>
          </w:p>
        </w:tc>
        <w:tc>
          <w:tcPr>
            <w:tcW w:w="1050" w:type="dxa"/>
            <w:noWrap w:val="0"/>
            <w:vAlign w:val="center"/>
          </w:tcPr>
          <w:p w14:paraId="127D1015">
            <w:pPr>
              <w:keepNext w:val="0"/>
              <w:keepLines w:val="0"/>
              <w:widowControl/>
              <w:suppressLineNumbers w:val="0"/>
              <w:jc w:val="center"/>
              <w:textAlignment w:val="center"/>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i w:val="0"/>
                <w:iCs w:val="0"/>
                <w:color w:val="000000"/>
                <w:kern w:val="0"/>
                <w:sz w:val="21"/>
                <w:szCs w:val="21"/>
                <w:u w:val="none"/>
                <w:lang w:val="en-US" w:eastAsia="zh-CN" w:bidi="ar"/>
              </w:rPr>
              <w:t>持续发展</w:t>
            </w:r>
          </w:p>
        </w:tc>
        <w:tc>
          <w:tcPr>
            <w:tcW w:w="685" w:type="dxa"/>
            <w:noWrap w:val="0"/>
            <w:vAlign w:val="center"/>
          </w:tcPr>
          <w:p w14:paraId="2946170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5ECF782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56956E0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6E7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612835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5E7BCC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50E3D1B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6779EB1F">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2EFF2A2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服务对象</w:t>
            </w:r>
          </w:p>
          <w:p w14:paraId="2888617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满意度</w:t>
            </w:r>
          </w:p>
          <w:p w14:paraId="1CA1586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hint="eastAsia"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14:textFill>
                  <w14:solidFill>
                    <w14:schemeClr w14:val="tx1"/>
                  </w14:solidFill>
                </w14:textFill>
              </w:rPr>
              <w:t>指标</w:t>
            </w:r>
          </w:p>
        </w:tc>
        <w:tc>
          <w:tcPr>
            <w:tcW w:w="1306" w:type="dxa"/>
            <w:noWrap w:val="0"/>
            <w:vAlign w:val="center"/>
          </w:tcPr>
          <w:p w14:paraId="4D4956D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eastAsia" w:ascii="宋体" w:hAnsi="宋体" w:eastAsia="宋体" w:cs="宋体"/>
                <w:color w:val="000000" w:themeColor="text1"/>
                <w:spacing w:val="0"/>
                <w:sz w:val="21"/>
                <w:szCs w:val="21"/>
                <w:lang w:eastAsia="zh-CN"/>
                <w14:textFill>
                  <w14:solidFill>
                    <w14:schemeClr w14:val="tx1"/>
                  </w14:solidFill>
                </w14:textFill>
              </w:rPr>
            </w:pPr>
            <w:r>
              <w:rPr>
                <w:rFonts w:hint="eastAsia" w:ascii="宋体" w:hAnsi="宋体" w:eastAsia="宋体" w:cs="宋体"/>
                <w:color w:val="000000" w:themeColor="text1"/>
                <w:spacing w:val="0"/>
                <w:sz w:val="21"/>
                <w:szCs w:val="21"/>
                <w:lang w:eastAsia="zh-CN"/>
                <w14:textFill>
                  <w14:solidFill>
                    <w14:schemeClr w14:val="tx1"/>
                  </w14:solidFill>
                </w14:textFill>
              </w:rPr>
              <w:t>发放家庭对街道、社区满意度提升</w:t>
            </w:r>
          </w:p>
        </w:tc>
        <w:tc>
          <w:tcPr>
            <w:tcW w:w="1144" w:type="dxa"/>
            <w:noWrap w:val="0"/>
            <w:vAlign w:val="center"/>
          </w:tcPr>
          <w:p w14:paraId="3D80754E">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100%</w:t>
            </w:r>
          </w:p>
        </w:tc>
        <w:tc>
          <w:tcPr>
            <w:tcW w:w="1050" w:type="dxa"/>
            <w:noWrap w:val="0"/>
            <w:vAlign w:val="center"/>
          </w:tcPr>
          <w:p w14:paraId="2FED134B">
            <w:pPr>
              <w:keepNext w:val="0"/>
              <w:keepLines w:val="0"/>
              <w:pageBreakBefore w:val="0"/>
              <w:widowControl w:val="0"/>
              <w:kinsoku/>
              <w:wordWrap/>
              <w:overflowPunct/>
              <w:topLinePunct w:val="0"/>
              <w:autoSpaceDE/>
              <w:autoSpaceDN/>
              <w:bidi w:val="0"/>
              <w:adjustRightInd/>
              <w:snapToGrid/>
              <w:spacing w:line="220" w:lineRule="exact"/>
              <w:ind w:left="0" w:leftChars="0"/>
              <w:jc w:val="center"/>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sz w:val="21"/>
                <w:szCs w:val="21"/>
                <w:lang w:val="en-US" w:eastAsia="zh-CN"/>
                <w14:textFill>
                  <w14:solidFill>
                    <w14:schemeClr w14:val="tx1"/>
                  </w14:solidFill>
                </w14:textFill>
              </w:rPr>
              <w:t>100%</w:t>
            </w:r>
          </w:p>
        </w:tc>
        <w:tc>
          <w:tcPr>
            <w:tcW w:w="685" w:type="dxa"/>
            <w:noWrap w:val="0"/>
            <w:vAlign w:val="center"/>
          </w:tcPr>
          <w:p w14:paraId="3BEB2273">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7F1954E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224F9B8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AF960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5" w:hRule="atLeast"/>
        </w:trPr>
        <w:tc>
          <w:tcPr>
            <w:tcW w:w="6735" w:type="dxa"/>
            <w:gridSpan w:val="6"/>
            <w:noWrap w:val="0"/>
            <w:vAlign w:val="center"/>
          </w:tcPr>
          <w:p w14:paraId="61E4A954">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eastAsiaTheme="minor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44CF0085">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750697B9">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100</w:t>
            </w:r>
          </w:p>
        </w:tc>
        <w:tc>
          <w:tcPr>
            <w:tcW w:w="1365" w:type="dxa"/>
            <w:noWrap w:val="0"/>
            <w:vAlign w:val="center"/>
          </w:tcPr>
          <w:p w14:paraId="2EA72D6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6E097E30">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lang w:eastAsia="zh-CN"/>
          <w14:textFill>
            <w14:solidFill>
              <w14:schemeClr w14:val="tx1"/>
            </w14:solidFill>
          </w14:textFill>
        </w:rPr>
        <w:t>葛咏也</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lang w:val="en-US" w:eastAsia="zh-CN"/>
          <w14:textFill>
            <w14:solidFill>
              <w14:schemeClr w14:val="tx1"/>
            </w14:solidFill>
          </w14:textFill>
        </w:rPr>
        <w:t>13575012295</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16450BA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475D273B">
      <w:pPr>
        <w:ind w:firstLine="1440" w:firstLineChars="400"/>
        <w:jc w:val="both"/>
        <w:rPr>
          <w:rFonts w:hint="eastAsia" w:eastAsia="方正小标宋简体"/>
          <w:sz w:val="36"/>
          <w:szCs w:val="36"/>
          <w:lang w:eastAsia="zh-CN"/>
        </w:rPr>
      </w:pPr>
    </w:p>
    <w:p w14:paraId="67127035">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6"/>
        <w:tblW w:w="9510" w:type="dxa"/>
        <w:jc w:val="center"/>
        <w:tblLayout w:type="fixed"/>
        <w:tblCellMar>
          <w:top w:w="0" w:type="dxa"/>
          <w:left w:w="108" w:type="dxa"/>
          <w:bottom w:w="0" w:type="dxa"/>
          <w:right w:w="108" w:type="dxa"/>
        </w:tblCellMar>
      </w:tblPr>
      <w:tblGrid>
        <w:gridCol w:w="774"/>
        <w:gridCol w:w="1501"/>
        <w:gridCol w:w="6482"/>
        <w:gridCol w:w="753"/>
      </w:tblGrid>
      <w:tr w14:paraId="21A6210F">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5A024C04">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7117179B">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4AC3AE04">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241887F5">
            <w:pPr>
              <w:spacing w:line="240" w:lineRule="exact"/>
              <w:jc w:val="center"/>
              <w:rPr>
                <w:rFonts w:eastAsia="黑体"/>
                <w:szCs w:val="21"/>
              </w:rPr>
            </w:pPr>
            <w:r>
              <w:rPr>
                <w:rFonts w:eastAsia="黑体"/>
                <w:szCs w:val="21"/>
              </w:rPr>
              <w:t>评分</w:t>
            </w:r>
          </w:p>
        </w:tc>
      </w:tr>
      <w:tr w14:paraId="2290D1CC">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57137B96">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3B2C3059">
            <w:pPr>
              <w:spacing w:line="320" w:lineRule="exact"/>
              <w:jc w:val="center"/>
              <w:rPr>
                <w:rFonts w:hint="eastAsia" w:asciiTheme="majorEastAsia" w:hAnsiTheme="majorEastAsia" w:eastAsiaTheme="majorEastAsia" w:cstheme="majorEastAsia"/>
                <w:szCs w:val="21"/>
              </w:rPr>
            </w:pPr>
          </w:p>
          <w:p w14:paraId="73662A07">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68F73BB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7E8665A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60520776">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6011017A">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717F9BF9">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E1A02B7">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689CAFF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7B1275C6">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37DE958B">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3CFD10D6">
            <w:pPr>
              <w:spacing w:line="240" w:lineRule="exact"/>
              <w:rPr>
                <w:rFonts w:hint="eastAsia" w:asciiTheme="majorEastAsia" w:hAnsiTheme="majorEastAsia" w:eastAsiaTheme="majorEastAsia" w:cstheme="majorEastAsia"/>
                <w:szCs w:val="21"/>
              </w:rPr>
            </w:pPr>
          </w:p>
        </w:tc>
      </w:tr>
      <w:tr w14:paraId="03C4D0B4">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02E01C03">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3624AC9E">
            <w:pPr>
              <w:spacing w:line="240" w:lineRule="exact"/>
              <w:jc w:val="center"/>
              <w:rPr>
                <w:rFonts w:hint="eastAsia" w:asciiTheme="majorEastAsia" w:hAnsiTheme="majorEastAsia" w:eastAsiaTheme="majorEastAsia" w:cstheme="majorEastAsia"/>
                <w:szCs w:val="21"/>
              </w:rPr>
            </w:pPr>
          </w:p>
          <w:p w14:paraId="6EF630DE">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3C1D1E6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22E68EF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067824C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0E4CEB3F">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25BDDAA3">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59C7A151">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02C09E72">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A176B72">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6C7A0F3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0972978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5C1A694D">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5A676630">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206F228A">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23F75121">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905CEA1">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1A58328">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3B10CA5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55E044E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4551F18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598B3392">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CDDC2FB">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3AA9DC8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86EE7E3">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76DA856B">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5936C99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01816D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5C3A173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1E30EC2B">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0C1CD7FD">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6107BCC">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273E6C95">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4C62FF7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6E85DDCF">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7DC29057">
            <w:pPr>
              <w:spacing w:line="240" w:lineRule="exact"/>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3DA28BE7">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498562">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77FD80">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D77FD80">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08220E"/>
    <w:multiLevelType w:val="singleLevel"/>
    <w:tmpl w:val="AD08220E"/>
    <w:lvl w:ilvl="0" w:tentative="0">
      <w:start w:val="5"/>
      <w:numFmt w:val="chineseCounting"/>
      <w:suff w:val="nothing"/>
      <w:lvlText w:val="%1、"/>
      <w:lvlJc w:val="left"/>
      <w:rPr>
        <w:rFonts w:hint="eastAsia"/>
      </w:rPr>
    </w:lvl>
  </w:abstractNum>
  <w:abstractNum w:abstractNumId="1">
    <w:nsid w:val="0F2EE473"/>
    <w:multiLevelType w:val="singleLevel"/>
    <w:tmpl w:val="0F2EE473"/>
    <w:lvl w:ilvl="0" w:tentative="0">
      <w:start w:val="1"/>
      <w:numFmt w:val="chineseCounting"/>
      <w:lvlText w:val="(%1)"/>
      <w:lvlJc w:val="left"/>
      <w:pPr>
        <w:tabs>
          <w:tab w:val="left" w:pos="312"/>
        </w:tabs>
      </w:pPr>
      <w:rPr>
        <w:rFonts w:hint="eastAsia"/>
      </w:rPr>
    </w:lvl>
  </w:abstractNum>
  <w:abstractNum w:abstractNumId="2">
    <w:nsid w:val="386941EB"/>
    <w:multiLevelType w:val="singleLevel"/>
    <w:tmpl w:val="386941EB"/>
    <w:lvl w:ilvl="0" w:tentative="0">
      <w:start w:val="1"/>
      <w:numFmt w:val="chineseCounting"/>
      <w:suff w:val="nothing"/>
      <w:lvlText w:val="%1、"/>
      <w:lvlJc w:val="left"/>
      <w:rPr>
        <w:rFonts w:hint="eastAsia"/>
      </w:rPr>
    </w:lvl>
  </w:abstractNum>
  <w:abstractNum w:abstractNumId="3">
    <w:nsid w:val="4E75904A"/>
    <w:multiLevelType w:val="singleLevel"/>
    <w:tmpl w:val="4E75904A"/>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0YjZlZGI4ZGFhODk1ZDdlY2NkMGYwNzkyZjU1MTMifQ=="/>
  </w:docVars>
  <w:rsids>
    <w:rsidRoot w:val="53FC3987"/>
    <w:rsid w:val="000A3765"/>
    <w:rsid w:val="001D7282"/>
    <w:rsid w:val="0039081D"/>
    <w:rsid w:val="003F509F"/>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4266E"/>
    <w:rsid w:val="01192786"/>
    <w:rsid w:val="01201E6A"/>
    <w:rsid w:val="012D57C0"/>
    <w:rsid w:val="01457029"/>
    <w:rsid w:val="014900E3"/>
    <w:rsid w:val="014F5749"/>
    <w:rsid w:val="01521E95"/>
    <w:rsid w:val="016F05B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41C78"/>
    <w:rsid w:val="02656E75"/>
    <w:rsid w:val="027431E5"/>
    <w:rsid w:val="02AD69E6"/>
    <w:rsid w:val="02B544DB"/>
    <w:rsid w:val="02CB5D99"/>
    <w:rsid w:val="02EA2662"/>
    <w:rsid w:val="02F61D91"/>
    <w:rsid w:val="02FC4679"/>
    <w:rsid w:val="02FE5E0A"/>
    <w:rsid w:val="0347190C"/>
    <w:rsid w:val="034760CE"/>
    <w:rsid w:val="03487959"/>
    <w:rsid w:val="03505BE1"/>
    <w:rsid w:val="036A1510"/>
    <w:rsid w:val="036D41A2"/>
    <w:rsid w:val="037F229C"/>
    <w:rsid w:val="03891C2D"/>
    <w:rsid w:val="03911277"/>
    <w:rsid w:val="039A540B"/>
    <w:rsid w:val="03BD010E"/>
    <w:rsid w:val="03D459D1"/>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258FF"/>
    <w:rsid w:val="04AC07A1"/>
    <w:rsid w:val="04C63115"/>
    <w:rsid w:val="04CA6664"/>
    <w:rsid w:val="04CF5236"/>
    <w:rsid w:val="04CF5AF0"/>
    <w:rsid w:val="04D24FF1"/>
    <w:rsid w:val="04DD6FA9"/>
    <w:rsid w:val="04DE1BAB"/>
    <w:rsid w:val="04E411E4"/>
    <w:rsid w:val="04F01EE9"/>
    <w:rsid w:val="04F37BBA"/>
    <w:rsid w:val="05085366"/>
    <w:rsid w:val="05145F64"/>
    <w:rsid w:val="054037EF"/>
    <w:rsid w:val="054E7FFF"/>
    <w:rsid w:val="05546B50"/>
    <w:rsid w:val="05621117"/>
    <w:rsid w:val="058C5045"/>
    <w:rsid w:val="059C7C89"/>
    <w:rsid w:val="05A50C70"/>
    <w:rsid w:val="05B525CA"/>
    <w:rsid w:val="05C4448F"/>
    <w:rsid w:val="05CF1AFF"/>
    <w:rsid w:val="05E616EC"/>
    <w:rsid w:val="05ED2C01"/>
    <w:rsid w:val="06007F0A"/>
    <w:rsid w:val="06146BAF"/>
    <w:rsid w:val="06286BB6"/>
    <w:rsid w:val="06405E9C"/>
    <w:rsid w:val="064D5380"/>
    <w:rsid w:val="064E0F6B"/>
    <w:rsid w:val="06617309"/>
    <w:rsid w:val="06650E6A"/>
    <w:rsid w:val="06854A05"/>
    <w:rsid w:val="068B5259"/>
    <w:rsid w:val="06986D10"/>
    <w:rsid w:val="06A14716"/>
    <w:rsid w:val="06BC02D5"/>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47AA7"/>
    <w:rsid w:val="08A91E6C"/>
    <w:rsid w:val="08BA1B19"/>
    <w:rsid w:val="08D059DD"/>
    <w:rsid w:val="08DC08E7"/>
    <w:rsid w:val="092D1C9E"/>
    <w:rsid w:val="092D54BA"/>
    <w:rsid w:val="09377E5E"/>
    <w:rsid w:val="09383E9F"/>
    <w:rsid w:val="0939426E"/>
    <w:rsid w:val="09504F8C"/>
    <w:rsid w:val="09616470"/>
    <w:rsid w:val="096C1793"/>
    <w:rsid w:val="096C1F5A"/>
    <w:rsid w:val="096C76C1"/>
    <w:rsid w:val="09906B28"/>
    <w:rsid w:val="09912E95"/>
    <w:rsid w:val="099C1A23"/>
    <w:rsid w:val="09A8426B"/>
    <w:rsid w:val="09A948AF"/>
    <w:rsid w:val="09AC2A76"/>
    <w:rsid w:val="09B04837"/>
    <w:rsid w:val="09C95891"/>
    <w:rsid w:val="09CB2903"/>
    <w:rsid w:val="09D8005F"/>
    <w:rsid w:val="0A002E0D"/>
    <w:rsid w:val="0A140987"/>
    <w:rsid w:val="0A241A5C"/>
    <w:rsid w:val="0A2E3566"/>
    <w:rsid w:val="0A393280"/>
    <w:rsid w:val="0A3B3C06"/>
    <w:rsid w:val="0A5F2F6C"/>
    <w:rsid w:val="0A670B4E"/>
    <w:rsid w:val="0A851E03"/>
    <w:rsid w:val="0A985A6F"/>
    <w:rsid w:val="0AA808AF"/>
    <w:rsid w:val="0AB6070E"/>
    <w:rsid w:val="0ABD142C"/>
    <w:rsid w:val="0AC644AE"/>
    <w:rsid w:val="0ACB61B4"/>
    <w:rsid w:val="0ACD4157"/>
    <w:rsid w:val="0AE61DC4"/>
    <w:rsid w:val="0AE964B0"/>
    <w:rsid w:val="0B163034"/>
    <w:rsid w:val="0B1F5B6D"/>
    <w:rsid w:val="0B2F4AF7"/>
    <w:rsid w:val="0B3312B6"/>
    <w:rsid w:val="0B4064B3"/>
    <w:rsid w:val="0B6E529C"/>
    <w:rsid w:val="0B70029B"/>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1E7688"/>
    <w:rsid w:val="0D280615"/>
    <w:rsid w:val="0D2C07EB"/>
    <w:rsid w:val="0D2F57DE"/>
    <w:rsid w:val="0D353632"/>
    <w:rsid w:val="0D392C4E"/>
    <w:rsid w:val="0D482FA9"/>
    <w:rsid w:val="0D4A4299"/>
    <w:rsid w:val="0D5A43A4"/>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703C1"/>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845558"/>
    <w:rsid w:val="0FA00CB6"/>
    <w:rsid w:val="0FA434D3"/>
    <w:rsid w:val="0FB471F7"/>
    <w:rsid w:val="0FC95C51"/>
    <w:rsid w:val="0FC965F5"/>
    <w:rsid w:val="0FCD6B4B"/>
    <w:rsid w:val="0FCF7138"/>
    <w:rsid w:val="0FD35AB6"/>
    <w:rsid w:val="0FE017B9"/>
    <w:rsid w:val="0FE04B17"/>
    <w:rsid w:val="0FEC2891"/>
    <w:rsid w:val="0FF71EB7"/>
    <w:rsid w:val="0FFB13E8"/>
    <w:rsid w:val="10225AB2"/>
    <w:rsid w:val="102D74F0"/>
    <w:rsid w:val="103C47DA"/>
    <w:rsid w:val="103D5CB0"/>
    <w:rsid w:val="1043497A"/>
    <w:rsid w:val="104B6B58"/>
    <w:rsid w:val="105552F6"/>
    <w:rsid w:val="105A47CC"/>
    <w:rsid w:val="106F3A69"/>
    <w:rsid w:val="108449FF"/>
    <w:rsid w:val="108B34B0"/>
    <w:rsid w:val="109E2943"/>
    <w:rsid w:val="10C14ABA"/>
    <w:rsid w:val="10C8346E"/>
    <w:rsid w:val="10FE6AB1"/>
    <w:rsid w:val="1112624E"/>
    <w:rsid w:val="11126D78"/>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DA7A44"/>
    <w:rsid w:val="11EA3CA0"/>
    <w:rsid w:val="11F403BB"/>
    <w:rsid w:val="11FA6A1C"/>
    <w:rsid w:val="120B2110"/>
    <w:rsid w:val="120B6973"/>
    <w:rsid w:val="12155876"/>
    <w:rsid w:val="12183A1B"/>
    <w:rsid w:val="122A11A6"/>
    <w:rsid w:val="123D1BD2"/>
    <w:rsid w:val="123E6D4D"/>
    <w:rsid w:val="125613C2"/>
    <w:rsid w:val="125D4EF7"/>
    <w:rsid w:val="12637C4E"/>
    <w:rsid w:val="127030C8"/>
    <w:rsid w:val="12AA1929"/>
    <w:rsid w:val="12B310FA"/>
    <w:rsid w:val="12B7582D"/>
    <w:rsid w:val="12C621E8"/>
    <w:rsid w:val="12CF0716"/>
    <w:rsid w:val="12D95227"/>
    <w:rsid w:val="12E33197"/>
    <w:rsid w:val="12EE1C9C"/>
    <w:rsid w:val="12F863E6"/>
    <w:rsid w:val="13094CA6"/>
    <w:rsid w:val="132156D8"/>
    <w:rsid w:val="132911E2"/>
    <w:rsid w:val="133868AE"/>
    <w:rsid w:val="135133AE"/>
    <w:rsid w:val="13517FF7"/>
    <w:rsid w:val="13914897"/>
    <w:rsid w:val="13A55CD5"/>
    <w:rsid w:val="13B654E3"/>
    <w:rsid w:val="13B819E6"/>
    <w:rsid w:val="13BC4189"/>
    <w:rsid w:val="13C169EC"/>
    <w:rsid w:val="13CA717D"/>
    <w:rsid w:val="13CE022A"/>
    <w:rsid w:val="13DF25B8"/>
    <w:rsid w:val="13E2403C"/>
    <w:rsid w:val="13FE6694"/>
    <w:rsid w:val="14047D3B"/>
    <w:rsid w:val="141A00EA"/>
    <w:rsid w:val="143A1FCF"/>
    <w:rsid w:val="14430D66"/>
    <w:rsid w:val="14477E65"/>
    <w:rsid w:val="14710CBF"/>
    <w:rsid w:val="14791934"/>
    <w:rsid w:val="147D213D"/>
    <w:rsid w:val="14A04833"/>
    <w:rsid w:val="14B12779"/>
    <w:rsid w:val="14B37576"/>
    <w:rsid w:val="14F4219E"/>
    <w:rsid w:val="14F763F7"/>
    <w:rsid w:val="150135C1"/>
    <w:rsid w:val="151C632A"/>
    <w:rsid w:val="152E4EB1"/>
    <w:rsid w:val="153E3566"/>
    <w:rsid w:val="154034C3"/>
    <w:rsid w:val="156B6CDB"/>
    <w:rsid w:val="15726626"/>
    <w:rsid w:val="15820278"/>
    <w:rsid w:val="15914EE6"/>
    <w:rsid w:val="15A42FA4"/>
    <w:rsid w:val="15A6418F"/>
    <w:rsid w:val="15AA091B"/>
    <w:rsid w:val="15B4486D"/>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209B0"/>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2433D"/>
    <w:rsid w:val="175D3461"/>
    <w:rsid w:val="175F4C67"/>
    <w:rsid w:val="175F580B"/>
    <w:rsid w:val="17665207"/>
    <w:rsid w:val="17794395"/>
    <w:rsid w:val="178D50A9"/>
    <w:rsid w:val="178F0FE3"/>
    <w:rsid w:val="17B2045F"/>
    <w:rsid w:val="17B85018"/>
    <w:rsid w:val="17E339CC"/>
    <w:rsid w:val="17E70F2A"/>
    <w:rsid w:val="17F33C57"/>
    <w:rsid w:val="181D4FAC"/>
    <w:rsid w:val="182B38C1"/>
    <w:rsid w:val="18351597"/>
    <w:rsid w:val="18353961"/>
    <w:rsid w:val="18474510"/>
    <w:rsid w:val="184F1D16"/>
    <w:rsid w:val="1852374B"/>
    <w:rsid w:val="185629F1"/>
    <w:rsid w:val="18685D91"/>
    <w:rsid w:val="188F0DAB"/>
    <w:rsid w:val="18905464"/>
    <w:rsid w:val="18910B5C"/>
    <w:rsid w:val="18A62960"/>
    <w:rsid w:val="18AC14F9"/>
    <w:rsid w:val="18BD3DC4"/>
    <w:rsid w:val="18C149F3"/>
    <w:rsid w:val="18C272A1"/>
    <w:rsid w:val="18C41040"/>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46DFE"/>
    <w:rsid w:val="19670574"/>
    <w:rsid w:val="196B19EB"/>
    <w:rsid w:val="19717C66"/>
    <w:rsid w:val="198E7C2B"/>
    <w:rsid w:val="199945D5"/>
    <w:rsid w:val="199B5065"/>
    <w:rsid w:val="19D37D58"/>
    <w:rsid w:val="19DD0438"/>
    <w:rsid w:val="1A0A04E6"/>
    <w:rsid w:val="1A187AC0"/>
    <w:rsid w:val="1A213466"/>
    <w:rsid w:val="1A226249"/>
    <w:rsid w:val="1A3F3F76"/>
    <w:rsid w:val="1A4B4BAE"/>
    <w:rsid w:val="1A5473C4"/>
    <w:rsid w:val="1A5605E9"/>
    <w:rsid w:val="1A5F35C0"/>
    <w:rsid w:val="1A8006B2"/>
    <w:rsid w:val="1A8D640E"/>
    <w:rsid w:val="1A974192"/>
    <w:rsid w:val="1ACA62AD"/>
    <w:rsid w:val="1ADA675E"/>
    <w:rsid w:val="1AE11CDA"/>
    <w:rsid w:val="1AE71241"/>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311A74"/>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800C7"/>
    <w:rsid w:val="1F4B71B8"/>
    <w:rsid w:val="1F4C39A9"/>
    <w:rsid w:val="1F5665AD"/>
    <w:rsid w:val="1F5971D4"/>
    <w:rsid w:val="1F647304"/>
    <w:rsid w:val="1F692382"/>
    <w:rsid w:val="1F8815CD"/>
    <w:rsid w:val="1F8D1995"/>
    <w:rsid w:val="1F935BDD"/>
    <w:rsid w:val="1F9730E6"/>
    <w:rsid w:val="1FDE0273"/>
    <w:rsid w:val="1FDE70B6"/>
    <w:rsid w:val="1FEF73C9"/>
    <w:rsid w:val="20020491"/>
    <w:rsid w:val="203C7C11"/>
    <w:rsid w:val="20421AEB"/>
    <w:rsid w:val="20471AED"/>
    <w:rsid w:val="20487E48"/>
    <w:rsid w:val="20666EBF"/>
    <w:rsid w:val="206B75B1"/>
    <w:rsid w:val="206F239E"/>
    <w:rsid w:val="2086258B"/>
    <w:rsid w:val="208A4B48"/>
    <w:rsid w:val="20A45C99"/>
    <w:rsid w:val="20AD18F5"/>
    <w:rsid w:val="20B77D0F"/>
    <w:rsid w:val="20BB288C"/>
    <w:rsid w:val="20D06EB4"/>
    <w:rsid w:val="20E40557"/>
    <w:rsid w:val="20EF04D3"/>
    <w:rsid w:val="210C69CF"/>
    <w:rsid w:val="21107C1A"/>
    <w:rsid w:val="212F59A9"/>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5D02F2"/>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71D74"/>
    <w:rsid w:val="24F86BC7"/>
    <w:rsid w:val="250F44FD"/>
    <w:rsid w:val="2514288A"/>
    <w:rsid w:val="256609A5"/>
    <w:rsid w:val="25781237"/>
    <w:rsid w:val="257A6914"/>
    <w:rsid w:val="25867FD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2923F6"/>
    <w:rsid w:val="264221C6"/>
    <w:rsid w:val="265D3370"/>
    <w:rsid w:val="26666555"/>
    <w:rsid w:val="266F0A68"/>
    <w:rsid w:val="268B7C99"/>
    <w:rsid w:val="268C4A4A"/>
    <w:rsid w:val="269A7501"/>
    <w:rsid w:val="26A3584F"/>
    <w:rsid w:val="26A66B0A"/>
    <w:rsid w:val="26A73989"/>
    <w:rsid w:val="26A86D42"/>
    <w:rsid w:val="26B269AB"/>
    <w:rsid w:val="26C30557"/>
    <w:rsid w:val="26CB2EBC"/>
    <w:rsid w:val="26CB4B73"/>
    <w:rsid w:val="26E34A7B"/>
    <w:rsid w:val="26E9756C"/>
    <w:rsid w:val="26FA4570"/>
    <w:rsid w:val="2710535A"/>
    <w:rsid w:val="27217FF0"/>
    <w:rsid w:val="27242893"/>
    <w:rsid w:val="273612F4"/>
    <w:rsid w:val="27445146"/>
    <w:rsid w:val="276B73F4"/>
    <w:rsid w:val="277602F5"/>
    <w:rsid w:val="278038CA"/>
    <w:rsid w:val="27C33BB0"/>
    <w:rsid w:val="27C55F98"/>
    <w:rsid w:val="27CA59F0"/>
    <w:rsid w:val="27CC0CD0"/>
    <w:rsid w:val="27D071BC"/>
    <w:rsid w:val="27D4538F"/>
    <w:rsid w:val="27DE15AE"/>
    <w:rsid w:val="27E03A2F"/>
    <w:rsid w:val="280D297A"/>
    <w:rsid w:val="28276A98"/>
    <w:rsid w:val="285710C8"/>
    <w:rsid w:val="285859CA"/>
    <w:rsid w:val="285C4BAF"/>
    <w:rsid w:val="285D0F42"/>
    <w:rsid w:val="28703320"/>
    <w:rsid w:val="289539A5"/>
    <w:rsid w:val="289F019A"/>
    <w:rsid w:val="28CC6ED5"/>
    <w:rsid w:val="28F007E2"/>
    <w:rsid w:val="28F010D9"/>
    <w:rsid w:val="28F05C88"/>
    <w:rsid w:val="29082E70"/>
    <w:rsid w:val="291343EF"/>
    <w:rsid w:val="29166F16"/>
    <w:rsid w:val="294D5371"/>
    <w:rsid w:val="29541673"/>
    <w:rsid w:val="295A5964"/>
    <w:rsid w:val="29626133"/>
    <w:rsid w:val="29702C6A"/>
    <w:rsid w:val="298756CC"/>
    <w:rsid w:val="29916F47"/>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0F281A"/>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01522"/>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EA52EC"/>
    <w:rsid w:val="2CF756B7"/>
    <w:rsid w:val="2CF9252D"/>
    <w:rsid w:val="2CF97782"/>
    <w:rsid w:val="2D107154"/>
    <w:rsid w:val="2D143281"/>
    <w:rsid w:val="2D1C79F8"/>
    <w:rsid w:val="2D324177"/>
    <w:rsid w:val="2D5A7835"/>
    <w:rsid w:val="2D6578A0"/>
    <w:rsid w:val="2D6706EB"/>
    <w:rsid w:val="2D7343C9"/>
    <w:rsid w:val="2DE44256"/>
    <w:rsid w:val="2DE557EB"/>
    <w:rsid w:val="2E0E6D42"/>
    <w:rsid w:val="2E0F4249"/>
    <w:rsid w:val="2E2F0A58"/>
    <w:rsid w:val="2E447583"/>
    <w:rsid w:val="2E4B4467"/>
    <w:rsid w:val="2E5520B9"/>
    <w:rsid w:val="2E63548C"/>
    <w:rsid w:val="2E640C1C"/>
    <w:rsid w:val="2E6B523D"/>
    <w:rsid w:val="2E6E410E"/>
    <w:rsid w:val="2E7A08F9"/>
    <w:rsid w:val="2E7B33BD"/>
    <w:rsid w:val="2E836803"/>
    <w:rsid w:val="2E96363C"/>
    <w:rsid w:val="2E9B3818"/>
    <w:rsid w:val="2EB86707"/>
    <w:rsid w:val="2EC92184"/>
    <w:rsid w:val="2ECD27F6"/>
    <w:rsid w:val="2EE666F3"/>
    <w:rsid w:val="2F083808"/>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BA4AF2"/>
    <w:rsid w:val="31C57FB2"/>
    <w:rsid w:val="31C932E2"/>
    <w:rsid w:val="31F61F62"/>
    <w:rsid w:val="320358D0"/>
    <w:rsid w:val="32052FE4"/>
    <w:rsid w:val="320B77FD"/>
    <w:rsid w:val="321976B1"/>
    <w:rsid w:val="321D6876"/>
    <w:rsid w:val="3220390C"/>
    <w:rsid w:val="322B51BC"/>
    <w:rsid w:val="322C5A5F"/>
    <w:rsid w:val="322F26BF"/>
    <w:rsid w:val="32313F22"/>
    <w:rsid w:val="32643522"/>
    <w:rsid w:val="326470BA"/>
    <w:rsid w:val="32690A61"/>
    <w:rsid w:val="327434FD"/>
    <w:rsid w:val="32744A8B"/>
    <w:rsid w:val="32753DA5"/>
    <w:rsid w:val="32886DB3"/>
    <w:rsid w:val="32895C45"/>
    <w:rsid w:val="32A43D99"/>
    <w:rsid w:val="32A827E6"/>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46463"/>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2262AE"/>
    <w:rsid w:val="35313A72"/>
    <w:rsid w:val="35493C91"/>
    <w:rsid w:val="355C0228"/>
    <w:rsid w:val="357800DF"/>
    <w:rsid w:val="35821223"/>
    <w:rsid w:val="358527FB"/>
    <w:rsid w:val="358B5BCF"/>
    <w:rsid w:val="359A77E8"/>
    <w:rsid w:val="35A1790B"/>
    <w:rsid w:val="35A45B99"/>
    <w:rsid w:val="35B01090"/>
    <w:rsid w:val="35C35B39"/>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320B52"/>
    <w:rsid w:val="383903C6"/>
    <w:rsid w:val="383C423B"/>
    <w:rsid w:val="38415136"/>
    <w:rsid w:val="386C1D38"/>
    <w:rsid w:val="387A25A5"/>
    <w:rsid w:val="38963295"/>
    <w:rsid w:val="389D2F53"/>
    <w:rsid w:val="38A7698B"/>
    <w:rsid w:val="38A945B7"/>
    <w:rsid w:val="38B7487C"/>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71A73"/>
    <w:rsid w:val="396B7002"/>
    <w:rsid w:val="396C2A15"/>
    <w:rsid w:val="398803AB"/>
    <w:rsid w:val="39896122"/>
    <w:rsid w:val="39AC01F9"/>
    <w:rsid w:val="39B73BAC"/>
    <w:rsid w:val="39B7517F"/>
    <w:rsid w:val="39BA3B51"/>
    <w:rsid w:val="39C20795"/>
    <w:rsid w:val="39E90E2B"/>
    <w:rsid w:val="39E94D86"/>
    <w:rsid w:val="39F1638E"/>
    <w:rsid w:val="39F350B4"/>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6444BC"/>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3E2AEA"/>
    <w:rsid w:val="3D3F4F67"/>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E43D16"/>
    <w:rsid w:val="3EF434CC"/>
    <w:rsid w:val="3EFB6FF7"/>
    <w:rsid w:val="3EFF0A75"/>
    <w:rsid w:val="3F1054CE"/>
    <w:rsid w:val="3F2534F3"/>
    <w:rsid w:val="3F3A1B65"/>
    <w:rsid w:val="3F3A5EB9"/>
    <w:rsid w:val="3F522210"/>
    <w:rsid w:val="3F544AF6"/>
    <w:rsid w:val="3F5C361D"/>
    <w:rsid w:val="3F5E64F5"/>
    <w:rsid w:val="3F656E2C"/>
    <w:rsid w:val="3F6D5029"/>
    <w:rsid w:val="3F752AE9"/>
    <w:rsid w:val="3F895D7E"/>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BC06DA"/>
    <w:rsid w:val="40CC33D6"/>
    <w:rsid w:val="40D23962"/>
    <w:rsid w:val="40D61BC8"/>
    <w:rsid w:val="40DC4F1D"/>
    <w:rsid w:val="40DF2097"/>
    <w:rsid w:val="40E71ABD"/>
    <w:rsid w:val="413C11C7"/>
    <w:rsid w:val="41447F0E"/>
    <w:rsid w:val="4146110F"/>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DF08CC"/>
    <w:rsid w:val="42E94337"/>
    <w:rsid w:val="43031943"/>
    <w:rsid w:val="431327F1"/>
    <w:rsid w:val="43182DB2"/>
    <w:rsid w:val="433953B5"/>
    <w:rsid w:val="4340174D"/>
    <w:rsid w:val="4368794F"/>
    <w:rsid w:val="436D0FB5"/>
    <w:rsid w:val="437518D1"/>
    <w:rsid w:val="438D1E49"/>
    <w:rsid w:val="439660BE"/>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05AB1"/>
    <w:rsid w:val="455D76E4"/>
    <w:rsid w:val="45646F33"/>
    <w:rsid w:val="45671007"/>
    <w:rsid w:val="456C331B"/>
    <w:rsid w:val="458B6AE9"/>
    <w:rsid w:val="45A26739"/>
    <w:rsid w:val="45B07140"/>
    <w:rsid w:val="45BE2A1A"/>
    <w:rsid w:val="45C43431"/>
    <w:rsid w:val="45EE3358"/>
    <w:rsid w:val="4606397B"/>
    <w:rsid w:val="46066722"/>
    <w:rsid w:val="461976C3"/>
    <w:rsid w:val="461C0664"/>
    <w:rsid w:val="463D42BA"/>
    <w:rsid w:val="46521A41"/>
    <w:rsid w:val="465D50F1"/>
    <w:rsid w:val="46734295"/>
    <w:rsid w:val="46771C91"/>
    <w:rsid w:val="467F06A4"/>
    <w:rsid w:val="4694259D"/>
    <w:rsid w:val="46A64B43"/>
    <w:rsid w:val="46AA5A85"/>
    <w:rsid w:val="46AC6264"/>
    <w:rsid w:val="46C01696"/>
    <w:rsid w:val="46C52BE0"/>
    <w:rsid w:val="46D118AB"/>
    <w:rsid w:val="46F30AEE"/>
    <w:rsid w:val="47123940"/>
    <w:rsid w:val="47204C1C"/>
    <w:rsid w:val="4726595C"/>
    <w:rsid w:val="474F3AFA"/>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57586E"/>
    <w:rsid w:val="48606A0B"/>
    <w:rsid w:val="48617EF0"/>
    <w:rsid w:val="486D78BB"/>
    <w:rsid w:val="48915636"/>
    <w:rsid w:val="48985F31"/>
    <w:rsid w:val="48AC6E35"/>
    <w:rsid w:val="48BD43A0"/>
    <w:rsid w:val="48C96968"/>
    <w:rsid w:val="48F84416"/>
    <w:rsid w:val="490874C4"/>
    <w:rsid w:val="491A6A98"/>
    <w:rsid w:val="491D4AAF"/>
    <w:rsid w:val="4926292B"/>
    <w:rsid w:val="49371235"/>
    <w:rsid w:val="494324F6"/>
    <w:rsid w:val="49455D20"/>
    <w:rsid w:val="49521934"/>
    <w:rsid w:val="497B341F"/>
    <w:rsid w:val="49A47292"/>
    <w:rsid w:val="49B415EE"/>
    <w:rsid w:val="49B63FD6"/>
    <w:rsid w:val="49BF4D00"/>
    <w:rsid w:val="49D1562B"/>
    <w:rsid w:val="49D90EA9"/>
    <w:rsid w:val="49DE1EF5"/>
    <w:rsid w:val="49E579C4"/>
    <w:rsid w:val="49EA2381"/>
    <w:rsid w:val="49F43753"/>
    <w:rsid w:val="49F54A10"/>
    <w:rsid w:val="49F94CE9"/>
    <w:rsid w:val="49FE0E45"/>
    <w:rsid w:val="4A040938"/>
    <w:rsid w:val="4A084BAC"/>
    <w:rsid w:val="4A11169A"/>
    <w:rsid w:val="4A212635"/>
    <w:rsid w:val="4A2175B6"/>
    <w:rsid w:val="4A4260CB"/>
    <w:rsid w:val="4A611E1A"/>
    <w:rsid w:val="4A7055A6"/>
    <w:rsid w:val="4A780CFA"/>
    <w:rsid w:val="4A9C47ED"/>
    <w:rsid w:val="4AA71D5E"/>
    <w:rsid w:val="4AAA6CA9"/>
    <w:rsid w:val="4AE008D2"/>
    <w:rsid w:val="4AE03433"/>
    <w:rsid w:val="4B0B3617"/>
    <w:rsid w:val="4B2815DF"/>
    <w:rsid w:val="4B473F5E"/>
    <w:rsid w:val="4B49191E"/>
    <w:rsid w:val="4B507FB2"/>
    <w:rsid w:val="4B647620"/>
    <w:rsid w:val="4B695935"/>
    <w:rsid w:val="4B7A55E6"/>
    <w:rsid w:val="4B814C1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3D3"/>
    <w:rsid w:val="4D055E23"/>
    <w:rsid w:val="4D1A1B70"/>
    <w:rsid w:val="4D2433AC"/>
    <w:rsid w:val="4D440195"/>
    <w:rsid w:val="4D4A4A28"/>
    <w:rsid w:val="4D5B5E0F"/>
    <w:rsid w:val="4D5D7D7F"/>
    <w:rsid w:val="4D625C01"/>
    <w:rsid w:val="4D7D78BB"/>
    <w:rsid w:val="4D8F350E"/>
    <w:rsid w:val="4D924E46"/>
    <w:rsid w:val="4D9877E4"/>
    <w:rsid w:val="4DBD22E7"/>
    <w:rsid w:val="4DC73507"/>
    <w:rsid w:val="4DDA6A5F"/>
    <w:rsid w:val="4DDB7205"/>
    <w:rsid w:val="4DDF772B"/>
    <w:rsid w:val="4DEB15AD"/>
    <w:rsid w:val="4DF87443"/>
    <w:rsid w:val="4E1F4272"/>
    <w:rsid w:val="4E370600"/>
    <w:rsid w:val="4E435024"/>
    <w:rsid w:val="4E4E7E80"/>
    <w:rsid w:val="4E534A5B"/>
    <w:rsid w:val="4E5C5562"/>
    <w:rsid w:val="4E5F69A8"/>
    <w:rsid w:val="4E655726"/>
    <w:rsid w:val="4E754A02"/>
    <w:rsid w:val="4E95725E"/>
    <w:rsid w:val="4E9A6CF9"/>
    <w:rsid w:val="4EA65FD0"/>
    <w:rsid w:val="4EB15812"/>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3F1E4A"/>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2101B"/>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2B7BD8"/>
    <w:rsid w:val="52361B9C"/>
    <w:rsid w:val="52362A26"/>
    <w:rsid w:val="523B0BAD"/>
    <w:rsid w:val="524B7169"/>
    <w:rsid w:val="5250515D"/>
    <w:rsid w:val="526921DD"/>
    <w:rsid w:val="527D2952"/>
    <w:rsid w:val="5297132B"/>
    <w:rsid w:val="529F28D8"/>
    <w:rsid w:val="529F6FBB"/>
    <w:rsid w:val="52A61235"/>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3E1A9B"/>
    <w:rsid w:val="54447CBB"/>
    <w:rsid w:val="545062A7"/>
    <w:rsid w:val="545C3555"/>
    <w:rsid w:val="54617320"/>
    <w:rsid w:val="547A28DC"/>
    <w:rsid w:val="54827775"/>
    <w:rsid w:val="54AC5134"/>
    <w:rsid w:val="54B8591C"/>
    <w:rsid w:val="54DE6078"/>
    <w:rsid w:val="54E86EBD"/>
    <w:rsid w:val="54F2526E"/>
    <w:rsid w:val="55075D9B"/>
    <w:rsid w:val="55184BBF"/>
    <w:rsid w:val="551874CA"/>
    <w:rsid w:val="551E6A56"/>
    <w:rsid w:val="552006D3"/>
    <w:rsid w:val="55301CB3"/>
    <w:rsid w:val="55326F81"/>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237571"/>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45C5A"/>
    <w:rsid w:val="57180ACE"/>
    <w:rsid w:val="571B61B6"/>
    <w:rsid w:val="57213E7D"/>
    <w:rsid w:val="5723561B"/>
    <w:rsid w:val="572362C9"/>
    <w:rsid w:val="572F37C6"/>
    <w:rsid w:val="5736629C"/>
    <w:rsid w:val="57540996"/>
    <w:rsid w:val="57802A35"/>
    <w:rsid w:val="578C3658"/>
    <w:rsid w:val="57B66918"/>
    <w:rsid w:val="57BD6FCE"/>
    <w:rsid w:val="57CA124B"/>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547C85"/>
    <w:rsid w:val="596040BD"/>
    <w:rsid w:val="596F472F"/>
    <w:rsid w:val="5974345D"/>
    <w:rsid w:val="597534AA"/>
    <w:rsid w:val="59951C91"/>
    <w:rsid w:val="59982867"/>
    <w:rsid w:val="59A11ED6"/>
    <w:rsid w:val="59AB0DFC"/>
    <w:rsid w:val="59BD150F"/>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32B55"/>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15E51"/>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0B433F"/>
    <w:rsid w:val="5D566DF5"/>
    <w:rsid w:val="5D5736EC"/>
    <w:rsid w:val="5D592213"/>
    <w:rsid w:val="5D7067ED"/>
    <w:rsid w:val="5D77660D"/>
    <w:rsid w:val="5D7A7C97"/>
    <w:rsid w:val="5D8A240A"/>
    <w:rsid w:val="5D8A4019"/>
    <w:rsid w:val="5D8C363B"/>
    <w:rsid w:val="5D9907FA"/>
    <w:rsid w:val="5DCD4FAD"/>
    <w:rsid w:val="5DD45E20"/>
    <w:rsid w:val="5DD77F01"/>
    <w:rsid w:val="5DF376B4"/>
    <w:rsid w:val="5DF974C4"/>
    <w:rsid w:val="5E150E16"/>
    <w:rsid w:val="5E156702"/>
    <w:rsid w:val="5E2C3CE8"/>
    <w:rsid w:val="5E480DBB"/>
    <w:rsid w:val="5E532C32"/>
    <w:rsid w:val="5E671A49"/>
    <w:rsid w:val="5E6B78B9"/>
    <w:rsid w:val="5E72530D"/>
    <w:rsid w:val="5E7B3471"/>
    <w:rsid w:val="5E811840"/>
    <w:rsid w:val="5EAC620C"/>
    <w:rsid w:val="5EB56E43"/>
    <w:rsid w:val="5ED5790D"/>
    <w:rsid w:val="5EDB6E5E"/>
    <w:rsid w:val="5EDC67D4"/>
    <w:rsid w:val="5F050603"/>
    <w:rsid w:val="5F0F5BF5"/>
    <w:rsid w:val="5F1070E5"/>
    <w:rsid w:val="5F137093"/>
    <w:rsid w:val="5F294F51"/>
    <w:rsid w:val="5F475DFB"/>
    <w:rsid w:val="5F4A6912"/>
    <w:rsid w:val="5FA342D5"/>
    <w:rsid w:val="5FA40581"/>
    <w:rsid w:val="5FBF418B"/>
    <w:rsid w:val="5FC03F1C"/>
    <w:rsid w:val="5FC128D4"/>
    <w:rsid w:val="5FC30F01"/>
    <w:rsid w:val="5FC577B3"/>
    <w:rsid w:val="5FFB751D"/>
    <w:rsid w:val="5FFC1DCE"/>
    <w:rsid w:val="6010013A"/>
    <w:rsid w:val="602423C7"/>
    <w:rsid w:val="603F2394"/>
    <w:rsid w:val="604407B5"/>
    <w:rsid w:val="60487E62"/>
    <w:rsid w:val="605A5C34"/>
    <w:rsid w:val="60630B92"/>
    <w:rsid w:val="606E4C0D"/>
    <w:rsid w:val="60732927"/>
    <w:rsid w:val="60934A46"/>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9C2806"/>
    <w:rsid w:val="61A33787"/>
    <w:rsid w:val="61A66AB4"/>
    <w:rsid w:val="61BC38FA"/>
    <w:rsid w:val="61BE0E4F"/>
    <w:rsid w:val="61C85E7F"/>
    <w:rsid w:val="61CD78CF"/>
    <w:rsid w:val="61DA14FE"/>
    <w:rsid w:val="61E3588B"/>
    <w:rsid w:val="61E53D34"/>
    <w:rsid w:val="61E73697"/>
    <w:rsid w:val="61EE3162"/>
    <w:rsid w:val="61F62056"/>
    <w:rsid w:val="620121B5"/>
    <w:rsid w:val="620208E6"/>
    <w:rsid w:val="620E46C5"/>
    <w:rsid w:val="620F37AC"/>
    <w:rsid w:val="621536B2"/>
    <w:rsid w:val="621C707C"/>
    <w:rsid w:val="621E0130"/>
    <w:rsid w:val="62271A32"/>
    <w:rsid w:val="6245212D"/>
    <w:rsid w:val="624B2E9D"/>
    <w:rsid w:val="62504ABA"/>
    <w:rsid w:val="62510C1A"/>
    <w:rsid w:val="6257598B"/>
    <w:rsid w:val="62607DE0"/>
    <w:rsid w:val="62757089"/>
    <w:rsid w:val="62970423"/>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AE6280"/>
    <w:rsid w:val="65BB595A"/>
    <w:rsid w:val="65E26649"/>
    <w:rsid w:val="65EE47FE"/>
    <w:rsid w:val="65F14909"/>
    <w:rsid w:val="65F22562"/>
    <w:rsid w:val="65F65692"/>
    <w:rsid w:val="660C7338"/>
    <w:rsid w:val="66407FD5"/>
    <w:rsid w:val="665346CA"/>
    <w:rsid w:val="6661498D"/>
    <w:rsid w:val="66617BFA"/>
    <w:rsid w:val="666B3926"/>
    <w:rsid w:val="668C5B9C"/>
    <w:rsid w:val="66A421AD"/>
    <w:rsid w:val="66AC1BB4"/>
    <w:rsid w:val="66C77BCC"/>
    <w:rsid w:val="66CF58C8"/>
    <w:rsid w:val="66D00FF0"/>
    <w:rsid w:val="66E50A5C"/>
    <w:rsid w:val="66E5305A"/>
    <w:rsid w:val="66FA0A76"/>
    <w:rsid w:val="670314C2"/>
    <w:rsid w:val="670A28DD"/>
    <w:rsid w:val="671F2137"/>
    <w:rsid w:val="67256725"/>
    <w:rsid w:val="672C3BD3"/>
    <w:rsid w:val="673D585E"/>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2A1FF1"/>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633A0D"/>
    <w:rsid w:val="6A777087"/>
    <w:rsid w:val="6A820574"/>
    <w:rsid w:val="6A99048F"/>
    <w:rsid w:val="6AA077DB"/>
    <w:rsid w:val="6AA47C92"/>
    <w:rsid w:val="6AB909BB"/>
    <w:rsid w:val="6ABA0C51"/>
    <w:rsid w:val="6ABD020C"/>
    <w:rsid w:val="6ADD6D64"/>
    <w:rsid w:val="6B0F06C2"/>
    <w:rsid w:val="6B2B6878"/>
    <w:rsid w:val="6B463546"/>
    <w:rsid w:val="6B633F4F"/>
    <w:rsid w:val="6B70680D"/>
    <w:rsid w:val="6B816F14"/>
    <w:rsid w:val="6B8A298B"/>
    <w:rsid w:val="6B8A779B"/>
    <w:rsid w:val="6BAD6C20"/>
    <w:rsid w:val="6BB456BB"/>
    <w:rsid w:val="6BB62A44"/>
    <w:rsid w:val="6BBB33D4"/>
    <w:rsid w:val="6BD81D0A"/>
    <w:rsid w:val="6BE052CE"/>
    <w:rsid w:val="6BF2692A"/>
    <w:rsid w:val="6BF358A4"/>
    <w:rsid w:val="6C051F4E"/>
    <w:rsid w:val="6C096C12"/>
    <w:rsid w:val="6C1A5960"/>
    <w:rsid w:val="6C417EB8"/>
    <w:rsid w:val="6C613F45"/>
    <w:rsid w:val="6C7517D5"/>
    <w:rsid w:val="6C756221"/>
    <w:rsid w:val="6C7B08BB"/>
    <w:rsid w:val="6C816AF9"/>
    <w:rsid w:val="6C846694"/>
    <w:rsid w:val="6CA841D2"/>
    <w:rsid w:val="6CB10385"/>
    <w:rsid w:val="6CDF0F3A"/>
    <w:rsid w:val="6CE47854"/>
    <w:rsid w:val="6D0D25B8"/>
    <w:rsid w:val="6D3B2830"/>
    <w:rsid w:val="6D4750CE"/>
    <w:rsid w:val="6D490A6B"/>
    <w:rsid w:val="6D582A6D"/>
    <w:rsid w:val="6D604FD1"/>
    <w:rsid w:val="6D635FBA"/>
    <w:rsid w:val="6D6534EB"/>
    <w:rsid w:val="6D6C0EA8"/>
    <w:rsid w:val="6D732F9C"/>
    <w:rsid w:val="6D9239A2"/>
    <w:rsid w:val="6DB664EE"/>
    <w:rsid w:val="6DBC6250"/>
    <w:rsid w:val="6DC64BAC"/>
    <w:rsid w:val="6DD12F61"/>
    <w:rsid w:val="6DD44A96"/>
    <w:rsid w:val="6E037AD7"/>
    <w:rsid w:val="6E056523"/>
    <w:rsid w:val="6E074EC9"/>
    <w:rsid w:val="6E160E52"/>
    <w:rsid w:val="6E1A474C"/>
    <w:rsid w:val="6E283634"/>
    <w:rsid w:val="6E2E569B"/>
    <w:rsid w:val="6E4064F1"/>
    <w:rsid w:val="6E4E39FC"/>
    <w:rsid w:val="6E5518BE"/>
    <w:rsid w:val="6E5545BD"/>
    <w:rsid w:val="6E5D1964"/>
    <w:rsid w:val="6E614B19"/>
    <w:rsid w:val="6E616F13"/>
    <w:rsid w:val="6E7369B5"/>
    <w:rsid w:val="6E7B5CAB"/>
    <w:rsid w:val="6EAA56FE"/>
    <w:rsid w:val="6EB37B5B"/>
    <w:rsid w:val="6EB7223E"/>
    <w:rsid w:val="6EBE6FBB"/>
    <w:rsid w:val="6ED70BA2"/>
    <w:rsid w:val="6EDB7671"/>
    <w:rsid w:val="6EF72976"/>
    <w:rsid w:val="6EF77260"/>
    <w:rsid w:val="6F2302E3"/>
    <w:rsid w:val="6F314C13"/>
    <w:rsid w:val="6F382FA6"/>
    <w:rsid w:val="6F391F60"/>
    <w:rsid w:val="6F59677E"/>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679C3"/>
    <w:rsid w:val="70F76E40"/>
    <w:rsid w:val="711337D0"/>
    <w:rsid w:val="7121252E"/>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1FF1FA7"/>
    <w:rsid w:val="7202163F"/>
    <w:rsid w:val="723B04C8"/>
    <w:rsid w:val="724E6817"/>
    <w:rsid w:val="725774B4"/>
    <w:rsid w:val="7258479F"/>
    <w:rsid w:val="72600D68"/>
    <w:rsid w:val="72604620"/>
    <w:rsid w:val="726B02C1"/>
    <w:rsid w:val="726D2C67"/>
    <w:rsid w:val="729A0F74"/>
    <w:rsid w:val="72F03574"/>
    <w:rsid w:val="72F77CB6"/>
    <w:rsid w:val="731438BD"/>
    <w:rsid w:val="731A30D6"/>
    <w:rsid w:val="733155C8"/>
    <w:rsid w:val="73422D3C"/>
    <w:rsid w:val="73625723"/>
    <w:rsid w:val="7366631C"/>
    <w:rsid w:val="737007D9"/>
    <w:rsid w:val="738B5B50"/>
    <w:rsid w:val="73AA53A0"/>
    <w:rsid w:val="73B04F6B"/>
    <w:rsid w:val="73D20D1A"/>
    <w:rsid w:val="73E168D2"/>
    <w:rsid w:val="73E873C4"/>
    <w:rsid w:val="73F07AA4"/>
    <w:rsid w:val="73F25CD2"/>
    <w:rsid w:val="73FA475B"/>
    <w:rsid w:val="74010DBC"/>
    <w:rsid w:val="74054701"/>
    <w:rsid w:val="740D2C3F"/>
    <w:rsid w:val="74135925"/>
    <w:rsid w:val="742827DB"/>
    <w:rsid w:val="742D6CA9"/>
    <w:rsid w:val="742E58A2"/>
    <w:rsid w:val="743737DF"/>
    <w:rsid w:val="74525628"/>
    <w:rsid w:val="745F06BF"/>
    <w:rsid w:val="746C713B"/>
    <w:rsid w:val="748D2368"/>
    <w:rsid w:val="749217E0"/>
    <w:rsid w:val="74B22D8C"/>
    <w:rsid w:val="74B9247B"/>
    <w:rsid w:val="74C26B38"/>
    <w:rsid w:val="74C55FC1"/>
    <w:rsid w:val="74CC7EC1"/>
    <w:rsid w:val="74DA7552"/>
    <w:rsid w:val="74E41FDD"/>
    <w:rsid w:val="74EF6361"/>
    <w:rsid w:val="74F347DF"/>
    <w:rsid w:val="74FA7FE6"/>
    <w:rsid w:val="74FD4A9B"/>
    <w:rsid w:val="751D43A6"/>
    <w:rsid w:val="751D4906"/>
    <w:rsid w:val="75453AE1"/>
    <w:rsid w:val="75573AC9"/>
    <w:rsid w:val="75595449"/>
    <w:rsid w:val="758B283A"/>
    <w:rsid w:val="758F1B5A"/>
    <w:rsid w:val="75917B29"/>
    <w:rsid w:val="75BD313A"/>
    <w:rsid w:val="75BF1D13"/>
    <w:rsid w:val="75BF6D3D"/>
    <w:rsid w:val="75DC1EF4"/>
    <w:rsid w:val="75E50837"/>
    <w:rsid w:val="75EF5520"/>
    <w:rsid w:val="75F63713"/>
    <w:rsid w:val="76143A54"/>
    <w:rsid w:val="7637074A"/>
    <w:rsid w:val="763B63B0"/>
    <w:rsid w:val="764772A3"/>
    <w:rsid w:val="767B7960"/>
    <w:rsid w:val="768D3BBF"/>
    <w:rsid w:val="7695183B"/>
    <w:rsid w:val="769A6195"/>
    <w:rsid w:val="769E5DCD"/>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94A29"/>
    <w:rsid w:val="77AC049C"/>
    <w:rsid w:val="77B23714"/>
    <w:rsid w:val="77BB772D"/>
    <w:rsid w:val="77D43FD2"/>
    <w:rsid w:val="77FA155A"/>
    <w:rsid w:val="781137AD"/>
    <w:rsid w:val="781D13FA"/>
    <w:rsid w:val="782817E9"/>
    <w:rsid w:val="78555C26"/>
    <w:rsid w:val="78640057"/>
    <w:rsid w:val="787768D5"/>
    <w:rsid w:val="78810787"/>
    <w:rsid w:val="78826969"/>
    <w:rsid w:val="788E3AAC"/>
    <w:rsid w:val="789456D9"/>
    <w:rsid w:val="78B515B5"/>
    <w:rsid w:val="78C21620"/>
    <w:rsid w:val="78CE2D76"/>
    <w:rsid w:val="78EE2375"/>
    <w:rsid w:val="78FA244C"/>
    <w:rsid w:val="78FE1B78"/>
    <w:rsid w:val="79024116"/>
    <w:rsid w:val="790B5E4F"/>
    <w:rsid w:val="790D572F"/>
    <w:rsid w:val="791B3704"/>
    <w:rsid w:val="79233654"/>
    <w:rsid w:val="79455569"/>
    <w:rsid w:val="79470AE2"/>
    <w:rsid w:val="795123A8"/>
    <w:rsid w:val="79535AC3"/>
    <w:rsid w:val="79620961"/>
    <w:rsid w:val="798A0C68"/>
    <w:rsid w:val="79987ED2"/>
    <w:rsid w:val="79AE1AE3"/>
    <w:rsid w:val="79AE77FB"/>
    <w:rsid w:val="79B85AA8"/>
    <w:rsid w:val="79C342A8"/>
    <w:rsid w:val="79C34F9F"/>
    <w:rsid w:val="79C81B6A"/>
    <w:rsid w:val="79E83652"/>
    <w:rsid w:val="79EF1E87"/>
    <w:rsid w:val="79EF6059"/>
    <w:rsid w:val="7A074D7D"/>
    <w:rsid w:val="7A1053E1"/>
    <w:rsid w:val="7A17618B"/>
    <w:rsid w:val="7A1E05C7"/>
    <w:rsid w:val="7A31767B"/>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4306F"/>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75FCD"/>
    <w:rsid w:val="7D5F5E30"/>
    <w:rsid w:val="7D6C208F"/>
    <w:rsid w:val="7D897D56"/>
    <w:rsid w:val="7D986025"/>
    <w:rsid w:val="7D9B14E5"/>
    <w:rsid w:val="7DAA42B2"/>
    <w:rsid w:val="7DAA569A"/>
    <w:rsid w:val="7DB1501E"/>
    <w:rsid w:val="7DB676D9"/>
    <w:rsid w:val="7DBE16CF"/>
    <w:rsid w:val="7DC37DE3"/>
    <w:rsid w:val="7DD45912"/>
    <w:rsid w:val="7E0D4E8F"/>
    <w:rsid w:val="7E107D04"/>
    <w:rsid w:val="7E193839"/>
    <w:rsid w:val="7E202441"/>
    <w:rsid w:val="7E4B691E"/>
    <w:rsid w:val="7E517396"/>
    <w:rsid w:val="7E616C7B"/>
    <w:rsid w:val="7E665422"/>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D237D9"/>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qFormat/>
    <w:uiPriority w:val="0"/>
    <w:pPr>
      <w:widowControl w:val="0"/>
      <w:spacing w:before="100" w:beforeAutospacing="1" w:after="100" w:afterAutospacing="1"/>
      <w:ind w:left="0" w:right="0"/>
      <w:jc w:val="left"/>
    </w:pPr>
    <w:rPr>
      <w:rFonts w:ascii="Times New Roman" w:hAnsi="Times New Roman" w:eastAsia="宋体" w:cs="Times New Roman"/>
      <w:kern w:val="0"/>
      <w:sz w:val="24"/>
      <w:szCs w:val="24"/>
      <w:lang w:val="en-US" w:eastAsia="zh-CN" w:bidi="ar"/>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11975</Words>
  <Characters>12993</Characters>
  <Lines>0</Lines>
  <Paragraphs>0</Paragraphs>
  <TotalTime>0</TotalTime>
  <ScaleCrop>false</ScaleCrop>
  <LinksUpToDate>false</LinksUpToDate>
  <CharactersWithSpaces>13265</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2023-06-15T08:44:00Z</cp:lastPrinted>
  <dcterms:modified xsi:type="dcterms:W3CDTF">2024-06-23T08:26:00Z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50306CC149C84F98BF850919EA3E5AFB_13</vt:lpwstr>
  </property>
</Properties>
</file>