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3D96C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4A78D547">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5A7BA1E9">
      <w:pPr>
        <w:spacing w:line="115" w:lineRule="exact"/>
        <w:rPr>
          <w:color w:val="000000" w:themeColor="text1"/>
          <w14:textFill>
            <w14:solidFill>
              <w14:schemeClr w14:val="tx1"/>
            </w14:solidFill>
          </w14:textFill>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1B9FAE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589CD2C1">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6AEAF44B">
            <w:pPr>
              <w:spacing w:before="103" w:line="219" w:lineRule="auto"/>
              <w:ind w:left="708"/>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岳阳市岳阳楼区审计局</w:t>
            </w:r>
          </w:p>
        </w:tc>
      </w:tr>
      <w:tr w14:paraId="5861D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0C15303C">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35E12248">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6268A9A1">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790878C4">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08E83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35C0D8EF">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5CF2BD10">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30</w:t>
            </w:r>
          </w:p>
        </w:tc>
        <w:tc>
          <w:tcPr>
            <w:tcW w:w="2325" w:type="dxa"/>
            <w:gridSpan w:val="2"/>
            <w:noWrap w:val="0"/>
            <w:vAlign w:val="top"/>
          </w:tcPr>
          <w:p w14:paraId="25EA64E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31</w:t>
            </w:r>
          </w:p>
        </w:tc>
        <w:tc>
          <w:tcPr>
            <w:tcW w:w="1679" w:type="dxa"/>
            <w:gridSpan w:val="2"/>
            <w:noWrap w:val="0"/>
            <w:vAlign w:val="top"/>
          </w:tcPr>
          <w:p w14:paraId="2F41222E">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103.3%</w:t>
            </w:r>
          </w:p>
        </w:tc>
      </w:tr>
      <w:tr w14:paraId="0CEF54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62A9A382">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2EEFC4F6">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65FFE281">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4CBB8061">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0E32A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C7A3D40">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17ED2C80">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3.27</w:t>
            </w:r>
          </w:p>
        </w:tc>
        <w:tc>
          <w:tcPr>
            <w:tcW w:w="2325" w:type="dxa"/>
            <w:gridSpan w:val="2"/>
            <w:noWrap w:val="0"/>
            <w:vAlign w:val="top"/>
          </w:tcPr>
          <w:p w14:paraId="557DC741">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4.00</w:t>
            </w:r>
          </w:p>
        </w:tc>
        <w:tc>
          <w:tcPr>
            <w:tcW w:w="1679" w:type="dxa"/>
            <w:gridSpan w:val="2"/>
            <w:noWrap w:val="0"/>
            <w:vAlign w:val="top"/>
          </w:tcPr>
          <w:p w14:paraId="5B21D3A7">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2.48</w:t>
            </w:r>
          </w:p>
        </w:tc>
      </w:tr>
      <w:tr w14:paraId="18649A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8A1F199">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4DDEDE3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1.83</w:t>
            </w:r>
          </w:p>
        </w:tc>
        <w:tc>
          <w:tcPr>
            <w:tcW w:w="2325" w:type="dxa"/>
            <w:gridSpan w:val="2"/>
            <w:noWrap w:val="0"/>
            <w:vAlign w:val="top"/>
          </w:tcPr>
          <w:p w14:paraId="76F8857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1679" w:type="dxa"/>
            <w:gridSpan w:val="2"/>
            <w:noWrap w:val="0"/>
            <w:vAlign w:val="top"/>
          </w:tcPr>
          <w:p w14:paraId="19379E0D">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1.31</w:t>
            </w:r>
          </w:p>
        </w:tc>
      </w:tr>
      <w:tr w14:paraId="148FD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3E788A1">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143A1FB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5FE382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295E53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750B63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599FC1D0">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002D336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1.83</w:t>
            </w:r>
          </w:p>
        </w:tc>
        <w:tc>
          <w:tcPr>
            <w:tcW w:w="2325" w:type="dxa"/>
            <w:gridSpan w:val="2"/>
            <w:noWrap w:val="0"/>
            <w:vAlign w:val="top"/>
          </w:tcPr>
          <w:p w14:paraId="2069BEF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1679" w:type="dxa"/>
            <w:gridSpan w:val="2"/>
            <w:noWrap w:val="0"/>
            <w:vAlign w:val="top"/>
          </w:tcPr>
          <w:p w14:paraId="43354A09">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1.31</w:t>
            </w:r>
          </w:p>
        </w:tc>
      </w:tr>
      <w:tr w14:paraId="443F80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0763F0E4">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7179DCF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EEFE4E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415733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2588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4C7AB99">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791CD57C">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1.44</w:t>
            </w:r>
          </w:p>
        </w:tc>
        <w:tc>
          <w:tcPr>
            <w:tcW w:w="2325" w:type="dxa"/>
            <w:gridSpan w:val="2"/>
            <w:noWrap w:val="0"/>
            <w:vAlign w:val="top"/>
          </w:tcPr>
          <w:p w14:paraId="1D0C934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c>
          <w:tcPr>
            <w:tcW w:w="1679" w:type="dxa"/>
            <w:gridSpan w:val="2"/>
            <w:noWrap w:val="0"/>
            <w:vAlign w:val="top"/>
          </w:tcPr>
          <w:p w14:paraId="4E3B02FF">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1.17</w:t>
            </w:r>
          </w:p>
        </w:tc>
      </w:tr>
      <w:tr w14:paraId="6FE48A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EA86728">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2A8FFA1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0A153B3">
            <w:pPr>
              <w:jc w:val="center"/>
              <w:rPr>
                <w:rFonts w:hint="default" w:asciiTheme="majorEastAsia" w:hAnsiTheme="majorEastAsia" w:eastAsiaTheme="majorEastAsia" w:cstheme="majorEastAsia"/>
                <w:color w:val="000000" w:themeColor="text1"/>
                <w:sz w:val="21"/>
                <w:highlight w:val="yellow"/>
                <w:lang w:val="en-US" w:eastAsia="zh-CN"/>
                <w14:textFill>
                  <w14:solidFill>
                    <w14:schemeClr w14:val="tx1"/>
                  </w14:solidFill>
                </w14:textFill>
              </w:rPr>
            </w:pPr>
          </w:p>
        </w:tc>
        <w:tc>
          <w:tcPr>
            <w:tcW w:w="1679" w:type="dxa"/>
            <w:gridSpan w:val="2"/>
            <w:noWrap w:val="0"/>
            <w:vAlign w:val="top"/>
          </w:tcPr>
          <w:p w14:paraId="40A9DA07">
            <w:pPr>
              <w:jc w:val="both"/>
              <w:rPr>
                <w:rFonts w:hint="default" w:asciiTheme="majorEastAsia" w:hAnsiTheme="majorEastAsia" w:eastAsiaTheme="majorEastAsia" w:cstheme="majorEastAsia"/>
                <w:color w:val="000000" w:themeColor="text1"/>
                <w:sz w:val="21"/>
                <w:highlight w:val="yellow"/>
                <w:lang w:val="en-US" w:eastAsia="zh-CN"/>
                <w14:textFill>
                  <w14:solidFill>
                    <w14:schemeClr w14:val="tx1"/>
                  </w14:solidFill>
                </w14:textFill>
              </w:rPr>
            </w:pPr>
          </w:p>
        </w:tc>
      </w:tr>
      <w:tr w14:paraId="223D7F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7993CB5">
            <w:pPr>
              <w:spacing w:before="133" w:line="200" w:lineRule="auto"/>
              <w:ind w:left="384"/>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6FBA3C1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4451769">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0</w:t>
            </w:r>
          </w:p>
        </w:tc>
        <w:tc>
          <w:tcPr>
            <w:tcW w:w="1679" w:type="dxa"/>
            <w:gridSpan w:val="2"/>
            <w:noWrap w:val="0"/>
            <w:vAlign w:val="top"/>
          </w:tcPr>
          <w:p w14:paraId="5C91B267">
            <w:pPr>
              <w:jc w:val="cente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0</w:t>
            </w:r>
          </w:p>
        </w:tc>
      </w:tr>
      <w:tr w14:paraId="3837D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850" w:type="dxa"/>
            <w:noWrap w:val="0"/>
            <w:vAlign w:val="top"/>
          </w:tcPr>
          <w:p w14:paraId="35DF87C3">
            <w:pPr>
              <w:spacing w:before="143" w:line="209" w:lineRule="auto"/>
              <w:ind w:left="384"/>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19884DB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D486265">
            <w:pPr>
              <w:jc w:val="cente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0</w:t>
            </w:r>
          </w:p>
        </w:tc>
        <w:tc>
          <w:tcPr>
            <w:tcW w:w="1679" w:type="dxa"/>
            <w:gridSpan w:val="2"/>
            <w:noWrap w:val="0"/>
            <w:vAlign w:val="top"/>
          </w:tcPr>
          <w:p w14:paraId="62158B32">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0</w:t>
            </w:r>
          </w:p>
        </w:tc>
      </w:tr>
      <w:tr w14:paraId="4534F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1958A8C">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14:paraId="07DEA9F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14:paraId="4B7790EE">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w:t>
            </w:r>
          </w:p>
        </w:tc>
        <w:tc>
          <w:tcPr>
            <w:tcW w:w="1679" w:type="dxa"/>
            <w:gridSpan w:val="2"/>
            <w:noWrap w:val="0"/>
            <w:vAlign w:val="top"/>
          </w:tcPr>
          <w:p w14:paraId="21835634">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w:t>
            </w:r>
          </w:p>
        </w:tc>
      </w:tr>
      <w:tr w14:paraId="0C7FE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3B85C73B">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w:t>
            </w:r>
          </w:p>
        </w:tc>
        <w:tc>
          <w:tcPr>
            <w:tcW w:w="1815" w:type="dxa"/>
            <w:gridSpan w:val="2"/>
            <w:noWrap w:val="0"/>
            <w:vAlign w:val="top"/>
          </w:tcPr>
          <w:p w14:paraId="159366A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7E8CE5B6">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p>
        </w:tc>
        <w:tc>
          <w:tcPr>
            <w:tcW w:w="1679" w:type="dxa"/>
            <w:gridSpan w:val="2"/>
            <w:noWrap w:val="0"/>
            <w:vAlign w:val="top"/>
          </w:tcPr>
          <w:p w14:paraId="089FD065">
            <w:pPr>
              <w:jc w:val="both"/>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p>
        </w:tc>
      </w:tr>
      <w:tr w14:paraId="414ED8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C4FA740">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t>①投资审计</w:t>
            </w:r>
          </w:p>
        </w:tc>
        <w:tc>
          <w:tcPr>
            <w:tcW w:w="1815" w:type="dxa"/>
            <w:gridSpan w:val="2"/>
            <w:noWrap w:val="0"/>
            <w:vAlign w:val="top"/>
          </w:tcPr>
          <w:p w14:paraId="504B340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B452134">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p>
        </w:tc>
        <w:tc>
          <w:tcPr>
            <w:tcW w:w="1679" w:type="dxa"/>
            <w:gridSpan w:val="2"/>
            <w:noWrap w:val="0"/>
            <w:vAlign w:val="top"/>
          </w:tcPr>
          <w:p w14:paraId="5C6A54C8">
            <w:pPr>
              <w:jc w:val="both"/>
              <w:rPr>
                <w:rFonts w:hint="eastAsia" w:asciiTheme="majorEastAsia" w:hAnsiTheme="majorEastAsia" w:eastAsiaTheme="majorEastAsia" w:cstheme="majorEastAsia"/>
                <w:color w:val="000000" w:themeColor="text1"/>
                <w:sz w:val="21"/>
                <w:highlight w:val="none"/>
                <w14:textFill>
                  <w14:solidFill>
                    <w14:schemeClr w14:val="tx1"/>
                  </w14:solidFill>
                </w14:textFill>
              </w:rPr>
            </w:pPr>
          </w:p>
        </w:tc>
      </w:tr>
      <w:tr w14:paraId="682EE8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510F02C">
            <w:pPr>
              <w:spacing w:before="85" w:line="220" w:lineRule="auto"/>
              <w:jc w:val="left"/>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t>②重点项目审计</w:t>
            </w:r>
          </w:p>
        </w:tc>
        <w:tc>
          <w:tcPr>
            <w:tcW w:w="1815" w:type="dxa"/>
            <w:gridSpan w:val="2"/>
            <w:noWrap w:val="0"/>
            <w:vAlign w:val="top"/>
          </w:tcPr>
          <w:p w14:paraId="1A97AAA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DF5DF34">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p>
        </w:tc>
        <w:tc>
          <w:tcPr>
            <w:tcW w:w="1679" w:type="dxa"/>
            <w:gridSpan w:val="2"/>
            <w:noWrap w:val="0"/>
            <w:vAlign w:val="top"/>
          </w:tcPr>
          <w:p w14:paraId="4FF5A569">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0</w:t>
            </w:r>
          </w:p>
        </w:tc>
      </w:tr>
      <w:tr w14:paraId="438196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55057B7E">
            <w:pPr>
              <w:spacing w:before="85" w:line="220" w:lineRule="auto"/>
              <w:jc w:val="left"/>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t>③抚恤金</w:t>
            </w:r>
          </w:p>
        </w:tc>
        <w:tc>
          <w:tcPr>
            <w:tcW w:w="1815" w:type="dxa"/>
            <w:gridSpan w:val="2"/>
            <w:noWrap w:val="0"/>
            <w:vAlign w:val="top"/>
          </w:tcPr>
          <w:p w14:paraId="65B7FE7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2D6ACC7">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p>
        </w:tc>
        <w:tc>
          <w:tcPr>
            <w:tcW w:w="1679" w:type="dxa"/>
            <w:gridSpan w:val="2"/>
            <w:noWrap w:val="0"/>
            <w:vAlign w:val="top"/>
          </w:tcPr>
          <w:p w14:paraId="63B15C16">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0</w:t>
            </w:r>
          </w:p>
        </w:tc>
      </w:tr>
      <w:tr w14:paraId="3103D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22E1E0A">
            <w:pPr>
              <w:spacing w:before="85" w:line="220" w:lineRule="auto"/>
              <w:jc w:val="left"/>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t>④信息网络及软件购置更新</w:t>
            </w:r>
          </w:p>
        </w:tc>
        <w:tc>
          <w:tcPr>
            <w:tcW w:w="1815" w:type="dxa"/>
            <w:gridSpan w:val="2"/>
            <w:noWrap w:val="0"/>
            <w:vAlign w:val="top"/>
          </w:tcPr>
          <w:p w14:paraId="7A79F42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3281CCD">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p>
        </w:tc>
        <w:tc>
          <w:tcPr>
            <w:tcW w:w="1679" w:type="dxa"/>
            <w:gridSpan w:val="2"/>
            <w:noWrap w:val="0"/>
            <w:vAlign w:val="top"/>
          </w:tcPr>
          <w:p w14:paraId="293EE5A0">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0</w:t>
            </w:r>
          </w:p>
        </w:tc>
      </w:tr>
      <w:tr w14:paraId="66CE5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73C6BD9">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7F10954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247.07</w:t>
            </w:r>
          </w:p>
        </w:tc>
        <w:tc>
          <w:tcPr>
            <w:tcW w:w="2325" w:type="dxa"/>
            <w:gridSpan w:val="2"/>
            <w:noWrap w:val="0"/>
            <w:vAlign w:val="top"/>
          </w:tcPr>
          <w:p w14:paraId="0DECECB4">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48.60</w:t>
            </w:r>
          </w:p>
        </w:tc>
        <w:tc>
          <w:tcPr>
            <w:tcW w:w="1679" w:type="dxa"/>
            <w:gridSpan w:val="2"/>
            <w:noWrap w:val="0"/>
            <w:vAlign w:val="top"/>
          </w:tcPr>
          <w:p w14:paraId="63A5868E">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313.76</w:t>
            </w:r>
          </w:p>
        </w:tc>
      </w:tr>
      <w:tr w14:paraId="5717BB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D7A1E0A">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42C33C7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38.29</w:t>
            </w:r>
          </w:p>
        </w:tc>
        <w:tc>
          <w:tcPr>
            <w:tcW w:w="2325" w:type="dxa"/>
            <w:gridSpan w:val="2"/>
            <w:noWrap w:val="0"/>
            <w:vAlign w:val="top"/>
          </w:tcPr>
          <w:p w14:paraId="2869C38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w:t>
            </w:r>
          </w:p>
        </w:tc>
        <w:tc>
          <w:tcPr>
            <w:tcW w:w="1679" w:type="dxa"/>
            <w:gridSpan w:val="2"/>
            <w:noWrap w:val="0"/>
            <w:vAlign w:val="top"/>
          </w:tcPr>
          <w:p w14:paraId="64BADFB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33.38</w:t>
            </w:r>
          </w:p>
        </w:tc>
      </w:tr>
      <w:tr w14:paraId="00FF0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70A0B45">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2C74E24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10.18</w:t>
            </w:r>
          </w:p>
        </w:tc>
        <w:tc>
          <w:tcPr>
            <w:tcW w:w="2325" w:type="dxa"/>
            <w:gridSpan w:val="2"/>
            <w:noWrap w:val="0"/>
            <w:vAlign w:val="top"/>
          </w:tcPr>
          <w:p w14:paraId="7A7AE8B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7.00</w:t>
            </w:r>
          </w:p>
        </w:tc>
        <w:tc>
          <w:tcPr>
            <w:tcW w:w="1679" w:type="dxa"/>
            <w:gridSpan w:val="2"/>
            <w:noWrap w:val="0"/>
            <w:vAlign w:val="top"/>
          </w:tcPr>
          <w:p w14:paraId="4D2ABAE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5.08</w:t>
            </w:r>
          </w:p>
        </w:tc>
      </w:tr>
      <w:tr w14:paraId="1DCD50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124370A">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5E6A814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4.69</w:t>
            </w:r>
          </w:p>
        </w:tc>
        <w:tc>
          <w:tcPr>
            <w:tcW w:w="2325" w:type="dxa"/>
            <w:gridSpan w:val="2"/>
            <w:noWrap w:val="0"/>
            <w:vAlign w:val="top"/>
          </w:tcPr>
          <w:p w14:paraId="76A887E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2.00</w:t>
            </w:r>
          </w:p>
        </w:tc>
        <w:tc>
          <w:tcPr>
            <w:tcW w:w="1679" w:type="dxa"/>
            <w:gridSpan w:val="2"/>
            <w:noWrap w:val="0"/>
            <w:vAlign w:val="top"/>
          </w:tcPr>
          <w:p w14:paraId="7F9A61E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1.04</w:t>
            </w:r>
          </w:p>
        </w:tc>
      </w:tr>
      <w:tr w14:paraId="3F755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1B0588F4">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26861BB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10.67</w:t>
            </w:r>
          </w:p>
        </w:tc>
        <w:tc>
          <w:tcPr>
            <w:tcW w:w="2325" w:type="dxa"/>
            <w:gridSpan w:val="2"/>
            <w:noWrap w:val="0"/>
            <w:vAlign w:val="top"/>
          </w:tcPr>
          <w:p w14:paraId="3D72AC17">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226.2</w:t>
            </w:r>
          </w:p>
        </w:tc>
        <w:tc>
          <w:tcPr>
            <w:tcW w:w="1679" w:type="dxa"/>
            <w:gridSpan w:val="2"/>
            <w:noWrap w:val="0"/>
            <w:vAlign w:val="top"/>
          </w:tcPr>
          <w:p w14:paraId="68B7E1AF">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287.64</w:t>
            </w:r>
          </w:p>
        </w:tc>
      </w:tr>
      <w:tr w14:paraId="598CF0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8B6B5E9">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4CADF92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2D31B4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C94D3F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6FEC0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trPr>
        <w:tc>
          <w:tcPr>
            <w:tcW w:w="3850" w:type="dxa"/>
            <w:vMerge w:val="restart"/>
            <w:tcBorders>
              <w:bottom w:val="nil"/>
            </w:tcBorders>
            <w:noWrap w:val="0"/>
            <w:vAlign w:val="center"/>
          </w:tcPr>
          <w:p w14:paraId="24A3F926">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3081E6A5">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1411DB3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5F29535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71884FE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5B7F238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542E37F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54AF1BC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5BB5F62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37EC13E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31C0666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6F566B3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6AC06D7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46BAC6A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2DE61F0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51B3A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6462D83D">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2BB3D1B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14:paraId="2941A40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630BB2C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2FA8CCD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3A5E1A54">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3AB1A9A8">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2F80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099CB64C">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0E7B3CDE">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14:paraId="5A51C4C9">
      <w:pPr>
        <w:keepNext w:val="0"/>
        <w:keepLines w:val="0"/>
        <w:pageBreakBefore w:val="0"/>
        <w:widowControl w:val="0"/>
        <w:kinsoku/>
        <w:wordWrap/>
        <w:overflowPunct/>
        <w:topLinePunct w:val="0"/>
        <w:autoSpaceDE/>
        <w:autoSpaceDN/>
        <w:bidi w:val="0"/>
        <w:adjustRightInd/>
        <w:snapToGrid/>
        <w:spacing w:line="33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29AA99C7">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         联系电话：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15285EC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22CFA432">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5C1BA8E3">
      <w:pPr>
        <w:keepNext w:val="0"/>
        <w:keepLines w:val="0"/>
        <w:pageBreakBefore w:val="0"/>
        <w:widowControl w:val="0"/>
        <w:kinsoku/>
        <w:wordWrap/>
        <w:overflowPunct/>
        <w:topLinePunct w:val="0"/>
        <w:autoSpaceDE/>
        <w:autoSpaceDN/>
        <w:bidi w:val="0"/>
        <w:adjustRightInd/>
        <w:snapToGrid/>
        <w:spacing w:line="46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4E6CF512">
      <w:pPr>
        <w:spacing w:line="168" w:lineRule="exact"/>
        <w:rPr>
          <w:color w:val="000000" w:themeColor="text1"/>
          <w14:textFill>
            <w14:solidFill>
              <w14:schemeClr w14:val="tx1"/>
            </w14:solidFill>
          </w14:textFill>
        </w:rPr>
      </w:pPr>
    </w:p>
    <w:tbl>
      <w:tblPr>
        <w:tblStyle w:val="8"/>
        <w:tblW w:w="99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0"/>
        <w:gridCol w:w="1090"/>
        <w:gridCol w:w="1142"/>
        <w:gridCol w:w="1548"/>
        <w:gridCol w:w="1040"/>
        <w:gridCol w:w="1440"/>
        <w:gridCol w:w="538"/>
        <w:gridCol w:w="642"/>
        <w:gridCol w:w="1570"/>
      </w:tblGrid>
      <w:tr w14:paraId="1D57B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60" w:type="dxa"/>
            <w:noWrap w:val="0"/>
            <w:vAlign w:val="top"/>
          </w:tcPr>
          <w:p w14:paraId="701AD67B">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2"/>
                <w:sz w:val="20"/>
                <w:szCs w:val="20"/>
                <w14:textFill>
                  <w14:solidFill>
                    <w14:schemeClr w14:val="tx1"/>
                  </w14:solidFill>
                </w14:textFill>
              </w:rPr>
              <w:t>预算</w:t>
            </w:r>
            <w:r>
              <w:rPr>
                <w:rFonts w:hint="eastAsia" w:ascii="宋体" w:hAnsi="宋体" w:eastAsia="宋体" w:cs="宋体"/>
                <w:color w:val="000000" w:themeColor="text1"/>
                <w:spacing w:val="2"/>
                <w:sz w:val="20"/>
                <w:szCs w:val="20"/>
                <w:lang w:eastAsia="zh-CN"/>
                <w14:textFill>
                  <w14:solidFill>
                    <w14:schemeClr w14:val="tx1"/>
                  </w14:solidFill>
                </w14:textFill>
              </w:rPr>
              <w:t>单位</w:t>
            </w:r>
            <w:r>
              <w:rPr>
                <w:rFonts w:hint="eastAsia" w:ascii="宋体" w:hAnsi="宋体" w:eastAsia="宋体" w:cs="宋体"/>
                <w:color w:val="000000" w:themeColor="text1"/>
                <w:spacing w:val="2"/>
                <w:sz w:val="20"/>
                <w:szCs w:val="20"/>
                <w:lang w:val="en-US" w:eastAsia="zh-CN"/>
                <w14:textFill>
                  <w14:solidFill>
                    <w14:schemeClr w14:val="tx1"/>
                  </w14:solidFill>
                </w14:textFill>
              </w:rPr>
              <w:t xml:space="preserve"> </w:t>
            </w:r>
            <w:r>
              <w:rPr>
                <w:rFonts w:ascii="宋体" w:hAnsi="宋体" w:eastAsia="宋体" w:cs="宋体"/>
                <w:color w:val="000000" w:themeColor="text1"/>
                <w:spacing w:val="2"/>
                <w:sz w:val="20"/>
                <w:szCs w:val="20"/>
                <w14:textFill>
                  <w14:solidFill>
                    <w14:schemeClr w14:val="tx1"/>
                  </w14:solidFill>
                </w14:textFill>
              </w:rPr>
              <w:t>名称</w:t>
            </w:r>
          </w:p>
        </w:tc>
        <w:tc>
          <w:tcPr>
            <w:tcW w:w="9010" w:type="dxa"/>
            <w:gridSpan w:val="8"/>
            <w:noWrap w:val="0"/>
            <w:vAlign w:val="center"/>
          </w:tcPr>
          <w:p w14:paraId="16B67955">
            <w:pPr>
              <w:jc w:val="center"/>
              <w:rPr>
                <w:rFonts w:hint="eastAsia" w:ascii="Arial" w:eastAsiaTheme="minorEastAsia"/>
                <w:color w:val="000000" w:themeColor="text1"/>
                <w:sz w:val="20"/>
                <w:szCs w:val="22"/>
                <w:lang w:eastAsia="zh-CN"/>
                <w14:textFill>
                  <w14:solidFill>
                    <w14:schemeClr w14:val="tx1"/>
                  </w14:solidFill>
                </w14:textFill>
              </w:rPr>
            </w:pPr>
            <w:r>
              <w:rPr>
                <w:rFonts w:hint="eastAsia" w:ascii="Arial"/>
                <w:color w:val="000000" w:themeColor="text1"/>
                <w:sz w:val="20"/>
                <w:szCs w:val="22"/>
                <w:lang w:eastAsia="zh-CN"/>
                <w14:textFill>
                  <w14:solidFill>
                    <w14:schemeClr w14:val="tx1"/>
                  </w14:solidFill>
                </w14:textFill>
              </w:rPr>
              <w:t>岳阳市岳阳楼区审计局</w:t>
            </w:r>
          </w:p>
        </w:tc>
      </w:tr>
      <w:tr w14:paraId="05B80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960" w:type="dxa"/>
            <w:vMerge w:val="restart"/>
            <w:tcBorders>
              <w:bottom w:val="nil"/>
            </w:tcBorders>
            <w:noWrap w:val="0"/>
            <w:vAlign w:val="top"/>
          </w:tcPr>
          <w:p w14:paraId="503E41FA">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0"/>
                <w:szCs w:val="20"/>
                <w14:textFill>
                  <w14:solidFill>
                    <w14:schemeClr w14:val="tx1"/>
                  </w14:solidFill>
                </w14:textFill>
              </w:rPr>
            </w:pPr>
          </w:p>
          <w:p w14:paraId="065DA0F8">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position w:val="4"/>
                <w:sz w:val="20"/>
                <w:szCs w:val="20"/>
                <w14:textFill>
                  <w14:solidFill>
                    <w14:schemeClr w14:val="tx1"/>
                  </w14:solidFill>
                </w14:textFill>
              </w:rPr>
              <w:t>年度预</w:t>
            </w:r>
          </w:p>
          <w:p w14:paraId="437D3141">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算申请</w:t>
            </w:r>
          </w:p>
          <w:p w14:paraId="19D80843">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11"/>
                <w:sz w:val="20"/>
                <w:szCs w:val="20"/>
                <w14:textFill>
                  <w14:solidFill>
                    <w14:schemeClr w14:val="tx1"/>
                  </w14:solidFill>
                </w14:textFill>
              </w:rPr>
              <w:t>(万元)</w:t>
            </w:r>
          </w:p>
        </w:tc>
        <w:tc>
          <w:tcPr>
            <w:tcW w:w="2232" w:type="dxa"/>
            <w:gridSpan w:val="2"/>
            <w:noWrap w:val="0"/>
            <w:vAlign w:val="center"/>
          </w:tcPr>
          <w:p w14:paraId="590FF17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18"/>
                <w:szCs w:val="22"/>
                <w14:textFill>
                  <w14:solidFill>
                    <w14:schemeClr w14:val="tx1"/>
                  </w14:solidFill>
                </w14:textFill>
              </w:rPr>
            </w:pPr>
          </w:p>
        </w:tc>
        <w:tc>
          <w:tcPr>
            <w:tcW w:w="1548" w:type="dxa"/>
            <w:noWrap w:val="0"/>
            <w:vAlign w:val="center"/>
          </w:tcPr>
          <w:p w14:paraId="1D93FE8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年初预算数</w:t>
            </w:r>
          </w:p>
        </w:tc>
        <w:tc>
          <w:tcPr>
            <w:tcW w:w="1040" w:type="dxa"/>
            <w:noWrap w:val="0"/>
            <w:vAlign w:val="center"/>
          </w:tcPr>
          <w:p w14:paraId="7BC137E1">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全年预算数</w:t>
            </w:r>
          </w:p>
        </w:tc>
        <w:tc>
          <w:tcPr>
            <w:tcW w:w="1440" w:type="dxa"/>
            <w:noWrap w:val="0"/>
            <w:vAlign w:val="center"/>
          </w:tcPr>
          <w:p w14:paraId="5E2BDAC6">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全年执行数</w:t>
            </w:r>
          </w:p>
        </w:tc>
        <w:tc>
          <w:tcPr>
            <w:tcW w:w="538" w:type="dxa"/>
            <w:noWrap w:val="0"/>
            <w:vAlign w:val="center"/>
          </w:tcPr>
          <w:p w14:paraId="7759ADD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分值</w:t>
            </w:r>
          </w:p>
        </w:tc>
        <w:tc>
          <w:tcPr>
            <w:tcW w:w="642" w:type="dxa"/>
            <w:noWrap w:val="0"/>
            <w:vAlign w:val="center"/>
          </w:tcPr>
          <w:p w14:paraId="26B1C5BD">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执行率</w:t>
            </w:r>
          </w:p>
        </w:tc>
        <w:tc>
          <w:tcPr>
            <w:tcW w:w="1570" w:type="dxa"/>
            <w:noWrap w:val="0"/>
            <w:vAlign w:val="center"/>
          </w:tcPr>
          <w:p w14:paraId="52B04819">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得分</w:t>
            </w:r>
          </w:p>
        </w:tc>
      </w:tr>
      <w:tr w14:paraId="3DF634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960" w:type="dxa"/>
            <w:vMerge w:val="continue"/>
            <w:tcBorders>
              <w:top w:val="nil"/>
              <w:bottom w:val="nil"/>
            </w:tcBorders>
            <w:noWrap w:val="0"/>
            <w:vAlign w:val="top"/>
          </w:tcPr>
          <w:p w14:paraId="02728C1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0"/>
                <w:szCs w:val="20"/>
                <w14:textFill>
                  <w14:solidFill>
                    <w14:schemeClr w14:val="tx1"/>
                  </w14:solidFill>
                </w14:textFill>
              </w:rPr>
            </w:pPr>
          </w:p>
        </w:tc>
        <w:tc>
          <w:tcPr>
            <w:tcW w:w="2232" w:type="dxa"/>
            <w:gridSpan w:val="2"/>
            <w:noWrap w:val="0"/>
            <w:vAlign w:val="center"/>
          </w:tcPr>
          <w:p w14:paraId="257DA1F6">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年度资金总额</w:t>
            </w:r>
          </w:p>
        </w:tc>
        <w:tc>
          <w:tcPr>
            <w:tcW w:w="1548" w:type="dxa"/>
            <w:noWrap w:val="0"/>
            <w:vAlign w:val="center"/>
          </w:tcPr>
          <w:p w14:paraId="7897875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18"/>
                <w:szCs w:val="22"/>
                <w:lang w:val="en-US" w:eastAsia="zh-CN"/>
                <w14:textFill>
                  <w14:solidFill>
                    <w14:schemeClr w14:val="tx1"/>
                  </w14:solidFill>
                </w14:textFill>
              </w:rPr>
            </w:pPr>
            <w:r>
              <w:rPr>
                <w:rFonts w:hint="eastAsia" w:ascii="Arial"/>
                <w:color w:val="000000" w:themeColor="text1"/>
                <w:spacing w:val="0"/>
                <w:sz w:val="18"/>
                <w:szCs w:val="22"/>
                <w:lang w:val="en-US" w:eastAsia="zh-CN"/>
                <w14:textFill>
                  <w14:solidFill>
                    <w14:schemeClr w14:val="tx1"/>
                  </w14:solidFill>
                </w14:textFill>
              </w:rPr>
              <w:t>888.56</w:t>
            </w:r>
          </w:p>
        </w:tc>
        <w:tc>
          <w:tcPr>
            <w:tcW w:w="1040" w:type="dxa"/>
            <w:noWrap w:val="0"/>
            <w:vAlign w:val="center"/>
          </w:tcPr>
          <w:p w14:paraId="76C5165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18"/>
                <w:szCs w:val="22"/>
                <w:lang w:val="en-US" w:eastAsia="zh-CN"/>
                <w14:textFill>
                  <w14:solidFill>
                    <w14:schemeClr w14:val="tx1"/>
                  </w14:solidFill>
                </w14:textFill>
              </w:rPr>
            </w:pPr>
            <w:r>
              <w:rPr>
                <w:rFonts w:hint="eastAsia" w:ascii="Arial"/>
                <w:color w:val="000000" w:themeColor="text1"/>
                <w:spacing w:val="0"/>
                <w:sz w:val="18"/>
                <w:szCs w:val="22"/>
                <w:lang w:val="en-US" w:eastAsia="zh-CN"/>
                <w14:textFill>
                  <w14:solidFill>
                    <w14:schemeClr w14:val="tx1"/>
                  </w14:solidFill>
                </w14:textFill>
              </w:rPr>
              <w:t>830.13</w:t>
            </w:r>
          </w:p>
        </w:tc>
        <w:tc>
          <w:tcPr>
            <w:tcW w:w="1440" w:type="dxa"/>
            <w:noWrap w:val="0"/>
            <w:vAlign w:val="center"/>
          </w:tcPr>
          <w:p w14:paraId="7B05208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18"/>
                <w:szCs w:val="22"/>
                <w:lang w:val="en-US" w:eastAsia="zh-CN"/>
                <w14:textFill>
                  <w14:solidFill>
                    <w14:schemeClr w14:val="tx1"/>
                  </w14:solidFill>
                </w14:textFill>
              </w:rPr>
            </w:pPr>
            <w:r>
              <w:rPr>
                <w:rFonts w:hint="eastAsia" w:ascii="Arial"/>
                <w:color w:val="000000" w:themeColor="text1"/>
                <w:spacing w:val="0"/>
                <w:sz w:val="18"/>
                <w:szCs w:val="22"/>
                <w:lang w:val="en-US" w:eastAsia="zh-CN"/>
                <w14:textFill>
                  <w14:solidFill>
                    <w14:schemeClr w14:val="tx1"/>
                  </w14:solidFill>
                </w14:textFill>
              </w:rPr>
              <w:t>830.13</w:t>
            </w:r>
          </w:p>
        </w:tc>
        <w:tc>
          <w:tcPr>
            <w:tcW w:w="538" w:type="dxa"/>
            <w:noWrap w:val="0"/>
            <w:vAlign w:val="center"/>
          </w:tcPr>
          <w:p w14:paraId="4336C1E1">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position w:val="-3"/>
                <w:sz w:val="18"/>
                <w:szCs w:val="18"/>
                <w14:textFill>
                  <w14:solidFill>
                    <w14:schemeClr w14:val="tx1"/>
                  </w14:solidFill>
                </w14:textFill>
              </w:rPr>
              <w:t>10</w:t>
            </w:r>
          </w:p>
        </w:tc>
        <w:tc>
          <w:tcPr>
            <w:tcW w:w="642" w:type="dxa"/>
            <w:noWrap w:val="0"/>
            <w:vAlign w:val="center"/>
          </w:tcPr>
          <w:p w14:paraId="6782856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18"/>
                <w:szCs w:val="22"/>
                <w:lang w:val="en-US" w:eastAsia="zh-CN"/>
                <w14:textFill>
                  <w14:solidFill>
                    <w14:schemeClr w14:val="tx1"/>
                  </w14:solidFill>
                </w14:textFill>
              </w:rPr>
            </w:pPr>
            <w:r>
              <w:rPr>
                <w:rFonts w:hint="eastAsia" w:ascii="Arial"/>
                <w:color w:val="000000" w:themeColor="text1"/>
                <w:spacing w:val="0"/>
                <w:sz w:val="18"/>
                <w:szCs w:val="22"/>
                <w:lang w:val="en-US" w:eastAsia="zh-CN"/>
                <w14:textFill>
                  <w14:solidFill>
                    <w14:schemeClr w14:val="tx1"/>
                  </w14:solidFill>
                </w14:textFill>
              </w:rPr>
              <w:t>100%</w:t>
            </w:r>
          </w:p>
        </w:tc>
        <w:tc>
          <w:tcPr>
            <w:tcW w:w="1570" w:type="dxa"/>
            <w:noWrap w:val="0"/>
            <w:vAlign w:val="center"/>
          </w:tcPr>
          <w:p w14:paraId="0ECD3CF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18"/>
                <w:szCs w:val="22"/>
                <w:lang w:val="en-US" w:eastAsia="zh-CN"/>
                <w14:textFill>
                  <w14:solidFill>
                    <w14:schemeClr w14:val="tx1"/>
                  </w14:solidFill>
                </w14:textFill>
              </w:rPr>
            </w:pPr>
            <w:r>
              <w:rPr>
                <w:rFonts w:hint="eastAsia" w:ascii="Arial"/>
                <w:color w:val="000000" w:themeColor="text1"/>
                <w:spacing w:val="0"/>
                <w:sz w:val="18"/>
                <w:szCs w:val="22"/>
                <w:lang w:val="en-US" w:eastAsia="zh-CN"/>
                <w14:textFill>
                  <w14:solidFill>
                    <w14:schemeClr w14:val="tx1"/>
                  </w14:solidFill>
                </w14:textFill>
              </w:rPr>
              <w:t>10</w:t>
            </w:r>
          </w:p>
        </w:tc>
      </w:tr>
      <w:tr w14:paraId="31ADF8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6" w:hRule="atLeast"/>
        </w:trPr>
        <w:tc>
          <w:tcPr>
            <w:tcW w:w="960" w:type="dxa"/>
            <w:vMerge w:val="continue"/>
            <w:tcBorders>
              <w:top w:val="nil"/>
              <w:bottom w:val="nil"/>
            </w:tcBorders>
            <w:noWrap w:val="0"/>
            <w:vAlign w:val="top"/>
          </w:tcPr>
          <w:p w14:paraId="42358C22">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0"/>
                <w:szCs w:val="20"/>
                <w14:textFill>
                  <w14:solidFill>
                    <w14:schemeClr w14:val="tx1"/>
                  </w14:solidFill>
                </w14:textFill>
              </w:rPr>
            </w:pPr>
          </w:p>
        </w:tc>
        <w:tc>
          <w:tcPr>
            <w:tcW w:w="4820" w:type="dxa"/>
            <w:gridSpan w:val="4"/>
            <w:noWrap w:val="0"/>
            <w:vAlign w:val="center"/>
          </w:tcPr>
          <w:p w14:paraId="26B748C4">
            <w:pPr>
              <w:keepNext w:val="0"/>
              <w:keepLines w:val="0"/>
              <w:pageBreakBefore w:val="0"/>
              <w:widowControl w:val="0"/>
              <w:kinsoku/>
              <w:wordWrap/>
              <w:overflowPunct/>
              <w:topLinePunct w:val="0"/>
              <w:autoSpaceDE/>
              <w:autoSpaceDN/>
              <w:bidi w:val="0"/>
              <w:adjustRightInd/>
              <w:snapToGrid/>
              <w:spacing w:line="193" w:lineRule="auto"/>
              <w:ind w:left="0" w:firstLine="200" w:firstLineChars="100"/>
              <w:jc w:val="left"/>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按收入性质分：</w:t>
            </w:r>
            <w:r>
              <w:rPr>
                <w:rFonts w:hint="eastAsia" w:ascii="宋体" w:hAnsi="宋体" w:eastAsia="宋体" w:cs="宋体"/>
                <w:color w:val="000000" w:themeColor="text1"/>
                <w:spacing w:val="0"/>
                <w:sz w:val="20"/>
                <w:szCs w:val="20"/>
                <w:lang w:val="en-US" w:eastAsia="zh-CN"/>
                <w14:textFill>
                  <w14:solidFill>
                    <w14:schemeClr w14:val="tx1"/>
                  </w14:solidFill>
                </w14:textFill>
              </w:rPr>
              <w:t>830.13</w:t>
            </w:r>
          </w:p>
        </w:tc>
        <w:tc>
          <w:tcPr>
            <w:tcW w:w="4190" w:type="dxa"/>
            <w:gridSpan w:val="4"/>
            <w:noWrap w:val="0"/>
            <w:vAlign w:val="center"/>
          </w:tcPr>
          <w:p w14:paraId="5D178C9E">
            <w:pPr>
              <w:keepNext w:val="0"/>
              <w:keepLines w:val="0"/>
              <w:pageBreakBefore w:val="0"/>
              <w:widowControl w:val="0"/>
              <w:kinsoku/>
              <w:wordWrap/>
              <w:overflowPunct/>
              <w:topLinePunct w:val="0"/>
              <w:autoSpaceDE/>
              <w:autoSpaceDN/>
              <w:bidi w:val="0"/>
              <w:adjustRightInd/>
              <w:snapToGrid/>
              <w:spacing w:line="193" w:lineRule="auto"/>
              <w:ind w:left="0" w:firstLine="200" w:firstLineChars="100"/>
              <w:jc w:val="left"/>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按支出性质分：</w:t>
            </w:r>
            <w:r>
              <w:rPr>
                <w:rFonts w:hint="eastAsia" w:ascii="宋体" w:hAnsi="宋体" w:eastAsia="宋体" w:cs="宋体"/>
                <w:color w:val="000000" w:themeColor="text1"/>
                <w:spacing w:val="0"/>
                <w:sz w:val="20"/>
                <w:szCs w:val="20"/>
                <w:lang w:val="en-US" w:eastAsia="zh-CN"/>
                <w14:textFill>
                  <w14:solidFill>
                    <w14:schemeClr w14:val="tx1"/>
                  </w14:solidFill>
                </w14:textFill>
              </w:rPr>
              <w:t>830.13</w:t>
            </w:r>
          </w:p>
        </w:tc>
      </w:tr>
      <w:tr w14:paraId="760B84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60" w:type="dxa"/>
            <w:vMerge w:val="continue"/>
            <w:tcBorders>
              <w:top w:val="nil"/>
              <w:bottom w:val="nil"/>
            </w:tcBorders>
            <w:noWrap w:val="0"/>
            <w:vAlign w:val="top"/>
          </w:tcPr>
          <w:p w14:paraId="54794E0D">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0"/>
                <w:szCs w:val="20"/>
                <w14:textFill>
                  <w14:solidFill>
                    <w14:schemeClr w14:val="tx1"/>
                  </w14:solidFill>
                </w14:textFill>
              </w:rPr>
            </w:pPr>
          </w:p>
        </w:tc>
        <w:tc>
          <w:tcPr>
            <w:tcW w:w="4820" w:type="dxa"/>
            <w:gridSpan w:val="4"/>
            <w:noWrap w:val="0"/>
            <w:vAlign w:val="center"/>
          </w:tcPr>
          <w:p w14:paraId="09A2F075">
            <w:pPr>
              <w:keepNext w:val="0"/>
              <w:keepLines w:val="0"/>
              <w:pageBreakBefore w:val="0"/>
              <w:widowControl w:val="0"/>
              <w:kinsoku/>
              <w:wordWrap/>
              <w:overflowPunct/>
              <w:topLinePunct w:val="0"/>
              <w:autoSpaceDE/>
              <w:autoSpaceDN/>
              <w:bidi w:val="0"/>
              <w:adjustRightInd/>
              <w:snapToGrid/>
              <w:spacing w:line="193" w:lineRule="auto"/>
              <w:ind w:left="0" w:firstLine="200" w:firstLineChars="100"/>
              <w:jc w:val="left"/>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 xml:space="preserve">其中： </w:t>
            </w:r>
            <w:r>
              <w:rPr>
                <w:rFonts w:hint="eastAsia" w:ascii="宋体" w:hAnsi="宋体" w:eastAsia="宋体" w:cs="宋体"/>
                <w:color w:val="000000" w:themeColor="text1"/>
                <w:spacing w:val="0"/>
                <w:sz w:val="20"/>
                <w:szCs w:val="20"/>
                <w:lang w:val="en-US" w:eastAsia="zh-CN"/>
                <w14:textFill>
                  <w14:solidFill>
                    <w14:schemeClr w14:val="tx1"/>
                  </w14:solidFill>
                </w14:textFill>
              </w:rPr>
              <w:t xml:space="preserve"> </w:t>
            </w:r>
            <w:r>
              <w:rPr>
                <w:rFonts w:ascii="宋体" w:hAnsi="宋体" w:eastAsia="宋体" w:cs="宋体"/>
                <w:color w:val="000000" w:themeColor="text1"/>
                <w:spacing w:val="0"/>
                <w:sz w:val="20"/>
                <w:szCs w:val="20"/>
                <w14:textFill>
                  <w14:solidFill>
                    <w14:schemeClr w14:val="tx1"/>
                  </w14:solidFill>
                </w14:textFill>
              </w:rPr>
              <w:t>一般公共预算：</w:t>
            </w:r>
            <w:r>
              <w:rPr>
                <w:rFonts w:hint="eastAsia" w:ascii="宋体" w:hAnsi="宋体" w:eastAsia="宋体" w:cs="宋体"/>
                <w:color w:val="000000" w:themeColor="text1"/>
                <w:spacing w:val="0"/>
                <w:sz w:val="20"/>
                <w:szCs w:val="20"/>
                <w:lang w:val="en-US" w:eastAsia="zh-CN"/>
                <w14:textFill>
                  <w14:solidFill>
                    <w14:schemeClr w14:val="tx1"/>
                  </w14:solidFill>
                </w14:textFill>
              </w:rPr>
              <w:t>830.13</w:t>
            </w:r>
          </w:p>
        </w:tc>
        <w:tc>
          <w:tcPr>
            <w:tcW w:w="4190" w:type="dxa"/>
            <w:gridSpan w:val="4"/>
            <w:noWrap w:val="0"/>
            <w:vAlign w:val="center"/>
          </w:tcPr>
          <w:p w14:paraId="01BBA9AB">
            <w:pPr>
              <w:keepNext w:val="0"/>
              <w:keepLines w:val="0"/>
              <w:pageBreakBefore w:val="0"/>
              <w:widowControl w:val="0"/>
              <w:kinsoku/>
              <w:wordWrap/>
              <w:overflowPunct/>
              <w:topLinePunct w:val="0"/>
              <w:autoSpaceDE/>
              <w:autoSpaceDN/>
              <w:bidi w:val="0"/>
              <w:adjustRightInd/>
              <w:snapToGrid/>
              <w:spacing w:line="194" w:lineRule="auto"/>
              <w:ind w:left="0" w:firstLine="200" w:firstLineChars="100"/>
              <w:jc w:val="left"/>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其中：基本支出：</w:t>
            </w:r>
            <w:r>
              <w:rPr>
                <w:rFonts w:hint="eastAsia" w:ascii="宋体" w:hAnsi="宋体" w:eastAsia="宋体" w:cs="宋体"/>
                <w:color w:val="000000" w:themeColor="text1"/>
                <w:spacing w:val="0"/>
                <w:sz w:val="20"/>
                <w:szCs w:val="20"/>
                <w:lang w:val="en-US" w:eastAsia="zh-CN"/>
                <w14:textFill>
                  <w14:solidFill>
                    <w14:schemeClr w14:val="tx1"/>
                  </w14:solidFill>
                </w14:textFill>
              </w:rPr>
              <w:t>830.13</w:t>
            </w:r>
          </w:p>
        </w:tc>
      </w:tr>
      <w:tr w14:paraId="57A2F4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960" w:type="dxa"/>
            <w:vMerge w:val="continue"/>
            <w:tcBorders>
              <w:top w:val="nil"/>
              <w:bottom w:val="nil"/>
            </w:tcBorders>
            <w:noWrap w:val="0"/>
            <w:vAlign w:val="top"/>
          </w:tcPr>
          <w:p w14:paraId="76FF9E7D">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0"/>
                <w:szCs w:val="20"/>
                <w14:textFill>
                  <w14:solidFill>
                    <w14:schemeClr w14:val="tx1"/>
                  </w14:solidFill>
                </w14:textFill>
              </w:rPr>
            </w:pPr>
          </w:p>
        </w:tc>
        <w:tc>
          <w:tcPr>
            <w:tcW w:w="4820" w:type="dxa"/>
            <w:gridSpan w:val="4"/>
            <w:noWrap w:val="0"/>
            <w:vAlign w:val="center"/>
          </w:tcPr>
          <w:p w14:paraId="6D8FB081">
            <w:pPr>
              <w:keepNext w:val="0"/>
              <w:keepLines w:val="0"/>
              <w:pageBreakBefore w:val="0"/>
              <w:widowControl w:val="0"/>
              <w:kinsoku/>
              <w:wordWrap/>
              <w:overflowPunct/>
              <w:topLinePunct w:val="0"/>
              <w:autoSpaceDE/>
              <w:autoSpaceDN/>
              <w:bidi w:val="0"/>
              <w:adjustRightInd/>
              <w:snapToGrid/>
              <w:spacing w:line="202" w:lineRule="auto"/>
              <w:ind w:left="0" w:firstLine="1000" w:firstLineChars="500"/>
              <w:jc w:val="left"/>
              <w:textAlignment w:val="auto"/>
              <w:rPr>
                <w:rFonts w:hint="eastAsia"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政府性基金拨款：</w:t>
            </w:r>
            <w:r>
              <w:rPr>
                <w:rFonts w:hint="eastAsia" w:ascii="宋体" w:hAnsi="宋体" w:eastAsia="宋体" w:cs="宋体"/>
                <w:color w:val="000000" w:themeColor="text1"/>
                <w:spacing w:val="0"/>
                <w:sz w:val="20"/>
                <w:szCs w:val="20"/>
                <w:lang w:val="en-US" w:eastAsia="zh-CN"/>
                <w14:textFill>
                  <w14:solidFill>
                    <w14:schemeClr w14:val="tx1"/>
                  </w14:solidFill>
                </w14:textFill>
              </w:rPr>
              <w:t>0</w:t>
            </w:r>
          </w:p>
        </w:tc>
        <w:tc>
          <w:tcPr>
            <w:tcW w:w="4190" w:type="dxa"/>
            <w:gridSpan w:val="4"/>
            <w:noWrap w:val="0"/>
            <w:vAlign w:val="center"/>
          </w:tcPr>
          <w:p w14:paraId="3FE9132D">
            <w:pPr>
              <w:keepNext w:val="0"/>
              <w:keepLines w:val="0"/>
              <w:pageBreakBefore w:val="0"/>
              <w:widowControl w:val="0"/>
              <w:kinsoku/>
              <w:wordWrap/>
              <w:overflowPunct/>
              <w:topLinePunct w:val="0"/>
              <w:autoSpaceDE/>
              <w:autoSpaceDN/>
              <w:bidi w:val="0"/>
              <w:adjustRightInd/>
              <w:snapToGrid/>
              <w:spacing w:line="201" w:lineRule="auto"/>
              <w:ind w:left="0" w:firstLine="800" w:firstLineChars="400"/>
              <w:jc w:val="left"/>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项目支出：</w:t>
            </w:r>
          </w:p>
        </w:tc>
      </w:tr>
      <w:tr w14:paraId="3BF67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960" w:type="dxa"/>
            <w:vMerge w:val="continue"/>
            <w:tcBorders>
              <w:top w:val="nil"/>
              <w:bottom w:val="nil"/>
            </w:tcBorders>
            <w:noWrap w:val="0"/>
            <w:vAlign w:val="top"/>
          </w:tcPr>
          <w:p w14:paraId="10AA1E73">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0"/>
                <w:szCs w:val="20"/>
                <w14:textFill>
                  <w14:solidFill>
                    <w14:schemeClr w14:val="tx1"/>
                  </w14:solidFill>
                </w14:textFill>
              </w:rPr>
            </w:pPr>
          </w:p>
        </w:tc>
        <w:tc>
          <w:tcPr>
            <w:tcW w:w="4820" w:type="dxa"/>
            <w:gridSpan w:val="4"/>
            <w:noWrap w:val="0"/>
            <w:vAlign w:val="center"/>
          </w:tcPr>
          <w:p w14:paraId="0BB5A2AA">
            <w:pPr>
              <w:keepNext w:val="0"/>
              <w:keepLines w:val="0"/>
              <w:pageBreakBefore w:val="0"/>
              <w:widowControl w:val="0"/>
              <w:kinsoku/>
              <w:wordWrap/>
              <w:overflowPunct/>
              <w:topLinePunct w:val="0"/>
              <w:autoSpaceDE/>
              <w:autoSpaceDN/>
              <w:bidi w:val="0"/>
              <w:adjustRightInd/>
              <w:snapToGrid/>
              <w:spacing w:line="192" w:lineRule="auto"/>
              <w:ind w:left="0" w:firstLine="1000" w:firstLineChars="500"/>
              <w:jc w:val="left"/>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纳入专户管理的非税收入拨款：</w:t>
            </w:r>
            <w:r>
              <w:rPr>
                <w:rFonts w:hint="eastAsia" w:ascii="宋体" w:hAnsi="宋体" w:eastAsia="宋体" w:cs="宋体"/>
                <w:color w:val="000000" w:themeColor="text1"/>
                <w:spacing w:val="0"/>
                <w:sz w:val="20"/>
                <w:szCs w:val="20"/>
                <w:lang w:val="en-US" w:eastAsia="zh-CN"/>
                <w14:textFill>
                  <w14:solidFill>
                    <w14:schemeClr w14:val="tx1"/>
                  </w14:solidFill>
                </w14:textFill>
              </w:rPr>
              <w:t>0</w:t>
            </w:r>
          </w:p>
        </w:tc>
        <w:tc>
          <w:tcPr>
            <w:tcW w:w="4190" w:type="dxa"/>
            <w:gridSpan w:val="4"/>
            <w:noWrap w:val="0"/>
            <w:vAlign w:val="center"/>
          </w:tcPr>
          <w:p w14:paraId="3558029D">
            <w:pPr>
              <w:keepNext w:val="0"/>
              <w:keepLines w:val="0"/>
              <w:pageBreakBefore w:val="0"/>
              <w:widowControl w:val="0"/>
              <w:kinsoku/>
              <w:wordWrap/>
              <w:overflowPunct/>
              <w:topLinePunct w:val="0"/>
              <w:autoSpaceDE/>
              <w:autoSpaceDN/>
              <w:bidi w:val="0"/>
              <w:adjustRightInd/>
              <w:snapToGrid/>
              <w:spacing w:line="239" w:lineRule="exact"/>
              <w:ind w:firstLine="800" w:firstLineChars="400"/>
              <w:jc w:val="left"/>
              <w:textAlignment w:val="auto"/>
              <w:rPr>
                <w:rFonts w:hint="eastAsia" w:ascii="Arial" w:eastAsiaTheme="minorEastAsia"/>
                <w:color w:val="000000" w:themeColor="text1"/>
                <w:spacing w:val="0"/>
                <w:sz w:val="20"/>
                <w:szCs w:val="20"/>
                <w:lang w:val="en-US" w:eastAsia="zh-CN"/>
                <w14:textFill>
                  <w14:solidFill>
                    <w14:schemeClr w14:val="tx1"/>
                  </w14:solidFill>
                </w14:textFill>
              </w:rPr>
            </w:pPr>
          </w:p>
        </w:tc>
      </w:tr>
      <w:tr w14:paraId="42DE5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960" w:type="dxa"/>
            <w:vMerge w:val="continue"/>
            <w:tcBorders>
              <w:top w:val="nil"/>
            </w:tcBorders>
            <w:noWrap w:val="0"/>
            <w:vAlign w:val="top"/>
          </w:tcPr>
          <w:p w14:paraId="35DBBA5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0"/>
                <w:szCs w:val="20"/>
                <w14:textFill>
                  <w14:solidFill>
                    <w14:schemeClr w14:val="tx1"/>
                  </w14:solidFill>
                </w14:textFill>
              </w:rPr>
            </w:pPr>
          </w:p>
        </w:tc>
        <w:tc>
          <w:tcPr>
            <w:tcW w:w="4820" w:type="dxa"/>
            <w:gridSpan w:val="4"/>
            <w:noWrap w:val="0"/>
            <w:vAlign w:val="center"/>
          </w:tcPr>
          <w:p w14:paraId="362B843D">
            <w:pPr>
              <w:keepNext w:val="0"/>
              <w:keepLines w:val="0"/>
              <w:pageBreakBefore w:val="0"/>
              <w:widowControl w:val="0"/>
              <w:kinsoku/>
              <w:wordWrap/>
              <w:overflowPunct/>
              <w:topLinePunct w:val="0"/>
              <w:autoSpaceDE/>
              <w:autoSpaceDN/>
              <w:bidi w:val="0"/>
              <w:adjustRightInd/>
              <w:snapToGrid/>
              <w:spacing w:line="192" w:lineRule="auto"/>
              <w:ind w:left="0" w:firstLine="1000" w:firstLineChars="500"/>
              <w:jc w:val="left"/>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其他资金：</w:t>
            </w:r>
          </w:p>
        </w:tc>
        <w:tc>
          <w:tcPr>
            <w:tcW w:w="4190" w:type="dxa"/>
            <w:gridSpan w:val="4"/>
            <w:noWrap w:val="0"/>
            <w:vAlign w:val="center"/>
          </w:tcPr>
          <w:p w14:paraId="7A8098DB">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0"/>
                <w:szCs w:val="20"/>
                <w14:textFill>
                  <w14:solidFill>
                    <w14:schemeClr w14:val="tx1"/>
                  </w14:solidFill>
                </w14:textFill>
              </w:rPr>
            </w:pPr>
          </w:p>
        </w:tc>
      </w:tr>
      <w:tr w14:paraId="37B79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960" w:type="dxa"/>
            <w:vMerge w:val="restart"/>
            <w:tcBorders>
              <w:bottom w:val="nil"/>
            </w:tcBorders>
            <w:noWrap w:val="0"/>
            <w:vAlign w:val="center"/>
          </w:tcPr>
          <w:p w14:paraId="1FF83DF8">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7"/>
                <w:sz w:val="20"/>
                <w:szCs w:val="20"/>
                <w14:textFill>
                  <w14:solidFill>
                    <w14:schemeClr w14:val="tx1"/>
                  </w14:solidFill>
                </w14:textFill>
              </w:rPr>
              <w:t>年度总体</w:t>
            </w:r>
            <w:r>
              <w:rPr>
                <w:rFonts w:ascii="宋体" w:hAnsi="宋体" w:eastAsia="宋体" w:cs="宋体"/>
                <w:color w:val="000000" w:themeColor="text1"/>
                <w:spacing w:val="1"/>
                <w:sz w:val="20"/>
                <w:szCs w:val="20"/>
                <w14:textFill>
                  <w14:solidFill>
                    <w14:schemeClr w14:val="tx1"/>
                  </w14:solidFill>
                </w14:textFill>
              </w:rPr>
              <w:t xml:space="preserve"> </w:t>
            </w:r>
            <w:r>
              <w:rPr>
                <w:rFonts w:ascii="宋体" w:hAnsi="宋体" w:eastAsia="宋体" w:cs="宋体"/>
                <w:color w:val="000000" w:themeColor="text1"/>
                <w:spacing w:val="-19"/>
                <w:sz w:val="20"/>
                <w:szCs w:val="20"/>
                <w14:textFill>
                  <w14:solidFill>
                    <w14:schemeClr w14:val="tx1"/>
                  </w14:solidFill>
                </w14:textFill>
              </w:rPr>
              <w:t>目</w:t>
            </w:r>
            <w:r>
              <w:rPr>
                <w:rFonts w:ascii="宋体" w:hAnsi="宋体" w:eastAsia="宋体" w:cs="宋体"/>
                <w:color w:val="000000" w:themeColor="text1"/>
                <w:spacing w:val="-35"/>
                <w:sz w:val="20"/>
                <w:szCs w:val="20"/>
                <w14:textFill>
                  <w14:solidFill>
                    <w14:schemeClr w14:val="tx1"/>
                  </w14:solidFill>
                </w14:textFill>
              </w:rPr>
              <w:t xml:space="preserve"> </w:t>
            </w:r>
            <w:r>
              <w:rPr>
                <w:rFonts w:ascii="宋体" w:hAnsi="宋体" w:eastAsia="宋体" w:cs="宋体"/>
                <w:color w:val="000000" w:themeColor="text1"/>
                <w:spacing w:val="-19"/>
                <w:sz w:val="20"/>
                <w:szCs w:val="20"/>
                <w14:textFill>
                  <w14:solidFill>
                    <w14:schemeClr w14:val="tx1"/>
                  </w14:solidFill>
                </w14:textFill>
              </w:rPr>
              <w:t>标</w:t>
            </w:r>
          </w:p>
        </w:tc>
        <w:tc>
          <w:tcPr>
            <w:tcW w:w="4820" w:type="dxa"/>
            <w:gridSpan w:val="4"/>
            <w:noWrap w:val="0"/>
            <w:vAlign w:val="center"/>
          </w:tcPr>
          <w:p w14:paraId="0177A3F5">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预期目标</w:t>
            </w:r>
          </w:p>
        </w:tc>
        <w:tc>
          <w:tcPr>
            <w:tcW w:w="4190" w:type="dxa"/>
            <w:gridSpan w:val="4"/>
            <w:noWrap w:val="0"/>
            <w:vAlign w:val="center"/>
          </w:tcPr>
          <w:p w14:paraId="2B0B4C19">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实际完成情况</w:t>
            </w:r>
          </w:p>
        </w:tc>
      </w:tr>
      <w:tr w14:paraId="72BCF6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960" w:type="dxa"/>
            <w:vMerge w:val="continue"/>
            <w:tcBorders>
              <w:top w:val="nil"/>
            </w:tcBorders>
            <w:noWrap w:val="0"/>
            <w:vAlign w:val="top"/>
          </w:tcPr>
          <w:p w14:paraId="03FD8272">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0"/>
                <w:szCs w:val="20"/>
                <w14:textFill>
                  <w14:solidFill>
                    <w14:schemeClr w14:val="tx1"/>
                  </w14:solidFill>
                </w14:textFill>
              </w:rPr>
            </w:pPr>
          </w:p>
        </w:tc>
        <w:tc>
          <w:tcPr>
            <w:tcW w:w="4820" w:type="dxa"/>
            <w:gridSpan w:val="4"/>
            <w:noWrap w:val="0"/>
            <w:vAlign w:val="center"/>
          </w:tcPr>
          <w:p w14:paraId="243F2792">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000000" w:themeColor="text1"/>
                <w:spacing w:val="0"/>
                <w:sz w:val="20"/>
                <w:szCs w:val="20"/>
                <w:lang w:eastAsia="zh-CN"/>
                <w14:textFill>
                  <w14:solidFill>
                    <w14:schemeClr w14:val="tx1"/>
                  </w14:solidFill>
                </w14:textFill>
              </w:rPr>
            </w:pPr>
            <w:r>
              <w:rPr>
                <w:rFonts w:hint="eastAsia" w:ascii="仿宋_GB2312" w:hAnsi="仿宋_GB2312" w:eastAsia="仿宋_GB2312" w:cs="仿宋_GB2312"/>
                <w:color w:val="000000"/>
                <w:sz w:val="22"/>
                <w:szCs w:val="22"/>
                <w:lang w:eastAsia="zh-CN"/>
              </w:rPr>
              <w:t>目</w:t>
            </w:r>
            <w:r>
              <w:rPr>
                <w:rFonts w:hint="eastAsia" w:ascii="宋体" w:hAnsi="宋体" w:eastAsia="宋体" w:cs="宋体"/>
                <w:color w:val="000000" w:themeColor="text1"/>
                <w:spacing w:val="0"/>
                <w:sz w:val="20"/>
                <w:szCs w:val="20"/>
                <w:lang w:eastAsia="zh-CN"/>
                <w14:textFill>
                  <w14:solidFill>
                    <w14:schemeClr w14:val="tx1"/>
                  </w14:solidFill>
                </w14:textFill>
              </w:rPr>
              <w:t>标1：本级财政预算执行审计、财政财务收支审计及经济责任审计共</w:t>
            </w:r>
            <w:r>
              <w:rPr>
                <w:rFonts w:hint="eastAsia" w:ascii="宋体" w:hAnsi="宋体" w:eastAsia="宋体" w:cs="宋体"/>
                <w:color w:val="000000" w:themeColor="text1"/>
                <w:spacing w:val="0"/>
                <w:sz w:val="20"/>
                <w:szCs w:val="20"/>
                <w:lang w:val="en-US" w:eastAsia="zh-CN"/>
                <w14:textFill>
                  <w14:solidFill>
                    <w14:schemeClr w14:val="tx1"/>
                  </w14:solidFill>
                </w14:textFill>
              </w:rPr>
              <w:t>27</w:t>
            </w:r>
            <w:r>
              <w:rPr>
                <w:rFonts w:hint="eastAsia" w:ascii="宋体" w:hAnsi="宋体" w:eastAsia="宋体" w:cs="宋体"/>
                <w:color w:val="000000" w:themeColor="text1"/>
                <w:spacing w:val="0"/>
                <w:sz w:val="20"/>
                <w:szCs w:val="20"/>
                <w:lang w:eastAsia="zh-CN"/>
                <w14:textFill>
                  <w14:solidFill>
                    <w14:schemeClr w14:val="tx1"/>
                  </w14:solidFill>
                </w14:textFill>
              </w:rPr>
              <w:t>个</w:t>
            </w:r>
          </w:p>
          <w:p w14:paraId="40938702">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default" w:ascii="Arial"/>
                <w:color w:val="000000" w:themeColor="text1"/>
                <w:spacing w:val="0"/>
                <w:sz w:val="18"/>
                <w:szCs w:val="22"/>
                <w:lang w:val="en-US"/>
                <w14:textFill>
                  <w14:solidFill>
                    <w14:schemeClr w14:val="tx1"/>
                  </w14:solidFill>
                </w14:textFill>
              </w:rPr>
            </w:pPr>
            <w:r>
              <w:rPr>
                <w:rFonts w:hint="eastAsia" w:ascii="宋体" w:hAnsi="宋体" w:eastAsia="宋体" w:cs="宋体"/>
                <w:color w:val="000000" w:themeColor="text1"/>
                <w:spacing w:val="0"/>
                <w:sz w:val="20"/>
                <w:szCs w:val="20"/>
                <w:lang w:eastAsia="zh-CN"/>
                <w14:textFill>
                  <w14:solidFill>
                    <w14:schemeClr w14:val="tx1"/>
                  </w14:solidFill>
                </w14:textFill>
              </w:rPr>
              <w:t>目标2：政府投资审计项目</w:t>
            </w:r>
            <w:r>
              <w:rPr>
                <w:rFonts w:hint="eastAsia" w:ascii="宋体" w:hAnsi="宋体" w:eastAsia="宋体" w:cs="宋体"/>
                <w:color w:val="000000" w:themeColor="text1"/>
                <w:spacing w:val="0"/>
                <w:sz w:val="20"/>
                <w:szCs w:val="20"/>
                <w:lang w:val="en-US" w:eastAsia="zh-CN"/>
                <w14:textFill>
                  <w14:solidFill>
                    <w14:schemeClr w14:val="tx1"/>
                  </w14:solidFill>
                </w14:textFill>
              </w:rPr>
              <w:t>13个</w:t>
            </w:r>
          </w:p>
        </w:tc>
        <w:tc>
          <w:tcPr>
            <w:tcW w:w="4190" w:type="dxa"/>
            <w:gridSpan w:val="4"/>
            <w:noWrap w:val="0"/>
            <w:vAlign w:val="center"/>
          </w:tcPr>
          <w:p w14:paraId="5A3CEC1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18"/>
                <w:szCs w:val="22"/>
                <w14:textFill>
                  <w14:solidFill>
                    <w14:schemeClr w14:val="tx1"/>
                  </w14:solidFill>
                </w14:textFill>
              </w:rPr>
            </w:pPr>
            <w:r>
              <w:rPr>
                <w:rFonts w:hint="eastAsia" w:ascii="仿宋_GB2312" w:hAnsi="仿宋_GB2312" w:eastAsia="仿宋_GB2312" w:cs="仿宋_GB2312"/>
                <w:color w:val="000000"/>
                <w:sz w:val="22"/>
                <w:szCs w:val="22"/>
                <w:lang w:eastAsia="zh-CN"/>
              </w:rPr>
              <w:t>100%完成</w:t>
            </w:r>
          </w:p>
        </w:tc>
      </w:tr>
      <w:tr w14:paraId="5DA153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960" w:type="dxa"/>
            <w:vMerge w:val="restart"/>
            <w:tcBorders>
              <w:bottom w:val="nil"/>
            </w:tcBorders>
            <w:noWrap w:val="0"/>
            <w:textDirection w:val="tbRlV"/>
            <w:vAlign w:val="top"/>
          </w:tcPr>
          <w:p w14:paraId="692DCE85">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0"/>
                <w:szCs w:val="20"/>
                <w14:textFill>
                  <w14:solidFill>
                    <w14:schemeClr w14:val="tx1"/>
                  </w14:solidFill>
                </w14:textFill>
              </w:rPr>
            </w:pPr>
          </w:p>
          <w:p w14:paraId="513DD862">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z w:val="20"/>
                <w:szCs w:val="20"/>
                <w14:textFill>
                  <w14:solidFill>
                    <w14:schemeClr w14:val="tx1"/>
                  </w14:solidFill>
                </w14:textFill>
              </w:rPr>
              <w:t>绩效指标</w:t>
            </w:r>
          </w:p>
        </w:tc>
        <w:tc>
          <w:tcPr>
            <w:tcW w:w="1090" w:type="dxa"/>
            <w:noWrap w:val="0"/>
            <w:vAlign w:val="center"/>
          </w:tcPr>
          <w:p w14:paraId="19C1F92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一级指标</w:t>
            </w:r>
          </w:p>
        </w:tc>
        <w:tc>
          <w:tcPr>
            <w:tcW w:w="1142" w:type="dxa"/>
            <w:noWrap w:val="0"/>
            <w:vAlign w:val="center"/>
          </w:tcPr>
          <w:p w14:paraId="490F468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二级指标</w:t>
            </w:r>
          </w:p>
        </w:tc>
        <w:tc>
          <w:tcPr>
            <w:tcW w:w="1548" w:type="dxa"/>
            <w:noWrap w:val="0"/>
            <w:vAlign w:val="center"/>
          </w:tcPr>
          <w:p w14:paraId="3B36457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三级指标</w:t>
            </w:r>
          </w:p>
        </w:tc>
        <w:tc>
          <w:tcPr>
            <w:tcW w:w="1040" w:type="dxa"/>
            <w:noWrap w:val="0"/>
            <w:vAlign w:val="center"/>
          </w:tcPr>
          <w:p w14:paraId="1B3FBFA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0"/>
                <w:szCs w:val="20"/>
                <w:highlight w:val="none"/>
                <w14:textFill>
                  <w14:solidFill>
                    <w14:schemeClr w14:val="tx1"/>
                  </w14:solidFill>
                </w14:textFill>
              </w:rPr>
            </w:pPr>
            <w:r>
              <w:rPr>
                <w:rFonts w:ascii="宋体" w:hAnsi="宋体" w:eastAsia="宋体" w:cs="宋体"/>
                <w:color w:val="000000" w:themeColor="text1"/>
                <w:spacing w:val="0"/>
                <w:sz w:val="20"/>
                <w:szCs w:val="20"/>
                <w:highlight w:val="none"/>
                <w14:textFill>
                  <w14:solidFill>
                    <w14:schemeClr w14:val="tx1"/>
                  </w14:solidFill>
                </w14:textFill>
              </w:rPr>
              <w:t>年度指标值</w:t>
            </w:r>
          </w:p>
        </w:tc>
        <w:tc>
          <w:tcPr>
            <w:tcW w:w="1440" w:type="dxa"/>
            <w:noWrap w:val="0"/>
            <w:vAlign w:val="center"/>
          </w:tcPr>
          <w:p w14:paraId="53BA3A0B">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0"/>
                <w:szCs w:val="20"/>
                <w:highlight w:val="none"/>
                <w14:textFill>
                  <w14:solidFill>
                    <w14:schemeClr w14:val="tx1"/>
                  </w14:solidFill>
                </w14:textFill>
              </w:rPr>
            </w:pPr>
            <w:r>
              <w:rPr>
                <w:rFonts w:ascii="宋体" w:hAnsi="宋体" w:eastAsia="宋体" w:cs="宋体"/>
                <w:color w:val="000000" w:themeColor="text1"/>
                <w:spacing w:val="0"/>
                <w:sz w:val="20"/>
                <w:szCs w:val="20"/>
                <w:highlight w:val="none"/>
                <w14:textFill>
                  <w14:solidFill>
                    <w14:schemeClr w14:val="tx1"/>
                  </w14:solidFill>
                </w14:textFill>
              </w:rPr>
              <w:t>实际完成值</w:t>
            </w:r>
          </w:p>
        </w:tc>
        <w:tc>
          <w:tcPr>
            <w:tcW w:w="538" w:type="dxa"/>
            <w:noWrap w:val="0"/>
            <w:vAlign w:val="center"/>
          </w:tcPr>
          <w:p w14:paraId="25D49F1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分值</w:t>
            </w:r>
          </w:p>
        </w:tc>
        <w:tc>
          <w:tcPr>
            <w:tcW w:w="642" w:type="dxa"/>
            <w:noWrap w:val="0"/>
            <w:vAlign w:val="center"/>
          </w:tcPr>
          <w:p w14:paraId="1C1ACC6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得分</w:t>
            </w:r>
          </w:p>
        </w:tc>
        <w:tc>
          <w:tcPr>
            <w:tcW w:w="1570" w:type="dxa"/>
            <w:noWrap w:val="0"/>
            <w:vAlign w:val="center"/>
          </w:tcPr>
          <w:p w14:paraId="2A87629B">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偏差原因分析</w:t>
            </w:r>
          </w:p>
          <w:p w14:paraId="5999816E">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sz w:val="20"/>
                <w:szCs w:val="20"/>
                <w14:textFill>
                  <w14:solidFill>
                    <w14:schemeClr w14:val="tx1"/>
                  </w14:solidFill>
                </w14:textFill>
              </w:rPr>
              <w:t>及改进措施</w:t>
            </w:r>
          </w:p>
        </w:tc>
      </w:tr>
      <w:tr w14:paraId="6D5B6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960" w:type="dxa"/>
            <w:vMerge w:val="continue"/>
            <w:tcBorders>
              <w:top w:val="nil"/>
              <w:bottom w:val="nil"/>
            </w:tcBorders>
            <w:noWrap w:val="0"/>
            <w:textDirection w:val="tbRlV"/>
            <w:vAlign w:val="top"/>
          </w:tcPr>
          <w:p w14:paraId="6A359912">
            <w:pPr>
              <w:rPr>
                <w:rFonts w:ascii="Arial"/>
                <w:color w:val="000000" w:themeColor="text1"/>
                <w:sz w:val="20"/>
                <w:szCs w:val="22"/>
                <w14:textFill>
                  <w14:solidFill>
                    <w14:schemeClr w14:val="tx1"/>
                  </w14:solidFill>
                </w14:textFill>
              </w:rPr>
            </w:pPr>
          </w:p>
        </w:tc>
        <w:tc>
          <w:tcPr>
            <w:tcW w:w="1090" w:type="dxa"/>
            <w:vMerge w:val="restart"/>
            <w:tcBorders>
              <w:top w:val="nil"/>
            </w:tcBorders>
            <w:noWrap w:val="0"/>
            <w:vAlign w:val="center"/>
          </w:tcPr>
          <w:p w14:paraId="30FBA853">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2"/>
                <w:position w:val="20"/>
                <w:sz w:val="20"/>
                <w:szCs w:val="20"/>
                <w14:textFill>
                  <w14:solidFill>
                    <w14:schemeClr w14:val="tx1"/>
                  </w14:solidFill>
                </w14:textFill>
              </w:rPr>
              <w:t>产出指标</w:t>
            </w:r>
          </w:p>
          <w:p w14:paraId="4AA2B36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r>
              <w:rPr>
                <w:rFonts w:ascii="宋体" w:hAnsi="宋体" w:eastAsia="宋体" w:cs="宋体"/>
                <w:color w:val="000000" w:themeColor="text1"/>
                <w:spacing w:val="9"/>
                <w:sz w:val="20"/>
                <w:szCs w:val="20"/>
                <w14:textFill>
                  <w14:solidFill>
                    <w14:schemeClr w14:val="tx1"/>
                  </w14:solidFill>
                </w14:textFill>
              </w:rPr>
              <w:t>(50分)</w:t>
            </w:r>
          </w:p>
        </w:tc>
        <w:tc>
          <w:tcPr>
            <w:tcW w:w="1142" w:type="dxa"/>
            <w:vMerge w:val="restart"/>
            <w:tcBorders>
              <w:top w:val="nil"/>
            </w:tcBorders>
            <w:noWrap w:val="0"/>
            <w:vAlign w:val="center"/>
          </w:tcPr>
          <w:p w14:paraId="42D7443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r>
              <w:rPr>
                <w:rFonts w:ascii="宋体" w:hAnsi="宋体" w:eastAsia="宋体" w:cs="宋体"/>
                <w:color w:val="000000" w:themeColor="text1"/>
                <w:spacing w:val="-2"/>
                <w:sz w:val="20"/>
                <w:szCs w:val="20"/>
                <w14:textFill>
                  <w14:solidFill>
                    <w14:schemeClr w14:val="tx1"/>
                  </w14:solidFill>
                </w14:textFill>
              </w:rPr>
              <w:t>数量指标</w:t>
            </w:r>
          </w:p>
        </w:tc>
        <w:tc>
          <w:tcPr>
            <w:tcW w:w="1548" w:type="dxa"/>
            <w:noWrap w:val="0"/>
            <w:vAlign w:val="center"/>
          </w:tcPr>
          <w:p w14:paraId="6BE96F9F">
            <w:pPr>
              <w:autoSpaceDE w:val="0"/>
              <w:autoSpaceDN w:val="0"/>
              <w:spacing w:before="6" w:after="0" w:line="240" w:lineRule="auto"/>
              <w:ind w:right="0" w:rightChars="0"/>
              <w:jc w:val="both"/>
              <w:rPr>
                <w:rFonts w:hint="eastAsia" w:ascii="仿宋_GB2312" w:hAnsi="仿宋_GB2312" w:eastAsia="仿宋_GB2312" w:cs="仿宋_GB2312"/>
                <w:color w:val="000000"/>
                <w:kern w:val="2"/>
                <w:sz w:val="22"/>
                <w:szCs w:val="22"/>
                <w:lang w:val="en-US" w:eastAsia="zh-CN" w:bidi="ar-SA"/>
              </w:rPr>
            </w:pPr>
            <w:r>
              <w:rPr>
                <w:rFonts w:hint="eastAsia" w:ascii="Arial"/>
                <w:color w:val="000000" w:themeColor="text1"/>
                <w:sz w:val="18"/>
                <w:szCs w:val="22"/>
                <w:lang w:eastAsia="zh-CN"/>
                <w14:textFill>
                  <w14:solidFill>
                    <w14:schemeClr w14:val="tx1"/>
                  </w14:solidFill>
                </w14:textFill>
              </w:rPr>
              <w:t>财政、部门预算执行审计、经济责任审计项目</w:t>
            </w:r>
          </w:p>
        </w:tc>
        <w:tc>
          <w:tcPr>
            <w:tcW w:w="1040" w:type="dxa"/>
            <w:noWrap w:val="0"/>
            <w:vAlign w:val="center"/>
          </w:tcPr>
          <w:p w14:paraId="47D60159">
            <w:pPr>
              <w:autoSpaceDE w:val="0"/>
              <w:autoSpaceDN w:val="0"/>
              <w:spacing w:before="6" w:after="0" w:line="240" w:lineRule="auto"/>
              <w:ind w:right="0" w:rightChars="0" w:firstLine="380" w:firstLineChars="200"/>
              <w:jc w:val="both"/>
              <w:rPr>
                <w:rFonts w:hint="eastAsia" w:asciiTheme="minorHAnsi" w:hAnsiTheme="minorHAnsi" w:eastAsiaTheme="minorEastAsia" w:cstheme="minorBidi"/>
                <w:kern w:val="2"/>
                <w:sz w:val="20"/>
                <w:szCs w:val="22"/>
                <w:lang w:val="en-US" w:eastAsia="zh-CN" w:bidi="ar-SA"/>
              </w:rPr>
            </w:pPr>
            <w:r>
              <w:rPr>
                <w:rFonts w:ascii="宋体" w:hAnsi="宋体" w:eastAsia="宋体" w:cs="宋体"/>
                <w:color w:val="000000"/>
                <w:spacing w:val="-5"/>
                <w:sz w:val="20"/>
                <w:szCs w:val="20"/>
              </w:rPr>
              <w:t>≥</w:t>
            </w:r>
            <w:r>
              <w:rPr>
                <w:rFonts w:hint="eastAsia" w:ascii="宋体" w:hAnsi="宋体" w:eastAsia="宋体" w:cs="宋体"/>
                <w:color w:val="000000"/>
                <w:spacing w:val="-2"/>
                <w:sz w:val="20"/>
                <w:szCs w:val="20"/>
                <w:lang w:val="en-US" w:eastAsia="zh-CN"/>
              </w:rPr>
              <w:t>25</w:t>
            </w:r>
            <w:r>
              <w:rPr>
                <w:rFonts w:ascii="宋体" w:hAnsi="宋体" w:eastAsia="宋体" w:cs="宋体"/>
                <w:color w:val="000000"/>
                <w:spacing w:val="-5"/>
                <w:sz w:val="20"/>
                <w:szCs w:val="20"/>
              </w:rPr>
              <w:t>个</w:t>
            </w:r>
          </w:p>
        </w:tc>
        <w:tc>
          <w:tcPr>
            <w:tcW w:w="1440" w:type="dxa"/>
            <w:noWrap w:val="0"/>
            <w:vAlign w:val="center"/>
          </w:tcPr>
          <w:p w14:paraId="0491501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24</w:t>
            </w:r>
          </w:p>
        </w:tc>
        <w:tc>
          <w:tcPr>
            <w:tcW w:w="538" w:type="dxa"/>
            <w:noWrap w:val="0"/>
            <w:vAlign w:val="center"/>
          </w:tcPr>
          <w:p w14:paraId="200B962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w:t>
            </w:r>
          </w:p>
        </w:tc>
        <w:tc>
          <w:tcPr>
            <w:tcW w:w="642" w:type="dxa"/>
            <w:noWrap w:val="0"/>
            <w:vAlign w:val="center"/>
          </w:tcPr>
          <w:p w14:paraId="48F5D26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4</w:t>
            </w:r>
          </w:p>
        </w:tc>
        <w:tc>
          <w:tcPr>
            <w:tcW w:w="1570" w:type="dxa"/>
            <w:noWrap w:val="0"/>
            <w:vAlign w:val="center"/>
          </w:tcPr>
          <w:p w14:paraId="532C272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区委区政府、纪委交办事项多、导致任务无法完成</w:t>
            </w:r>
          </w:p>
        </w:tc>
      </w:tr>
      <w:tr w14:paraId="33C1E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960" w:type="dxa"/>
            <w:vMerge w:val="continue"/>
            <w:tcBorders>
              <w:top w:val="nil"/>
              <w:bottom w:val="nil"/>
            </w:tcBorders>
            <w:noWrap w:val="0"/>
            <w:textDirection w:val="tbRlV"/>
            <w:vAlign w:val="top"/>
          </w:tcPr>
          <w:p w14:paraId="2C85B9A0">
            <w:pPr>
              <w:rPr>
                <w:rFonts w:ascii="Arial"/>
                <w:color w:val="000000" w:themeColor="text1"/>
                <w:sz w:val="20"/>
                <w:szCs w:val="22"/>
                <w14:textFill>
                  <w14:solidFill>
                    <w14:schemeClr w14:val="tx1"/>
                  </w14:solidFill>
                </w14:textFill>
              </w:rPr>
            </w:pPr>
          </w:p>
        </w:tc>
        <w:tc>
          <w:tcPr>
            <w:tcW w:w="1090" w:type="dxa"/>
            <w:vMerge w:val="continue"/>
            <w:noWrap w:val="0"/>
            <w:vAlign w:val="center"/>
          </w:tcPr>
          <w:p w14:paraId="0CEF3DD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continue"/>
            <w:tcBorders>
              <w:top w:val="nil"/>
            </w:tcBorders>
            <w:noWrap w:val="0"/>
            <w:vAlign w:val="center"/>
          </w:tcPr>
          <w:p w14:paraId="4AFA87F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548" w:type="dxa"/>
            <w:noWrap w:val="0"/>
            <w:vAlign w:val="center"/>
          </w:tcPr>
          <w:p w14:paraId="145CDCE3">
            <w:pPr>
              <w:autoSpaceDE w:val="0"/>
              <w:autoSpaceDN w:val="0"/>
              <w:spacing w:before="7" w:after="0" w:line="240" w:lineRule="auto"/>
              <w:ind w:right="0" w:rightChars="0"/>
              <w:jc w:val="both"/>
              <w:rPr>
                <w:rFonts w:hint="eastAsia" w:ascii="仿宋_GB2312" w:hAnsi="仿宋_GB2312" w:eastAsia="仿宋_GB2312" w:cs="仿宋_GB2312"/>
                <w:color w:val="000000"/>
                <w:sz w:val="22"/>
                <w:szCs w:val="22"/>
                <w:lang w:val="en-US" w:eastAsia="zh-CN"/>
              </w:rPr>
            </w:pPr>
            <w:r>
              <w:rPr>
                <w:rFonts w:hint="eastAsia" w:ascii="Arial"/>
                <w:color w:val="000000" w:themeColor="text1"/>
                <w:sz w:val="18"/>
                <w:szCs w:val="22"/>
                <w:lang w:val="en-US" w:eastAsia="zh-CN"/>
                <w14:textFill>
                  <w14:solidFill>
                    <w14:schemeClr w14:val="tx1"/>
                  </w14:solidFill>
                </w14:textFill>
              </w:rPr>
              <w:t>专项资金审计、</w:t>
            </w:r>
            <w:r>
              <w:rPr>
                <w:rFonts w:hint="eastAsia" w:ascii="Arial"/>
                <w:color w:val="000000" w:themeColor="text1"/>
                <w:sz w:val="18"/>
                <w:szCs w:val="22"/>
                <w:lang w:eastAsia="zh-CN"/>
                <w14:textFill>
                  <w14:solidFill>
                    <w14:schemeClr w14:val="tx1"/>
                  </w14:solidFill>
                </w14:textFill>
              </w:rPr>
              <w:t>自然资源资产离任审计项目</w:t>
            </w:r>
          </w:p>
        </w:tc>
        <w:tc>
          <w:tcPr>
            <w:tcW w:w="1040" w:type="dxa"/>
            <w:noWrap w:val="0"/>
            <w:vAlign w:val="center"/>
          </w:tcPr>
          <w:p w14:paraId="4CCF8E8F">
            <w:pPr>
              <w:autoSpaceDE w:val="0"/>
              <w:autoSpaceDN w:val="0"/>
              <w:spacing w:before="6" w:after="0" w:line="240" w:lineRule="auto"/>
              <w:ind w:right="0" w:rightChars="0" w:firstLine="380" w:firstLineChars="200"/>
              <w:jc w:val="both"/>
              <w:rPr>
                <w:rFonts w:hint="eastAsia" w:asciiTheme="minorHAnsi" w:hAnsiTheme="minorHAnsi" w:eastAsiaTheme="minorEastAsia" w:cstheme="minorBidi"/>
                <w:kern w:val="2"/>
                <w:sz w:val="20"/>
                <w:szCs w:val="22"/>
                <w:lang w:val="en-US" w:eastAsia="zh-CN" w:bidi="ar-SA"/>
              </w:rPr>
            </w:pPr>
            <w:r>
              <w:rPr>
                <w:rFonts w:ascii="宋体" w:hAnsi="宋体" w:eastAsia="宋体" w:cs="宋体"/>
                <w:color w:val="000000"/>
                <w:spacing w:val="-5"/>
                <w:sz w:val="20"/>
                <w:szCs w:val="20"/>
              </w:rPr>
              <w:t>≥</w:t>
            </w:r>
            <w:r>
              <w:rPr>
                <w:rFonts w:hint="eastAsia" w:ascii="宋体" w:hAnsi="宋体" w:eastAsia="宋体" w:cs="宋体"/>
                <w:color w:val="000000"/>
                <w:spacing w:val="-2"/>
                <w:sz w:val="20"/>
                <w:szCs w:val="20"/>
                <w:lang w:val="en-US" w:eastAsia="zh-CN"/>
              </w:rPr>
              <w:t>2</w:t>
            </w:r>
            <w:r>
              <w:rPr>
                <w:rFonts w:ascii="宋体" w:hAnsi="宋体" w:eastAsia="宋体" w:cs="宋体"/>
                <w:color w:val="000000"/>
                <w:spacing w:val="-5"/>
                <w:sz w:val="20"/>
                <w:szCs w:val="20"/>
              </w:rPr>
              <w:t>个</w:t>
            </w:r>
          </w:p>
        </w:tc>
        <w:tc>
          <w:tcPr>
            <w:tcW w:w="1440" w:type="dxa"/>
            <w:noWrap w:val="0"/>
            <w:vAlign w:val="center"/>
          </w:tcPr>
          <w:p w14:paraId="56A9A49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3</w:t>
            </w:r>
          </w:p>
        </w:tc>
        <w:tc>
          <w:tcPr>
            <w:tcW w:w="538" w:type="dxa"/>
            <w:noWrap w:val="0"/>
            <w:vAlign w:val="center"/>
          </w:tcPr>
          <w:p w14:paraId="47B4AD6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642" w:type="dxa"/>
            <w:noWrap w:val="0"/>
            <w:vAlign w:val="center"/>
          </w:tcPr>
          <w:p w14:paraId="2EB0AD6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1570" w:type="dxa"/>
            <w:noWrap w:val="0"/>
            <w:vAlign w:val="center"/>
          </w:tcPr>
          <w:p w14:paraId="5D54DBA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18"/>
                <w:szCs w:val="22"/>
                <w14:textFill>
                  <w14:solidFill>
                    <w14:schemeClr w14:val="tx1"/>
                  </w14:solidFill>
                </w14:textFill>
              </w:rPr>
            </w:pPr>
          </w:p>
        </w:tc>
      </w:tr>
      <w:tr w14:paraId="3147B0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960" w:type="dxa"/>
            <w:vMerge w:val="continue"/>
            <w:tcBorders>
              <w:top w:val="nil"/>
              <w:bottom w:val="nil"/>
            </w:tcBorders>
            <w:noWrap w:val="0"/>
            <w:textDirection w:val="tbRlV"/>
            <w:vAlign w:val="top"/>
          </w:tcPr>
          <w:p w14:paraId="3E2D50DC">
            <w:pPr>
              <w:rPr>
                <w:rFonts w:ascii="Arial"/>
                <w:color w:val="000000" w:themeColor="text1"/>
                <w:sz w:val="20"/>
                <w:szCs w:val="22"/>
                <w14:textFill>
                  <w14:solidFill>
                    <w14:schemeClr w14:val="tx1"/>
                  </w14:solidFill>
                </w14:textFill>
              </w:rPr>
            </w:pPr>
          </w:p>
        </w:tc>
        <w:tc>
          <w:tcPr>
            <w:tcW w:w="1090" w:type="dxa"/>
            <w:vMerge w:val="continue"/>
            <w:noWrap w:val="0"/>
            <w:vAlign w:val="center"/>
          </w:tcPr>
          <w:p w14:paraId="781387D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continue"/>
            <w:tcBorders>
              <w:top w:val="nil"/>
            </w:tcBorders>
            <w:noWrap w:val="0"/>
            <w:vAlign w:val="center"/>
          </w:tcPr>
          <w:p w14:paraId="2725D18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548" w:type="dxa"/>
            <w:noWrap w:val="0"/>
            <w:vAlign w:val="center"/>
          </w:tcPr>
          <w:p w14:paraId="66B0A9B4">
            <w:pPr>
              <w:autoSpaceDE w:val="0"/>
              <w:autoSpaceDN w:val="0"/>
              <w:spacing w:before="7" w:after="0" w:line="240" w:lineRule="auto"/>
              <w:ind w:right="0" w:rightChars="0"/>
              <w:jc w:val="both"/>
              <w:rPr>
                <w:rFonts w:hint="eastAsia" w:ascii="仿宋_GB2312" w:hAnsi="仿宋_GB2312" w:eastAsia="仿宋_GB2312" w:cs="仿宋_GB2312"/>
                <w:color w:val="000000"/>
                <w:kern w:val="2"/>
                <w:sz w:val="22"/>
                <w:szCs w:val="22"/>
                <w:lang w:val="en-US" w:eastAsia="zh-CN" w:bidi="ar-SA"/>
              </w:rPr>
            </w:pPr>
            <w:r>
              <w:rPr>
                <w:rFonts w:hint="eastAsia" w:ascii="Arial"/>
                <w:color w:val="000000" w:themeColor="text1"/>
                <w:sz w:val="18"/>
                <w:szCs w:val="22"/>
                <w:lang w:val="en-US" w:eastAsia="zh-CN"/>
                <w14:textFill>
                  <w14:solidFill>
                    <w14:schemeClr w14:val="tx1"/>
                  </w14:solidFill>
                </w14:textFill>
              </w:rPr>
              <w:t>投资审计项目</w:t>
            </w:r>
          </w:p>
        </w:tc>
        <w:tc>
          <w:tcPr>
            <w:tcW w:w="1040" w:type="dxa"/>
            <w:noWrap w:val="0"/>
            <w:vAlign w:val="center"/>
          </w:tcPr>
          <w:p w14:paraId="39997A91">
            <w:pPr>
              <w:autoSpaceDE w:val="0"/>
              <w:autoSpaceDN w:val="0"/>
              <w:spacing w:before="7" w:after="0" w:line="240" w:lineRule="auto"/>
              <w:ind w:right="0" w:rightChars="0" w:firstLine="380" w:firstLineChars="200"/>
              <w:jc w:val="both"/>
              <w:rPr>
                <w:rFonts w:hint="eastAsia" w:asciiTheme="minorHAnsi" w:hAnsiTheme="minorHAnsi" w:eastAsiaTheme="minorEastAsia" w:cstheme="minorBidi"/>
                <w:kern w:val="2"/>
                <w:sz w:val="20"/>
                <w:szCs w:val="22"/>
                <w:lang w:val="en-US" w:eastAsia="zh-CN" w:bidi="ar-SA"/>
              </w:rPr>
            </w:pPr>
            <w:r>
              <w:rPr>
                <w:rFonts w:ascii="宋体" w:hAnsi="宋体" w:eastAsia="宋体" w:cs="宋体"/>
                <w:color w:val="000000"/>
                <w:spacing w:val="-5"/>
                <w:sz w:val="20"/>
                <w:szCs w:val="20"/>
              </w:rPr>
              <w:t>≥</w:t>
            </w:r>
            <w:r>
              <w:rPr>
                <w:rFonts w:hint="eastAsia" w:ascii="宋体" w:hAnsi="宋体" w:eastAsia="宋体" w:cs="宋体"/>
                <w:color w:val="000000"/>
                <w:spacing w:val="-2"/>
                <w:sz w:val="20"/>
                <w:szCs w:val="20"/>
                <w:lang w:val="en-US" w:eastAsia="zh-CN"/>
              </w:rPr>
              <w:t>13</w:t>
            </w:r>
            <w:r>
              <w:rPr>
                <w:rFonts w:ascii="宋体" w:hAnsi="宋体" w:eastAsia="宋体" w:cs="宋体"/>
                <w:color w:val="000000"/>
                <w:spacing w:val="-5"/>
                <w:sz w:val="20"/>
                <w:szCs w:val="20"/>
              </w:rPr>
              <w:t>个</w:t>
            </w:r>
          </w:p>
        </w:tc>
        <w:tc>
          <w:tcPr>
            <w:tcW w:w="1440" w:type="dxa"/>
            <w:noWrap w:val="0"/>
            <w:vAlign w:val="center"/>
          </w:tcPr>
          <w:p w14:paraId="7D617E6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153</w:t>
            </w:r>
          </w:p>
        </w:tc>
        <w:tc>
          <w:tcPr>
            <w:tcW w:w="538" w:type="dxa"/>
            <w:noWrap w:val="0"/>
            <w:vAlign w:val="center"/>
          </w:tcPr>
          <w:p w14:paraId="3E925D6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642" w:type="dxa"/>
            <w:noWrap w:val="0"/>
            <w:vAlign w:val="center"/>
          </w:tcPr>
          <w:p w14:paraId="14B8E86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1570" w:type="dxa"/>
            <w:noWrap w:val="0"/>
            <w:vAlign w:val="center"/>
          </w:tcPr>
          <w:p w14:paraId="33066E8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18"/>
                <w:szCs w:val="22"/>
                <w14:textFill>
                  <w14:solidFill>
                    <w14:schemeClr w14:val="tx1"/>
                  </w14:solidFill>
                </w14:textFill>
              </w:rPr>
            </w:pPr>
          </w:p>
        </w:tc>
      </w:tr>
      <w:tr w14:paraId="41F309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960" w:type="dxa"/>
            <w:vMerge w:val="continue"/>
            <w:tcBorders>
              <w:top w:val="nil"/>
              <w:bottom w:val="nil"/>
            </w:tcBorders>
            <w:noWrap w:val="0"/>
            <w:textDirection w:val="tbRlV"/>
            <w:vAlign w:val="top"/>
          </w:tcPr>
          <w:p w14:paraId="603BCE59">
            <w:pPr>
              <w:rPr>
                <w:rFonts w:ascii="Arial"/>
                <w:color w:val="000000" w:themeColor="text1"/>
                <w:sz w:val="20"/>
                <w:szCs w:val="22"/>
                <w14:textFill>
                  <w14:solidFill>
                    <w14:schemeClr w14:val="tx1"/>
                  </w14:solidFill>
                </w14:textFill>
              </w:rPr>
            </w:pPr>
          </w:p>
        </w:tc>
        <w:tc>
          <w:tcPr>
            <w:tcW w:w="1090" w:type="dxa"/>
            <w:vMerge w:val="continue"/>
            <w:noWrap w:val="0"/>
            <w:vAlign w:val="center"/>
          </w:tcPr>
          <w:p w14:paraId="09068A3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continue"/>
            <w:tcBorders>
              <w:top w:val="nil"/>
              <w:bottom w:val="single" w:color="auto" w:sz="4" w:space="0"/>
            </w:tcBorders>
            <w:noWrap w:val="0"/>
            <w:vAlign w:val="center"/>
          </w:tcPr>
          <w:p w14:paraId="3B2A0AB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548" w:type="dxa"/>
            <w:noWrap w:val="0"/>
            <w:vAlign w:val="center"/>
          </w:tcPr>
          <w:p w14:paraId="3DA4BE08">
            <w:pPr>
              <w:autoSpaceDE w:val="0"/>
              <w:autoSpaceDN w:val="0"/>
              <w:spacing w:before="7" w:after="0" w:line="240" w:lineRule="auto"/>
              <w:ind w:right="0" w:rightChars="0"/>
              <w:jc w:val="both"/>
              <w:rPr>
                <w:rFonts w:hint="eastAsia" w:ascii="仿宋_GB2312" w:hAnsi="仿宋_GB2312" w:eastAsia="仿宋_GB2312" w:cs="仿宋_GB2312"/>
                <w:color w:val="000000"/>
                <w:kern w:val="2"/>
                <w:sz w:val="22"/>
                <w:szCs w:val="22"/>
                <w:lang w:val="en-US" w:eastAsia="zh-CN" w:bidi="ar-SA"/>
              </w:rPr>
            </w:pPr>
            <w:r>
              <w:rPr>
                <w:rFonts w:hint="eastAsia" w:ascii="Arial"/>
                <w:color w:val="000000" w:themeColor="text1"/>
                <w:sz w:val="18"/>
                <w:szCs w:val="22"/>
                <w:lang w:val="en-US" w:eastAsia="zh-CN"/>
                <w14:textFill>
                  <w14:solidFill>
                    <w14:schemeClr w14:val="tx1"/>
                  </w14:solidFill>
                </w14:textFill>
              </w:rPr>
              <w:t>重大线索移交</w:t>
            </w:r>
          </w:p>
        </w:tc>
        <w:tc>
          <w:tcPr>
            <w:tcW w:w="1040" w:type="dxa"/>
            <w:noWrap w:val="0"/>
            <w:vAlign w:val="center"/>
          </w:tcPr>
          <w:p w14:paraId="20B3751F">
            <w:pPr>
              <w:spacing w:before="7" w:after="0" w:line="240" w:lineRule="auto"/>
              <w:ind w:right="0" w:rightChars="0" w:firstLine="380" w:firstLineChars="200"/>
              <w:jc w:val="both"/>
              <w:rPr>
                <w:rFonts w:hint="eastAsia" w:ascii="仿宋_GB2312" w:hAnsi="仿宋_GB2312" w:eastAsia="宋体" w:cs="仿宋_GB2312"/>
                <w:color w:val="000000"/>
                <w:kern w:val="2"/>
                <w:sz w:val="22"/>
                <w:szCs w:val="22"/>
                <w:highlight w:val="yellow"/>
                <w:lang w:val="en-US" w:eastAsia="zh-CN" w:bidi="ar-SA"/>
              </w:rPr>
            </w:pPr>
            <w:r>
              <w:rPr>
                <w:rFonts w:ascii="宋体" w:hAnsi="宋体" w:eastAsia="宋体" w:cs="宋体"/>
                <w:color w:val="000000"/>
                <w:spacing w:val="-5"/>
                <w:sz w:val="20"/>
                <w:szCs w:val="20"/>
              </w:rPr>
              <w:t>≥</w:t>
            </w:r>
            <w:r>
              <w:rPr>
                <w:rFonts w:hint="eastAsia" w:ascii="宋体" w:hAnsi="宋体" w:eastAsia="宋体" w:cs="宋体"/>
                <w:color w:val="000000"/>
                <w:spacing w:val="-3"/>
                <w:sz w:val="20"/>
                <w:szCs w:val="20"/>
                <w:lang w:val="en-US" w:eastAsia="zh-CN"/>
              </w:rPr>
              <w:t>3条</w:t>
            </w:r>
          </w:p>
        </w:tc>
        <w:tc>
          <w:tcPr>
            <w:tcW w:w="1440" w:type="dxa"/>
            <w:noWrap w:val="0"/>
            <w:vAlign w:val="center"/>
          </w:tcPr>
          <w:p w14:paraId="7B84AE4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4条</w:t>
            </w:r>
          </w:p>
        </w:tc>
        <w:tc>
          <w:tcPr>
            <w:tcW w:w="538" w:type="dxa"/>
            <w:noWrap w:val="0"/>
            <w:vAlign w:val="center"/>
          </w:tcPr>
          <w:p w14:paraId="2C0C0F00">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w:t>
            </w:r>
          </w:p>
        </w:tc>
        <w:tc>
          <w:tcPr>
            <w:tcW w:w="642" w:type="dxa"/>
            <w:noWrap w:val="0"/>
            <w:vAlign w:val="center"/>
          </w:tcPr>
          <w:p w14:paraId="141ACBF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w:t>
            </w:r>
          </w:p>
        </w:tc>
        <w:tc>
          <w:tcPr>
            <w:tcW w:w="1570" w:type="dxa"/>
            <w:noWrap w:val="0"/>
            <w:vAlign w:val="center"/>
          </w:tcPr>
          <w:p w14:paraId="7118B1F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r>
      <w:tr w14:paraId="2EFC7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960" w:type="dxa"/>
            <w:vMerge w:val="continue"/>
            <w:tcBorders>
              <w:top w:val="nil"/>
              <w:bottom w:val="nil"/>
            </w:tcBorders>
            <w:noWrap w:val="0"/>
            <w:textDirection w:val="tbRlV"/>
            <w:vAlign w:val="top"/>
          </w:tcPr>
          <w:p w14:paraId="79AD2B9C">
            <w:pPr>
              <w:rPr>
                <w:rFonts w:ascii="Arial"/>
                <w:color w:val="000000" w:themeColor="text1"/>
                <w:sz w:val="20"/>
                <w:szCs w:val="22"/>
                <w14:textFill>
                  <w14:solidFill>
                    <w14:schemeClr w14:val="tx1"/>
                  </w14:solidFill>
                </w14:textFill>
              </w:rPr>
            </w:pPr>
          </w:p>
        </w:tc>
        <w:tc>
          <w:tcPr>
            <w:tcW w:w="1090" w:type="dxa"/>
            <w:vMerge w:val="continue"/>
            <w:noWrap w:val="0"/>
            <w:vAlign w:val="center"/>
          </w:tcPr>
          <w:p w14:paraId="73C25F9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tcBorders>
              <w:top w:val="single" w:color="auto" w:sz="4" w:space="0"/>
            </w:tcBorders>
            <w:noWrap w:val="0"/>
            <w:vAlign w:val="center"/>
          </w:tcPr>
          <w:p w14:paraId="3A0E9D5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质量指标</w:t>
            </w:r>
          </w:p>
        </w:tc>
        <w:tc>
          <w:tcPr>
            <w:tcW w:w="1548" w:type="dxa"/>
            <w:noWrap w:val="0"/>
            <w:vAlign w:val="center"/>
          </w:tcPr>
          <w:p w14:paraId="5019BA1B">
            <w:pPr>
              <w:autoSpaceDE w:val="0"/>
              <w:autoSpaceDN w:val="0"/>
              <w:spacing w:before="8" w:after="0" w:line="240" w:lineRule="auto"/>
              <w:ind w:right="0" w:rightChars="0"/>
              <w:jc w:val="both"/>
              <w:rPr>
                <w:rFonts w:hint="default" w:ascii="Arial"/>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违规资金上缴财政比率</w:t>
            </w:r>
          </w:p>
        </w:tc>
        <w:tc>
          <w:tcPr>
            <w:tcW w:w="1040" w:type="dxa"/>
            <w:noWrap w:val="0"/>
            <w:vAlign w:val="center"/>
          </w:tcPr>
          <w:p w14:paraId="044C8E69">
            <w:pPr>
              <w:spacing w:before="8" w:after="0" w:line="240" w:lineRule="auto"/>
              <w:ind w:right="0" w:rightChars="0" w:firstLine="380" w:firstLineChars="200"/>
              <w:jc w:val="both"/>
              <w:rPr>
                <w:rFonts w:ascii="宋体" w:hAnsi="宋体" w:eastAsia="宋体" w:cs="宋体"/>
                <w:color w:val="000000"/>
                <w:spacing w:val="-5"/>
                <w:sz w:val="20"/>
                <w:szCs w:val="20"/>
              </w:rPr>
            </w:pPr>
            <w:r>
              <w:rPr>
                <w:rFonts w:hint="eastAsia" w:ascii="宋体" w:hAnsi="宋体" w:eastAsia="宋体" w:cs="宋体"/>
                <w:color w:val="000000"/>
                <w:spacing w:val="-5"/>
                <w:sz w:val="20"/>
                <w:szCs w:val="20"/>
                <w:lang w:val="en-US" w:eastAsia="zh-CN"/>
              </w:rPr>
              <w:t>=</w:t>
            </w:r>
            <w:r>
              <w:rPr>
                <w:rFonts w:hint="eastAsia" w:ascii="宋体" w:hAnsi="宋体" w:eastAsia="宋体" w:cs="宋体"/>
                <w:color w:val="000000"/>
                <w:spacing w:val="-3"/>
                <w:sz w:val="20"/>
                <w:szCs w:val="20"/>
                <w:lang w:val="en-US" w:eastAsia="zh-CN"/>
              </w:rPr>
              <w:t>100</w:t>
            </w:r>
            <w:r>
              <w:rPr>
                <w:rFonts w:ascii="宋体" w:hAnsi="宋体" w:eastAsia="宋体" w:cs="宋体"/>
                <w:color w:val="000000"/>
                <w:spacing w:val="-3"/>
                <w:sz w:val="20"/>
                <w:szCs w:val="20"/>
              </w:rPr>
              <w:t>%</w:t>
            </w:r>
          </w:p>
        </w:tc>
        <w:tc>
          <w:tcPr>
            <w:tcW w:w="1440" w:type="dxa"/>
            <w:noWrap w:val="0"/>
            <w:vAlign w:val="center"/>
          </w:tcPr>
          <w:p w14:paraId="0D7CA3E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100%</w:t>
            </w:r>
          </w:p>
        </w:tc>
        <w:tc>
          <w:tcPr>
            <w:tcW w:w="538" w:type="dxa"/>
            <w:noWrap w:val="0"/>
            <w:vAlign w:val="center"/>
          </w:tcPr>
          <w:p w14:paraId="2CFD74B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w:t>
            </w:r>
          </w:p>
        </w:tc>
        <w:tc>
          <w:tcPr>
            <w:tcW w:w="642" w:type="dxa"/>
            <w:noWrap w:val="0"/>
            <w:vAlign w:val="center"/>
          </w:tcPr>
          <w:p w14:paraId="65F06D8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w:t>
            </w:r>
          </w:p>
        </w:tc>
        <w:tc>
          <w:tcPr>
            <w:tcW w:w="1570" w:type="dxa"/>
            <w:noWrap w:val="0"/>
            <w:vAlign w:val="center"/>
          </w:tcPr>
          <w:p w14:paraId="48AA7F8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color w:val="FF0000"/>
                <w:sz w:val="18"/>
                <w:szCs w:val="22"/>
                <w:lang w:val="en-US" w:eastAsia="zh-CN"/>
              </w:rPr>
            </w:pPr>
          </w:p>
        </w:tc>
      </w:tr>
      <w:tr w14:paraId="37EF7A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960" w:type="dxa"/>
            <w:vMerge w:val="continue"/>
            <w:tcBorders>
              <w:top w:val="nil"/>
              <w:bottom w:val="nil"/>
            </w:tcBorders>
            <w:noWrap w:val="0"/>
            <w:textDirection w:val="tbRlV"/>
            <w:vAlign w:val="top"/>
          </w:tcPr>
          <w:p w14:paraId="2B684478">
            <w:pPr>
              <w:rPr>
                <w:rFonts w:ascii="Arial"/>
                <w:color w:val="000000" w:themeColor="text1"/>
                <w:sz w:val="20"/>
                <w:szCs w:val="22"/>
                <w14:textFill>
                  <w14:solidFill>
                    <w14:schemeClr w14:val="tx1"/>
                  </w14:solidFill>
                </w14:textFill>
              </w:rPr>
            </w:pPr>
          </w:p>
        </w:tc>
        <w:tc>
          <w:tcPr>
            <w:tcW w:w="1090" w:type="dxa"/>
            <w:vMerge w:val="continue"/>
            <w:noWrap w:val="0"/>
            <w:vAlign w:val="center"/>
          </w:tcPr>
          <w:p w14:paraId="7C964DD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tcBorders>
              <w:bottom w:val="nil"/>
            </w:tcBorders>
            <w:noWrap w:val="0"/>
            <w:vAlign w:val="center"/>
          </w:tcPr>
          <w:p w14:paraId="6D8072F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2"/>
                <w:sz w:val="20"/>
                <w:szCs w:val="20"/>
                <w14:textFill>
                  <w14:solidFill>
                    <w14:schemeClr w14:val="tx1"/>
                  </w14:solidFill>
                </w14:textFill>
              </w:rPr>
              <w:t>时效指标</w:t>
            </w:r>
          </w:p>
        </w:tc>
        <w:tc>
          <w:tcPr>
            <w:tcW w:w="1548" w:type="dxa"/>
            <w:noWrap w:val="0"/>
            <w:vAlign w:val="center"/>
          </w:tcPr>
          <w:p w14:paraId="2DF696C3">
            <w:pPr>
              <w:autoSpaceDE w:val="0"/>
              <w:autoSpaceDN w:val="0"/>
              <w:spacing w:before="57" w:after="0" w:line="240" w:lineRule="auto"/>
              <w:ind w:right="0" w:rightChars="0"/>
              <w:jc w:val="both"/>
              <w:rPr>
                <w:rFonts w:asciiTheme="minorHAnsi" w:hAnsiTheme="minorHAnsi" w:eastAsiaTheme="minorEastAsia" w:cstheme="minorBidi"/>
                <w:kern w:val="2"/>
                <w:sz w:val="20"/>
                <w:szCs w:val="22"/>
                <w:lang w:val="en-US" w:eastAsia="zh-CN" w:bidi="ar-SA"/>
              </w:rPr>
            </w:pPr>
            <w:r>
              <w:rPr>
                <w:rFonts w:hint="eastAsia" w:ascii="Arial"/>
                <w:color w:val="000000" w:themeColor="text1"/>
                <w:sz w:val="18"/>
                <w:szCs w:val="22"/>
                <w:lang w:val="en-US" w:eastAsia="zh-CN"/>
                <w14:textFill>
                  <w14:solidFill>
                    <w14:schemeClr w14:val="tx1"/>
                  </w14:solidFill>
                </w14:textFill>
              </w:rPr>
              <w:t>违规资金上缴期限</w:t>
            </w:r>
          </w:p>
        </w:tc>
        <w:tc>
          <w:tcPr>
            <w:tcW w:w="1040" w:type="dxa"/>
            <w:noWrap w:val="0"/>
            <w:vAlign w:val="top"/>
          </w:tcPr>
          <w:p w14:paraId="3DEF6D45">
            <w:pPr>
              <w:autoSpaceDE w:val="0"/>
              <w:autoSpaceDN w:val="0"/>
              <w:spacing w:before="57" w:after="0" w:line="240" w:lineRule="auto"/>
              <w:ind w:right="0" w:rightChars="0"/>
              <w:rPr>
                <w:rFonts w:hint="default" w:asciiTheme="minorHAnsi" w:hAnsiTheme="minorHAnsi" w:eastAsiaTheme="minorEastAsia" w:cstheme="minorBidi"/>
                <w:kern w:val="2"/>
                <w:sz w:val="20"/>
                <w:szCs w:val="22"/>
                <w:lang w:val="en-US" w:eastAsia="zh-CN" w:bidi="ar-SA"/>
              </w:rPr>
            </w:pPr>
            <w:r>
              <w:rPr>
                <w:rFonts w:hint="eastAsia" w:cstheme="minorBidi"/>
                <w:kern w:val="2"/>
                <w:sz w:val="20"/>
                <w:szCs w:val="22"/>
                <w:lang w:val="en-US" w:eastAsia="zh-CN" w:bidi="ar-SA"/>
              </w:rPr>
              <w:t>2022年12月31日前</w:t>
            </w:r>
          </w:p>
        </w:tc>
        <w:tc>
          <w:tcPr>
            <w:tcW w:w="1440" w:type="dxa"/>
            <w:noWrap w:val="0"/>
            <w:vAlign w:val="center"/>
          </w:tcPr>
          <w:p w14:paraId="00A97C4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2022年12月31日前</w:t>
            </w:r>
          </w:p>
        </w:tc>
        <w:tc>
          <w:tcPr>
            <w:tcW w:w="538" w:type="dxa"/>
            <w:noWrap w:val="0"/>
            <w:vAlign w:val="center"/>
          </w:tcPr>
          <w:p w14:paraId="152FBA9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w:t>
            </w:r>
          </w:p>
        </w:tc>
        <w:tc>
          <w:tcPr>
            <w:tcW w:w="642" w:type="dxa"/>
            <w:noWrap w:val="0"/>
            <w:vAlign w:val="center"/>
          </w:tcPr>
          <w:p w14:paraId="0BDAA7A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w:t>
            </w:r>
          </w:p>
        </w:tc>
        <w:tc>
          <w:tcPr>
            <w:tcW w:w="1570" w:type="dxa"/>
            <w:noWrap w:val="0"/>
            <w:vAlign w:val="center"/>
          </w:tcPr>
          <w:p w14:paraId="2BB5E95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p>
        </w:tc>
      </w:tr>
      <w:tr w14:paraId="1489A9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960" w:type="dxa"/>
            <w:vMerge w:val="continue"/>
            <w:tcBorders>
              <w:top w:val="nil"/>
              <w:bottom w:val="nil"/>
            </w:tcBorders>
            <w:noWrap w:val="0"/>
            <w:textDirection w:val="tbRlV"/>
            <w:vAlign w:val="top"/>
          </w:tcPr>
          <w:p w14:paraId="5938A0D8">
            <w:pPr>
              <w:rPr>
                <w:rFonts w:ascii="Arial"/>
                <w:color w:val="000000" w:themeColor="text1"/>
                <w:sz w:val="20"/>
                <w:szCs w:val="22"/>
                <w14:textFill>
                  <w14:solidFill>
                    <w14:schemeClr w14:val="tx1"/>
                  </w14:solidFill>
                </w14:textFill>
              </w:rPr>
            </w:pPr>
          </w:p>
        </w:tc>
        <w:tc>
          <w:tcPr>
            <w:tcW w:w="1090" w:type="dxa"/>
            <w:vMerge w:val="continue"/>
            <w:noWrap w:val="0"/>
            <w:vAlign w:val="center"/>
          </w:tcPr>
          <w:p w14:paraId="10F0D88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restart"/>
            <w:tcBorders>
              <w:bottom w:val="nil"/>
            </w:tcBorders>
            <w:noWrap w:val="0"/>
            <w:vAlign w:val="center"/>
          </w:tcPr>
          <w:p w14:paraId="056E44F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2"/>
                <w:sz w:val="20"/>
                <w:szCs w:val="20"/>
                <w14:textFill>
                  <w14:solidFill>
                    <w14:schemeClr w14:val="tx1"/>
                  </w14:solidFill>
                </w14:textFill>
              </w:rPr>
              <w:t>成本指标</w:t>
            </w:r>
          </w:p>
        </w:tc>
        <w:tc>
          <w:tcPr>
            <w:tcW w:w="1548" w:type="dxa"/>
            <w:noWrap w:val="0"/>
            <w:vAlign w:val="center"/>
          </w:tcPr>
          <w:p w14:paraId="239FD0FA">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三公经费控制率</w:t>
            </w:r>
          </w:p>
        </w:tc>
        <w:tc>
          <w:tcPr>
            <w:tcW w:w="1040" w:type="dxa"/>
            <w:noWrap w:val="0"/>
            <w:vAlign w:val="center"/>
          </w:tcPr>
          <w:p w14:paraId="725884ED">
            <w:pPr>
              <w:autoSpaceDN w:val="0"/>
              <w:spacing w:line="320" w:lineRule="exact"/>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sz w:val="22"/>
                <w:szCs w:val="22"/>
                <w:lang w:eastAsia="zh-CN"/>
              </w:rPr>
              <w:t>100%</w:t>
            </w:r>
          </w:p>
        </w:tc>
        <w:tc>
          <w:tcPr>
            <w:tcW w:w="1440" w:type="dxa"/>
            <w:noWrap w:val="0"/>
            <w:vAlign w:val="center"/>
          </w:tcPr>
          <w:p w14:paraId="2550EA4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100%</w:t>
            </w:r>
          </w:p>
        </w:tc>
        <w:tc>
          <w:tcPr>
            <w:tcW w:w="538" w:type="dxa"/>
            <w:noWrap w:val="0"/>
            <w:vAlign w:val="center"/>
          </w:tcPr>
          <w:p w14:paraId="1CC9848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642" w:type="dxa"/>
            <w:noWrap w:val="0"/>
            <w:vAlign w:val="center"/>
          </w:tcPr>
          <w:p w14:paraId="359E88A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1570" w:type="dxa"/>
            <w:noWrap w:val="0"/>
            <w:vAlign w:val="center"/>
          </w:tcPr>
          <w:p w14:paraId="5B820A5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p>
        </w:tc>
      </w:tr>
      <w:tr w14:paraId="62C4F8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960" w:type="dxa"/>
            <w:vMerge w:val="continue"/>
            <w:tcBorders>
              <w:top w:val="nil"/>
              <w:bottom w:val="nil"/>
            </w:tcBorders>
            <w:noWrap w:val="0"/>
            <w:textDirection w:val="tbRlV"/>
            <w:vAlign w:val="top"/>
          </w:tcPr>
          <w:p w14:paraId="7EFF2332">
            <w:pPr>
              <w:rPr>
                <w:rFonts w:ascii="Arial"/>
                <w:color w:val="000000" w:themeColor="text1"/>
                <w:sz w:val="20"/>
                <w:szCs w:val="22"/>
                <w14:textFill>
                  <w14:solidFill>
                    <w14:schemeClr w14:val="tx1"/>
                  </w14:solidFill>
                </w14:textFill>
              </w:rPr>
            </w:pPr>
          </w:p>
        </w:tc>
        <w:tc>
          <w:tcPr>
            <w:tcW w:w="1090" w:type="dxa"/>
            <w:vMerge w:val="continue"/>
            <w:tcBorders>
              <w:bottom w:val="nil"/>
            </w:tcBorders>
            <w:noWrap w:val="0"/>
            <w:vAlign w:val="center"/>
          </w:tcPr>
          <w:p w14:paraId="4A86D28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continue"/>
            <w:tcBorders>
              <w:top w:val="nil"/>
              <w:bottom w:val="nil"/>
            </w:tcBorders>
            <w:noWrap w:val="0"/>
            <w:vAlign w:val="center"/>
          </w:tcPr>
          <w:p w14:paraId="1393EAF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548" w:type="dxa"/>
            <w:noWrap w:val="0"/>
            <w:vAlign w:val="center"/>
          </w:tcPr>
          <w:p w14:paraId="4A958BB6">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审计成本控制率</w:t>
            </w:r>
          </w:p>
        </w:tc>
        <w:tc>
          <w:tcPr>
            <w:tcW w:w="1040" w:type="dxa"/>
            <w:noWrap w:val="0"/>
            <w:vAlign w:val="center"/>
          </w:tcPr>
          <w:p w14:paraId="42424901">
            <w:pPr>
              <w:autoSpaceDN w:val="0"/>
              <w:spacing w:line="320" w:lineRule="exact"/>
              <w:jc w:val="center"/>
              <w:textAlignment w:val="center"/>
              <w:rPr>
                <w:rFonts w:hint="eastAsia" w:ascii="仿宋_GB2312" w:hAnsi="仿宋_GB2312" w:eastAsia="仿宋_GB2312" w:cs="仿宋_GB2312"/>
                <w:color w:val="000000"/>
                <w:kern w:val="2"/>
                <w:sz w:val="22"/>
                <w:szCs w:val="22"/>
                <w:lang w:val="en-US" w:eastAsia="zh-CN" w:bidi="ar-SA"/>
              </w:rPr>
            </w:pPr>
            <w:r>
              <w:rPr>
                <w:rFonts w:hint="eastAsia" w:ascii="仿宋_GB2312" w:hAnsi="仿宋_GB2312" w:eastAsia="仿宋_GB2312" w:cs="仿宋_GB2312"/>
                <w:color w:val="000000"/>
                <w:sz w:val="22"/>
                <w:szCs w:val="22"/>
                <w:lang w:eastAsia="zh-CN"/>
              </w:rPr>
              <w:t>100%</w:t>
            </w:r>
          </w:p>
        </w:tc>
        <w:tc>
          <w:tcPr>
            <w:tcW w:w="1440" w:type="dxa"/>
            <w:noWrap w:val="0"/>
            <w:vAlign w:val="center"/>
          </w:tcPr>
          <w:p w14:paraId="0786ACD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100%</w:t>
            </w:r>
          </w:p>
        </w:tc>
        <w:tc>
          <w:tcPr>
            <w:tcW w:w="538" w:type="dxa"/>
            <w:noWrap w:val="0"/>
            <w:vAlign w:val="center"/>
          </w:tcPr>
          <w:p w14:paraId="7A74B7B0">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642" w:type="dxa"/>
            <w:noWrap w:val="0"/>
            <w:vAlign w:val="center"/>
          </w:tcPr>
          <w:p w14:paraId="4736D354">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5</w:t>
            </w:r>
          </w:p>
        </w:tc>
        <w:tc>
          <w:tcPr>
            <w:tcW w:w="1570" w:type="dxa"/>
            <w:noWrap w:val="0"/>
            <w:vAlign w:val="center"/>
          </w:tcPr>
          <w:p w14:paraId="5AE6933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18"/>
                <w:szCs w:val="22"/>
                <w14:textFill>
                  <w14:solidFill>
                    <w14:schemeClr w14:val="tx1"/>
                  </w14:solidFill>
                </w14:textFill>
              </w:rPr>
            </w:pPr>
          </w:p>
        </w:tc>
      </w:tr>
      <w:tr w14:paraId="448593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960" w:type="dxa"/>
            <w:vMerge w:val="continue"/>
            <w:tcBorders>
              <w:top w:val="nil"/>
              <w:bottom w:val="nil"/>
            </w:tcBorders>
            <w:noWrap w:val="0"/>
            <w:textDirection w:val="tbRlV"/>
            <w:vAlign w:val="top"/>
          </w:tcPr>
          <w:p w14:paraId="4B751F97">
            <w:pPr>
              <w:rPr>
                <w:rFonts w:ascii="Arial"/>
                <w:color w:val="000000" w:themeColor="text1"/>
                <w:sz w:val="20"/>
                <w:szCs w:val="22"/>
                <w14:textFill>
                  <w14:solidFill>
                    <w14:schemeClr w14:val="tx1"/>
                  </w14:solidFill>
                </w14:textFill>
              </w:rPr>
            </w:pPr>
          </w:p>
        </w:tc>
        <w:tc>
          <w:tcPr>
            <w:tcW w:w="1090" w:type="dxa"/>
            <w:vMerge w:val="restart"/>
            <w:tcBorders>
              <w:bottom w:val="nil"/>
            </w:tcBorders>
            <w:noWrap w:val="0"/>
            <w:vAlign w:val="center"/>
          </w:tcPr>
          <w:p w14:paraId="0E11023D">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0"/>
                <w:szCs w:val="22"/>
                <w14:textFill>
                  <w14:solidFill>
                    <w14:schemeClr w14:val="tx1"/>
                  </w14:solidFill>
                </w14:textFill>
              </w:rPr>
            </w:pPr>
          </w:p>
          <w:p w14:paraId="5D17BBB1">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2"/>
                <w:position w:val="21"/>
                <w:sz w:val="20"/>
                <w:szCs w:val="20"/>
                <w14:textFill>
                  <w14:solidFill>
                    <w14:schemeClr w14:val="tx1"/>
                  </w14:solidFill>
                </w14:textFill>
              </w:rPr>
              <w:t>效益指标</w:t>
            </w:r>
          </w:p>
          <w:p w14:paraId="16F1852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9"/>
                <w:sz w:val="20"/>
                <w:szCs w:val="20"/>
                <w14:textFill>
                  <w14:solidFill>
                    <w14:schemeClr w14:val="tx1"/>
                  </w14:solidFill>
                </w14:textFill>
              </w:rPr>
              <w:t>(30分)</w:t>
            </w:r>
          </w:p>
        </w:tc>
        <w:tc>
          <w:tcPr>
            <w:tcW w:w="1142" w:type="dxa"/>
            <w:vMerge w:val="restart"/>
            <w:tcBorders>
              <w:bottom w:val="nil"/>
            </w:tcBorders>
            <w:noWrap w:val="0"/>
            <w:vAlign w:val="center"/>
          </w:tcPr>
          <w:p w14:paraId="55F693A9">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经济效</w:t>
            </w:r>
          </w:p>
          <w:p w14:paraId="270CAA9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益指标</w:t>
            </w:r>
          </w:p>
        </w:tc>
        <w:tc>
          <w:tcPr>
            <w:tcW w:w="1548" w:type="dxa"/>
            <w:noWrap w:val="0"/>
            <w:vAlign w:val="center"/>
          </w:tcPr>
          <w:p w14:paraId="3322BF9B">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z w:val="18"/>
                <w:szCs w:val="22"/>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核减不合理工程造价</w:t>
            </w:r>
          </w:p>
        </w:tc>
        <w:tc>
          <w:tcPr>
            <w:tcW w:w="1040" w:type="dxa"/>
            <w:noWrap w:val="0"/>
            <w:vAlign w:val="top"/>
          </w:tcPr>
          <w:p w14:paraId="1D8F7593">
            <w:pPr>
              <w:autoSpaceDE w:val="0"/>
              <w:autoSpaceDN w:val="0"/>
              <w:spacing w:before="8" w:after="0" w:line="240" w:lineRule="auto"/>
              <w:ind w:left="425" w:leftChars="0" w:right="0" w:rightChars="0" w:firstLine="0" w:firstLineChars="0"/>
              <w:rPr>
                <w:rFonts w:asciiTheme="minorHAnsi" w:hAnsiTheme="minorHAnsi" w:eastAsiaTheme="minorEastAsia" w:cstheme="minorBidi"/>
                <w:kern w:val="2"/>
                <w:sz w:val="20"/>
                <w:szCs w:val="22"/>
                <w:lang w:val="en-US" w:eastAsia="zh-CN" w:bidi="ar-SA"/>
              </w:rPr>
            </w:pPr>
            <w:r>
              <w:rPr>
                <w:rFonts w:ascii="宋体" w:hAnsi="宋体" w:eastAsia="宋体" w:cs="宋体"/>
                <w:color w:val="000000"/>
                <w:spacing w:val="-3"/>
                <w:sz w:val="20"/>
                <w:szCs w:val="20"/>
              </w:rPr>
              <w:t>≥</w:t>
            </w:r>
            <w:r>
              <w:rPr>
                <w:rFonts w:hint="eastAsia" w:ascii="宋体" w:hAnsi="宋体" w:eastAsia="宋体" w:cs="宋体"/>
                <w:color w:val="000000"/>
                <w:spacing w:val="-2"/>
                <w:sz w:val="20"/>
                <w:szCs w:val="20"/>
                <w:lang w:val="en-US" w:eastAsia="zh-CN"/>
              </w:rPr>
              <w:t>1000</w:t>
            </w:r>
            <w:r>
              <w:rPr>
                <w:rFonts w:ascii="宋体" w:hAnsi="宋体" w:eastAsia="宋体" w:cs="宋体"/>
                <w:color w:val="000000"/>
                <w:spacing w:val="-3"/>
                <w:sz w:val="20"/>
                <w:szCs w:val="20"/>
              </w:rPr>
              <w:t>万元</w:t>
            </w:r>
          </w:p>
        </w:tc>
        <w:tc>
          <w:tcPr>
            <w:tcW w:w="1440" w:type="dxa"/>
            <w:noWrap w:val="0"/>
            <w:vAlign w:val="center"/>
          </w:tcPr>
          <w:p w14:paraId="5BA15E5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2270万元</w:t>
            </w:r>
          </w:p>
        </w:tc>
        <w:tc>
          <w:tcPr>
            <w:tcW w:w="538" w:type="dxa"/>
            <w:noWrap w:val="0"/>
            <w:vAlign w:val="center"/>
          </w:tcPr>
          <w:p w14:paraId="53C5091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642" w:type="dxa"/>
            <w:noWrap w:val="0"/>
            <w:vAlign w:val="center"/>
          </w:tcPr>
          <w:p w14:paraId="31E3C52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1570" w:type="dxa"/>
            <w:noWrap w:val="0"/>
            <w:vAlign w:val="center"/>
          </w:tcPr>
          <w:p w14:paraId="671F013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18"/>
                <w:szCs w:val="22"/>
                <w14:textFill>
                  <w14:solidFill>
                    <w14:schemeClr w14:val="tx1"/>
                  </w14:solidFill>
                </w14:textFill>
              </w:rPr>
            </w:pPr>
          </w:p>
        </w:tc>
      </w:tr>
      <w:tr w14:paraId="13B6C1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960" w:type="dxa"/>
            <w:vMerge w:val="continue"/>
            <w:tcBorders>
              <w:top w:val="nil"/>
              <w:bottom w:val="nil"/>
            </w:tcBorders>
            <w:noWrap w:val="0"/>
            <w:textDirection w:val="tbRlV"/>
            <w:vAlign w:val="top"/>
          </w:tcPr>
          <w:p w14:paraId="46C151FC">
            <w:pPr>
              <w:rPr>
                <w:rFonts w:ascii="Arial"/>
                <w:color w:val="000000" w:themeColor="text1"/>
                <w:sz w:val="20"/>
                <w:szCs w:val="22"/>
                <w14:textFill>
                  <w14:solidFill>
                    <w14:schemeClr w14:val="tx1"/>
                  </w14:solidFill>
                </w14:textFill>
              </w:rPr>
            </w:pPr>
          </w:p>
        </w:tc>
        <w:tc>
          <w:tcPr>
            <w:tcW w:w="1090" w:type="dxa"/>
            <w:vMerge w:val="continue"/>
            <w:tcBorders>
              <w:top w:val="nil"/>
              <w:bottom w:val="nil"/>
            </w:tcBorders>
            <w:noWrap w:val="0"/>
            <w:vAlign w:val="center"/>
          </w:tcPr>
          <w:p w14:paraId="587A3D1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continue"/>
            <w:tcBorders>
              <w:top w:val="nil"/>
              <w:bottom w:val="nil"/>
            </w:tcBorders>
            <w:noWrap w:val="0"/>
            <w:vAlign w:val="center"/>
          </w:tcPr>
          <w:p w14:paraId="4B91E42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548" w:type="dxa"/>
            <w:noWrap w:val="0"/>
            <w:vAlign w:val="center"/>
          </w:tcPr>
          <w:p w14:paraId="5C8D9286">
            <w:pPr>
              <w:autoSpaceDE w:val="0"/>
              <w:autoSpaceDN w:val="0"/>
              <w:spacing w:before="6" w:after="0" w:line="240" w:lineRule="auto"/>
              <w:ind w:right="0"/>
              <w:rPr>
                <w:rFonts w:ascii="Arial"/>
                <w:color w:val="000000" w:themeColor="text1"/>
                <w:sz w:val="20"/>
                <w:szCs w:val="22"/>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违规资金上缴或自行解缴财政</w:t>
            </w:r>
          </w:p>
        </w:tc>
        <w:tc>
          <w:tcPr>
            <w:tcW w:w="1040" w:type="dxa"/>
            <w:noWrap w:val="0"/>
            <w:vAlign w:val="top"/>
          </w:tcPr>
          <w:p w14:paraId="5B26E5A5">
            <w:pPr>
              <w:spacing w:before="0" w:after="0" w:line="138" w:lineRule="exact"/>
              <w:ind w:left="0" w:right="0"/>
              <w:rPr>
                <w:sz w:val="20"/>
                <w:szCs w:val="22"/>
              </w:rPr>
            </w:pPr>
          </w:p>
          <w:p w14:paraId="1F148D06">
            <w:pPr>
              <w:autoSpaceDE w:val="0"/>
              <w:autoSpaceDN w:val="0"/>
              <w:spacing w:before="0" w:after="0" w:line="240" w:lineRule="auto"/>
              <w:ind w:left="425" w:leftChars="0" w:right="0" w:rightChars="0" w:firstLine="0" w:firstLineChars="0"/>
              <w:rPr>
                <w:rFonts w:asciiTheme="minorHAnsi" w:hAnsiTheme="minorHAnsi" w:eastAsiaTheme="minorEastAsia" w:cstheme="minorBidi"/>
                <w:kern w:val="2"/>
                <w:sz w:val="20"/>
                <w:szCs w:val="22"/>
                <w:lang w:val="en-US" w:eastAsia="zh-CN" w:bidi="ar-SA"/>
              </w:rPr>
            </w:pPr>
            <w:r>
              <w:rPr>
                <w:rFonts w:ascii="宋体" w:hAnsi="宋体" w:eastAsia="宋体" w:cs="宋体"/>
                <w:color w:val="000000"/>
                <w:spacing w:val="-3"/>
                <w:sz w:val="20"/>
                <w:szCs w:val="20"/>
              </w:rPr>
              <w:t>≥</w:t>
            </w:r>
            <w:r>
              <w:rPr>
                <w:rFonts w:hint="eastAsia" w:ascii="宋体" w:hAnsi="宋体" w:eastAsia="宋体" w:cs="宋体"/>
                <w:color w:val="000000"/>
                <w:spacing w:val="-2"/>
                <w:sz w:val="20"/>
                <w:szCs w:val="20"/>
                <w:lang w:val="en-US" w:eastAsia="zh-CN"/>
              </w:rPr>
              <w:t>160</w:t>
            </w:r>
            <w:r>
              <w:rPr>
                <w:rFonts w:ascii="宋体" w:hAnsi="宋体" w:eastAsia="宋体" w:cs="宋体"/>
                <w:color w:val="000000"/>
                <w:spacing w:val="-3"/>
                <w:sz w:val="20"/>
                <w:szCs w:val="20"/>
              </w:rPr>
              <w:t>万元</w:t>
            </w:r>
          </w:p>
        </w:tc>
        <w:tc>
          <w:tcPr>
            <w:tcW w:w="1440" w:type="dxa"/>
            <w:noWrap w:val="0"/>
            <w:vAlign w:val="center"/>
          </w:tcPr>
          <w:p w14:paraId="4D5F6D3B">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574.6万元</w:t>
            </w:r>
          </w:p>
        </w:tc>
        <w:tc>
          <w:tcPr>
            <w:tcW w:w="538" w:type="dxa"/>
            <w:noWrap w:val="0"/>
            <w:vAlign w:val="center"/>
          </w:tcPr>
          <w:p w14:paraId="03040C8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6</w:t>
            </w:r>
          </w:p>
        </w:tc>
        <w:tc>
          <w:tcPr>
            <w:tcW w:w="642" w:type="dxa"/>
            <w:noWrap w:val="0"/>
            <w:vAlign w:val="center"/>
          </w:tcPr>
          <w:p w14:paraId="1C8D526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6</w:t>
            </w:r>
          </w:p>
        </w:tc>
        <w:tc>
          <w:tcPr>
            <w:tcW w:w="1570" w:type="dxa"/>
            <w:noWrap w:val="0"/>
            <w:vAlign w:val="center"/>
          </w:tcPr>
          <w:p w14:paraId="0B565F5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r>
      <w:tr w14:paraId="53F27E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960" w:type="dxa"/>
            <w:vMerge w:val="continue"/>
            <w:tcBorders>
              <w:top w:val="nil"/>
              <w:bottom w:val="nil"/>
            </w:tcBorders>
            <w:noWrap w:val="0"/>
            <w:textDirection w:val="tbRlV"/>
            <w:vAlign w:val="top"/>
          </w:tcPr>
          <w:p w14:paraId="29A44350">
            <w:pPr>
              <w:rPr>
                <w:rFonts w:ascii="Arial"/>
                <w:color w:val="000000" w:themeColor="text1"/>
                <w:sz w:val="20"/>
                <w:szCs w:val="22"/>
                <w14:textFill>
                  <w14:solidFill>
                    <w14:schemeClr w14:val="tx1"/>
                  </w14:solidFill>
                </w14:textFill>
              </w:rPr>
            </w:pPr>
          </w:p>
        </w:tc>
        <w:tc>
          <w:tcPr>
            <w:tcW w:w="1090" w:type="dxa"/>
            <w:vMerge w:val="continue"/>
            <w:tcBorders>
              <w:top w:val="nil"/>
              <w:bottom w:val="nil"/>
            </w:tcBorders>
            <w:noWrap w:val="0"/>
            <w:vAlign w:val="center"/>
          </w:tcPr>
          <w:p w14:paraId="6302E75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restart"/>
            <w:tcBorders>
              <w:bottom w:val="nil"/>
            </w:tcBorders>
            <w:noWrap w:val="0"/>
            <w:vAlign w:val="center"/>
          </w:tcPr>
          <w:p w14:paraId="1E57DF44">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社会效</w:t>
            </w:r>
          </w:p>
          <w:p w14:paraId="1D1CAEE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益指标</w:t>
            </w:r>
          </w:p>
        </w:tc>
        <w:tc>
          <w:tcPr>
            <w:tcW w:w="1548" w:type="dxa"/>
            <w:noWrap w:val="0"/>
            <w:vAlign w:val="center"/>
          </w:tcPr>
          <w:p w14:paraId="624B20B9">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eastAsiaTheme="minorEastAsia"/>
                <w:color w:val="000000" w:themeColor="text1"/>
                <w:sz w:val="18"/>
                <w:szCs w:val="22"/>
                <w:lang w:eastAsia="zh-CN"/>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民生资金审计</w:t>
            </w:r>
          </w:p>
        </w:tc>
        <w:tc>
          <w:tcPr>
            <w:tcW w:w="1040" w:type="dxa"/>
            <w:noWrap w:val="0"/>
            <w:vAlign w:val="center"/>
          </w:tcPr>
          <w:p w14:paraId="2164141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eastAsia="zh-CN"/>
                <w14:textFill>
                  <w14:solidFill>
                    <w14:schemeClr w14:val="tx1"/>
                  </w14:solidFill>
                </w14:textFill>
              </w:rPr>
            </w:pPr>
            <w:r>
              <w:rPr>
                <w:rFonts w:ascii="宋体" w:hAnsi="宋体" w:eastAsia="宋体" w:cs="宋体"/>
                <w:color w:val="000000"/>
                <w:spacing w:val="-3"/>
                <w:sz w:val="20"/>
                <w:szCs w:val="20"/>
              </w:rPr>
              <w:t>≥</w:t>
            </w:r>
            <w:r>
              <w:rPr>
                <w:rFonts w:hint="eastAsia" w:ascii="宋体" w:hAnsi="宋体" w:eastAsia="宋体" w:cs="宋体"/>
                <w:color w:val="000000"/>
                <w:spacing w:val="-5"/>
                <w:sz w:val="20"/>
                <w:szCs w:val="20"/>
                <w:lang w:val="en-US" w:eastAsia="zh-CN"/>
              </w:rPr>
              <w:t>2个</w:t>
            </w:r>
          </w:p>
        </w:tc>
        <w:tc>
          <w:tcPr>
            <w:tcW w:w="1440" w:type="dxa"/>
            <w:noWrap w:val="0"/>
            <w:vAlign w:val="center"/>
          </w:tcPr>
          <w:p w14:paraId="5683B15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2个</w:t>
            </w:r>
          </w:p>
        </w:tc>
        <w:tc>
          <w:tcPr>
            <w:tcW w:w="538" w:type="dxa"/>
            <w:noWrap w:val="0"/>
            <w:vAlign w:val="center"/>
          </w:tcPr>
          <w:p w14:paraId="769D7F9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642" w:type="dxa"/>
            <w:noWrap w:val="0"/>
            <w:vAlign w:val="center"/>
          </w:tcPr>
          <w:p w14:paraId="3847E78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1570" w:type="dxa"/>
            <w:noWrap w:val="0"/>
            <w:vAlign w:val="center"/>
          </w:tcPr>
          <w:p w14:paraId="4AAF276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18"/>
                <w:szCs w:val="22"/>
                <w14:textFill>
                  <w14:solidFill>
                    <w14:schemeClr w14:val="tx1"/>
                  </w14:solidFill>
                </w14:textFill>
              </w:rPr>
            </w:pPr>
          </w:p>
        </w:tc>
      </w:tr>
      <w:tr w14:paraId="0FF263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960" w:type="dxa"/>
            <w:vMerge w:val="continue"/>
            <w:tcBorders>
              <w:top w:val="nil"/>
              <w:bottom w:val="nil"/>
            </w:tcBorders>
            <w:noWrap w:val="0"/>
            <w:textDirection w:val="tbRlV"/>
            <w:vAlign w:val="top"/>
          </w:tcPr>
          <w:p w14:paraId="0E6216D5">
            <w:pPr>
              <w:rPr>
                <w:rFonts w:ascii="Arial"/>
                <w:color w:val="000000" w:themeColor="text1"/>
                <w:sz w:val="20"/>
                <w:szCs w:val="22"/>
                <w14:textFill>
                  <w14:solidFill>
                    <w14:schemeClr w14:val="tx1"/>
                  </w14:solidFill>
                </w14:textFill>
              </w:rPr>
            </w:pPr>
          </w:p>
        </w:tc>
        <w:tc>
          <w:tcPr>
            <w:tcW w:w="1090" w:type="dxa"/>
            <w:vMerge w:val="continue"/>
            <w:tcBorders>
              <w:top w:val="nil"/>
              <w:bottom w:val="nil"/>
            </w:tcBorders>
            <w:noWrap w:val="0"/>
            <w:vAlign w:val="center"/>
          </w:tcPr>
          <w:p w14:paraId="1B489C0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continue"/>
            <w:tcBorders>
              <w:top w:val="nil"/>
              <w:bottom w:val="nil"/>
            </w:tcBorders>
            <w:noWrap w:val="0"/>
            <w:vAlign w:val="center"/>
          </w:tcPr>
          <w:p w14:paraId="3483C81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548" w:type="dxa"/>
            <w:noWrap w:val="0"/>
            <w:vAlign w:val="center"/>
          </w:tcPr>
          <w:p w14:paraId="2686512C">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eastAsiaTheme="minorEastAsia"/>
                <w:color w:val="000000" w:themeColor="text1"/>
                <w:sz w:val="18"/>
                <w:szCs w:val="22"/>
                <w:lang w:eastAsia="zh-CN"/>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三类监督参与度</w:t>
            </w:r>
          </w:p>
        </w:tc>
        <w:tc>
          <w:tcPr>
            <w:tcW w:w="1040" w:type="dxa"/>
            <w:noWrap w:val="0"/>
            <w:vAlign w:val="center"/>
          </w:tcPr>
          <w:p w14:paraId="72120CD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100%</w:t>
            </w:r>
          </w:p>
        </w:tc>
        <w:tc>
          <w:tcPr>
            <w:tcW w:w="1440" w:type="dxa"/>
            <w:noWrap w:val="0"/>
            <w:vAlign w:val="center"/>
          </w:tcPr>
          <w:p w14:paraId="00CCAF6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100%</w:t>
            </w:r>
          </w:p>
        </w:tc>
        <w:tc>
          <w:tcPr>
            <w:tcW w:w="538" w:type="dxa"/>
            <w:noWrap w:val="0"/>
            <w:vAlign w:val="center"/>
          </w:tcPr>
          <w:p w14:paraId="353C443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642" w:type="dxa"/>
            <w:noWrap w:val="0"/>
            <w:vAlign w:val="center"/>
          </w:tcPr>
          <w:p w14:paraId="266E082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1570" w:type="dxa"/>
            <w:noWrap w:val="0"/>
            <w:vAlign w:val="center"/>
          </w:tcPr>
          <w:p w14:paraId="3F93720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18"/>
                <w:szCs w:val="22"/>
                <w14:textFill>
                  <w14:solidFill>
                    <w14:schemeClr w14:val="tx1"/>
                  </w14:solidFill>
                </w14:textFill>
              </w:rPr>
            </w:pPr>
          </w:p>
        </w:tc>
      </w:tr>
      <w:tr w14:paraId="244D7F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960" w:type="dxa"/>
            <w:vMerge w:val="continue"/>
            <w:tcBorders>
              <w:top w:val="nil"/>
              <w:bottom w:val="nil"/>
            </w:tcBorders>
            <w:noWrap w:val="0"/>
            <w:textDirection w:val="tbRlV"/>
            <w:vAlign w:val="top"/>
          </w:tcPr>
          <w:p w14:paraId="19CC1F9B">
            <w:pPr>
              <w:rPr>
                <w:rFonts w:ascii="Arial"/>
                <w:color w:val="000000" w:themeColor="text1"/>
                <w:sz w:val="20"/>
                <w:szCs w:val="22"/>
                <w14:textFill>
                  <w14:solidFill>
                    <w14:schemeClr w14:val="tx1"/>
                  </w14:solidFill>
                </w14:textFill>
              </w:rPr>
            </w:pPr>
          </w:p>
        </w:tc>
        <w:tc>
          <w:tcPr>
            <w:tcW w:w="1090" w:type="dxa"/>
            <w:vMerge w:val="continue"/>
            <w:tcBorders>
              <w:top w:val="nil"/>
              <w:bottom w:val="nil"/>
            </w:tcBorders>
            <w:noWrap w:val="0"/>
            <w:vAlign w:val="center"/>
          </w:tcPr>
          <w:p w14:paraId="33D5DBA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tcBorders>
              <w:bottom w:val="nil"/>
            </w:tcBorders>
            <w:noWrap w:val="0"/>
            <w:vAlign w:val="center"/>
          </w:tcPr>
          <w:p w14:paraId="2C3979AE">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生态效</w:t>
            </w:r>
          </w:p>
          <w:p w14:paraId="6681DBD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益指标</w:t>
            </w:r>
          </w:p>
        </w:tc>
        <w:tc>
          <w:tcPr>
            <w:tcW w:w="1548" w:type="dxa"/>
            <w:noWrap w:val="0"/>
            <w:vAlign w:val="center"/>
          </w:tcPr>
          <w:p w14:paraId="3E3F5B39">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default"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eastAsia="zh-CN"/>
                <w14:textFill>
                  <w14:solidFill>
                    <w14:schemeClr w14:val="tx1"/>
                  </w14:solidFill>
                </w14:textFill>
              </w:rPr>
              <w:t>关注自然资源的成效问题</w:t>
            </w:r>
          </w:p>
        </w:tc>
        <w:tc>
          <w:tcPr>
            <w:tcW w:w="1040" w:type="dxa"/>
            <w:noWrap w:val="0"/>
            <w:vAlign w:val="center"/>
          </w:tcPr>
          <w:p w14:paraId="0A7C4A6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ascii="宋体" w:hAnsi="宋体" w:eastAsia="宋体" w:cs="宋体"/>
                <w:color w:val="000000"/>
                <w:spacing w:val="-3"/>
                <w:sz w:val="20"/>
                <w:szCs w:val="20"/>
              </w:rPr>
              <w:t>≥</w:t>
            </w:r>
            <w:r>
              <w:rPr>
                <w:rFonts w:hint="eastAsia" w:ascii="Arial"/>
                <w:color w:val="000000" w:themeColor="text1"/>
                <w:sz w:val="18"/>
                <w:szCs w:val="22"/>
                <w:lang w:val="en-US" w:eastAsia="zh-CN"/>
                <w14:textFill>
                  <w14:solidFill>
                    <w14:schemeClr w14:val="tx1"/>
                  </w14:solidFill>
                </w14:textFill>
              </w:rPr>
              <w:t>2个</w:t>
            </w:r>
          </w:p>
        </w:tc>
        <w:tc>
          <w:tcPr>
            <w:tcW w:w="1440" w:type="dxa"/>
            <w:noWrap w:val="0"/>
            <w:vAlign w:val="center"/>
          </w:tcPr>
          <w:p w14:paraId="0D9A763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2个</w:t>
            </w:r>
          </w:p>
        </w:tc>
        <w:tc>
          <w:tcPr>
            <w:tcW w:w="538" w:type="dxa"/>
            <w:noWrap w:val="0"/>
            <w:vAlign w:val="center"/>
          </w:tcPr>
          <w:p w14:paraId="44B4ED1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642" w:type="dxa"/>
            <w:noWrap w:val="0"/>
            <w:vAlign w:val="center"/>
          </w:tcPr>
          <w:p w14:paraId="0F14FCA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22"/>
                <w:lang w:val="en-US" w:eastAsia="zh-CN"/>
                <w14:textFill>
                  <w14:solidFill>
                    <w14:schemeClr w14:val="tx1"/>
                  </w14:solidFill>
                </w14:textFill>
              </w:rPr>
            </w:pPr>
            <w:r>
              <w:rPr>
                <w:rFonts w:hint="eastAsia" w:ascii="Arial"/>
                <w:color w:val="000000" w:themeColor="text1"/>
                <w:sz w:val="18"/>
                <w:szCs w:val="22"/>
                <w:lang w:val="en-US" w:eastAsia="zh-CN"/>
                <w14:textFill>
                  <w14:solidFill>
                    <w14:schemeClr w14:val="tx1"/>
                  </w14:solidFill>
                </w14:textFill>
              </w:rPr>
              <w:t>6</w:t>
            </w:r>
          </w:p>
        </w:tc>
        <w:tc>
          <w:tcPr>
            <w:tcW w:w="1570" w:type="dxa"/>
            <w:noWrap w:val="0"/>
            <w:vAlign w:val="center"/>
          </w:tcPr>
          <w:p w14:paraId="1F85D59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18"/>
                <w:szCs w:val="22"/>
                <w14:textFill>
                  <w14:solidFill>
                    <w14:schemeClr w14:val="tx1"/>
                  </w14:solidFill>
                </w14:textFill>
              </w:rPr>
            </w:pPr>
          </w:p>
        </w:tc>
      </w:tr>
      <w:tr w14:paraId="42BF2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960" w:type="dxa"/>
            <w:vMerge w:val="continue"/>
            <w:tcBorders>
              <w:top w:val="nil"/>
              <w:bottom w:val="nil"/>
            </w:tcBorders>
            <w:noWrap w:val="0"/>
            <w:textDirection w:val="tbRlV"/>
            <w:vAlign w:val="top"/>
          </w:tcPr>
          <w:p w14:paraId="22509CC6">
            <w:pPr>
              <w:rPr>
                <w:rFonts w:ascii="Arial"/>
                <w:color w:val="000000" w:themeColor="text1"/>
                <w:sz w:val="20"/>
                <w:szCs w:val="22"/>
                <w14:textFill>
                  <w14:solidFill>
                    <w14:schemeClr w14:val="tx1"/>
                  </w14:solidFill>
                </w14:textFill>
              </w:rPr>
            </w:pPr>
          </w:p>
        </w:tc>
        <w:tc>
          <w:tcPr>
            <w:tcW w:w="1090" w:type="dxa"/>
            <w:vMerge w:val="restart"/>
            <w:tcBorders>
              <w:bottom w:val="nil"/>
            </w:tcBorders>
            <w:noWrap w:val="0"/>
            <w:vAlign w:val="center"/>
          </w:tcPr>
          <w:p w14:paraId="7883A18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4"/>
                <w:sz w:val="20"/>
                <w:szCs w:val="20"/>
                <w14:textFill>
                  <w14:solidFill>
                    <w14:schemeClr w14:val="tx1"/>
                  </w14:solidFill>
                </w14:textFill>
              </w:rPr>
              <w:t>满意度</w:t>
            </w:r>
          </w:p>
          <w:p w14:paraId="667EBB4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指标</w:t>
            </w:r>
          </w:p>
          <w:p w14:paraId="5878C12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9"/>
                <w:sz w:val="20"/>
                <w:szCs w:val="20"/>
                <w14:textFill>
                  <w14:solidFill>
                    <w14:schemeClr w14:val="tx1"/>
                  </w14:solidFill>
                </w14:textFill>
              </w:rPr>
              <w:t>(10分)</w:t>
            </w:r>
          </w:p>
        </w:tc>
        <w:tc>
          <w:tcPr>
            <w:tcW w:w="1142" w:type="dxa"/>
            <w:vMerge w:val="restart"/>
            <w:tcBorders>
              <w:bottom w:val="nil"/>
            </w:tcBorders>
            <w:noWrap w:val="0"/>
            <w:vAlign w:val="center"/>
          </w:tcPr>
          <w:p w14:paraId="7E232420">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2"/>
                <w:sz w:val="20"/>
                <w:szCs w:val="20"/>
                <w14:textFill>
                  <w14:solidFill>
                    <w14:schemeClr w14:val="tx1"/>
                  </w14:solidFill>
                </w14:textFill>
              </w:rPr>
              <w:t>服务对象</w:t>
            </w:r>
          </w:p>
          <w:p w14:paraId="5CFC035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3"/>
                <w:sz w:val="20"/>
                <w:szCs w:val="20"/>
                <w14:textFill>
                  <w14:solidFill>
                    <w14:schemeClr w14:val="tx1"/>
                  </w14:solidFill>
                </w14:textFill>
              </w:rPr>
              <w:t>满意度指</w:t>
            </w:r>
          </w:p>
          <w:p w14:paraId="467541B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z w:val="20"/>
                <w:szCs w:val="20"/>
                <w14:textFill>
                  <w14:solidFill>
                    <w14:schemeClr w14:val="tx1"/>
                  </w14:solidFill>
                </w14:textFill>
              </w:rPr>
              <w:t>标</w:t>
            </w:r>
          </w:p>
        </w:tc>
        <w:tc>
          <w:tcPr>
            <w:tcW w:w="1548" w:type="dxa"/>
            <w:noWrap w:val="0"/>
            <w:vAlign w:val="center"/>
          </w:tcPr>
          <w:p w14:paraId="6F193A2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r>
              <w:rPr>
                <w:rFonts w:hint="eastAsia" w:ascii="宋体" w:hAnsi="宋体" w:eastAsia="宋体" w:cs="宋体"/>
                <w:color w:val="000000"/>
                <w:spacing w:val="-3"/>
                <w:sz w:val="20"/>
                <w:szCs w:val="20"/>
                <w:lang w:eastAsia="zh-CN"/>
              </w:rPr>
              <w:t>被审单位满意</w:t>
            </w:r>
          </w:p>
        </w:tc>
        <w:tc>
          <w:tcPr>
            <w:tcW w:w="1040" w:type="dxa"/>
            <w:noWrap w:val="0"/>
            <w:vAlign w:val="center"/>
          </w:tcPr>
          <w:p w14:paraId="659C676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r>
              <w:rPr>
                <w:rFonts w:ascii="宋体" w:hAnsi="宋体" w:eastAsia="宋体" w:cs="宋体"/>
                <w:color w:val="000000"/>
                <w:spacing w:val="-5"/>
                <w:sz w:val="20"/>
                <w:szCs w:val="20"/>
              </w:rPr>
              <w:t>≥</w:t>
            </w:r>
            <w:r>
              <w:rPr>
                <w:rFonts w:hint="eastAsia" w:ascii="宋体" w:hAnsi="宋体" w:eastAsia="宋体" w:cs="宋体"/>
                <w:color w:val="000000"/>
                <w:spacing w:val="-3"/>
                <w:sz w:val="20"/>
                <w:szCs w:val="20"/>
                <w:lang w:val="en-US" w:eastAsia="zh-CN"/>
              </w:rPr>
              <w:t>100%</w:t>
            </w:r>
            <w:r>
              <w:rPr>
                <w:rFonts w:ascii="宋体" w:hAnsi="宋体" w:eastAsia="宋体" w:cs="宋体"/>
                <w:color w:val="000000"/>
                <w:spacing w:val="-3"/>
                <w:sz w:val="20"/>
                <w:szCs w:val="20"/>
              </w:rPr>
              <w:t>%</w:t>
            </w:r>
          </w:p>
        </w:tc>
        <w:tc>
          <w:tcPr>
            <w:tcW w:w="1440" w:type="dxa"/>
            <w:noWrap w:val="0"/>
            <w:vAlign w:val="center"/>
          </w:tcPr>
          <w:p w14:paraId="1EABC8A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100%</w:t>
            </w:r>
          </w:p>
        </w:tc>
        <w:tc>
          <w:tcPr>
            <w:tcW w:w="538" w:type="dxa"/>
            <w:noWrap w:val="0"/>
            <w:vAlign w:val="center"/>
          </w:tcPr>
          <w:p w14:paraId="5B0A118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w:t>
            </w:r>
          </w:p>
        </w:tc>
        <w:tc>
          <w:tcPr>
            <w:tcW w:w="642" w:type="dxa"/>
            <w:noWrap w:val="0"/>
            <w:vAlign w:val="center"/>
          </w:tcPr>
          <w:p w14:paraId="44338C9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w:t>
            </w:r>
          </w:p>
        </w:tc>
        <w:tc>
          <w:tcPr>
            <w:tcW w:w="1570" w:type="dxa"/>
            <w:noWrap w:val="0"/>
            <w:vAlign w:val="center"/>
          </w:tcPr>
          <w:p w14:paraId="4AB6B35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r>
      <w:tr w14:paraId="423341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60" w:type="dxa"/>
            <w:vMerge w:val="continue"/>
            <w:tcBorders>
              <w:top w:val="nil"/>
              <w:bottom w:val="nil"/>
            </w:tcBorders>
            <w:noWrap w:val="0"/>
            <w:textDirection w:val="tbRlV"/>
            <w:vAlign w:val="top"/>
          </w:tcPr>
          <w:p w14:paraId="3C7141AF">
            <w:pPr>
              <w:rPr>
                <w:rFonts w:ascii="Arial"/>
                <w:color w:val="000000" w:themeColor="text1"/>
                <w:sz w:val="20"/>
                <w:szCs w:val="22"/>
                <w14:textFill>
                  <w14:solidFill>
                    <w14:schemeClr w14:val="tx1"/>
                  </w14:solidFill>
                </w14:textFill>
              </w:rPr>
            </w:pPr>
          </w:p>
        </w:tc>
        <w:tc>
          <w:tcPr>
            <w:tcW w:w="1090" w:type="dxa"/>
            <w:vMerge w:val="continue"/>
            <w:tcBorders>
              <w:top w:val="nil"/>
              <w:bottom w:val="nil"/>
            </w:tcBorders>
            <w:noWrap w:val="0"/>
            <w:vAlign w:val="center"/>
          </w:tcPr>
          <w:p w14:paraId="6F4CCB0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142" w:type="dxa"/>
            <w:vMerge w:val="continue"/>
            <w:tcBorders>
              <w:top w:val="nil"/>
              <w:bottom w:val="nil"/>
            </w:tcBorders>
            <w:noWrap w:val="0"/>
            <w:vAlign w:val="center"/>
          </w:tcPr>
          <w:p w14:paraId="1B495D3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c>
          <w:tcPr>
            <w:tcW w:w="1548" w:type="dxa"/>
            <w:noWrap w:val="0"/>
            <w:vAlign w:val="center"/>
          </w:tcPr>
          <w:p w14:paraId="19C33CA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r>
              <w:rPr>
                <w:rFonts w:ascii="宋体" w:hAnsi="宋体" w:eastAsia="宋体" w:cs="宋体"/>
                <w:color w:val="000000"/>
                <w:spacing w:val="-3"/>
                <w:sz w:val="20"/>
                <w:szCs w:val="20"/>
              </w:rPr>
              <w:t>社会群</w:t>
            </w:r>
            <w:r>
              <w:rPr>
                <w:rFonts w:ascii="宋体" w:hAnsi="宋体" w:eastAsia="宋体" w:cs="宋体"/>
                <w:color w:val="000000"/>
                <w:spacing w:val="-1"/>
                <w:sz w:val="20"/>
                <w:szCs w:val="20"/>
              </w:rPr>
              <w:t>众满意率</w:t>
            </w:r>
          </w:p>
        </w:tc>
        <w:tc>
          <w:tcPr>
            <w:tcW w:w="1040" w:type="dxa"/>
            <w:noWrap w:val="0"/>
            <w:vAlign w:val="center"/>
          </w:tcPr>
          <w:p w14:paraId="4B48E31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r>
              <w:rPr>
                <w:rFonts w:ascii="宋体" w:hAnsi="宋体" w:eastAsia="宋体" w:cs="宋体"/>
                <w:color w:val="000000"/>
                <w:spacing w:val="-5"/>
                <w:sz w:val="20"/>
                <w:szCs w:val="20"/>
              </w:rPr>
              <w:t>≥</w:t>
            </w:r>
            <w:r>
              <w:rPr>
                <w:rFonts w:hint="eastAsia" w:ascii="宋体" w:hAnsi="宋体" w:eastAsia="宋体" w:cs="宋体"/>
                <w:color w:val="000000"/>
                <w:spacing w:val="-5"/>
                <w:sz w:val="20"/>
                <w:szCs w:val="20"/>
                <w:lang w:val="en-US" w:eastAsia="zh-CN"/>
              </w:rPr>
              <w:t>100</w:t>
            </w:r>
            <w:r>
              <w:rPr>
                <w:rFonts w:ascii="宋体" w:hAnsi="宋体" w:eastAsia="宋体" w:cs="宋体"/>
                <w:color w:val="000000"/>
                <w:spacing w:val="-3"/>
                <w:sz w:val="20"/>
                <w:szCs w:val="20"/>
              </w:rPr>
              <w:t>%</w:t>
            </w:r>
          </w:p>
        </w:tc>
        <w:tc>
          <w:tcPr>
            <w:tcW w:w="1440" w:type="dxa"/>
            <w:noWrap w:val="0"/>
            <w:vAlign w:val="center"/>
          </w:tcPr>
          <w:p w14:paraId="6B1CC8B1">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100%</w:t>
            </w:r>
          </w:p>
        </w:tc>
        <w:tc>
          <w:tcPr>
            <w:tcW w:w="538" w:type="dxa"/>
            <w:noWrap w:val="0"/>
            <w:vAlign w:val="center"/>
          </w:tcPr>
          <w:p w14:paraId="09327B5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w:t>
            </w:r>
          </w:p>
        </w:tc>
        <w:tc>
          <w:tcPr>
            <w:tcW w:w="642" w:type="dxa"/>
            <w:noWrap w:val="0"/>
            <w:vAlign w:val="center"/>
          </w:tcPr>
          <w:p w14:paraId="7D43D510">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5</w:t>
            </w:r>
          </w:p>
        </w:tc>
        <w:tc>
          <w:tcPr>
            <w:tcW w:w="1570" w:type="dxa"/>
            <w:noWrap w:val="0"/>
            <w:vAlign w:val="center"/>
          </w:tcPr>
          <w:p w14:paraId="5B70D57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r>
      <w:tr w14:paraId="4AAA19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220" w:type="dxa"/>
            <w:gridSpan w:val="6"/>
            <w:noWrap w:val="0"/>
            <w:vAlign w:val="center"/>
          </w:tcPr>
          <w:p w14:paraId="0AEE9634">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sz w:val="20"/>
                <w:szCs w:val="22"/>
                <w14:textFill>
                  <w14:solidFill>
                    <w14:schemeClr w14:val="tx1"/>
                  </w14:solidFill>
                </w14:textFill>
              </w:rPr>
            </w:pPr>
            <w:r>
              <w:rPr>
                <w:color w:val="000000" w:themeColor="text1"/>
                <w:sz w:val="20"/>
                <w:szCs w:val="22"/>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538" w:type="dxa"/>
            <w:noWrap w:val="0"/>
            <w:vAlign w:val="center"/>
          </w:tcPr>
          <w:p w14:paraId="3AEC861E">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spacing w:val="-6"/>
                <w:sz w:val="20"/>
                <w:szCs w:val="20"/>
                <w14:textFill>
                  <w14:solidFill>
                    <w14:schemeClr w14:val="tx1"/>
                  </w14:solidFill>
                </w14:textFill>
              </w:rPr>
              <w:t>100</w:t>
            </w:r>
          </w:p>
        </w:tc>
        <w:tc>
          <w:tcPr>
            <w:tcW w:w="642" w:type="dxa"/>
            <w:noWrap w:val="0"/>
            <w:vAlign w:val="center"/>
          </w:tcPr>
          <w:p w14:paraId="60A7295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2"/>
                <w:lang w:val="en-US" w:eastAsia="zh-CN"/>
                <w14:textFill>
                  <w14:solidFill>
                    <w14:schemeClr w14:val="tx1"/>
                  </w14:solidFill>
                </w14:textFill>
              </w:rPr>
            </w:pPr>
            <w:r>
              <w:rPr>
                <w:rFonts w:hint="eastAsia" w:ascii="Arial"/>
                <w:color w:val="000000" w:themeColor="text1"/>
                <w:sz w:val="20"/>
                <w:szCs w:val="22"/>
                <w:lang w:val="en-US" w:eastAsia="zh-CN"/>
                <w14:textFill>
                  <w14:solidFill>
                    <w14:schemeClr w14:val="tx1"/>
                  </w14:solidFill>
                </w14:textFill>
              </w:rPr>
              <w:t>99</w:t>
            </w:r>
          </w:p>
        </w:tc>
        <w:tc>
          <w:tcPr>
            <w:tcW w:w="1570" w:type="dxa"/>
            <w:noWrap w:val="0"/>
            <w:vAlign w:val="center"/>
          </w:tcPr>
          <w:p w14:paraId="080B41B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2"/>
                <w14:textFill>
                  <w14:solidFill>
                    <w14:schemeClr w14:val="tx1"/>
                  </w14:solidFill>
                </w14:textFill>
              </w:rPr>
            </w:pPr>
          </w:p>
        </w:tc>
      </w:tr>
    </w:tbl>
    <w:p w14:paraId="72BEF5C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hint="eastAsia" w:ascii="仿宋" w:hAnsi="仿宋" w:eastAsia="仿宋" w:cs="仿宋"/>
          <w:color w:val="000000" w:themeColor="text1"/>
          <w:spacing w:val="2"/>
          <w:sz w:val="22"/>
          <w:szCs w:val="22"/>
          <w:lang w:val="en-US" w:eastAsia="zh-CN"/>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14:paraId="017EFE8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2D9E183A">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1D9E4100">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13608F31">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岳阳楼区审计局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w:t>
      </w:r>
    </w:p>
    <w:p w14:paraId="014EE639">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406428B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A1AC2C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0AD873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E3FC23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37A8EE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AF1EEE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80F997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78CA0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AA271C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36CDC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025795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743F7C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AE4653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5BD0DC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2FE9C2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35BA91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D41248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1873C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4517F0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CFDDFF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B8B8D5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C3BB28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876716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3C844A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AEC6C9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7379D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33516A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664EBD8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2023年06月 09 日</w:t>
      </w:r>
    </w:p>
    <w:p w14:paraId="23A6C80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586A00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EA2F96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89E0D1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10DCF7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2022年度岳阳楼区审计局</w:t>
      </w:r>
    </w:p>
    <w:p w14:paraId="29FEFB8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14:paraId="521F0BA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C81183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4F0030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E7C79EA">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57CB0C2D">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rPr>
        <w:t>根据区委办、区政府办《关于印发〈岳阳楼区审计局主要职责内设机构和人员编制规定〉的通知》（岳楼办发〔2016〕7号）文件精神，区审计局机关核定行政编制</w:t>
      </w:r>
      <w:r>
        <w:rPr>
          <w:rFonts w:hint="eastAsia" w:ascii="仿宋_GB2312" w:hAnsi="仿宋_GB2312" w:eastAsia="仿宋_GB2312" w:cs="仿宋_GB2312"/>
          <w:color w:val="000000"/>
          <w:sz w:val="30"/>
          <w:szCs w:val="30"/>
          <w:lang w:val="en-US" w:eastAsia="zh-CN"/>
        </w:rPr>
        <w:t>12</w:t>
      </w:r>
      <w:r>
        <w:rPr>
          <w:rFonts w:hint="eastAsia" w:ascii="仿宋_GB2312" w:hAnsi="仿宋_GB2312" w:eastAsia="仿宋_GB2312" w:cs="仿宋_GB2312"/>
          <w:color w:val="000000"/>
          <w:sz w:val="30"/>
          <w:szCs w:val="30"/>
        </w:rPr>
        <w:t>名，其中局长1名，副局长</w:t>
      </w:r>
      <w:r>
        <w:rPr>
          <w:rFonts w:hint="eastAsia" w:ascii="仿宋_GB2312" w:hAnsi="仿宋_GB2312" w:eastAsia="仿宋_GB2312" w:cs="仿宋_GB2312"/>
          <w:color w:val="000000"/>
          <w:sz w:val="30"/>
          <w:szCs w:val="30"/>
          <w:lang w:val="en-US" w:eastAsia="zh-CN"/>
        </w:rPr>
        <w:t>2</w:t>
      </w:r>
      <w:r>
        <w:rPr>
          <w:rFonts w:hint="eastAsia" w:ascii="仿宋_GB2312" w:hAnsi="仿宋_GB2312" w:eastAsia="仿宋_GB2312" w:cs="仿宋_GB2312"/>
          <w:color w:val="000000"/>
          <w:sz w:val="30"/>
          <w:szCs w:val="30"/>
        </w:rPr>
        <w:t>名，总审计师1名；正股级领导职数6名。根据区审计局工作职责，设岳阳楼区固定资产投资审计中心（岳阳市岳阳楼区审计</w:t>
      </w:r>
      <w:r>
        <w:rPr>
          <w:rFonts w:hint="eastAsia" w:ascii="仿宋_GB2312" w:hAnsi="仿宋_GB2312" w:eastAsia="仿宋_GB2312" w:cs="仿宋_GB2312"/>
          <w:color w:val="000000"/>
          <w:sz w:val="30"/>
          <w:szCs w:val="30"/>
          <w:lang w:eastAsia="zh-CN"/>
        </w:rPr>
        <w:t>事务</w:t>
      </w:r>
      <w:r>
        <w:rPr>
          <w:rFonts w:hint="eastAsia" w:ascii="仿宋_GB2312" w:hAnsi="仿宋_GB2312" w:eastAsia="仿宋_GB2312" w:cs="仿宋_GB2312"/>
          <w:color w:val="000000"/>
          <w:sz w:val="30"/>
          <w:szCs w:val="30"/>
        </w:rPr>
        <w:t>中心）正股级纯公益类事业单位1个，核定全额拨款事业编制1</w:t>
      </w:r>
      <w:r>
        <w:rPr>
          <w:rFonts w:hint="eastAsia" w:ascii="仿宋_GB2312" w:hAnsi="仿宋_GB2312" w:eastAsia="仿宋_GB2312" w:cs="仿宋_GB2312"/>
          <w:color w:val="000000"/>
          <w:sz w:val="30"/>
          <w:szCs w:val="30"/>
          <w:lang w:val="en-US" w:eastAsia="zh-CN"/>
        </w:rPr>
        <w:t>9</w:t>
      </w:r>
      <w:r>
        <w:rPr>
          <w:rFonts w:hint="eastAsia" w:ascii="仿宋_GB2312" w:hAnsi="仿宋_GB2312" w:eastAsia="仿宋_GB2312" w:cs="仿宋_GB2312"/>
          <w:color w:val="000000"/>
          <w:sz w:val="30"/>
          <w:szCs w:val="30"/>
        </w:rPr>
        <w:t>名，其中正股级领导职数1名，副股级领导职数1名。</w:t>
      </w:r>
      <w:r>
        <w:rPr>
          <w:rFonts w:hint="eastAsia" w:ascii="仿宋_GB2312" w:hAnsi="仿宋_GB2312" w:eastAsia="仿宋_GB2312" w:cs="仿宋_GB2312"/>
          <w:color w:val="000000"/>
          <w:sz w:val="30"/>
          <w:szCs w:val="30"/>
          <w:lang w:val="en-US" w:eastAsia="zh-CN"/>
        </w:rPr>
        <w:t xml:space="preserve">  </w:t>
      </w:r>
    </w:p>
    <w:p w14:paraId="77E4C508">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sz w:val="30"/>
          <w:szCs w:val="30"/>
        </w:rPr>
        <w:t>至202</w:t>
      </w:r>
      <w:r>
        <w:rPr>
          <w:rFonts w:hint="eastAsia" w:ascii="仿宋_GB2312" w:hAnsi="仿宋_GB2312" w:eastAsia="仿宋_GB2312" w:cs="仿宋_GB2312"/>
          <w:color w:val="000000"/>
          <w:sz w:val="30"/>
          <w:szCs w:val="30"/>
          <w:lang w:val="en-US" w:eastAsia="zh-CN"/>
        </w:rPr>
        <w:t>2</w:t>
      </w:r>
      <w:r>
        <w:rPr>
          <w:rFonts w:hint="eastAsia" w:ascii="仿宋_GB2312" w:hAnsi="仿宋_GB2312" w:eastAsia="仿宋_GB2312" w:cs="仿宋_GB2312"/>
          <w:color w:val="000000"/>
          <w:sz w:val="30"/>
          <w:szCs w:val="30"/>
        </w:rPr>
        <w:t>年12月，岳阳楼区审计局总编制数3</w:t>
      </w:r>
      <w:r>
        <w:rPr>
          <w:rFonts w:hint="eastAsia" w:ascii="仿宋_GB2312" w:hAnsi="仿宋_GB2312" w:eastAsia="仿宋_GB2312" w:cs="仿宋_GB2312"/>
          <w:color w:val="000000"/>
          <w:sz w:val="30"/>
          <w:szCs w:val="30"/>
          <w:lang w:val="en-US" w:eastAsia="zh-CN"/>
        </w:rPr>
        <w:t>1</w:t>
      </w:r>
      <w:r>
        <w:rPr>
          <w:rFonts w:hint="eastAsia" w:ascii="仿宋_GB2312" w:hAnsi="仿宋_GB2312" w:eastAsia="仿宋_GB2312" w:cs="仿宋_GB2312"/>
          <w:color w:val="000000"/>
          <w:sz w:val="30"/>
          <w:szCs w:val="30"/>
        </w:rPr>
        <w:t>名，其中行政编制</w:t>
      </w:r>
      <w:r>
        <w:rPr>
          <w:rFonts w:hint="eastAsia" w:ascii="仿宋_GB2312" w:hAnsi="仿宋_GB2312" w:eastAsia="仿宋_GB2312" w:cs="仿宋_GB2312"/>
          <w:color w:val="000000"/>
          <w:sz w:val="30"/>
          <w:szCs w:val="30"/>
          <w:lang w:val="en-US" w:eastAsia="zh-CN"/>
        </w:rPr>
        <w:t>12</w:t>
      </w:r>
      <w:r>
        <w:rPr>
          <w:rFonts w:hint="eastAsia" w:ascii="仿宋_GB2312" w:hAnsi="仿宋_GB2312" w:eastAsia="仿宋_GB2312" w:cs="仿宋_GB2312"/>
          <w:color w:val="000000"/>
          <w:sz w:val="30"/>
          <w:szCs w:val="30"/>
        </w:rPr>
        <w:t>名，全额拨款事业编制</w:t>
      </w:r>
      <w:r>
        <w:rPr>
          <w:rFonts w:hint="eastAsia" w:ascii="仿宋_GB2312" w:hAnsi="仿宋_GB2312" w:eastAsia="仿宋_GB2312" w:cs="仿宋_GB2312"/>
          <w:color w:val="000000"/>
          <w:sz w:val="30"/>
          <w:szCs w:val="30"/>
          <w:lang w:val="en-US" w:eastAsia="zh-CN"/>
        </w:rPr>
        <w:t>19</w:t>
      </w:r>
      <w:r>
        <w:rPr>
          <w:rFonts w:hint="eastAsia" w:ascii="仿宋_GB2312" w:hAnsi="仿宋_GB2312" w:eastAsia="仿宋_GB2312" w:cs="仿宋_GB2312"/>
          <w:color w:val="000000"/>
          <w:sz w:val="30"/>
          <w:szCs w:val="30"/>
        </w:rPr>
        <w:t>名。</w:t>
      </w:r>
    </w:p>
    <w:p w14:paraId="1E0C497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3E935136">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14:paraId="27EEC29C">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楷体_GB2312" w:hAnsi="楷体_GB2312" w:eastAsia="楷体_GB2312" w:cs="楷体_GB2312"/>
          <w:b/>
          <w:bCs/>
          <w:color w:val="000000" w:themeColor="text1"/>
          <w:spacing w:val="0"/>
          <w:position w:val="0"/>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sz w:val="30"/>
          <w:szCs w:val="30"/>
          <w:highlight w:val="none"/>
        </w:rPr>
        <w:t>基本支出</w:t>
      </w:r>
      <w:r>
        <w:rPr>
          <w:rFonts w:hint="eastAsia" w:ascii="仿宋_GB2312" w:hAnsi="仿宋_GB2312" w:eastAsia="仿宋_GB2312" w:cs="仿宋_GB2312"/>
          <w:color w:val="000000"/>
          <w:sz w:val="30"/>
          <w:szCs w:val="30"/>
          <w:highlight w:val="none"/>
          <w:lang w:val="en-US" w:eastAsia="zh-CN"/>
        </w:rPr>
        <w:t>830.13</w:t>
      </w:r>
      <w:r>
        <w:rPr>
          <w:rFonts w:hint="eastAsia" w:ascii="仿宋_GB2312" w:hAnsi="仿宋_GB2312" w:eastAsia="仿宋_GB2312" w:cs="仿宋_GB2312"/>
          <w:color w:val="000000"/>
          <w:sz w:val="30"/>
          <w:szCs w:val="30"/>
          <w:highlight w:val="none"/>
        </w:rPr>
        <w:t>万元，其中人员支出</w:t>
      </w:r>
      <w:r>
        <w:rPr>
          <w:rFonts w:hint="eastAsia" w:ascii="仿宋_GB2312" w:hAnsi="仿宋_GB2312" w:eastAsia="仿宋_GB2312" w:cs="仿宋_GB2312"/>
          <w:color w:val="000000"/>
          <w:sz w:val="30"/>
          <w:szCs w:val="30"/>
          <w:highlight w:val="none"/>
          <w:lang w:val="en-US" w:eastAsia="zh-CN"/>
        </w:rPr>
        <w:t>516.37</w:t>
      </w:r>
      <w:r>
        <w:rPr>
          <w:rFonts w:hint="eastAsia" w:ascii="仿宋_GB2312" w:hAnsi="仿宋_GB2312" w:eastAsia="仿宋_GB2312" w:cs="仿宋_GB2312"/>
          <w:color w:val="000000"/>
          <w:sz w:val="30"/>
          <w:szCs w:val="30"/>
          <w:highlight w:val="none"/>
        </w:rPr>
        <w:t>万元，公用支出</w:t>
      </w:r>
      <w:r>
        <w:rPr>
          <w:rFonts w:hint="eastAsia" w:ascii="仿宋_GB2312" w:hAnsi="仿宋_GB2312" w:eastAsia="仿宋_GB2312" w:cs="仿宋_GB2312"/>
          <w:color w:val="000000"/>
          <w:sz w:val="30"/>
          <w:szCs w:val="30"/>
          <w:highlight w:val="none"/>
          <w:lang w:val="en-US" w:eastAsia="zh-CN"/>
        </w:rPr>
        <w:t>313.76</w:t>
      </w:r>
      <w:r>
        <w:rPr>
          <w:rFonts w:hint="eastAsia" w:ascii="仿宋_GB2312" w:hAnsi="仿宋_GB2312" w:eastAsia="仿宋_GB2312" w:cs="仿宋_GB2312"/>
          <w:color w:val="000000"/>
          <w:sz w:val="30"/>
          <w:szCs w:val="30"/>
          <w:highlight w:val="none"/>
        </w:rPr>
        <w:t>万元。</w:t>
      </w:r>
    </w:p>
    <w:p w14:paraId="589989BE">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highlight w:val="none"/>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highlight w:val="none"/>
          <w:lang w:val="en-US" w:eastAsia="zh-CN"/>
          <w14:textFill>
            <w14:solidFill>
              <w14:schemeClr w14:val="tx1"/>
            </w14:solidFill>
          </w14:textFill>
        </w:rPr>
        <w:t>项目支出情况</w:t>
      </w:r>
    </w:p>
    <w:p w14:paraId="3773C518">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highlight w:val="yellow"/>
          <w:lang w:eastAsia="zh-CN"/>
        </w:rPr>
      </w:pPr>
      <w:r>
        <w:rPr>
          <w:rFonts w:hint="eastAsia" w:ascii="仿宋_GB2312" w:hAnsi="仿宋_GB2312" w:eastAsia="仿宋_GB2312" w:cs="仿宋_GB2312"/>
          <w:color w:val="000000"/>
          <w:sz w:val="30"/>
          <w:szCs w:val="30"/>
          <w:highlight w:val="none"/>
          <w:lang w:eastAsia="zh-CN"/>
        </w:rPr>
        <w:t>无项目支出</w:t>
      </w:r>
      <w:r>
        <w:rPr>
          <w:rFonts w:hint="eastAsia" w:ascii="仿宋_GB2312" w:hAnsi="仿宋_GB2312" w:eastAsia="仿宋_GB2312" w:cs="仿宋_GB2312"/>
          <w:color w:val="000000"/>
          <w:sz w:val="30"/>
          <w:szCs w:val="30"/>
          <w:highlight w:val="yellow"/>
          <w:lang w:eastAsia="zh-CN"/>
        </w:rPr>
        <w:t>。</w:t>
      </w:r>
    </w:p>
    <w:p w14:paraId="2132CA9B">
      <w:pPr>
        <w:keepNext w:val="0"/>
        <w:keepLines w:val="0"/>
        <w:pageBreakBefore w:val="0"/>
        <w:widowControl w:val="0"/>
        <w:numPr>
          <w:ilvl w:val="0"/>
          <w:numId w:val="3"/>
        </w:numPr>
        <w:kinsoku/>
        <w:wordWrap/>
        <w:overflowPunct/>
        <w:topLinePunct w:val="0"/>
        <w:autoSpaceDE/>
        <w:autoSpaceDN w:val="0"/>
        <w:bidi w:val="0"/>
        <w:adjustRightInd/>
        <w:snapToGrid/>
        <w:spacing w:line="500" w:lineRule="exact"/>
        <w:ind w:firstLine="643" w:firstLineChars="200"/>
        <w:jc w:val="left"/>
        <w:textAlignment w:val="cente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其他资金支出情况</w:t>
      </w:r>
    </w:p>
    <w:p w14:paraId="362A948B">
      <w:pPr>
        <w:keepNext w:val="0"/>
        <w:keepLines w:val="0"/>
        <w:pageBreakBefore w:val="0"/>
        <w:widowControl w:val="0"/>
        <w:numPr>
          <w:ilvl w:val="0"/>
          <w:numId w:val="0"/>
        </w:numPr>
        <w:kinsoku/>
        <w:wordWrap/>
        <w:overflowPunct/>
        <w:topLinePunct w:val="0"/>
        <w:autoSpaceDE/>
        <w:autoSpaceDN w:val="0"/>
        <w:bidi w:val="0"/>
        <w:adjustRightInd/>
        <w:snapToGrid/>
        <w:spacing w:line="500" w:lineRule="exact"/>
        <w:ind w:firstLine="643" w:firstLineChars="200"/>
        <w:jc w:val="left"/>
        <w:textAlignment w:val="center"/>
        <w:rPr>
          <w:rFonts w:hint="default" w:ascii="仿宋_GB2312" w:hAnsi="仿宋_GB2312" w:eastAsia="仿宋_GB2312" w:cs="仿宋_GB2312"/>
          <w:color w:val="000000"/>
          <w:sz w:val="30"/>
          <w:szCs w:val="30"/>
          <w:lang w:val="en-US" w:eastAsia="zh-CN"/>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sz w:val="30"/>
          <w:szCs w:val="30"/>
          <w:lang w:val="en-US" w:eastAsia="zh-CN"/>
        </w:rPr>
        <w:t xml:space="preserve">  其他资金支出共计112.30万元，全部用于基本支出，</w:t>
      </w:r>
    </w:p>
    <w:p w14:paraId="5FDBC22D">
      <w:pPr>
        <w:keepNext w:val="0"/>
        <w:keepLines w:val="0"/>
        <w:pageBreakBefore w:val="0"/>
        <w:widowControl w:val="0"/>
        <w:numPr>
          <w:ilvl w:val="0"/>
          <w:numId w:val="0"/>
        </w:numPr>
        <w:kinsoku/>
        <w:wordWrap/>
        <w:overflowPunct/>
        <w:topLinePunct w:val="0"/>
        <w:autoSpaceDE/>
        <w:autoSpaceDN w:val="0"/>
        <w:bidi w:val="0"/>
        <w:adjustRightInd/>
        <w:snapToGrid/>
        <w:spacing w:line="500" w:lineRule="exact"/>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其中人员支出17.59万元，公用支出94.71万元。</w:t>
      </w:r>
    </w:p>
    <w:p w14:paraId="60F58987">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p>
    <w:p w14:paraId="34AADEC5">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4E41C44A">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没有政府性基金预算支出</w:t>
      </w:r>
    </w:p>
    <w:p w14:paraId="131C1E17">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14:paraId="133CD049">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没有国有资本经营预算支出</w:t>
      </w:r>
    </w:p>
    <w:p w14:paraId="5FD2AA65">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14:paraId="60A4E4A9">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sz w:val="30"/>
          <w:szCs w:val="30"/>
          <w:lang w:val="en-US" w:eastAsia="zh-CN"/>
        </w:rPr>
        <w:t>没有国有资本经营预算支出</w:t>
      </w:r>
    </w:p>
    <w:p w14:paraId="1E98BC8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t>六、部门整体支出绩效情况</w:t>
      </w:r>
    </w:p>
    <w:p w14:paraId="0146A8A9">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1</w:t>
      </w:r>
      <w:r>
        <w:rPr>
          <w:rFonts w:hint="default" w:ascii="仿宋_GB2312" w:hAnsi="仿宋_GB2312" w:eastAsia="仿宋_GB2312" w:cs="仿宋_GB2312"/>
          <w:color w:val="000000"/>
          <w:sz w:val="30"/>
          <w:szCs w:val="30"/>
          <w:lang w:val="en-US" w:eastAsia="zh-CN"/>
        </w:rPr>
        <w:t>、加强对公共资金、国有资产、国有资源和领导干部履行经济责任情况以及国家有关重大政策措施和省、市、区有关重要工作部署贯彻落实情况的跟踪审计，被审计单位整改的效果明显等。</w:t>
      </w:r>
    </w:p>
    <w:p w14:paraId="501DA5D5">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2、拟订全区审计规范性文件，较好地发挥审计监督作用，全力保障组织实施专业领域审计工作规划。</w:t>
      </w:r>
    </w:p>
    <w:p w14:paraId="4734D8FA">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3、向区政府提出年度区级预算执行和其他财政收支情况的审计结果报告并依法向社会公布审计结果，有效的推动全区财政资金的使用效率，保障资金使用安全性，发挥审计卫士作用。</w:t>
      </w:r>
    </w:p>
    <w:p w14:paraId="378E2E6A">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4、依法检查审计</w:t>
      </w:r>
      <w:r>
        <w:rPr>
          <w:rFonts w:hint="eastAsia" w:ascii="仿宋_GB2312" w:hAnsi="仿宋_GB2312" w:eastAsia="仿宋_GB2312" w:cs="仿宋_GB2312"/>
          <w:color w:val="000000"/>
          <w:sz w:val="30"/>
          <w:szCs w:val="30"/>
          <w:lang w:val="en-US" w:eastAsia="zh-CN"/>
        </w:rPr>
        <w:t>报告指出问题整改</w:t>
      </w:r>
      <w:r>
        <w:rPr>
          <w:rFonts w:hint="default" w:ascii="仿宋_GB2312" w:hAnsi="仿宋_GB2312" w:eastAsia="仿宋_GB2312" w:cs="仿宋_GB2312"/>
          <w:color w:val="000000"/>
          <w:sz w:val="30"/>
          <w:szCs w:val="30"/>
          <w:lang w:val="en-US" w:eastAsia="zh-CN"/>
        </w:rPr>
        <w:t>情况，</w:t>
      </w:r>
      <w:r>
        <w:rPr>
          <w:rFonts w:hint="eastAsia" w:ascii="仿宋_GB2312" w:hAnsi="仿宋_GB2312" w:eastAsia="仿宋_GB2312" w:cs="仿宋_GB2312"/>
          <w:color w:val="000000"/>
          <w:sz w:val="30"/>
          <w:szCs w:val="30"/>
          <w:lang w:val="en-US" w:eastAsia="zh-CN"/>
        </w:rPr>
        <w:t>并</w:t>
      </w:r>
      <w:r>
        <w:rPr>
          <w:rFonts w:hint="default" w:ascii="仿宋_GB2312" w:hAnsi="仿宋_GB2312" w:eastAsia="仿宋_GB2312" w:cs="仿宋_GB2312"/>
          <w:color w:val="000000"/>
          <w:sz w:val="30"/>
          <w:szCs w:val="30"/>
          <w:lang w:val="en-US" w:eastAsia="zh-CN"/>
        </w:rPr>
        <w:t>督促整改，协助配合</w:t>
      </w:r>
      <w:r>
        <w:rPr>
          <w:rFonts w:hint="eastAsia" w:ascii="仿宋_GB2312" w:hAnsi="仿宋_GB2312" w:eastAsia="仿宋_GB2312" w:cs="仿宋_GB2312"/>
          <w:color w:val="000000"/>
          <w:sz w:val="30"/>
          <w:szCs w:val="30"/>
          <w:lang w:val="en-US" w:eastAsia="zh-CN"/>
        </w:rPr>
        <w:t>纪监委、巡察办等</w:t>
      </w:r>
      <w:r>
        <w:rPr>
          <w:rFonts w:hint="default" w:ascii="仿宋_GB2312" w:hAnsi="仿宋_GB2312" w:eastAsia="仿宋_GB2312" w:cs="仿宋_GB2312"/>
          <w:color w:val="000000"/>
          <w:sz w:val="30"/>
          <w:szCs w:val="30"/>
          <w:lang w:val="en-US" w:eastAsia="zh-CN"/>
        </w:rPr>
        <w:t>有关部门查处相关重大案件。</w:t>
      </w:r>
    </w:p>
    <w:p w14:paraId="17D80F01">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5、核查社会审计机构对依法属于审计监督对象的单位出具的相关审计报告，有效指导和监督内部审计工作，提高内审质量，促进内审工作的独立性和客观性。</w:t>
      </w:r>
    </w:p>
    <w:p w14:paraId="2B2FA7D6">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6、通过专业培训计划实施，提升审计人员专业水平。</w:t>
      </w:r>
    </w:p>
    <w:p w14:paraId="4E9037C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2E50BA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t>七、存在的问题及原因分析</w:t>
      </w:r>
    </w:p>
    <w:p w14:paraId="7C217D1D">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（一）预算绩效目标编制仍需提高</w:t>
      </w:r>
    </w:p>
    <w:p w14:paraId="24FA1E72">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在2022年度预算绩效目标编制工作中，有的三级指标设置科学量化度不高，绩效目标编制质量仍需提高。</w:t>
      </w:r>
    </w:p>
    <w:p w14:paraId="20971D89">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（二）部门整体绩效评价目标体系设置精细化程度仍需提高</w:t>
      </w:r>
    </w:p>
    <w:p w14:paraId="0A5095BA">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在预算编制环节对年度各</w:t>
      </w:r>
      <w:r>
        <w:rPr>
          <w:rFonts w:hint="eastAsia" w:ascii="仿宋_GB2312" w:hAnsi="仿宋_GB2312" w:eastAsia="仿宋_GB2312" w:cs="仿宋_GB2312"/>
          <w:color w:val="000000"/>
          <w:sz w:val="30"/>
          <w:szCs w:val="30"/>
          <w:lang w:val="en-US" w:eastAsia="zh-CN"/>
        </w:rPr>
        <w:t>股</w:t>
      </w:r>
      <w:r>
        <w:rPr>
          <w:rFonts w:hint="default" w:ascii="仿宋_GB2312" w:hAnsi="仿宋_GB2312" w:eastAsia="仿宋_GB2312" w:cs="仿宋_GB2312"/>
          <w:color w:val="000000"/>
          <w:sz w:val="30"/>
          <w:szCs w:val="30"/>
          <w:lang w:val="en-US" w:eastAsia="zh-CN"/>
        </w:rPr>
        <w:t>室重要工作计划及对应绩效目标和绩效指标的设定未紧扣</w:t>
      </w:r>
      <w:r>
        <w:rPr>
          <w:rFonts w:hint="eastAsia" w:ascii="仿宋_GB2312" w:hAnsi="仿宋_GB2312" w:eastAsia="仿宋_GB2312" w:cs="仿宋_GB2312"/>
          <w:color w:val="000000"/>
          <w:sz w:val="30"/>
          <w:szCs w:val="30"/>
          <w:lang w:val="en-US" w:eastAsia="zh-CN"/>
        </w:rPr>
        <w:t>股</w:t>
      </w:r>
      <w:r>
        <w:rPr>
          <w:rFonts w:hint="default" w:ascii="仿宋_GB2312" w:hAnsi="仿宋_GB2312" w:eastAsia="仿宋_GB2312" w:cs="仿宋_GB2312"/>
          <w:color w:val="000000"/>
          <w:sz w:val="30"/>
          <w:szCs w:val="30"/>
          <w:lang w:val="en-US" w:eastAsia="zh-CN"/>
        </w:rPr>
        <w:t>室职能，未能充分体现被评价科室核心绩效。</w:t>
      </w:r>
    </w:p>
    <w:p w14:paraId="6FE29A0E">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t>下一步改进措施</w:t>
      </w:r>
    </w:p>
    <w:p w14:paraId="6064EAA4">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bookmarkStart w:id="0" w:name="_Toc15372278"/>
      <w:r>
        <w:rPr>
          <w:rFonts w:hint="eastAsia" w:ascii="仿宋_GB2312" w:hAnsi="仿宋_GB2312" w:eastAsia="仿宋_GB2312" w:cs="仿宋_GB2312"/>
          <w:color w:val="000000"/>
          <w:sz w:val="30"/>
          <w:szCs w:val="30"/>
          <w:lang w:val="en-US" w:eastAsia="zh-CN"/>
        </w:rPr>
        <w:t>（一）今后严格按照预算绩效管理要求，坚持定性与定量相结合，实事求是、客观公正、层次清楚、突出重点，便于检验、评价、考核。可以量化的三级指标，都要予以量化；确实难以量化的，要提炼出能够反映目标任务和预期成效的结果性描述。做好部门整体绩效目标、项目资金绩效目标管理工作。</w:t>
      </w:r>
      <w:bookmarkEnd w:id="0"/>
    </w:p>
    <w:p w14:paraId="525EF16B">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（二）进一步优化服务，以“公众满意最大化”为目标，加大培养绩效管理社会参与意识，真正服务于人民群众。</w:t>
      </w:r>
    </w:p>
    <w:p w14:paraId="1679DA52">
      <w:pPr>
        <w:keepNext w:val="0"/>
        <w:keepLines w:val="0"/>
        <w:pageBreakBefore w:val="0"/>
        <w:widowControl w:val="0"/>
        <w:kinsoku/>
        <w:wordWrap/>
        <w:overflowPunct/>
        <w:topLinePunct w:val="0"/>
        <w:autoSpaceDE/>
        <w:autoSpaceDN w:val="0"/>
        <w:bidi w:val="0"/>
        <w:adjustRightInd/>
        <w:snapToGrid/>
        <w:spacing w:line="500" w:lineRule="exact"/>
        <w:ind w:firstLine="600" w:firstLineChars="200"/>
        <w:jc w:val="left"/>
        <w:textAlignment w:val="center"/>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（三）尽快完成部门重点工作任务，提高核减政府投资成本产生的经济效益，充分发挥审计的反腐利器作用，加强审计工作的政策保障性。</w:t>
      </w:r>
    </w:p>
    <w:p w14:paraId="14196CE3">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highlight w:val="yellow"/>
          <w:lang w:val="en-US" w:eastAsia="zh-CN"/>
          <w14:textFill>
            <w14:solidFill>
              <w14:schemeClr w14:val="tx1"/>
            </w14:solidFill>
          </w14:textFill>
        </w:rPr>
      </w:pPr>
    </w:p>
    <w:p w14:paraId="1BDF83B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highlight w:val="none"/>
          <w:lang w:val="en-US" w:eastAsia="zh-CN"/>
          <w14:textFill>
            <w14:solidFill>
              <w14:schemeClr w14:val="tx1"/>
            </w14:solidFill>
          </w14:textFill>
        </w:rPr>
        <w:t>九、部门整体支出绩效自评结果拟应用和公开情况</w:t>
      </w:r>
    </w:p>
    <w:p w14:paraId="70DCC9B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ascii="仿宋_GB2312" w:hAnsi="宋体" w:eastAsia="仿宋_GB2312" w:cs="仿宋_GB2312"/>
          <w:i w:val="0"/>
          <w:iCs w:val="0"/>
          <w:caps w:val="0"/>
          <w:color w:val="000000"/>
          <w:spacing w:val="0"/>
          <w:sz w:val="32"/>
          <w:szCs w:val="32"/>
        </w:rPr>
        <w:t>我单位对</w:t>
      </w:r>
      <w:r>
        <w:rPr>
          <w:rFonts w:ascii="Calibri" w:hAnsi="Calibri" w:eastAsia="仿宋_GB2312" w:cs="Calibri"/>
          <w:i w:val="0"/>
          <w:iCs w:val="0"/>
          <w:caps w:val="0"/>
          <w:color w:val="000000"/>
          <w:spacing w:val="0"/>
          <w:sz w:val="32"/>
          <w:szCs w:val="32"/>
        </w:rPr>
        <w:t>202</w:t>
      </w:r>
      <w:r>
        <w:rPr>
          <w:rFonts w:hint="default" w:ascii="Calibri" w:hAnsi="Calibri" w:eastAsia="仿宋_GB2312" w:cs="Calibri"/>
          <w:i w:val="0"/>
          <w:iCs w:val="0"/>
          <w:caps w:val="0"/>
          <w:color w:val="000000"/>
          <w:spacing w:val="0"/>
          <w:sz w:val="32"/>
          <w:szCs w:val="32"/>
        </w:rPr>
        <w:t>2</w:t>
      </w:r>
      <w:r>
        <w:rPr>
          <w:rFonts w:hint="default" w:ascii="仿宋_GB2312" w:hAnsi="宋体" w:eastAsia="仿宋_GB2312" w:cs="仿宋_GB2312"/>
          <w:i w:val="0"/>
          <w:iCs w:val="0"/>
          <w:caps w:val="0"/>
          <w:color w:val="000000"/>
          <w:spacing w:val="0"/>
          <w:sz w:val="32"/>
          <w:szCs w:val="32"/>
        </w:rPr>
        <w:t>年部门整体支出绩效评价表及部门整体支出绩效评价基础数据表的各项指标分析。</w:t>
      </w:r>
      <w:r>
        <w:rPr>
          <w:rFonts w:ascii="仿宋_GB2312" w:hAnsi="宋体" w:eastAsia="仿宋_GB2312" w:cs="仿宋_GB2312"/>
          <w:i w:val="0"/>
          <w:iCs w:val="0"/>
          <w:caps w:val="0"/>
          <w:color w:val="000000"/>
          <w:spacing w:val="0"/>
          <w:sz w:val="32"/>
          <w:szCs w:val="32"/>
          <w:shd w:val="clear" w:fill="FFFFFF"/>
        </w:rPr>
        <w:t>我单位拟在</w:t>
      </w:r>
      <w:r>
        <w:rPr>
          <w:rFonts w:hint="eastAsia" w:ascii="仿宋_GB2312" w:hAnsi="宋体" w:eastAsia="仿宋_GB2312" w:cs="仿宋_GB2312"/>
          <w:i w:val="0"/>
          <w:iCs w:val="0"/>
          <w:caps w:val="0"/>
          <w:color w:val="000000"/>
          <w:spacing w:val="0"/>
          <w:sz w:val="32"/>
          <w:szCs w:val="32"/>
          <w:shd w:val="clear" w:fill="FFFFFF"/>
          <w:lang w:eastAsia="zh-CN"/>
        </w:rPr>
        <w:t>岳阳楼区</w:t>
      </w:r>
      <w:r>
        <w:rPr>
          <w:rFonts w:ascii="仿宋_GB2312" w:hAnsi="宋体" w:eastAsia="仿宋_GB2312" w:cs="仿宋_GB2312"/>
          <w:i w:val="0"/>
          <w:iCs w:val="0"/>
          <w:caps w:val="0"/>
          <w:color w:val="000000"/>
          <w:spacing w:val="0"/>
          <w:sz w:val="32"/>
          <w:szCs w:val="32"/>
          <w:shd w:val="clear" w:fill="FFFFFF"/>
        </w:rPr>
        <w:t>政府网公示绩效自评结果</w:t>
      </w:r>
      <w:r>
        <w:rPr>
          <w:rFonts w:hint="eastAsia" w:ascii="仿宋_GB2312" w:hAnsi="宋体" w:eastAsia="仿宋_GB2312" w:cs="仿宋_GB2312"/>
          <w:i w:val="0"/>
          <w:iCs w:val="0"/>
          <w:caps w:val="0"/>
          <w:color w:val="000000"/>
          <w:spacing w:val="0"/>
          <w:sz w:val="32"/>
          <w:szCs w:val="32"/>
          <w:shd w:val="clear" w:fill="FFFFFF"/>
          <w:lang w:eastAsia="zh-CN"/>
        </w:rPr>
        <w:t>。</w:t>
      </w:r>
    </w:p>
    <w:p w14:paraId="7F7E219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14:paraId="651E188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F87127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F7549A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6BE33FD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0E83ECC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5AD618B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33F1F05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11C7763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5698CD5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2D01733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1F3C5C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547BAF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A31564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DBF4AC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08763AE">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40C1379">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2C47C959">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6ADB098C">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42E62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10478EF4">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75510A6B">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6892523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投资审计</w:t>
            </w:r>
          </w:p>
        </w:tc>
      </w:tr>
      <w:tr w14:paraId="3E953F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72C52E55">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4B574B2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 xml:space="preserve">岳阳楼区政府 </w:t>
            </w:r>
          </w:p>
        </w:tc>
        <w:tc>
          <w:tcPr>
            <w:tcW w:w="1140" w:type="dxa"/>
            <w:noWrap w:val="0"/>
            <w:vAlign w:val="center"/>
          </w:tcPr>
          <w:p w14:paraId="5278B6C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06E88E5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楼区审计局</w:t>
            </w:r>
          </w:p>
        </w:tc>
      </w:tr>
      <w:tr w14:paraId="6A9A7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0A933967">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45FA0877">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744478A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7564CCB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2BB807BF">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2E489E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6306660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64216DD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4EF8AAE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5C2AEE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11E3384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7E98427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1665B66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752FFAF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55BD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A124BA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267169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7648371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14:paraId="5878105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56C80D3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51DE644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795" w:type="dxa"/>
            <w:noWrap w:val="0"/>
            <w:vAlign w:val="center"/>
          </w:tcPr>
          <w:p w14:paraId="6BBD605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14:paraId="7AA150D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p>
        </w:tc>
      </w:tr>
      <w:tr w14:paraId="52AEE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1777C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3A4457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0B58319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6E6C4B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heme="majorEastAsia" w:hAnsiTheme="majorEastAsia" w:eastAsiaTheme="majorEastAsia" w:cstheme="majorEastAsia"/>
                <w:color w:val="000000" w:themeColor="text1"/>
                <w:sz w:val="21"/>
                <w:highlight w:val="yellow"/>
                <w:lang w:val="en-US" w:eastAsia="zh-CN"/>
                <w14:textFill>
                  <w14:solidFill>
                    <w14:schemeClr w14:val="tx1"/>
                  </w14:solidFill>
                </w14:textFill>
              </w:rPr>
            </w:pPr>
          </w:p>
        </w:tc>
        <w:tc>
          <w:tcPr>
            <w:tcW w:w="1140" w:type="dxa"/>
            <w:noWrap w:val="0"/>
            <w:vAlign w:val="center"/>
          </w:tcPr>
          <w:p w14:paraId="27C3019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Theme="majorEastAsia" w:hAnsiTheme="majorEastAsia" w:eastAsiaTheme="majorEastAsia" w:cstheme="majorEastAsia"/>
                <w:color w:val="000000" w:themeColor="text1"/>
                <w:sz w:val="21"/>
                <w:highlight w:val="yellow"/>
                <w:lang w:val="en-US" w:eastAsia="zh-CN"/>
                <w14:textFill>
                  <w14:solidFill>
                    <w14:schemeClr w14:val="tx1"/>
                  </w14:solidFill>
                </w14:textFill>
              </w:rPr>
            </w:pPr>
          </w:p>
        </w:tc>
        <w:tc>
          <w:tcPr>
            <w:tcW w:w="685" w:type="dxa"/>
            <w:noWrap w:val="0"/>
            <w:vAlign w:val="center"/>
          </w:tcPr>
          <w:p w14:paraId="0126591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54F2BC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825D9E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38379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DB5FD7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FE91CC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5EDA7CF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75D761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2DD0C6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30F14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B951F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bookmarkStart w:id="1" w:name="_GoBack"/>
            <w:bookmarkEnd w:id="1"/>
          </w:p>
        </w:tc>
        <w:tc>
          <w:tcPr>
            <w:tcW w:w="1365" w:type="dxa"/>
            <w:noWrap w:val="0"/>
            <w:vAlign w:val="center"/>
          </w:tcPr>
          <w:p w14:paraId="6A655C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4033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66DC730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0F1C128">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37E457B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4FA1ED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634BF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CC765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860180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8E4739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7531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0DF51DFB">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6BF4EC10">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2B1E0F93">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6166112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57BED5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470FBE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6E4E449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14:paraId="1EC1609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4AB6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0B2AB1FB">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5DBFD43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738FEE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75CB783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highlight w:val="none"/>
                <w14:textFill>
                  <w14:solidFill>
                    <w14:schemeClr w14:val="tx1"/>
                  </w14:solidFill>
                </w14:textFill>
              </w:rPr>
            </w:pPr>
            <w:r>
              <w:rPr>
                <w:rFonts w:ascii="宋体" w:hAnsi="宋体" w:eastAsia="宋体" w:cs="宋体"/>
                <w:color w:val="000000" w:themeColor="text1"/>
                <w:spacing w:val="0"/>
                <w:sz w:val="21"/>
                <w:szCs w:val="21"/>
                <w:highlight w:val="none"/>
                <w14:textFill>
                  <w14:solidFill>
                    <w14:schemeClr w14:val="tx1"/>
                  </w14:solidFill>
                </w14:textFill>
              </w:rPr>
              <w:t>三级指标</w:t>
            </w:r>
          </w:p>
        </w:tc>
        <w:tc>
          <w:tcPr>
            <w:tcW w:w="1131" w:type="dxa"/>
            <w:noWrap w:val="0"/>
            <w:vAlign w:val="center"/>
          </w:tcPr>
          <w:p w14:paraId="7546019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highlight w:val="none"/>
                <w14:textFill>
                  <w14:solidFill>
                    <w14:schemeClr w14:val="tx1"/>
                  </w14:solidFill>
                </w14:textFill>
              </w:rPr>
            </w:pPr>
            <w:r>
              <w:rPr>
                <w:rFonts w:ascii="宋体" w:hAnsi="宋体" w:eastAsia="宋体" w:cs="宋体"/>
                <w:color w:val="000000" w:themeColor="text1"/>
                <w:spacing w:val="0"/>
                <w:sz w:val="21"/>
                <w:szCs w:val="21"/>
                <w:highlight w:val="none"/>
                <w14:textFill>
                  <w14:solidFill>
                    <w14:schemeClr w14:val="tx1"/>
                  </w14:solidFill>
                </w14:textFill>
              </w:rPr>
              <w:t>年度</w:t>
            </w:r>
          </w:p>
          <w:p w14:paraId="5FE6D83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highlight w:val="none"/>
                <w14:textFill>
                  <w14:solidFill>
                    <w14:schemeClr w14:val="tx1"/>
                  </w14:solidFill>
                </w14:textFill>
              </w:rPr>
            </w:pPr>
            <w:r>
              <w:rPr>
                <w:rFonts w:ascii="宋体" w:hAnsi="宋体" w:eastAsia="宋体" w:cs="宋体"/>
                <w:color w:val="000000" w:themeColor="text1"/>
                <w:spacing w:val="0"/>
                <w:sz w:val="21"/>
                <w:szCs w:val="21"/>
                <w:highlight w:val="none"/>
                <w14:textFill>
                  <w14:solidFill>
                    <w14:schemeClr w14:val="tx1"/>
                  </w14:solidFill>
                </w14:textFill>
              </w:rPr>
              <w:t>指标值</w:t>
            </w:r>
          </w:p>
        </w:tc>
        <w:tc>
          <w:tcPr>
            <w:tcW w:w="1140" w:type="dxa"/>
            <w:noWrap w:val="0"/>
            <w:vAlign w:val="center"/>
          </w:tcPr>
          <w:p w14:paraId="7140760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282F692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29FA729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4C1239B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6AC1E5FC">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1673A7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7EC34B5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37EF904">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7F9F0AF3">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ED8F10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43D5FE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25E1F685">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2548251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14:paraId="10581B53">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3DE39F1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p>
        </w:tc>
        <w:tc>
          <w:tcPr>
            <w:tcW w:w="1131" w:type="dxa"/>
            <w:noWrap w:val="0"/>
            <w:vAlign w:val="center"/>
          </w:tcPr>
          <w:p w14:paraId="235A0C5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14:paraId="6D710FB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31AD1DB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7F17683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4AF3C03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14:paraId="1FC185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1075" w:type="dxa"/>
            <w:vMerge w:val="continue"/>
            <w:tcBorders>
              <w:top w:val="nil"/>
              <w:bottom w:val="nil"/>
            </w:tcBorders>
            <w:noWrap w:val="0"/>
            <w:textDirection w:val="tbRlV"/>
            <w:vAlign w:val="center"/>
          </w:tcPr>
          <w:p w14:paraId="2A49DA3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179C74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6BCC67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A06FEBF">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p>
        </w:tc>
        <w:tc>
          <w:tcPr>
            <w:tcW w:w="1131" w:type="dxa"/>
            <w:noWrap w:val="0"/>
            <w:vAlign w:val="center"/>
          </w:tcPr>
          <w:p w14:paraId="4A855CCC">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14:paraId="74A68DA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p>
        </w:tc>
        <w:tc>
          <w:tcPr>
            <w:tcW w:w="685" w:type="dxa"/>
            <w:noWrap w:val="0"/>
            <w:vAlign w:val="center"/>
          </w:tcPr>
          <w:p w14:paraId="62A1624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2DC9E07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4564E7E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EA65F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075" w:type="dxa"/>
            <w:vMerge w:val="continue"/>
            <w:tcBorders>
              <w:top w:val="nil"/>
              <w:bottom w:val="nil"/>
            </w:tcBorders>
            <w:noWrap w:val="0"/>
            <w:textDirection w:val="tbRlV"/>
            <w:vAlign w:val="center"/>
          </w:tcPr>
          <w:p w14:paraId="30BAE3B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7C15F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7BA5B4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53F51F2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31" w:type="dxa"/>
            <w:noWrap w:val="0"/>
            <w:vAlign w:val="center"/>
          </w:tcPr>
          <w:p w14:paraId="067789C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宋体"/>
                <w:color w:val="000000" w:themeColor="text1"/>
                <w:spacing w:val="0"/>
                <w:sz w:val="21"/>
                <w:szCs w:val="21"/>
                <w:lang w:val="en-US" w:eastAsia="zh-CN"/>
                <w14:textFill>
                  <w14:solidFill>
                    <w14:schemeClr w14:val="tx1"/>
                  </w14:solidFill>
                </w14:textFill>
              </w:rPr>
            </w:pPr>
          </w:p>
        </w:tc>
        <w:tc>
          <w:tcPr>
            <w:tcW w:w="1140" w:type="dxa"/>
            <w:noWrap w:val="0"/>
            <w:vAlign w:val="center"/>
          </w:tcPr>
          <w:p w14:paraId="5964FF1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3F16AA6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4DEC692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5880282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1EC53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atLeast"/>
        </w:trPr>
        <w:tc>
          <w:tcPr>
            <w:tcW w:w="1075" w:type="dxa"/>
            <w:vMerge w:val="continue"/>
            <w:tcBorders>
              <w:top w:val="nil"/>
              <w:bottom w:val="nil"/>
            </w:tcBorders>
            <w:noWrap w:val="0"/>
            <w:textDirection w:val="tbRlV"/>
            <w:vAlign w:val="center"/>
          </w:tcPr>
          <w:p w14:paraId="2C3EC7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28A4B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374268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2C66463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B58FD4C">
            <w:pPr>
              <w:keepNext w:val="0"/>
              <w:keepLines w:val="0"/>
              <w:pageBreakBefore w:val="0"/>
              <w:widowControl w:val="0"/>
              <w:kinsoku/>
              <w:wordWrap/>
              <w:overflowPunct/>
              <w:topLinePunct w:val="0"/>
              <w:autoSpaceDE/>
              <w:autoSpaceDN/>
              <w:bidi w:val="0"/>
              <w:adjustRightInd/>
              <w:snapToGrid/>
              <w:spacing w:line="239" w:lineRule="exact"/>
              <w:ind w:left="0" w:right="0"/>
              <w:jc w:val="both"/>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11D305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324B4D0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5F81499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5A4A55A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2B759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4E2C1D5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ED911A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391E0B4">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2CFCC3FC">
            <w:pPr>
              <w:keepNext w:val="0"/>
              <w:keepLines w:val="0"/>
              <w:pageBreakBefore w:val="0"/>
              <w:widowControl w:val="0"/>
              <w:kinsoku/>
              <w:wordWrap/>
              <w:overflowPunct/>
              <w:topLinePunct w:val="0"/>
              <w:autoSpaceDE/>
              <w:autoSpaceDN/>
              <w:bidi w:val="0"/>
              <w:adjustRightInd/>
              <w:snapToGrid/>
              <w:spacing w:line="220" w:lineRule="exact"/>
              <w:ind w:left="0" w:right="0"/>
              <w:jc w:val="both"/>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C27035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FDA907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5C624F2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740BE5F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35F3838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ABE0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1075" w:type="dxa"/>
            <w:vMerge w:val="continue"/>
            <w:tcBorders>
              <w:top w:val="nil"/>
              <w:bottom w:val="nil"/>
            </w:tcBorders>
            <w:noWrap w:val="0"/>
            <w:textDirection w:val="tbRlV"/>
            <w:vAlign w:val="center"/>
          </w:tcPr>
          <w:p w14:paraId="663E91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E114B7A">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271E6912">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5261DB67">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368F8C1A">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1C1AF1D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14:paraId="63D878A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2AD8CF9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6F25DD8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Calibri" w:hAnsi="Calibri" w:eastAsia="仿宋_GB2312" w:cs="Times New Roman"/>
                <w:szCs w:val="21"/>
              </w:rPr>
            </w:pPr>
          </w:p>
        </w:tc>
        <w:tc>
          <w:tcPr>
            <w:tcW w:w="1131" w:type="dxa"/>
            <w:noWrap w:val="0"/>
            <w:vAlign w:val="center"/>
          </w:tcPr>
          <w:p w14:paraId="48B223BF">
            <w:pPr>
              <w:keepNext w:val="0"/>
              <w:keepLines w:val="0"/>
              <w:pageBreakBefore w:val="0"/>
              <w:widowControl w:val="0"/>
              <w:kinsoku/>
              <w:wordWrap/>
              <w:overflowPunct/>
              <w:topLinePunct w:val="0"/>
              <w:autoSpaceDE/>
              <w:autoSpaceDN/>
              <w:bidi w:val="0"/>
              <w:adjustRightInd/>
              <w:snapToGrid/>
              <w:spacing w:line="239" w:lineRule="exact"/>
              <w:ind w:left="0" w:right="0"/>
              <w:jc w:val="both"/>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7CB6BA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D92ADC7">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7A70D19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6E58341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4FDB9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Merge w:val="continue"/>
            <w:tcBorders>
              <w:top w:val="nil"/>
              <w:bottom w:val="nil"/>
            </w:tcBorders>
            <w:noWrap w:val="0"/>
            <w:textDirection w:val="tbRlV"/>
            <w:vAlign w:val="center"/>
          </w:tcPr>
          <w:p w14:paraId="26A9603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FADE9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C0FE4B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7502484">
            <w:pPr>
              <w:keepNext w:val="0"/>
              <w:keepLines w:val="0"/>
              <w:pageBreakBefore w:val="0"/>
              <w:widowControl w:val="0"/>
              <w:kinsoku/>
              <w:wordWrap/>
              <w:overflowPunct/>
              <w:topLinePunct w:val="0"/>
              <w:autoSpaceDE/>
              <w:autoSpaceDN/>
              <w:bidi w:val="0"/>
              <w:adjustRightInd/>
              <w:snapToGrid/>
              <w:spacing w:line="220" w:lineRule="exact"/>
              <w:ind w:left="0" w:right="0"/>
              <w:jc w:val="both"/>
              <w:textAlignment w:val="auto"/>
              <w:rPr>
                <w:rFonts w:hint="eastAsia" w:ascii="Calibri" w:hAnsi="Calibri" w:eastAsia="仿宋_GB2312" w:cs="Times New Roman"/>
                <w:szCs w:val="21"/>
                <w:lang w:eastAsia="zh-CN"/>
              </w:rPr>
            </w:pPr>
          </w:p>
        </w:tc>
        <w:tc>
          <w:tcPr>
            <w:tcW w:w="1131" w:type="dxa"/>
            <w:noWrap w:val="0"/>
            <w:vAlign w:val="center"/>
          </w:tcPr>
          <w:p w14:paraId="70C608B3">
            <w:pPr>
              <w:keepNext w:val="0"/>
              <w:keepLines w:val="0"/>
              <w:pageBreakBefore w:val="0"/>
              <w:widowControl w:val="0"/>
              <w:kinsoku/>
              <w:wordWrap/>
              <w:overflowPunct/>
              <w:topLinePunct w:val="0"/>
              <w:autoSpaceDE/>
              <w:autoSpaceDN/>
              <w:bidi w:val="0"/>
              <w:adjustRightInd/>
              <w:snapToGrid/>
              <w:spacing w:line="220" w:lineRule="exact"/>
              <w:ind w:left="0" w:right="0"/>
              <w:jc w:val="both"/>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14:paraId="7B30860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40B90CF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572DCBE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191E0E6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E7ABB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EC9A6E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58A34B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562DBF5">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64224BC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646C91B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Calibri" w:hAnsi="Calibri" w:eastAsia="仿宋_GB2312" w:cs="Times New Roman"/>
                <w:szCs w:val="21"/>
                <w:lang w:eastAsia="zh-CN"/>
              </w:rPr>
            </w:pPr>
          </w:p>
        </w:tc>
        <w:tc>
          <w:tcPr>
            <w:tcW w:w="1131" w:type="dxa"/>
            <w:noWrap w:val="0"/>
            <w:vAlign w:val="center"/>
          </w:tcPr>
          <w:p w14:paraId="04F64B67">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14:paraId="7DF361C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1DDF7B0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3F08C39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004EF21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D522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1ACDFF0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BB9FA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F5423A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067469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Calibri" w:hAnsi="Calibri" w:eastAsia="仿宋_GB2312" w:cs="Times New Roman"/>
                <w:szCs w:val="21"/>
                <w:lang w:val="en-US" w:eastAsia="zh-CN"/>
              </w:rPr>
            </w:pPr>
          </w:p>
        </w:tc>
        <w:tc>
          <w:tcPr>
            <w:tcW w:w="1131" w:type="dxa"/>
            <w:noWrap w:val="0"/>
            <w:vAlign w:val="center"/>
          </w:tcPr>
          <w:p w14:paraId="1B92160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14:paraId="4F129DA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57883F7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7A59281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0D68E82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FEFFB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06A87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A88A59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5969ACB">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25DF5B3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6338544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Calibri" w:hAnsi="Calibri" w:eastAsia="仿宋_GB2312" w:cs="Times New Roman"/>
                <w:szCs w:val="21"/>
                <w:lang w:val="en-US" w:eastAsia="zh-CN"/>
              </w:rPr>
            </w:pPr>
          </w:p>
        </w:tc>
        <w:tc>
          <w:tcPr>
            <w:tcW w:w="1131" w:type="dxa"/>
            <w:noWrap w:val="0"/>
            <w:vAlign w:val="center"/>
          </w:tcPr>
          <w:p w14:paraId="04ABAE67">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default" w:ascii="Arial" w:eastAsia="宋体"/>
                <w:color w:val="000000" w:themeColor="text1"/>
                <w:spacing w:val="0"/>
                <w:sz w:val="21"/>
                <w:szCs w:val="21"/>
                <w:lang w:val="en-US" w:eastAsia="zh-CN"/>
                <w14:textFill>
                  <w14:solidFill>
                    <w14:schemeClr w14:val="tx1"/>
                  </w14:solidFill>
                </w14:textFill>
              </w:rPr>
            </w:pPr>
          </w:p>
        </w:tc>
        <w:tc>
          <w:tcPr>
            <w:tcW w:w="1140" w:type="dxa"/>
            <w:noWrap w:val="0"/>
            <w:vAlign w:val="center"/>
          </w:tcPr>
          <w:p w14:paraId="48AC097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7DFCA76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6DC4B1B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69F3304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6B947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9B701B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3E648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2AEFD2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7327FE1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4B4970F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Calibri" w:hAnsi="Calibri" w:eastAsia="仿宋_GB2312" w:cs="Times New Roman"/>
                <w:szCs w:val="21"/>
                <w:lang w:val="en-US" w:eastAsia="zh-CN"/>
              </w:rPr>
            </w:pPr>
          </w:p>
        </w:tc>
        <w:tc>
          <w:tcPr>
            <w:tcW w:w="1131" w:type="dxa"/>
            <w:noWrap w:val="0"/>
            <w:vAlign w:val="center"/>
          </w:tcPr>
          <w:p w14:paraId="534C7AB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1A5A37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684847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0EFCD22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2D78F5B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DE7C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731E8F1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A72F1E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2735BB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2BC82D6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2758752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16BF0E8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0FD131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2D493F0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F064BB3">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7400E1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14:paraId="60F2DA3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14:paraId="342132E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7659499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44163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679173FF">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56B517B5">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795" w:type="dxa"/>
            <w:noWrap w:val="0"/>
            <w:vAlign w:val="center"/>
          </w:tcPr>
          <w:p w14:paraId="15AB8BB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365" w:type="dxa"/>
            <w:noWrap w:val="0"/>
            <w:vAlign w:val="center"/>
          </w:tcPr>
          <w:p w14:paraId="6CABA6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67D61233">
      <w:pPr>
        <w:spacing w:line="252" w:lineRule="auto"/>
        <w:rPr>
          <w:rFonts w:ascii="Arial"/>
          <w:color w:val="000000" w:themeColor="text1"/>
          <w:sz w:val="21"/>
          <w14:textFill>
            <w14:solidFill>
              <w14:schemeClr w14:val="tx1"/>
            </w14:solidFill>
          </w14:textFill>
        </w:rPr>
      </w:pPr>
    </w:p>
    <w:p w14:paraId="20603423">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0E5DD79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1D408ED0">
      <w:pPr>
        <w:ind w:firstLine="1440" w:firstLineChars="400"/>
        <w:jc w:val="both"/>
        <w:rPr>
          <w:rFonts w:hint="eastAsia" w:eastAsia="方正小标宋简体"/>
          <w:sz w:val="36"/>
          <w:szCs w:val="36"/>
          <w:lang w:eastAsia="zh-CN"/>
        </w:rPr>
      </w:pPr>
    </w:p>
    <w:p w14:paraId="3C2A122D">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14:paraId="5C5CBA78">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6711458A">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5D78AF6F">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1922D17C">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4DC10F38">
            <w:pPr>
              <w:spacing w:line="240" w:lineRule="exact"/>
              <w:jc w:val="center"/>
              <w:rPr>
                <w:rFonts w:eastAsia="黑体"/>
                <w:szCs w:val="21"/>
              </w:rPr>
            </w:pPr>
            <w:r>
              <w:rPr>
                <w:rFonts w:eastAsia="黑体"/>
                <w:szCs w:val="21"/>
              </w:rPr>
              <w:t>评分</w:t>
            </w:r>
          </w:p>
        </w:tc>
      </w:tr>
      <w:tr w14:paraId="70E38CF0">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4CE3AD50">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00BB7488">
            <w:pPr>
              <w:spacing w:line="320" w:lineRule="exact"/>
              <w:jc w:val="center"/>
              <w:rPr>
                <w:rFonts w:hint="eastAsia" w:asciiTheme="majorEastAsia" w:hAnsiTheme="majorEastAsia" w:eastAsiaTheme="majorEastAsia" w:cstheme="majorEastAsia"/>
                <w:szCs w:val="21"/>
              </w:rPr>
            </w:pPr>
          </w:p>
          <w:p w14:paraId="2777150A">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7ECF586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3C8634A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4BC32E2B">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6C6BD5F8">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23E942A8">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73E15C65">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598E781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056C026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1536A7CE">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4055E79E">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1AA7DF69">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1616BAB7">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7F22A332">
            <w:pPr>
              <w:spacing w:line="240" w:lineRule="exact"/>
              <w:jc w:val="center"/>
              <w:rPr>
                <w:rFonts w:hint="eastAsia" w:asciiTheme="majorEastAsia" w:hAnsiTheme="majorEastAsia" w:eastAsiaTheme="majorEastAsia" w:cstheme="majorEastAsia"/>
                <w:szCs w:val="21"/>
              </w:rPr>
            </w:pPr>
          </w:p>
          <w:p w14:paraId="255523C7">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3464E23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0F3FECD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0B0B391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3C5D2BB0">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67EFF804">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64D3A527">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13</w:t>
            </w:r>
            <w:r>
              <w:rPr>
                <w:rFonts w:hint="eastAsia" w:asciiTheme="majorEastAsia" w:hAnsiTheme="majorEastAsia" w:eastAsiaTheme="majorEastAsia" w:cstheme="majorEastAsia"/>
                <w:szCs w:val="21"/>
              </w:rPr>
              <w:t>　</w:t>
            </w:r>
          </w:p>
        </w:tc>
      </w:tr>
      <w:tr w14:paraId="4EFF7BBF">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7CC77600">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0132A6D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4FF88EA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487FCD78">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2668EB92">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19AB9A38">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1FF56694">
            <w:pPr>
              <w:spacing w:line="240" w:lineRule="exact"/>
              <w:jc w:val="center"/>
              <w:rPr>
                <w:rFonts w:hint="default" w:asciiTheme="majorEastAsia" w:hAnsiTheme="majorEastAsia" w:eastAsiaTheme="majorEastAsia" w:cstheme="majorEastAsia"/>
                <w:szCs w:val="21"/>
                <w:lang w:val="en-US"/>
              </w:rPr>
            </w:pPr>
            <w:r>
              <w:rPr>
                <w:rFonts w:hint="eastAsia" w:asciiTheme="majorEastAsia" w:hAnsiTheme="majorEastAsia" w:eastAsiaTheme="majorEastAsia" w:cstheme="majorEastAsia"/>
                <w:szCs w:val="21"/>
                <w:lang w:val="en-US" w:eastAsia="zh-CN"/>
              </w:rPr>
              <w:t>18</w:t>
            </w:r>
          </w:p>
        </w:tc>
      </w:tr>
      <w:tr w14:paraId="3C16FB2E">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00BC368">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7B4B896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2F285CA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7C70B88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18D5CB7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7425D8CF">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769896B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w:t>
            </w:r>
            <w:r>
              <w:rPr>
                <w:rFonts w:hint="eastAsia" w:asciiTheme="majorEastAsia" w:hAnsiTheme="majorEastAsia" w:eastAsiaTheme="majorEastAsia" w:cstheme="majorEastAsia"/>
                <w:szCs w:val="21"/>
              </w:rPr>
              <w:t>　</w:t>
            </w:r>
          </w:p>
        </w:tc>
      </w:tr>
      <w:tr w14:paraId="3297051D">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5E3AF072">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0E2BDDA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4DA2B86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3B2273A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3447AEAC">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614D181E">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2F0825EF">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2422F2D8">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778BCA2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3EDE6396">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7634B71A">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94</w:t>
            </w:r>
            <w:r>
              <w:rPr>
                <w:rFonts w:hint="eastAsia" w:asciiTheme="majorEastAsia" w:hAnsiTheme="majorEastAsia" w:eastAsiaTheme="majorEastAsia" w:cstheme="majorEastAsia"/>
                <w:szCs w:val="21"/>
              </w:rPr>
              <w:t>　</w:t>
            </w:r>
          </w:p>
        </w:tc>
      </w:tr>
    </w:tbl>
    <w:p w14:paraId="08460229">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70E3E187-9538-4323-BC2E-577DBBA2D2C4}"/>
  </w:font>
  <w:font w:name="黑体">
    <w:panose1 w:val="02010609060101010101"/>
    <w:charset w:val="86"/>
    <w:family w:val="auto"/>
    <w:pitch w:val="default"/>
    <w:sig w:usb0="800002BF" w:usb1="38CF7CFA" w:usb2="00000016" w:usb3="00000000" w:csb0="00040001" w:csb1="00000000"/>
    <w:embedRegular r:id="rId2" w:fontKey="{E8C4CBAE-7BCA-4D64-875B-58AA8653484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3" w:fontKey="{AA8E5133-1B52-402E-8046-E5455A749F08}"/>
  </w:font>
  <w:font w:name="方正小标宋简体">
    <w:panose1 w:val="02000000000000000000"/>
    <w:charset w:val="86"/>
    <w:family w:val="auto"/>
    <w:pitch w:val="default"/>
    <w:sig w:usb0="00000001" w:usb1="08000000" w:usb2="00000000" w:usb3="00000000" w:csb0="00040000" w:csb1="00000000"/>
    <w:embedRegular r:id="rId4" w:fontKey="{0F48C7B7-3CA6-4C71-996C-5B567184B93B}"/>
  </w:font>
  <w:font w:name="仿宋_GB2312">
    <w:altName w:val="仿宋"/>
    <w:panose1 w:val="02010609030101010101"/>
    <w:charset w:val="86"/>
    <w:family w:val="auto"/>
    <w:pitch w:val="default"/>
    <w:sig w:usb0="00000000" w:usb1="00000000" w:usb2="00000000" w:usb3="00000000" w:csb0="00040000" w:csb1="00000000"/>
    <w:embedRegular r:id="rId5" w:fontKey="{B42318E5-7D22-4921-BAEF-A0FDDB9D819B}"/>
  </w:font>
  <w:font w:name="仿宋">
    <w:panose1 w:val="02010609060101010101"/>
    <w:charset w:val="86"/>
    <w:family w:val="auto"/>
    <w:pitch w:val="default"/>
    <w:sig w:usb0="800002BF" w:usb1="38CF7CFA" w:usb2="00000016" w:usb3="00000000" w:csb0="00040001" w:csb1="00000000"/>
    <w:embedRegular r:id="rId6" w:fontKey="{F456D261-6ACF-4D0B-8526-904C066A8FBE}"/>
  </w:font>
  <w:font w:name="楷体_GB2312">
    <w:altName w:val="楷体"/>
    <w:panose1 w:val="02010609030101010101"/>
    <w:charset w:val="86"/>
    <w:family w:val="auto"/>
    <w:pitch w:val="default"/>
    <w:sig w:usb0="00000000" w:usb1="00000000" w:usb2="00000000" w:usb3="00000000" w:csb0="00040000" w:csb1="00000000"/>
    <w:embedRegular r:id="rId7" w:fontKey="{5F74961D-A730-4A13-B593-8FB2CA44DA44}"/>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5D117">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A6E27C">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FA6E27C">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49CCF8"/>
    <w:multiLevelType w:val="singleLevel"/>
    <w:tmpl w:val="9249CCF8"/>
    <w:lvl w:ilvl="0" w:tentative="0">
      <w:start w:val="3"/>
      <w:numFmt w:val="chineseCounting"/>
      <w:suff w:val="nothing"/>
      <w:lvlText w:val="（%1）"/>
      <w:lvlJc w:val="left"/>
      <w:rPr>
        <w:rFonts w:hint="eastAsia"/>
      </w:rPr>
    </w:lvl>
  </w:abstractNum>
  <w:abstractNum w:abstractNumId="1">
    <w:nsid w:val="B5A0AD31"/>
    <w:multiLevelType w:val="singleLevel"/>
    <w:tmpl w:val="B5A0AD31"/>
    <w:lvl w:ilvl="0" w:tentative="0">
      <w:start w:val="1"/>
      <w:numFmt w:val="chineseCounting"/>
      <w:suff w:val="nothing"/>
      <w:lvlText w:val="%1、"/>
      <w:lvlJc w:val="left"/>
      <w:rPr>
        <w:rFonts w:hint="eastAsia"/>
      </w:rPr>
    </w:lvl>
  </w:abstractNum>
  <w:abstractNum w:abstractNumId="2">
    <w:nsid w:val="58BAB833"/>
    <w:multiLevelType w:val="singleLevel"/>
    <w:tmpl w:val="58BAB833"/>
    <w:lvl w:ilvl="0" w:tentative="0">
      <w:start w:val="2"/>
      <w:numFmt w:val="chineseCounting"/>
      <w:lvlText w:val="(%1)"/>
      <w:lvlJc w:val="left"/>
      <w:pPr>
        <w:tabs>
          <w:tab w:val="left" w:pos="312"/>
        </w:tabs>
      </w:pPr>
      <w:rPr>
        <w:rFonts w:hint="eastAsia"/>
      </w:rPr>
    </w:lvl>
  </w:abstractNum>
  <w:abstractNum w:abstractNumId="3">
    <w:nsid w:val="792BEEA1"/>
    <w:multiLevelType w:val="singleLevel"/>
    <w:tmpl w:val="792BEEA1"/>
    <w:lvl w:ilvl="0" w:tentative="0">
      <w:start w:val="8"/>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xOTI0NDY2MDI5NjA3MzY3ZGI1NjA0YjgyNzUyM2UifQ=="/>
  </w:docVars>
  <w:rsids>
    <w:rsidRoot w:val="53FC3987"/>
    <w:rsid w:val="000A3765"/>
    <w:rsid w:val="001D7282"/>
    <w:rsid w:val="002B5CE5"/>
    <w:rsid w:val="0039081D"/>
    <w:rsid w:val="004C702A"/>
    <w:rsid w:val="005E6ECB"/>
    <w:rsid w:val="00744EA1"/>
    <w:rsid w:val="0079001F"/>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607BC2"/>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575E6"/>
    <w:rsid w:val="02CB5D99"/>
    <w:rsid w:val="02F61D91"/>
    <w:rsid w:val="02FC4679"/>
    <w:rsid w:val="02FE5E0A"/>
    <w:rsid w:val="031E3966"/>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1762D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2E5071"/>
    <w:rsid w:val="053F1887"/>
    <w:rsid w:val="054037EF"/>
    <w:rsid w:val="054E7FFF"/>
    <w:rsid w:val="05621117"/>
    <w:rsid w:val="058C5045"/>
    <w:rsid w:val="059C7C89"/>
    <w:rsid w:val="05A50C70"/>
    <w:rsid w:val="05B525CA"/>
    <w:rsid w:val="05BA3FA6"/>
    <w:rsid w:val="05C4448F"/>
    <w:rsid w:val="05E616EC"/>
    <w:rsid w:val="06146BAF"/>
    <w:rsid w:val="06286BB6"/>
    <w:rsid w:val="06405E9C"/>
    <w:rsid w:val="064D5380"/>
    <w:rsid w:val="064E0F6B"/>
    <w:rsid w:val="06617309"/>
    <w:rsid w:val="06650E6A"/>
    <w:rsid w:val="067B166E"/>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7643E"/>
    <w:rsid w:val="09C95891"/>
    <w:rsid w:val="09D8005F"/>
    <w:rsid w:val="09E3798B"/>
    <w:rsid w:val="0A002E0D"/>
    <w:rsid w:val="0A140987"/>
    <w:rsid w:val="0A241A5C"/>
    <w:rsid w:val="0A2E3566"/>
    <w:rsid w:val="0A393280"/>
    <w:rsid w:val="0A5F2F6C"/>
    <w:rsid w:val="0A670B4E"/>
    <w:rsid w:val="0A851E03"/>
    <w:rsid w:val="0A901781"/>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9301AA"/>
    <w:rsid w:val="0CCA7495"/>
    <w:rsid w:val="0CD16BA2"/>
    <w:rsid w:val="0CD745A0"/>
    <w:rsid w:val="0CDB5AB1"/>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DF540CC"/>
    <w:rsid w:val="0E1E619E"/>
    <w:rsid w:val="0E267F81"/>
    <w:rsid w:val="0E365DE9"/>
    <w:rsid w:val="0E4822EE"/>
    <w:rsid w:val="0E4E185D"/>
    <w:rsid w:val="0E522FBE"/>
    <w:rsid w:val="0E5D141B"/>
    <w:rsid w:val="0E830CC8"/>
    <w:rsid w:val="0E8648D6"/>
    <w:rsid w:val="0E8C08DC"/>
    <w:rsid w:val="0E8E43C0"/>
    <w:rsid w:val="0E964CBE"/>
    <w:rsid w:val="0EB05323"/>
    <w:rsid w:val="0EBE40CB"/>
    <w:rsid w:val="0EC36A56"/>
    <w:rsid w:val="0EC62499"/>
    <w:rsid w:val="0ECE4E6F"/>
    <w:rsid w:val="0EDA5C56"/>
    <w:rsid w:val="0EEE076A"/>
    <w:rsid w:val="0EFE4287"/>
    <w:rsid w:val="0F0D525E"/>
    <w:rsid w:val="0F2A2A37"/>
    <w:rsid w:val="0F2E6C95"/>
    <w:rsid w:val="0F4675CA"/>
    <w:rsid w:val="0F471A79"/>
    <w:rsid w:val="0F500384"/>
    <w:rsid w:val="0F5B4015"/>
    <w:rsid w:val="0F6071C8"/>
    <w:rsid w:val="0F62670B"/>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D9091C"/>
    <w:rsid w:val="10FE6AB1"/>
    <w:rsid w:val="11022717"/>
    <w:rsid w:val="1112624E"/>
    <w:rsid w:val="11153798"/>
    <w:rsid w:val="11297158"/>
    <w:rsid w:val="114B2C9B"/>
    <w:rsid w:val="115D78BB"/>
    <w:rsid w:val="116001E2"/>
    <w:rsid w:val="11793618"/>
    <w:rsid w:val="11813452"/>
    <w:rsid w:val="1189276C"/>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8E171F"/>
    <w:rsid w:val="12B310FA"/>
    <w:rsid w:val="12B7582D"/>
    <w:rsid w:val="12C621E8"/>
    <w:rsid w:val="12CF0716"/>
    <w:rsid w:val="12D95227"/>
    <w:rsid w:val="12E33197"/>
    <w:rsid w:val="12EE1C9C"/>
    <w:rsid w:val="12F863E6"/>
    <w:rsid w:val="13094CA6"/>
    <w:rsid w:val="13113930"/>
    <w:rsid w:val="132156D8"/>
    <w:rsid w:val="132911E2"/>
    <w:rsid w:val="132A79A8"/>
    <w:rsid w:val="133868AE"/>
    <w:rsid w:val="135133AE"/>
    <w:rsid w:val="135B4B98"/>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6B3DC7"/>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56259"/>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4F144B"/>
    <w:rsid w:val="1E502588"/>
    <w:rsid w:val="1E53413D"/>
    <w:rsid w:val="1E550992"/>
    <w:rsid w:val="1E5A7A32"/>
    <w:rsid w:val="1E671817"/>
    <w:rsid w:val="1E6C3B44"/>
    <w:rsid w:val="1E7A4122"/>
    <w:rsid w:val="1E8879EE"/>
    <w:rsid w:val="1EAF3CC4"/>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A62EF"/>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241756"/>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94685"/>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2E04730"/>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186C31"/>
    <w:rsid w:val="256609A5"/>
    <w:rsid w:val="25695B17"/>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B35449"/>
    <w:rsid w:val="26C30557"/>
    <w:rsid w:val="26CB2EBC"/>
    <w:rsid w:val="26CB4B73"/>
    <w:rsid w:val="26E34A7B"/>
    <w:rsid w:val="26E9756C"/>
    <w:rsid w:val="26F6516E"/>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3D3CDE"/>
    <w:rsid w:val="2D5A7835"/>
    <w:rsid w:val="2D6578A0"/>
    <w:rsid w:val="2D7343C9"/>
    <w:rsid w:val="2DE30D51"/>
    <w:rsid w:val="2DE44256"/>
    <w:rsid w:val="2DE557EB"/>
    <w:rsid w:val="2E0E6D42"/>
    <w:rsid w:val="2E0F4249"/>
    <w:rsid w:val="2E2E1F40"/>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551642"/>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24DA7"/>
    <w:rsid w:val="30596318"/>
    <w:rsid w:val="306F339C"/>
    <w:rsid w:val="30762710"/>
    <w:rsid w:val="30814CF1"/>
    <w:rsid w:val="308541FF"/>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34972"/>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1739FF"/>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A4186"/>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64673E"/>
    <w:rsid w:val="367851C1"/>
    <w:rsid w:val="36826969"/>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004FC"/>
    <w:rsid w:val="38A9437C"/>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0D261A"/>
    <w:rsid w:val="3A1513BA"/>
    <w:rsid w:val="3A2E618D"/>
    <w:rsid w:val="3A4109A1"/>
    <w:rsid w:val="3A417DA9"/>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9A612F"/>
    <w:rsid w:val="3BA219B8"/>
    <w:rsid w:val="3BA96003"/>
    <w:rsid w:val="3BC61A51"/>
    <w:rsid w:val="3BE14893"/>
    <w:rsid w:val="3BE8265C"/>
    <w:rsid w:val="3BE92A35"/>
    <w:rsid w:val="3BEB460F"/>
    <w:rsid w:val="3BEF1DA2"/>
    <w:rsid w:val="3BF54506"/>
    <w:rsid w:val="3BF64635"/>
    <w:rsid w:val="3BF956C3"/>
    <w:rsid w:val="3C0E5CDB"/>
    <w:rsid w:val="3C4D3B02"/>
    <w:rsid w:val="3C5B1D89"/>
    <w:rsid w:val="3C85498F"/>
    <w:rsid w:val="3C8946A5"/>
    <w:rsid w:val="3C9C1C0F"/>
    <w:rsid w:val="3CA372A1"/>
    <w:rsid w:val="3CA600E0"/>
    <w:rsid w:val="3CB765A9"/>
    <w:rsid w:val="3CBA4326"/>
    <w:rsid w:val="3CBC0BE3"/>
    <w:rsid w:val="3CBF7732"/>
    <w:rsid w:val="3CC614DA"/>
    <w:rsid w:val="3CD01DA9"/>
    <w:rsid w:val="3CDA38F5"/>
    <w:rsid w:val="3CDD517D"/>
    <w:rsid w:val="3CE33FC3"/>
    <w:rsid w:val="3CEA3B31"/>
    <w:rsid w:val="3CF9401E"/>
    <w:rsid w:val="3CFC6325"/>
    <w:rsid w:val="3CFF6B94"/>
    <w:rsid w:val="3D093C71"/>
    <w:rsid w:val="3D1A22C0"/>
    <w:rsid w:val="3D294B1B"/>
    <w:rsid w:val="3D2B034D"/>
    <w:rsid w:val="3D5A60CA"/>
    <w:rsid w:val="3D691B81"/>
    <w:rsid w:val="3D9F4364"/>
    <w:rsid w:val="3DA702BF"/>
    <w:rsid w:val="3DB92106"/>
    <w:rsid w:val="3DCF457D"/>
    <w:rsid w:val="3DF169A7"/>
    <w:rsid w:val="3DF2399F"/>
    <w:rsid w:val="3DF40FE4"/>
    <w:rsid w:val="3E0519AD"/>
    <w:rsid w:val="3E0A78C0"/>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DF5E40"/>
    <w:rsid w:val="3FE029F1"/>
    <w:rsid w:val="3FE457AE"/>
    <w:rsid w:val="3FE57701"/>
    <w:rsid w:val="400C4E03"/>
    <w:rsid w:val="40126EBB"/>
    <w:rsid w:val="401A4D54"/>
    <w:rsid w:val="40262C07"/>
    <w:rsid w:val="404209E3"/>
    <w:rsid w:val="40451C67"/>
    <w:rsid w:val="404A1B2B"/>
    <w:rsid w:val="404A601E"/>
    <w:rsid w:val="404C52F4"/>
    <w:rsid w:val="40566D08"/>
    <w:rsid w:val="405C0FC1"/>
    <w:rsid w:val="40733CBA"/>
    <w:rsid w:val="407A4DF7"/>
    <w:rsid w:val="40B16CC2"/>
    <w:rsid w:val="40B81BAD"/>
    <w:rsid w:val="40BB2365"/>
    <w:rsid w:val="40D23962"/>
    <w:rsid w:val="40D61BC8"/>
    <w:rsid w:val="40DC4F1D"/>
    <w:rsid w:val="40DF2097"/>
    <w:rsid w:val="40E71ABD"/>
    <w:rsid w:val="40F44DFA"/>
    <w:rsid w:val="413B5CBF"/>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13B2E"/>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192D1F"/>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92CD2"/>
    <w:rsid w:val="482F10F4"/>
    <w:rsid w:val="48606A0B"/>
    <w:rsid w:val="486D78BB"/>
    <w:rsid w:val="48851CCD"/>
    <w:rsid w:val="48915636"/>
    <w:rsid w:val="48985F31"/>
    <w:rsid w:val="48AC6E35"/>
    <w:rsid w:val="48BD43A0"/>
    <w:rsid w:val="48C96968"/>
    <w:rsid w:val="48F84416"/>
    <w:rsid w:val="490874C4"/>
    <w:rsid w:val="491A6A98"/>
    <w:rsid w:val="491D4AAF"/>
    <w:rsid w:val="4926292B"/>
    <w:rsid w:val="49371235"/>
    <w:rsid w:val="494324F6"/>
    <w:rsid w:val="49455D20"/>
    <w:rsid w:val="497B341F"/>
    <w:rsid w:val="49995C78"/>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B0445"/>
    <w:rsid w:val="4C7F7CEF"/>
    <w:rsid w:val="4C821AA7"/>
    <w:rsid w:val="4CA43125"/>
    <w:rsid w:val="4CAC2A11"/>
    <w:rsid w:val="4CB01CB9"/>
    <w:rsid w:val="4CCD33EA"/>
    <w:rsid w:val="4CCF426B"/>
    <w:rsid w:val="4CFE069C"/>
    <w:rsid w:val="4D030346"/>
    <w:rsid w:val="4D033F9C"/>
    <w:rsid w:val="4D055E23"/>
    <w:rsid w:val="4D2433AC"/>
    <w:rsid w:val="4D4A4A28"/>
    <w:rsid w:val="4D5D7D7F"/>
    <w:rsid w:val="4D625C01"/>
    <w:rsid w:val="4D724131"/>
    <w:rsid w:val="4D8F350E"/>
    <w:rsid w:val="4D924E46"/>
    <w:rsid w:val="4D9877E4"/>
    <w:rsid w:val="4DBD22E7"/>
    <w:rsid w:val="4DC73507"/>
    <w:rsid w:val="4DDA6A5F"/>
    <w:rsid w:val="4DDB7205"/>
    <w:rsid w:val="4DDF772B"/>
    <w:rsid w:val="4DEB15AD"/>
    <w:rsid w:val="4DF87443"/>
    <w:rsid w:val="4E1E5703"/>
    <w:rsid w:val="4E370600"/>
    <w:rsid w:val="4E435024"/>
    <w:rsid w:val="4E4E7E80"/>
    <w:rsid w:val="4E534A5B"/>
    <w:rsid w:val="4E567A84"/>
    <w:rsid w:val="4E5C5562"/>
    <w:rsid w:val="4E5F69A8"/>
    <w:rsid w:val="4E655726"/>
    <w:rsid w:val="4E754A02"/>
    <w:rsid w:val="4E95725E"/>
    <w:rsid w:val="4E9A6CF9"/>
    <w:rsid w:val="4EA65FD0"/>
    <w:rsid w:val="4EB03206"/>
    <w:rsid w:val="4ED33DCB"/>
    <w:rsid w:val="4EE34782"/>
    <w:rsid w:val="4EE63F4F"/>
    <w:rsid w:val="4EF01114"/>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4020"/>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770E5"/>
    <w:rsid w:val="52CD10CA"/>
    <w:rsid w:val="52EB6F11"/>
    <w:rsid w:val="52F0249E"/>
    <w:rsid w:val="5353575F"/>
    <w:rsid w:val="53565C59"/>
    <w:rsid w:val="535B2E70"/>
    <w:rsid w:val="535C4E8B"/>
    <w:rsid w:val="536278AA"/>
    <w:rsid w:val="53673357"/>
    <w:rsid w:val="53676B5F"/>
    <w:rsid w:val="536E21FF"/>
    <w:rsid w:val="5385006E"/>
    <w:rsid w:val="538A4A6D"/>
    <w:rsid w:val="53B45677"/>
    <w:rsid w:val="53DD2466"/>
    <w:rsid w:val="53E34323"/>
    <w:rsid w:val="53FC3987"/>
    <w:rsid w:val="5427381E"/>
    <w:rsid w:val="543B788E"/>
    <w:rsid w:val="543F1928"/>
    <w:rsid w:val="54447CBB"/>
    <w:rsid w:val="545062A7"/>
    <w:rsid w:val="545C3555"/>
    <w:rsid w:val="54617320"/>
    <w:rsid w:val="547A28DC"/>
    <w:rsid w:val="54827775"/>
    <w:rsid w:val="54AC5134"/>
    <w:rsid w:val="54DE6078"/>
    <w:rsid w:val="54E86EBD"/>
    <w:rsid w:val="54F2526E"/>
    <w:rsid w:val="55075D9B"/>
    <w:rsid w:val="55146E90"/>
    <w:rsid w:val="55184BBF"/>
    <w:rsid w:val="551874CA"/>
    <w:rsid w:val="551E6A56"/>
    <w:rsid w:val="552006D3"/>
    <w:rsid w:val="55301CB3"/>
    <w:rsid w:val="55327054"/>
    <w:rsid w:val="553A26BA"/>
    <w:rsid w:val="5556054C"/>
    <w:rsid w:val="55862A42"/>
    <w:rsid w:val="55990578"/>
    <w:rsid w:val="55A51501"/>
    <w:rsid w:val="55A56891"/>
    <w:rsid w:val="55AC66CB"/>
    <w:rsid w:val="55C33131"/>
    <w:rsid w:val="55CD7903"/>
    <w:rsid w:val="55E172A0"/>
    <w:rsid w:val="55E24605"/>
    <w:rsid w:val="55F81C60"/>
    <w:rsid w:val="55FA0F14"/>
    <w:rsid w:val="56097F90"/>
    <w:rsid w:val="56133E90"/>
    <w:rsid w:val="56332E2A"/>
    <w:rsid w:val="56474D43"/>
    <w:rsid w:val="564C1D1D"/>
    <w:rsid w:val="565F1E2E"/>
    <w:rsid w:val="56670F45"/>
    <w:rsid w:val="566F1BE2"/>
    <w:rsid w:val="567B004B"/>
    <w:rsid w:val="56825178"/>
    <w:rsid w:val="568F784B"/>
    <w:rsid w:val="569C0124"/>
    <w:rsid w:val="56A17AE8"/>
    <w:rsid w:val="56A81D5B"/>
    <w:rsid w:val="56C9634D"/>
    <w:rsid w:val="56D41BE8"/>
    <w:rsid w:val="56EC7A5D"/>
    <w:rsid w:val="56F06874"/>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0E3D3D"/>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B8157A"/>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E177BB"/>
    <w:rsid w:val="5BF24E07"/>
    <w:rsid w:val="5BFB55EA"/>
    <w:rsid w:val="5C15792E"/>
    <w:rsid w:val="5C1A5869"/>
    <w:rsid w:val="5C2404DB"/>
    <w:rsid w:val="5C290BF2"/>
    <w:rsid w:val="5C384E7D"/>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5E40FC"/>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813A0"/>
    <w:rsid w:val="5FBF418B"/>
    <w:rsid w:val="5FC03F1C"/>
    <w:rsid w:val="5FC128D4"/>
    <w:rsid w:val="5FC577B3"/>
    <w:rsid w:val="5FFB751D"/>
    <w:rsid w:val="5FFC1DCE"/>
    <w:rsid w:val="602423C7"/>
    <w:rsid w:val="603F2394"/>
    <w:rsid w:val="604407B5"/>
    <w:rsid w:val="60487E62"/>
    <w:rsid w:val="605A5C34"/>
    <w:rsid w:val="60630B92"/>
    <w:rsid w:val="606E4C0D"/>
    <w:rsid w:val="60935B47"/>
    <w:rsid w:val="60BC2EF5"/>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C573E4"/>
    <w:rsid w:val="62D150A4"/>
    <w:rsid w:val="62F04E93"/>
    <w:rsid w:val="62F14EED"/>
    <w:rsid w:val="62FF3767"/>
    <w:rsid w:val="63074094"/>
    <w:rsid w:val="63256E52"/>
    <w:rsid w:val="6337684E"/>
    <w:rsid w:val="63403C73"/>
    <w:rsid w:val="6351410B"/>
    <w:rsid w:val="635D4427"/>
    <w:rsid w:val="635F082F"/>
    <w:rsid w:val="63710CD7"/>
    <w:rsid w:val="637F780F"/>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896F6C"/>
    <w:rsid w:val="648A4356"/>
    <w:rsid w:val="64A01013"/>
    <w:rsid w:val="64C76164"/>
    <w:rsid w:val="64D3186F"/>
    <w:rsid w:val="64EF2266"/>
    <w:rsid w:val="64F33559"/>
    <w:rsid w:val="64FD2EEA"/>
    <w:rsid w:val="64FF1ABC"/>
    <w:rsid w:val="650E3520"/>
    <w:rsid w:val="6519388A"/>
    <w:rsid w:val="65355DF9"/>
    <w:rsid w:val="654069DE"/>
    <w:rsid w:val="65413B3E"/>
    <w:rsid w:val="654B3E81"/>
    <w:rsid w:val="654C483E"/>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6E492D"/>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7FE74F3"/>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276D1"/>
    <w:rsid w:val="69194FE8"/>
    <w:rsid w:val="691F4315"/>
    <w:rsid w:val="69544350"/>
    <w:rsid w:val="6962690F"/>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23133E"/>
    <w:rsid w:val="6C417EB8"/>
    <w:rsid w:val="6C59609E"/>
    <w:rsid w:val="6C613F45"/>
    <w:rsid w:val="6C756221"/>
    <w:rsid w:val="6C7B08BB"/>
    <w:rsid w:val="6C816AF9"/>
    <w:rsid w:val="6C846694"/>
    <w:rsid w:val="6CA841D2"/>
    <w:rsid w:val="6CB10385"/>
    <w:rsid w:val="6CDF0F3A"/>
    <w:rsid w:val="6CE47854"/>
    <w:rsid w:val="6D0D25B8"/>
    <w:rsid w:val="6D490A6B"/>
    <w:rsid w:val="6D4E3CE0"/>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55EB0"/>
    <w:rsid w:val="6FFD71B3"/>
    <w:rsid w:val="700D2412"/>
    <w:rsid w:val="70112883"/>
    <w:rsid w:val="70243856"/>
    <w:rsid w:val="703F2471"/>
    <w:rsid w:val="704B4131"/>
    <w:rsid w:val="70531ED5"/>
    <w:rsid w:val="705A528C"/>
    <w:rsid w:val="7068062C"/>
    <w:rsid w:val="707F47B3"/>
    <w:rsid w:val="70954F53"/>
    <w:rsid w:val="70A94A40"/>
    <w:rsid w:val="70B3316A"/>
    <w:rsid w:val="70D80F32"/>
    <w:rsid w:val="70D97C76"/>
    <w:rsid w:val="70F76E40"/>
    <w:rsid w:val="711337D0"/>
    <w:rsid w:val="713173E8"/>
    <w:rsid w:val="71420658"/>
    <w:rsid w:val="7143472C"/>
    <w:rsid w:val="71440341"/>
    <w:rsid w:val="7148386A"/>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65057D"/>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305DCA"/>
    <w:rsid w:val="74525628"/>
    <w:rsid w:val="745F06BF"/>
    <w:rsid w:val="746C713B"/>
    <w:rsid w:val="748D2368"/>
    <w:rsid w:val="749217E0"/>
    <w:rsid w:val="74B22D8C"/>
    <w:rsid w:val="74C26B38"/>
    <w:rsid w:val="74C55FC1"/>
    <w:rsid w:val="74CC7EC1"/>
    <w:rsid w:val="74DA7552"/>
    <w:rsid w:val="74E41FDD"/>
    <w:rsid w:val="74E55156"/>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7666F2"/>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BE4504"/>
    <w:rsid w:val="78C21620"/>
    <w:rsid w:val="78CE2D76"/>
    <w:rsid w:val="78EE2375"/>
    <w:rsid w:val="78FA244C"/>
    <w:rsid w:val="78FE1B78"/>
    <w:rsid w:val="79024116"/>
    <w:rsid w:val="790B5E4F"/>
    <w:rsid w:val="790D572F"/>
    <w:rsid w:val="79233654"/>
    <w:rsid w:val="79455569"/>
    <w:rsid w:val="79470AE2"/>
    <w:rsid w:val="795123A8"/>
    <w:rsid w:val="79535AC3"/>
    <w:rsid w:val="79620961"/>
    <w:rsid w:val="797A2B86"/>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DC72B0"/>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77621"/>
    <w:rsid w:val="7F2E0D24"/>
    <w:rsid w:val="7F312E91"/>
    <w:rsid w:val="7F3177DE"/>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3519</Words>
  <Characters>3884</Characters>
  <Lines>0</Lines>
  <Paragraphs>0</Paragraphs>
  <TotalTime>34</TotalTime>
  <ScaleCrop>false</ScaleCrop>
  <LinksUpToDate>false</LinksUpToDate>
  <CharactersWithSpaces>4061</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Freedom</cp:lastModifiedBy>
  <cp:lastPrinted>2023-06-09T07:37:00Z</cp:lastPrinted>
  <dcterms:modified xsi:type="dcterms:W3CDTF">2024-07-02T06:12:49Z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090AAFD38022443EB84E035A107DB0E3_13</vt:lpwstr>
  </property>
</Properties>
</file>