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110D88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14:paraId="2131DB1D">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14:paraId="4B1105A7">
      <w:pPr>
        <w:spacing w:line="115" w:lineRule="exact"/>
        <w:rPr>
          <w:color w:val="000000" w:themeColor="text1"/>
          <w14:textFill>
            <w14:solidFill>
              <w14:schemeClr w14:val="tx1"/>
            </w14:solidFill>
          </w14:textFill>
        </w:rPr>
      </w:pPr>
    </w:p>
    <w:tbl>
      <w:tblPr>
        <w:tblStyle w:val="9"/>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551581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14:paraId="7E99579F">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14:paraId="06C4FF68">
            <w:pPr>
              <w:spacing w:before="103" w:line="219" w:lineRule="auto"/>
              <w:ind w:left="708"/>
              <w:rPr>
                <w:rFonts w:hint="eastAsia" w:asciiTheme="majorEastAsia" w:hAnsiTheme="majorEastAsia" w:eastAsiaTheme="majorEastAsia" w:cstheme="majorEastAsia"/>
                <w:color w:val="000000" w:themeColor="text1"/>
                <w:spacing w:val="-2"/>
                <w:sz w:val="20"/>
                <w:szCs w:val="20"/>
                <w14:textFill>
                  <w14:solidFill>
                    <w14:schemeClr w14:val="tx1"/>
                  </w14:solidFill>
                </w14:textFill>
              </w:rPr>
            </w:pPr>
          </w:p>
        </w:tc>
      </w:tr>
      <w:tr w14:paraId="3F3181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14:paraId="7D7CA1D9">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14:paraId="6B0AEB32">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14:paraId="0F4A7E8D">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14:paraId="72AC9CEB">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14:paraId="4F77D3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14:paraId="01148E76">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14:paraId="5FDD24BD">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42</w:t>
            </w:r>
          </w:p>
        </w:tc>
        <w:tc>
          <w:tcPr>
            <w:tcW w:w="2325" w:type="dxa"/>
            <w:gridSpan w:val="2"/>
            <w:noWrap w:val="0"/>
            <w:vAlign w:val="top"/>
          </w:tcPr>
          <w:p w14:paraId="0264D67A">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40</w:t>
            </w:r>
          </w:p>
        </w:tc>
        <w:tc>
          <w:tcPr>
            <w:tcW w:w="1679" w:type="dxa"/>
            <w:gridSpan w:val="2"/>
            <w:noWrap w:val="0"/>
            <w:vAlign w:val="top"/>
          </w:tcPr>
          <w:p w14:paraId="7EEBFD74">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95%</w:t>
            </w:r>
          </w:p>
        </w:tc>
      </w:tr>
      <w:tr w14:paraId="27448C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14:paraId="391ACC6F">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14:paraId="2867AB8A">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14:paraId="5F0BA34F">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14:paraId="7D8278B9">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14:paraId="281F57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687BB5FF">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top"/>
          </w:tcPr>
          <w:p w14:paraId="0DDB3D57">
            <w:pP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2325" w:type="dxa"/>
            <w:gridSpan w:val="2"/>
            <w:noWrap w:val="0"/>
            <w:vAlign w:val="top"/>
          </w:tcPr>
          <w:p w14:paraId="6C27A016">
            <w:pP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679" w:type="dxa"/>
            <w:gridSpan w:val="2"/>
            <w:noWrap w:val="0"/>
            <w:vAlign w:val="top"/>
          </w:tcPr>
          <w:p w14:paraId="597BC2F3">
            <w:pP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r>
      <w:tr w14:paraId="1560C0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0E8F2A41">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top"/>
          </w:tcPr>
          <w:p w14:paraId="136D21A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无</w:t>
            </w:r>
          </w:p>
        </w:tc>
        <w:tc>
          <w:tcPr>
            <w:tcW w:w="2325" w:type="dxa"/>
            <w:gridSpan w:val="2"/>
            <w:noWrap w:val="0"/>
            <w:vAlign w:val="top"/>
          </w:tcPr>
          <w:p w14:paraId="07DEA218">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0982A7E7">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6B74C2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39AB4468">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top"/>
          </w:tcPr>
          <w:p w14:paraId="76963F48">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无</w:t>
            </w:r>
          </w:p>
        </w:tc>
        <w:tc>
          <w:tcPr>
            <w:tcW w:w="2325" w:type="dxa"/>
            <w:gridSpan w:val="2"/>
            <w:noWrap w:val="0"/>
            <w:vAlign w:val="top"/>
          </w:tcPr>
          <w:p w14:paraId="038FEC93">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03B58CA0">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6A7582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1C760B55">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top"/>
          </w:tcPr>
          <w:p w14:paraId="6B196DBD">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无</w:t>
            </w:r>
          </w:p>
        </w:tc>
        <w:tc>
          <w:tcPr>
            <w:tcW w:w="2325" w:type="dxa"/>
            <w:gridSpan w:val="2"/>
            <w:noWrap w:val="0"/>
            <w:vAlign w:val="top"/>
          </w:tcPr>
          <w:p w14:paraId="2785AA6B">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7EC0894D">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6C8591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14:paraId="6992F5C9">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top"/>
          </w:tcPr>
          <w:p w14:paraId="1D990B3E">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无</w:t>
            </w:r>
          </w:p>
        </w:tc>
        <w:tc>
          <w:tcPr>
            <w:tcW w:w="2325" w:type="dxa"/>
            <w:gridSpan w:val="2"/>
            <w:noWrap w:val="0"/>
            <w:vAlign w:val="top"/>
          </w:tcPr>
          <w:p w14:paraId="69D475A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6AA8EB1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67925C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731BC0CA">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top"/>
          </w:tcPr>
          <w:p w14:paraId="7828B387">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无</w:t>
            </w:r>
          </w:p>
        </w:tc>
        <w:tc>
          <w:tcPr>
            <w:tcW w:w="2325" w:type="dxa"/>
            <w:gridSpan w:val="2"/>
            <w:noWrap w:val="0"/>
            <w:vAlign w:val="top"/>
          </w:tcPr>
          <w:p w14:paraId="24E6062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w:t>
            </w:r>
          </w:p>
        </w:tc>
        <w:tc>
          <w:tcPr>
            <w:tcW w:w="1679" w:type="dxa"/>
            <w:gridSpan w:val="2"/>
            <w:noWrap w:val="0"/>
            <w:vAlign w:val="top"/>
          </w:tcPr>
          <w:p w14:paraId="29578C7A">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6F5C71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3BA26270">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top"/>
          </w:tcPr>
          <w:p w14:paraId="21119CC5">
            <w:pPr>
              <w:rPr>
                <w:rFonts w:hint="eastAsia" w:asciiTheme="majorEastAsia" w:hAnsiTheme="majorEastAsia" w:eastAsiaTheme="majorEastAsia" w:cstheme="majorEastAsia"/>
                <w:color w:val="000000" w:themeColor="text1"/>
                <w:sz w:val="21"/>
                <w14:textFill>
                  <w14:solidFill>
                    <w14:schemeClr w14:val="tx1"/>
                  </w14:solidFill>
                </w14:textFill>
              </w:rPr>
            </w:pPr>
          </w:p>
          <w:p w14:paraId="24935246">
            <w:pPr>
              <w:bidi w:val="0"/>
              <w:jc w:val="center"/>
              <w:rPr>
                <w:rFonts w:hint="default" w:asciiTheme="minorHAnsi" w:hAnsiTheme="minorHAnsi" w:eastAsiaTheme="minorEastAsia" w:cstheme="minorBidi"/>
                <w:kern w:val="2"/>
                <w:sz w:val="21"/>
                <w:szCs w:val="24"/>
                <w:lang w:val="en-US" w:eastAsia="zh-CN" w:bidi="ar-SA"/>
              </w:rPr>
            </w:pPr>
          </w:p>
        </w:tc>
        <w:tc>
          <w:tcPr>
            <w:tcW w:w="2325" w:type="dxa"/>
            <w:gridSpan w:val="2"/>
            <w:noWrap w:val="0"/>
            <w:vAlign w:val="top"/>
          </w:tcPr>
          <w:p w14:paraId="0E53C393">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4C1A8BB7">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1FB75B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58F0E588">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top"/>
          </w:tcPr>
          <w:p w14:paraId="31E48A5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无</w:t>
            </w:r>
          </w:p>
        </w:tc>
        <w:tc>
          <w:tcPr>
            <w:tcW w:w="2325" w:type="dxa"/>
            <w:gridSpan w:val="2"/>
            <w:noWrap w:val="0"/>
            <w:vAlign w:val="top"/>
          </w:tcPr>
          <w:p w14:paraId="1F62CBCD">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2D32C7A0">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40634F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4A0EABC3">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top"/>
          </w:tcPr>
          <w:p w14:paraId="0CB4446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无</w:t>
            </w:r>
          </w:p>
        </w:tc>
        <w:tc>
          <w:tcPr>
            <w:tcW w:w="2325" w:type="dxa"/>
            <w:gridSpan w:val="2"/>
            <w:noWrap w:val="0"/>
            <w:vAlign w:val="top"/>
          </w:tcPr>
          <w:p w14:paraId="64DFC07F">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6002F510">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13ACC1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4AFE89F9">
            <w:pPr>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w:t>
            </w:r>
          </w:p>
        </w:tc>
        <w:tc>
          <w:tcPr>
            <w:tcW w:w="1815" w:type="dxa"/>
            <w:gridSpan w:val="2"/>
            <w:noWrap w:val="0"/>
            <w:vAlign w:val="top"/>
          </w:tcPr>
          <w:p w14:paraId="20BE4F9C">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50BE37C9">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131F1AB4">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74B907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681A25EC">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815" w:type="dxa"/>
            <w:gridSpan w:val="2"/>
            <w:noWrap w:val="0"/>
            <w:vAlign w:val="top"/>
          </w:tcPr>
          <w:p w14:paraId="054E9641">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无</w:t>
            </w:r>
          </w:p>
        </w:tc>
        <w:tc>
          <w:tcPr>
            <w:tcW w:w="2325" w:type="dxa"/>
            <w:gridSpan w:val="2"/>
            <w:noWrap w:val="0"/>
            <w:vAlign w:val="top"/>
          </w:tcPr>
          <w:p w14:paraId="65C6808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7A0D01FB">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262564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7CA7D32F">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14:paraId="6BB15BE6">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2C9F6047">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26542BD9">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30FDEF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554943C5">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top"/>
          </w:tcPr>
          <w:p w14:paraId="681C7D21">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无</w:t>
            </w:r>
          </w:p>
        </w:tc>
        <w:tc>
          <w:tcPr>
            <w:tcW w:w="2325" w:type="dxa"/>
            <w:gridSpan w:val="2"/>
            <w:noWrap w:val="0"/>
            <w:vAlign w:val="top"/>
          </w:tcPr>
          <w:p w14:paraId="2C63F58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061276A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66E90F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263A25B9">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top"/>
          </w:tcPr>
          <w:p w14:paraId="57C649CA">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无</w:t>
            </w:r>
          </w:p>
        </w:tc>
        <w:tc>
          <w:tcPr>
            <w:tcW w:w="2325" w:type="dxa"/>
            <w:gridSpan w:val="2"/>
            <w:noWrap w:val="0"/>
            <w:vAlign w:val="top"/>
          </w:tcPr>
          <w:p w14:paraId="10FE212D">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72</w:t>
            </w:r>
          </w:p>
        </w:tc>
        <w:tc>
          <w:tcPr>
            <w:tcW w:w="1679" w:type="dxa"/>
            <w:gridSpan w:val="2"/>
            <w:noWrap w:val="0"/>
            <w:vAlign w:val="top"/>
          </w:tcPr>
          <w:p w14:paraId="73941BFD">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78.77</w:t>
            </w:r>
          </w:p>
        </w:tc>
      </w:tr>
      <w:tr w14:paraId="7042A0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706F19FC">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top"/>
          </w:tcPr>
          <w:p w14:paraId="2793C3E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无</w:t>
            </w:r>
          </w:p>
        </w:tc>
        <w:tc>
          <w:tcPr>
            <w:tcW w:w="2325" w:type="dxa"/>
            <w:gridSpan w:val="2"/>
            <w:noWrap w:val="0"/>
            <w:vAlign w:val="top"/>
          </w:tcPr>
          <w:p w14:paraId="63E851B9">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63.4</w:t>
            </w:r>
          </w:p>
        </w:tc>
        <w:tc>
          <w:tcPr>
            <w:tcW w:w="1679" w:type="dxa"/>
            <w:gridSpan w:val="2"/>
            <w:noWrap w:val="0"/>
            <w:vAlign w:val="top"/>
          </w:tcPr>
          <w:p w14:paraId="248F5DB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71.08</w:t>
            </w:r>
          </w:p>
        </w:tc>
      </w:tr>
      <w:tr w14:paraId="123739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701173E4">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top"/>
          </w:tcPr>
          <w:p w14:paraId="4E2E1BB7">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无</w:t>
            </w:r>
          </w:p>
        </w:tc>
        <w:tc>
          <w:tcPr>
            <w:tcW w:w="2325" w:type="dxa"/>
            <w:gridSpan w:val="2"/>
            <w:noWrap w:val="0"/>
            <w:vAlign w:val="top"/>
          </w:tcPr>
          <w:p w14:paraId="29A15520">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8.5</w:t>
            </w:r>
          </w:p>
        </w:tc>
        <w:tc>
          <w:tcPr>
            <w:tcW w:w="1679" w:type="dxa"/>
            <w:gridSpan w:val="2"/>
            <w:noWrap w:val="0"/>
            <w:vAlign w:val="top"/>
          </w:tcPr>
          <w:p w14:paraId="66AAB99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6.77</w:t>
            </w:r>
          </w:p>
        </w:tc>
      </w:tr>
      <w:tr w14:paraId="0A01A0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5B23C647">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top"/>
          </w:tcPr>
          <w:p w14:paraId="22C81A7C">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无</w:t>
            </w:r>
          </w:p>
        </w:tc>
        <w:tc>
          <w:tcPr>
            <w:tcW w:w="2325" w:type="dxa"/>
            <w:gridSpan w:val="2"/>
            <w:noWrap w:val="0"/>
            <w:vAlign w:val="top"/>
          </w:tcPr>
          <w:p w14:paraId="44085E4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0.1</w:t>
            </w:r>
          </w:p>
        </w:tc>
        <w:tc>
          <w:tcPr>
            <w:tcW w:w="1679" w:type="dxa"/>
            <w:gridSpan w:val="2"/>
            <w:noWrap w:val="0"/>
            <w:vAlign w:val="top"/>
          </w:tcPr>
          <w:p w14:paraId="2D9E2131">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0.93</w:t>
            </w:r>
          </w:p>
        </w:tc>
      </w:tr>
      <w:tr w14:paraId="2BCC85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2D19462B">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top"/>
          </w:tcPr>
          <w:p w14:paraId="09E306D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无</w:t>
            </w:r>
          </w:p>
        </w:tc>
        <w:tc>
          <w:tcPr>
            <w:tcW w:w="2325" w:type="dxa"/>
            <w:gridSpan w:val="2"/>
            <w:noWrap w:val="0"/>
            <w:vAlign w:val="top"/>
          </w:tcPr>
          <w:p w14:paraId="05BB5F16">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71.64</w:t>
            </w:r>
          </w:p>
        </w:tc>
        <w:tc>
          <w:tcPr>
            <w:tcW w:w="1679" w:type="dxa"/>
            <w:gridSpan w:val="2"/>
            <w:noWrap w:val="0"/>
            <w:vAlign w:val="top"/>
          </w:tcPr>
          <w:p w14:paraId="751CDFB3">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81.69</w:t>
            </w:r>
          </w:p>
        </w:tc>
      </w:tr>
      <w:tr w14:paraId="3D34C4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F2C8AE4">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top"/>
          </w:tcPr>
          <w:p w14:paraId="58D68DEF">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无</w:t>
            </w:r>
          </w:p>
        </w:tc>
        <w:tc>
          <w:tcPr>
            <w:tcW w:w="2325" w:type="dxa"/>
            <w:gridSpan w:val="2"/>
            <w:noWrap w:val="0"/>
            <w:vAlign w:val="top"/>
          </w:tcPr>
          <w:p w14:paraId="3A906910">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7B345FA7">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318BDB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14:paraId="2079A478">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14:paraId="200EBC9E">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14:paraId="641DA38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14:paraId="2309A3C2">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14:paraId="57F2574F">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14:paraId="45209A98">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14:paraId="3CF5D422">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14:paraId="0E6172A0">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14:paraId="238FDFFB">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14:paraId="2E72996C">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14:paraId="112EA88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14:paraId="2A4F09D5">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14:paraId="358597B6">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14:paraId="19B42875">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14:paraId="0B74ED4D">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14:paraId="5D0EB2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14:paraId="245FA496">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14:paraId="3861282B">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990" w:type="dxa"/>
            <w:noWrap w:val="0"/>
            <w:vAlign w:val="top"/>
          </w:tcPr>
          <w:p w14:paraId="427638E0">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40" w:type="dxa"/>
            <w:noWrap w:val="0"/>
            <w:vAlign w:val="top"/>
          </w:tcPr>
          <w:p w14:paraId="255A7171">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85" w:type="dxa"/>
            <w:noWrap w:val="0"/>
            <w:vAlign w:val="top"/>
          </w:tcPr>
          <w:p w14:paraId="54CAD78A">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810" w:type="dxa"/>
            <w:noWrap w:val="0"/>
            <w:vAlign w:val="top"/>
          </w:tcPr>
          <w:p w14:paraId="64089FEA">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869" w:type="dxa"/>
            <w:noWrap w:val="0"/>
            <w:vAlign w:val="top"/>
          </w:tcPr>
          <w:p w14:paraId="28B3152E">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38AB54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6EB3BCBB">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14:paraId="320EC541">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p>
        </w:tc>
      </w:tr>
    </w:tbl>
    <w:p w14:paraId="0CFFAB5A">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14:paraId="00E09022">
      <w:pPr>
        <w:keepNext w:val="0"/>
        <w:keepLines w:val="0"/>
        <w:pageBreakBefore w:val="0"/>
        <w:widowControl w:val="0"/>
        <w:kinsoku/>
        <w:wordWrap/>
        <w:overflowPunct/>
        <w:topLinePunct w:val="0"/>
        <w:autoSpaceDE/>
        <w:autoSpaceDN/>
        <w:bidi w:val="0"/>
        <w:adjustRightInd/>
        <w:snapToGrid/>
        <w:jc w:val="left"/>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填表人： </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彭玲</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13507300622</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p>
    <w:p w14:paraId="71A5671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14:paraId="6753E4BD">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14:paraId="7783C877">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14:paraId="7CAEF3B8">
      <w:pPr>
        <w:spacing w:line="168" w:lineRule="exact"/>
        <w:rPr>
          <w:color w:val="000000" w:themeColor="text1"/>
          <w14:textFill>
            <w14:solidFill>
              <w14:schemeClr w14:val="tx1"/>
            </w14:solidFill>
          </w14:textFill>
        </w:rPr>
      </w:pPr>
    </w:p>
    <w:tbl>
      <w:tblPr>
        <w:tblStyle w:val="9"/>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271"/>
        <w:gridCol w:w="1155"/>
        <w:gridCol w:w="1191"/>
        <w:gridCol w:w="1259"/>
        <w:gridCol w:w="719"/>
        <w:gridCol w:w="802"/>
        <w:gridCol w:w="1275"/>
      </w:tblGrid>
      <w:tr w14:paraId="3ACD42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14:paraId="55AE4585">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14:paraId="5D3C9A99">
            <w:pPr>
              <w:rPr>
                <w:rFonts w:ascii="Arial"/>
                <w:color w:val="000000" w:themeColor="text1"/>
                <w:sz w:val="21"/>
                <w14:textFill>
                  <w14:solidFill>
                    <w14:schemeClr w14:val="tx1"/>
                  </w14:solidFill>
                </w14:textFill>
              </w:rPr>
            </w:pPr>
          </w:p>
          <w:p w14:paraId="00687844">
            <w:pPr>
              <w:tabs>
                <w:tab w:val="left" w:pos="1205"/>
              </w:tabs>
              <w:bidi w:val="0"/>
              <w:jc w:val="left"/>
              <w:rPr>
                <w:rFonts w:hint="default" w:asciiTheme="minorHAnsi" w:hAnsiTheme="minorHAnsi" w:eastAsiaTheme="minorEastAsia" w:cstheme="minorBidi"/>
                <w:kern w:val="2"/>
                <w:sz w:val="21"/>
                <w:szCs w:val="24"/>
                <w:lang w:val="en-US" w:eastAsia="zh-CN" w:bidi="ar-SA"/>
              </w:rPr>
            </w:pPr>
            <w:r>
              <w:rPr>
                <w:rFonts w:hint="eastAsia" w:cstheme="minorBidi"/>
                <w:kern w:val="2"/>
                <w:sz w:val="21"/>
                <w:szCs w:val="24"/>
                <w:lang w:val="en-US" w:eastAsia="zh-CN" w:bidi="ar-SA"/>
              </w:rPr>
              <w:tab/>
            </w:r>
            <w:r>
              <w:rPr>
                <w:rFonts w:hint="eastAsia" w:cstheme="minorBidi"/>
                <w:kern w:val="2"/>
                <w:sz w:val="21"/>
                <w:szCs w:val="24"/>
                <w:lang w:val="en-US" w:eastAsia="zh-CN" w:bidi="ar-SA"/>
              </w:rPr>
              <w:t>岳阳市公共租赁房屋运营服务中心</w:t>
            </w:r>
          </w:p>
        </w:tc>
      </w:tr>
      <w:tr w14:paraId="0362DE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14:paraId="6F010E2C">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14:paraId="19BAF9D0">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14:paraId="302FB1AE">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14:paraId="1831AAD4">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350" w:type="dxa"/>
            <w:gridSpan w:val="2"/>
            <w:noWrap w:val="0"/>
            <w:vAlign w:val="center"/>
          </w:tcPr>
          <w:p w14:paraId="507999F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155" w:type="dxa"/>
            <w:noWrap w:val="0"/>
            <w:vAlign w:val="center"/>
          </w:tcPr>
          <w:p w14:paraId="0A1643DA">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191" w:type="dxa"/>
            <w:noWrap w:val="0"/>
            <w:vAlign w:val="center"/>
          </w:tcPr>
          <w:p w14:paraId="66A5C9CF">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14:paraId="1545A548">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14:paraId="48C784A2">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14:paraId="58DD98F0">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14:paraId="0AE3BB35">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3409B7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14:paraId="0CB2D52F">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350" w:type="dxa"/>
            <w:gridSpan w:val="2"/>
            <w:noWrap w:val="0"/>
            <w:vAlign w:val="center"/>
          </w:tcPr>
          <w:p w14:paraId="440EF939">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155" w:type="dxa"/>
            <w:noWrap w:val="0"/>
            <w:vAlign w:val="center"/>
          </w:tcPr>
          <w:p w14:paraId="7D36BAA8">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683.26</w:t>
            </w:r>
          </w:p>
        </w:tc>
        <w:tc>
          <w:tcPr>
            <w:tcW w:w="1191" w:type="dxa"/>
            <w:noWrap w:val="0"/>
            <w:vAlign w:val="center"/>
          </w:tcPr>
          <w:p w14:paraId="1920FF8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spacing w:val="0"/>
                <w:sz w:val="20"/>
                <w:lang w:val="en-US" w:eastAsia="zh-CN"/>
              </w:rPr>
              <w:t>755.81</w:t>
            </w:r>
          </w:p>
        </w:tc>
        <w:tc>
          <w:tcPr>
            <w:tcW w:w="1259" w:type="dxa"/>
            <w:noWrap w:val="0"/>
            <w:vAlign w:val="center"/>
          </w:tcPr>
          <w:p w14:paraId="389E68C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spacing w:val="0"/>
                <w:sz w:val="20"/>
                <w:lang w:val="en-US" w:eastAsia="zh-CN"/>
              </w:rPr>
              <w:t>755.81</w:t>
            </w:r>
          </w:p>
        </w:tc>
        <w:tc>
          <w:tcPr>
            <w:tcW w:w="719" w:type="dxa"/>
            <w:noWrap w:val="0"/>
            <w:vAlign w:val="center"/>
          </w:tcPr>
          <w:p w14:paraId="0582A5CE">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14:paraId="113918B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c>
          <w:tcPr>
            <w:tcW w:w="1275" w:type="dxa"/>
            <w:noWrap w:val="0"/>
            <w:vAlign w:val="center"/>
          </w:tcPr>
          <w:p w14:paraId="2BCDDA1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r>
      <w:tr w14:paraId="0DA91B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14:paraId="225914B7">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3BFA1F6A">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14:paraId="72D33ABB">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14:paraId="782751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14:paraId="630DB69B">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62D3E98C">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spacing w:val="0"/>
                <w:sz w:val="21"/>
                <w:szCs w:val="21"/>
                <w:lang w:val="en-US" w:eastAsia="zh-CN"/>
              </w:rPr>
              <w:t>578.91</w:t>
            </w:r>
          </w:p>
        </w:tc>
        <w:tc>
          <w:tcPr>
            <w:tcW w:w="4055" w:type="dxa"/>
            <w:gridSpan w:val="4"/>
            <w:noWrap w:val="0"/>
            <w:vAlign w:val="center"/>
          </w:tcPr>
          <w:p w14:paraId="49480D4A">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spacing w:val="0"/>
                <w:sz w:val="21"/>
                <w:szCs w:val="21"/>
                <w:lang w:val="en-US" w:eastAsia="zh-CN"/>
              </w:rPr>
              <w:t>575.25</w:t>
            </w:r>
          </w:p>
        </w:tc>
      </w:tr>
      <w:tr w14:paraId="29949A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14:paraId="7FC9D847">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269FECAD">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p>
        </w:tc>
        <w:tc>
          <w:tcPr>
            <w:tcW w:w="4055" w:type="dxa"/>
            <w:gridSpan w:val="4"/>
            <w:noWrap w:val="0"/>
            <w:vAlign w:val="center"/>
          </w:tcPr>
          <w:p w14:paraId="07FCBFAC">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spacing w:val="0"/>
                <w:sz w:val="21"/>
                <w:szCs w:val="21"/>
                <w:lang w:val="en-US" w:eastAsia="zh-CN"/>
              </w:rPr>
              <w:t>180.56</w:t>
            </w:r>
          </w:p>
        </w:tc>
      </w:tr>
      <w:tr w14:paraId="79F05C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14:paraId="264E3889">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3BDCAA7E">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p>
        </w:tc>
        <w:tc>
          <w:tcPr>
            <w:tcW w:w="4055" w:type="dxa"/>
            <w:gridSpan w:val="4"/>
            <w:noWrap w:val="0"/>
            <w:vAlign w:val="center"/>
          </w:tcPr>
          <w:p w14:paraId="62BCD4FC">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14:paraId="64FCDF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14:paraId="55BDAE2A">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62BA7948">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spacing w:val="0"/>
                <w:sz w:val="21"/>
                <w:szCs w:val="21"/>
                <w:lang w:val="en-US" w:eastAsia="zh-CN"/>
              </w:rPr>
              <w:t>176.90</w:t>
            </w:r>
          </w:p>
        </w:tc>
        <w:tc>
          <w:tcPr>
            <w:tcW w:w="4055" w:type="dxa"/>
            <w:gridSpan w:val="4"/>
            <w:noWrap w:val="0"/>
            <w:vAlign w:val="center"/>
          </w:tcPr>
          <w:p w14:paraId="4494CEAB">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14:paraId="5280D5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14:paraId="609ECFCD">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14:paraId="4FC46F3E">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14:paraId="067A94EE">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7DE8C0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14:paraId="55801E5F">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110F5E2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4055" w:type="dxa"/>
            <w:gridSpan w:val="4"/>
            <w:noWrap w:val="0"/>
            <w:vAlign w:val="center"/>
          </w:tcPr>
          <w:p w14:paraId="08094DCE">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r>
      <w:tr w14:paraId="778D99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14:paraId="1FC4DAC6">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14:paraId="43F4424B">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14:paraId="43A4DE01">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271" w:type="dxa"/>
            <w:noWrap w:val="0"/>
            <w:vAlign w:val="center"/>
          </w:tcPr>
          <w:p w14:paraId="3ECBF75F">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155" w:type="dxa"/>
            <w:noWrap w:val="0"/>
            <w:vAlign w:val="center"/>
          </w:tcPr>
          <w:p w14:paraId="4FB3F61F">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91" w:type="dxa"/>
            <w:noWrap w:val="0"/>
            <w:vAlign w:val="center"/>
          </w:tcPr>
          <w:p w14:paraId="3CC6E032">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14:paraId="0F53F3C1">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14:paraId="58AE29C9">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14:paraId="4020C1F7">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14:paraId="49D096C6">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14:paraId="6DD7F34A">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14:paraId="6ABDB0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0EEA72BC">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329240BE">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1693270E">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1970ECD1">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734EA1D4">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1748755D">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14:paraId="40510AE8">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271" w:type="dxa"/>
            <w:vMerge w:val="restart"/>
            <w:tcBorders>
              <w:bottom w:val="nil"/>
            </w:tcBorders>
            <w:noWrap w:val="0"/>
            <w:vAlign w:val="center"/>
          </w:tcPr>
          <w:p w14:paraId="6AEE8C19">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155" w:type="dxa"/>
            <w:noWrap w:val="0"/>
            <w:vAlign w:val="center"/>
          </w:tcPr>
          <w:p w14:paraId="01357870">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租金收缴金额</w:t>
            </w:r>
          </w:p>
        </w:tc>
        <w:tc>
          <w:tcPr>
            <w:tcW w:w="1191" w:type="dxa"/>
            <w:noWrap w:val="0"/>
            <w:vAlign w:val="center"/>
          </w:tcPr>
          <w:p w14:paraId="69EFCD6C">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700万元</w:t>
            </w:r>
          </w:p>
        </w:tc>
        <w:tc>
          <w:tcPr>
            <w:tcW w:w="1259" w:type="dxa"/>
            <w:noWrap w:val="0"/>
            <w:vAlign w:val="center"/>
          </w:tcPr>
          <w:p w14:paraId="5C0ED1B5">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707万元</w:t>
            </w:r>
          </w:p>
        </w:tc>
        <w:tc>
          <w:tcPr>
            <w:tcW w:w="719" w:type="dxa"/>
            <w:noWrap w:val="0"/>
            <w:vAlign w:val="center"/>
          </w:tcPr>
          <w:p w14:paraId="68A5A2A0">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w:t>
            </w:r>
          </w:p>
        </w:tc>
        <w:tc>
          <w:tcPr>
            <w:tcW w:w="802" w:type="dxa"/>
            <w:noWrap w:val="0"/>
            <w:vAlign w:val="center"/>
          </w:tcPr>
          <w:p w14:paraId="5FE720FC">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w:t>
            </w:r>
          </w:p>
        </w:tc>
        <w:tc>
          <w:tcPr>
            <w:tcW w:w="1275" w:type="dxa"/>
            <w:noWrap w:val="0"/>
            <w:vAlign w:val="center"/>
          </w:tcPr>
          <w:p w14:paraId="293CBE85">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14:paraId="26738F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001D704A">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E3355B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1" w:type="dxa"/>
            <w:vMerge w:val="continue"/>
            <w:tcBorders>
              <w:top w:val="nil"/>
              <w:bottom w:val="nil"/>
            </w:tcBorders>
            <w:noWrap w:val="0"/>
            <w:vAlign w:val="center"/>
          </w:tcPr>
          <w:p w14:paraId="0AA5A9B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55" w:type="dxa"/>
            <w:noWrap w:val="0"/>
            <w:vAlign w:val="center"/>
          </w:tcPr>
          <w:p w14:paraId="5373BAB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91" w:type="dxa"/>
            <w:noWrap w:val="0"/>
            <w:vAlign w:val="center"/>
          </w:tcPr>
          <w:p w14:paraId="0966D0C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59" w:type="dxa"/>
            <w:noWrap w:val="0"/>
            <w:vAlign w:val="center"/>
          </w:tcPr>
          <w:p w14:paraId="4D61CB6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719" w:type="dxa"/>
            <w:noWrap w:val="0"/>
            <w:vAlign w:val="center"/>
          </w:tcPr>
          <w:p w14:paraId="0EFCAD0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802" w:type="dxa"/>
            <w:noWrap w:val="0"/>
            <w:vAlign w:val="center"/>
          </w:tcPr>
          <w:p w14:paraId="145D446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5" w:type="dxa"/>
            <w:noWrap w:val="0"/>
            <w:vAlign w:val="center"/>
          </w:tcPr>
          <w:p w14:paraId="3C5F8B2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5D200F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1DA12352">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7CD7D1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1" w:type="dxa"/>
            <w:vMerge w:val="continue"/>
            <w:tcBorders>
              <w:top w:val="nil"/>
            </w:tcBorders>
            <w:noWrap w:val="0"/>
            <w:vAlign w:val="center"/>
          </w:tcPr>
          <w:p w14:paraId="72186E3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55" w:type="dxa"/>
            <w:noWrap w:val="0"/>
            <w:vAlign w:val="center"/>
          </w:tcPr>
          <w:p w14:paraId="5E69F684">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c>
          <w:tcPr>
            <w:tcW w:w="1191" w:type="dxa"/>
            <w:noWrap w:val="0"/>
            <w:vAlign w:val="center"/>
          </w:tcPr>
          <w:p w14:paraId="5D5F6475">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c>
          <w:tcPr>
            <w:tcW w:w="1259" w:type="dxa"/>
            <w:noWrap w:val="0"/>
            <w:vAlign w:val="center"/>
          </w:tcPr>
          <w:p w14:paraId="415AF822">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c>
          <w:tcPr>
            <w:tcW w:w="719" w:type="dxa"/>
            <w:noWrap w:val="0"/>
            <w:vAlign w:val="center"/>
          </w:tcPr>
          <w:p w14:paraId="239726B7">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c>
          <w:tcPr>
            <w:tcW w:w="802" w:type="dxa"/>
            <w:noWrap w:val="0"/>
            <w:vAlign w:val="center"/>
          </w:tcPr>
          <w:p w14:paraId="5FF2EB1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c>
          <w:tcPr>
            <w:tcW w:w="1275" w:type="dxa"/>
            <w:noWrap w:val="0"/>
            <w:vAlign w:val="center"/>
          </w:tcPr>
          <w:p w14:paraId="3290227B">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1B27A0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0237AEEC">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4B75110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1" w:type="dxa"/>
            <w:vMerge w:val="restart"/>
            <w:tcBorders>
              <w:bottom w:val="nil"/>
            </w:tcBorders>
            <w:noWrap w:val="0"/>
            <w:vAlign w:val="center"/>
          </w:tcPr>
          <w:p w14:paraId="4F0E5166">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155" w:type="dxa"/>
            <w:noWrap w:val="0"/>
            <w:vAlign w:val="center"/>
          </w:tcPr>
          <w:p w14:paraId="7B4DF97C">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房屋日常应急维修完成情况</w:t>
            </w:r>
          </w:p>
        </w:tc>
        <w:tc>
          <w:tcPr>
            <w:tcW w:w="1191" w:type="dxa"/>
            <w:noWrap w:val="0"/>
            <w:vAlign w:val="center"/>
          </w:tcPr>
          <w:p w14:paraId="3490142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259" w:type="dxa"/>
            <w:noWrap w:val="0"/>
            <w:vAlign w:val="center"/>
          </w:tcPr>
          <w:p w14:paraId="62A2D576">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14:paraId="6864C08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14:paraId="34ADB6AE">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14:paraId="5B3F23A4">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77FE86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84" w:type="dxa"/>
            <w:vMerge w:val="continue"/>
            <w:tcBorders>
              <w:top w:val="nil"/>
              <w:bottom w:val="nil"/>
            </w:tcBorders>
            <w:noWrap w:val="0"/>
            <w:textDirection w:val="tbRlV"/>
            <w:vAlign w:val="top"/>
          </w:tcPr>
          <w:p w14:paraId="5F29C202">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BAF1A8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1" w:type="dxa"/>
            <w:vMerge w:val="continue"/>
            <w:tcBorders>
              <w:top w:val="nil"/>
              <w:bottom w:val="nil"/>
            </w:tcBorders>
            <w:noWrap w:val="0"/>
            <w:vAlign w:val="center"/>
          </w:tcPr>
          <w:p w14:paraId="5A8FF9D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55" w:type="dxa"/>
            <w:noWrap w:val="0"/>
            <w:vAlign w:val="center"/>
          </w:tcPr>
          <w:p w14:paraId="35CB2ED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91" w:type="dxa"/>
            <w:noWrap w:val="0"/>
            <w:vAlign w:val="center"/>
          </w:tcPr>
          <w:p w14:paraId="465DBE7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59" w:type="dxa"/>
            <w:noWrap w:val="0"/>
            <w:vAlign w:val="center"/>
          </w:tcPr>
          <w:p w14:paraId="0AE795B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719" w:type="dxa"/>
            <w:noWrap w:val="0"/>
            <w:vAlign w:val="center"/>
          </w:tcPr>
          <w:p w14:paraId="19EA850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802" w:type="dxa"/>
            <w:noWrap w:val="0"/>
            <w:vAlign w:val="center"/>
          </w:tcPr>
          <w:p w14:paraId="28B520C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5" w:type="dxa"/>
            <w:noWrap w:val="0"/>
            <w:vAlign w:val="center"/>
          </w:tcPr>
          <w:p w14:paraId="0CFC95F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765116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 w:hRule="atLeast"/>
        </w:trPr>
        <w:tc>
          <w:tcPr>
            <w:tcW w:w="1084" w:type="dxa"/>
            <w:vMerge w:val="continue"/>
            <w:tcBorders>
              <w:top w:val="nil"/>
              <w:bottom w:val="nil"/>
            </w:tcBorders>
            <w:noWrap w:val="0"/>
            <w:textDirection w:val="tbRlV"/>
            <w:vAlign w:val="top"/>
          </w:tcPr>
          <w:p w14:paraId="6590097D">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0611D95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1" w:type="dxa"/>
            <w:vMerge w:val="continue"/>
            <w:tcBorders>
              <w:top w:val="nil"/>
            </w:tcBorders>
            <w:noWrap w:val="0"/>
            <w:vAlign w:val="center"/>
          </w:tcPr>
          <w:p w14:paraId="24F3333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55" w:type="dxa"/>
            <w:noWrap w:val="0"/>
            <w:vAlign w:val="center"/>
          </w:tcPr>
          <w:p w14:paraId="4BE18506">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c>
          <w:tcPr>
            <w:tcW w:w="1191" w:type="dxa"/>
            <w:noWrap w:val="0"/>
            <w:vAlign w:val="center"/>
          </w:tcPr>
          <w:p w14:paraId="5635B7F3">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c>
          <w:tcPr>
            <w:tcW w:w="1259" w:type="dxa"/>
            <w:noWrap w:val="0"/>
            <w:vAlign w:val="center"/>
          </w:tcPr>
          <w:p w14:paraId="0CC8C9D6">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c>
          <w:tcPr>
            <w:tcW w:w="719" w:type="dxa"/>
            <w:noWrap w:val="0"/>
            <w:vAlign w:val="center"/>
          </w:tcPr>
          <w:p w14:paraId="06740690">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c>
          <w:tcPr>
            <w:tcW w:w="802" w:type="dxa"/>
            <w:noWrap w:val="0"/>
            <w:vAlign w:val="center"/>
          </w:tcPr>
          <w:p w14:paraId="149D1282">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c>
          <w:tcPr>
            <w:tcW w:w="1275" w:type="dxa"/>
            <w:noWrap w:val="0"/>
            <w:vAlign w:val="center"/>
          </w:tcPr>
          <w:p w14:paraId="1199B086">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r>
      <w:tr w14:paraId="61D7F0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4D73ABBD">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573DDE4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1" w:type="dxa"/>
            <w:vMerge w:val="restart"/>
            <w:tcBorders>
              <w:bottom w:val="nil"/>
            </w:tcBorders>
            <w:noWrap w:val="0"/>
            <w:vAlign w:val="center"/>
          </w:tcPr>
          <w:p w14:paraId="46C40DD1">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155" w:type="dxa"/>
            <w:noWrap w:val="0"/>
            <w:vAlign w:val="center"/>
          </w:tcPr>
          <w:p w14:paraId="2978021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按时完成租金收缴工作</w:t>
            </w:r>
          </w:p>
        </w:tc>
        <w:tc>
          <w:tcPr>
            <w:tcW w:w="1191" w:type="dxa"/>
            <w:noWrap w:val="0"/>
            <w:vAlign w:val="center"/>
          </w:tcPr>
          <w:p w14:paraId="75342EA3">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12月31日</w:t>
            </w:r>
          </w:p>
        </w:tc>
        <w:tc>
          <w:tcPr>
            <w:tcW w:w="1259" w:type="dxa"/>
            <w:noWrap w:val="0"/>
            <w:vAlign w:val="center"/>
          </w:tcPr>
          <w:p w14:paraId="3D7CF90A">
            <w:pPr>
              <w:keepNext w:val="0"/>
              <w:keepLines w:val="0"/>
              <w:pageBreakBefore w:val="0"/>
              <w:widowControl w:val="0"/>
              <w:kinsoku/>
              <w:wordWrap/>
              <w:overflowPunct/>
              <w:topLinePunct w:val="0"/>
              <w:autoSpaceDE/>
              <w:autoSpaceDN/>
              <w:bidi w:val="0"/>
              <w:adjustRightInd/>
              <w:snapToGrid/>
              <w:spacing w:line="239" w:lineRule="exact"/>
              <w:ind w:left="0"/>
              <w:jc w:val="both"/>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12月31日</w:t>
            </w:r>
          </w:p>
        </w:tc>
        <w:tc>
          <w:tcPr>
            <w:tcW w:w="719" w:type="dxa"/>
            <w:noWrap w:val="0"/>
            <w:vAlign w:val="center"/>
          </w:tcPr>
          <w:p w14:paraId="71A552E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14:paraId="1787EC7D">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14:paraId="44013F55">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6E9067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3218E5EC">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2072BAD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1" w:type="dxa"/>
            <w:vMerge w:val="continue"/>
            <w:tcBorders>
              <w:top w:val="nil"/>
              <w:bottom w:val="nil"/>
            </w:tcBorders>
            <w:noWrap w:val="0"/>
            <w:vAlign w:val="center"/>
          </w:tcPr>
          <w:p w14:paraId="2AFB3D1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55" w:type="dxa"/>
            <w:noWrap w:val="0"/>
            <w:vAlign w:val="center"/>
          </w:tcPr>
          <w:p w14:paraId="192A3F0C">
            <w:pPr>
              <w:keepNext w:val="0"/>
              <w:keepLines w:val="0"/>
              <w:pageBreakBefore w:val="0"/>
              <w:widowControl w:val="0"/>
              <w:kinsoku/>
              <w:wordWrap/>
              <w:overflowPunct/>
              <w:topLinePunct w:val="0"/>
              <w:autoSpaceDE/>
              <w:autoSpaceDN/>
              <w:bidi w:val="0"/>
              <w:adjustRightInd/>
              <w:snapToGrid/>
              <w:spacing w:line="239" w:lineRule="exact"/>
              <w:ind w:left="0"/>
              <w:jc w:val="both"/>
              <w:textAlignment w:val="auto"/>
              <w:rPr>
                <w:rFonts w:hint="eastAsia" w:ascii="Arial"/>
                <w:color w:val="000000" w:themeColor="text1"/>
                <w:sz w:val="20"/>
                <w:lang w:val="en-US" w:eastAsia="zh-CN"/>
                <w14:textFill>
                  <w14:solidFill>
                    <w14:schemeClr w14:val="tx1"/>
                  </w14:solidFill>
                </w14:textFill>
              </w:rPr>
            </w:pPr>
          </w:p>
        </w:tc>
        <w:tc>
          <w:tcPr>
            <w:tcW w:w="1191" w:type="dxa"/>
            <w:noWrap w:val="0"/>
            <w:vAlign w:val="center"/>
          </w:tcPr>
          <w:p w14:paraId="57CA22E1">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p>
        </w:tc>
        <w:tc>
          <w:tcPr>
            <w:tcW w:w="1259" w:type="dxa"/>
            <w:noWrap w:val="0"/>
            <w:vAlign w:val="center"/>
          </w:tcPr>
          <w:p w14:paraId="714C0EBE">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p>
        </w:tc>
        <w:tc>
          <w:tcPr>
            <w:tcW w:w="719" w:type="dxa"/>
            <w:noWrap w:val="0"/>
            <w:vAlign w:val="center"/>
          </w:tcPr>
          <w:p w14:paraId="01C02396">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p>
        </w:tc>
        <w:tc>
          <w:tcPr>
            <w:tcW w:w="802" w:type="dxa"/>
            <w:noWrap w:val="0"/>
            <w:vAlign w:val="center"/>
          </w:tcPr>
          <w:p w14:paraId="35549E9D">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p>
        </w:tc>
        <w:tc>
          <w:tcPr>
            <w:tcW w:w="1275" w:type="dxa"/>
            <w:noWrap w:val="0"/>
            <w:vAlign w:val="center"/>
          </w:tcPr>
          <w:p w14:paraId="4DAD966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399723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1ECEC2B6">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91D554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1" w:type="dxa"/>
            <w:vMerge w:val="continue"/>
            <w:tcBorders>
              <w:top w:val="nil"/>
            </w:tcBorders>
            <w:noWrap w:val="0"/>
            <w:vAlign w:val="center"/>
          </w:tcPr>
          <w:p w14:paraId="4EAAF78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55" w:type="dxa"/>
            <w:noWrap w:val="0"/>
            <w:vAlign w:val="center"/>
          </w:tcPr>
          <w:p w14:paraId="56295E26">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191" w:type="dxa"/>
            <w:noWrap w:val="0"/>
            <w:vAlign w:val="center"/>
          </w:tcPr>
          <w:p w14:paraId="03B20A69">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259" w:type="dxa"/>
            <w:noWrap w:val="0"/>
            <w:vAlign w:val="center"/>
          </w:tcPr>
          <w:p w14:paraId="75C6C55F">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719" w:type="dxa"/>
            <w:noWrap w:val="0"/>
            <w:vAlign w:val="center"/>
          </w:tcPr>
          <w:p w14:paraId="6BAF0A76">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802" w:type="dxa"/>
            <w:noWrap w:val="0"/>
            <w:vAlign w:val="center"/>
          </w:tcPr>
          <w:p w14:paraId="1B0F5836">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275" w:type="dxa"/>
            <w:noWrap w:val="0"/>
            <w:vAlign w:val="center"/>
          </w:tcPr>
          <w:p w14:paraId="5B3D8F5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79A4B4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2FF96A6E">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BFFA16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1" w:type="dxa"/>
            <w:vMerge w:val="restart"/>
            <w:tcBorders>
              <w:bottom w:val="nil"/>
            </w:tcBorders>
            <w:noWrap w:val="0"/>
            <w:vAlign w:val="center"/>
          </w:tcPr>
          <w:p w14:paraId="55CA1987">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155" w:type="dxa"/>
            <w:noWrap w:val="0"/>
            <w:vAlign w:val="center"/>
          </w:tcPr>
          <w:p w14:paraId="45EF5B90">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公用经费使用情况</w:t>
            </w:r>
          </w:p>
        </w:tc>
        <w:tc>
          <w:tcPr>
            <w:tcW w:w="1191" w:type="dxa"/>
            <w:noWrap w:val="0"/>
            <w:vAlign w:val="center"/>
          </w:tcPr>
          <w:p w14:paraId="58B1655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72万元</w:t>
            </w:r>
          </w:p>
        </w:tc>
        <w:tc>
          <w:tcPr>
            <w:tcW w:w="1259" w:type="dxa"/>
            <w:noWrap w:val="0"/>
            <w:vAlign w:val="center"/>
          </w:tcPr>
          <w:p w14:paraId="04164B3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78.78万元</w:t>
            </w:r>
          </w:p>
        </w:tc>
        <w:tc>
          <w:tcPr>
            <w:tcW w:w="719" w:type="dxa"/>
            <w:noWrap w:val="0"/>
            <w:vAlign w:val="center"/>
          </w:tcPr>
          <w:p w14:paraId="4E4BA981">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14:paraId="5C9FA0F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7</w:t>
            </w:r>
          </w:p>
        </w:tc>
        <w:tc>
          <w:tcPr>
            <w:tcW w:w="1275" w:type="dxa"/>
            <w:noWrap w:val="0"/>
            <w:vAlign w:val="center"/>
          </w:tcPr>
          <w:p w14:paraId="066E1A59">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根据上级部门文件要求开展了“百日攻坚”行动</w:t>
            </w:r>
          </w:p>
        </w:tc>
      </w:tr>
      <w:tr w14:paraId="22FF35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7046FC0C">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48FE17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1" w:type="dxa"/>
            <w:vMerge w:val="continue"/>
            <w:tcBorders>
              <w:top w:val="nil"/>
              <w:bottom w:val="nil"/>
            </w:tcBorders>
            <w:noWrap w:val="0"/>
            <w:vAlign w:val="center"/>
          </w:tcPr>
          <w:p w14:paraId="1DE87CB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55" w:type="dxa"/>
            <w:noWrap w:val="0"/>
            <w:vAlign w:val="center"/>
          </w:tcPr>
          <w:p w14:paraId="27D599CE">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p>
        </w:tc>
        <w:tc>
          <w:tcPr>
            <w:tcW w:w="1191" w:type="dxa"/>
            <w:noWrap w:val="0"/>
            <w:vAlign w:val="center"/>
          </w:tcPr>
          <w:p w14:paraId="67043566">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1259" w:type="dxa"/>
            <w:noWrap w:val="0"/>
            <w:vAlign w:val="center"/>
          </w:tcPr>
          <w:p w14:paraId="3074B0E1">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719" w:type="dxa"/>
            <w:noWrap w:val="0"/>
            <w:vAlign w:val="center"/>
          </w:tcPr>
          <w:p w14:paraId="309E19A1">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802" w:type="dxa"/>
            <w:noWrap w:val="0"/>
            <w:vAlign w:val="center"/>
          </w:tcPr>
          <w:p w14:paraId="7BD595B1">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1275" w:type="dxa"/>
            <w:noWrap w:val="0"/>
            <w:vAlign w:val="center"/>
          </w:tcPr>
          <w:p w14:paraId="3FFCF2F1">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14:paraId="233739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70D64090">
            <w:pPr>
              <w:rPr>
                <w:rFonts w:ascii="Arial"/>
                <w:color w:val="000000" w:themeColor="text1"/>
                <w:sz w:val="21"/>
                <w14:textFill>
                  <w14:solidFill>
                    <w14:schemeClr w14:val="tx1"/>
                  </w14:solidFill>
                </w14:textFill>
              </w:rPr>
            </w:pPr>
          </w:p>
        </w:tc>
        <w:tc>
          <w:tcPr>
            <w:tcW w:w="1079" w:type="dxa"/>
            <w:vMerge w:val="continue"/>
            <w:tcBorders>
              <w:top w:val="nil"/>
            </w:tcBorders>
            <w:noWrap w:val="0"/>
            <w:vAlign w:val="center"/>
          </w:tcPr>
          <w:p w14:paraId="0E75EAF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1" w:type="dxa"/>
            <w:vMerge w:val="continue"/>
            <w:tcBorders>
              <w:top w:val="nil"/>
            </w:tcBorders>
            <w:noWrap w:val="0"/>
            <w:vAlign w:val="center"/>
          </w:tcPr>
          <w:p w14:paraId="5F11820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55" w:type="dxa"/>
            <w:noWrap w:val="0"/>
            <w:vAlign w:val="center"/>
          </w:tcPr>
          <w:p w14:paraId="0053D1CC">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191" w:type="dxa"/>
            <w:noWrap w:val="0"/>
            <w:vAlign w:val="center"/>
          </w:tcPr>
          <w:p w14:paraId="6E293F41">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259" w:type="dxa"/>
            <w:noWrap w:val="0"/>
            <w:vAlign w:val="center"/>
          </w:tcPr>
          <w:p w14:paraId="684F864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719" w:type="dxa"/>
            <w:noWrap w:val="0"/>
            <w:vAlign w:val="center"/>
          </w:tcPr>
          <w:p w14:paraId="6B8D99E7">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802" w:type="dxa"/>
            <w:noWrap w:val="0"/>
            <w:vAlign w:val="center"/>
          </w:tcPr>
          <w:p w14:paraId="38919C85">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275" w:type="dxa"/>
            <w:noWrap w:val="0"/>
            <w:vAlign w:val="center"/>
          </w:tcPr>
          <w:p w14:paraId="5714E7C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7637FE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2236BD9F">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06FC5973">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14:paraId="37099CDE">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015D0345">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4593E684">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53ACE3B9">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14:paraId="416457E2">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271" w:type="dxa"/>
            <w:vMerge w:val="restart"/>
            <w:tcBorders>
              <w:bottom w:val="nil"/>
            </w:tcBorders>
            <w:noWrap w:val="0"/>
            <w:vAlign w:val="center"/>
          </w:tcPr>
          <w:p w14:paraId="3BA45117">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经济效</w:t>
            </w:r>
          </w:p>
          <w:p w14:paraId="394AAB7D">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155" w:type="dxa"/>
            <w:noWrap w:val="0"/>
            <w:vAlign w:val="center"/>
          </w:tcPr>
          <w:p w14:paraId="0CC0F4B0">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ascii="Arial"/>
                <w:color w:val="000000" w:themeColor="text1"/>
                <w:sz w:val="20"/>
                <w14:textFill>
                  <w14:solidFill>
                    <w14:schemeClr w14:val="tx1"/>
                  </w14:solidFill>
                </w14:textFill>
              </w:rPr>
            </w:pPr>
          </w:p>
        </w:tc>
        <w:tc>
          <w:tcPr>
            <w:tcW w:w="1191" w:type="dxa"/>
            <w:noWrap w:val="0"/>
            <w:vAlign w:val="center"/>
          </w:tcPr>
          <w:p w14:paraId="4C00C03B">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hint="default" w:ascii="Arial" w:eastAsiaTheme="minorEastAsia"/>
                <w:color w:val="000000" w:themeColor="text1"/>
                <w:sz w:val="20"/>
                <w:lang w:val="en-US" w:eastAsia="zh-CN"/>
                <w14:textFill>
                  <w14:solidFill>
                    <w14:schemeClr w14:val="tx1"/>
                  </w14:solidFill>
                </w14:textFill>
              </w:rPr>
            </w:pPr>
          </w:p>
        </w:tc>
        <w:tc>
          <w:tcPr>
            <w:tcW w:w="1259" w:type="dxa"/>
            <w:noWrap w:val="0"/>
            <w:vAlign w:val="center"/>
          </w:tcPr>
          <w:p w14:paraId="5FA2E771">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hint="default" w:ascii="Arial" w:eastAsiaTheme="minorEastAsia"/>
                <w:color w:val="000000" w:themeColor="text1"/>
                <w:sz w:val="20"/>
                <w:lang w:val="en-US" w:eastAsia="zh-CN"/>
                <w14:textFill>
                  <w14:solidFill>
                    <w14:schemeClr w14:val="tx1"/>
                  </w14:solidFill>
                </w14:textFill>
              </w:rPr>
            </w:pPr>
          </w:p>
        </w:tc>
        <w:tc>
          <w:tcPr>
            <w:tcW w:w="719" w:type="dxa"/>
            <w:noWrap w:val="0"/>
            <w:vAlign w:val="center"/>
          </w:tcPr>
          <w:p w14:paraId="2D481224">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p>
        </w:tc>
        <w:tc>
          <w:tcPr>
            <w:tcW w:w="802" w:type="dxa"/>
            <w:noWrap w:val="0"/>
            <w:vAlign w:val="center"/>
          </w:tcPr>
          <w:p w14:paraId="41358846">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p>
        </w:tc>
        <w:tc>
          <w:tcPr>
            <w:tcW w:w="1275" w:type="dxa"/>
            <w:noWrap w:val="0"/>
            <w:vAlign w:val="center"/>
          </w:tcPr>
          <w:p w14:paraId="3E75A104">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1EFBAF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4646BB8D">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5F4C34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1" w:type="dxa"/>
            <w:vMerge w:val="continue"/>
            <w:tcBorders>
              <w:top w:val="nil"/>
              <w:bottom w:val="nil"/>
            </w:tcBorders>
            <w:noWrap w:val="0"/>
            <w:vAlign w:val="center"/>
          </w:tcPr>
          <w:p w14:paraId="7C03233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55" w:type="dxa"/>
            <w:noWrap w:val="0"/>
            <w:vAlign w:val="center"/>
          </w:tcPr>
          <w:p w14:paraId="36F7AAC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91" w:type="dxa"/>
            <w:noWrap w:val="0"/>
            <w:vAlign w:val="center"/>
          </w:tcPr>
          <w:p w14:paraId="1AAB1E4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59" w:type="dxa"/>
            <w:noWrap w:val="0"/>
            <w:vAlign w:val="center"/>
          </w:tcPr>
          <w:p w14:paraId="74F3B00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719" w:type="dxa"/>
            <w:noWrap w:val="0"/>
            <w:vAlign w:val="center"/>
          </w:tcPr>
          <w:p w14:paraId="4AB13ED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802" w:type="dxa"/>
            <w:noWrap w:val="0"/>
            <w:vAlign w:val="center"/>
          </w:tcPr>
          <w:p w14:paraId="38578B0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5" w:type="dxa"/>
            <w:noWrap w:val="0"/>
            <w:vAlign w:val="center"/>
          </w:tcPr>
          <w:p w14:paraId="690A943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4BF702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215B3CA6">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CED925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1" w:type="dxa"/>
            <w:vMerge w:val="continue"/>
            <w:tcBorders>
              <w:top w:val="nil"/>
            </w:tcBorders>
            <w:noWrap w:val="0"/>
            <w:vAlign w:val="center"/>
          </w:tcPr>
          <w:p w14:paraId="27D447D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55" w:type="dxa"/>
            <w:noWrap w:val="0"/>
            <w:vAlign w:val="center"/>
          </w:tcPr>
          <w:p w14:paraId="20E569A7">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z w:val="20"/>
                <w:lang w:val="en-US" w:eastAsia="zh-CN"/>
                <w14:textFill>
                  <w14:solidFill>
                    <w14:schemeClr w14:val="tx1"/>
                  </w14:solidFill>
                </w14:textFill>
              </w:rPr>
            </w:pPr>
          </w:p>
        </w:tc>
        <w:tc>
          <w:tcPr>
            <w:tcW w:w="1191" w:type="dxa"/>
            <w:noWrap w:val="0"/>
            <w:vAlign w:val="center"/>
          </w:tcPr>
          <w:p w14:paraId="45303D6F">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1259" w:type="dxa"/>
            <w:noWrap w:val="0"/>
            <w:vAlign w:val="center"/>
          </w:tcPr>
          <w:p w14:paraId="0CED1229">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719" w:type="dxa"/>
            <w:noWrap w:val="0"/>
            <w:vAlign w:val="center"/>
          </w:tcPr>
          <w:p w14:paraId="225F0E1B">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802" w:type="dxa"/>
            <w:noWrap w:val="0"/>
            <w:vAlign w:val="center"/>
          </w:tcPr>
          <w:p w14:paraId="299287E1">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1275" w:type="dxa"/>
            <w:noWrap w:val="0"/>
            <w:vAlign w:val="center"/>
          </w:tcPr>
          <w:p w14:paraId="7CA86D49">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14:paraId="4AB2B8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034A610F">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49236F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1" w:type="dxa"/>
            <w:vMerge w:val="restart"/>
            <w:tcBorders>
              <w:bottom w:val="nil"/>
            </w:tcBorders>
            <w:noWrap w:val="0"/>
            <w:vAlign w:val="center"/>
          </w:tcPr>
          <w:p w14:paraId="7A248542">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14:paraId="7B03A3F5">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155" w:type="dxa"/>
            <w:noWrap w:val="0"/>
            <w:vAlign w:val="center"/>
          </w:tcPr>
          <w:p w14:paraId="429CF457">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 w:hAnsi="仿宋" w:eastAsia="仿宋" w:cs="仿宋"/>
                <w:i w:val="0"/>
                <w:iCs w:val="0"/>
                <w:color w:val="000000"/>
                <w:kern w:val="2"/>
                <w:sz w:val="22"/>
                <w:szCs w:val="22"/>
                <w:u w:val="none"/>
                <w:lang w:val="en-US" w:eastAsia="zh-CN" w:bidi="ar-SA"/>
              </w:rPr>
            </w:pPr>
            <w:r>
              <w:rPr>
                <w:rFonts w:hint="eastAsia" w:ascii="Arial"/>
                <w:color w:val="000000" w:themeColor="text1"/>
                <w:sz w:val="20"/>
                <w:lang w:val="en-US" w:eastAsia="zh-CN"/>
                <w14:textFill>
                  <w14:solidFill>
                    <w14:schemeClr w14:val="tx1"/>
                  </w14:solidFill>
                </w14:textFill>
              </w:rPr>
              <w:t>推动住房产业发展</w:t>
            </w:r>
          </w:p>
        </w:tc>
        <w:tc>
          <w:tcPr>
            <w:tcW w:w="1191" w:type="dxa"/>
            <w:noWrap w:val="0"/>
            <w:vAlign w:val="center"/>
          </w:tcPr>
          <w:p w14:paraId="0B244A07">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259" w:type="dxa"/>
            <w:noWrap w:val="0"/>
            <w:vAlign w:val="center"/>
          </w:tcPr>
          <w:p w14:paraId="7EF1EB6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14:paraId="1D324E0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w:t>
            </w:r>
          </w:p>
        </w:tc>
        <w:tc>
          <w:tcPr>
            <w:tcW w:w="802" w:type="dxa"/>
            <w:noWrap w:val="0"/>
            <w:vAlign w:val="center"/>
          </w:tcPr>
          <w:p w14:paraId="5A2E39BC">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w:t>
            </w:r>
          </w:p>
        </w:tc>
        <w:tc>
          <w:tcPr>
            <w:tcW w:w="1275" w:type="dxa"/>
            <w:noWrap w:val="0"/>
            <w:vAlign w:val="center"/>
          </w:tcPr>
          <w:p w14:paraId="4C99DD1C">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01E99D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27C956AB">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4D3FC61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1" w:type="dxa"/>
            <w:vMerge w:val="continue"/>
            <w:tcBorders>
              <w:top w:val="nil"/>
              <w:bottom w:val="nil"/>
            </w:tcBorders>
            <w:noWrap w:val="0"/>
            <w:vAlign w:val="center"/>
          </w:tcPr>
          <w:p w14:paraId="7CB5C58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55" w:type="dxa"/>
            <w:noWrap w:val="0"/>
            <w:vAlign w:val="center"/>
          </w:tcPr>
          <w:p w14:paraId="1847BAEE">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191" w:type="dxa"/>
            <w:noWrap w:val="0"/>
            <w:vAlign w:val="center"/>
          </w:tcPr>
          <w:p w14:paraId="52590C04">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259" w:type="dxa"/>
            <w:noWrap w:val="0"/>
            <w:vAlign w:val="center"/>
          </w:tcPr>
          <w:p w14:paraId="284B8396">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719" w:type="dxa"/>
            <w:noWrap w:val="0"/>
            <w:vAlign w:val="center"/>
          </w:tcPr>
          <w:p w14:paraId="72FA45A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802" w:type="dxa"/>
            <w:noWrap w:val="0"/>
            <w:vAlign w:val="center"/>
          </w:tcPr>
          <w:p w14:paraId="62C3D48A">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c>
          <w:tcPr>
            <w:tcW w:w="1275" w:type="dxa"/>
            <w:noWrap w:val="0"/>
            <w:vAlign w:val="center"/>
          </w:tcPr>
          <w:p w14:paraId="1867C71A">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43DD35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5D8A6AD1">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205AEF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1" w:type="dxa"/>
            <w:vMerge w:val="continue"/>
            <w:tcBorders>
              <w:top w:val="nil"/>
            </w:tcBorders>
            <w:noWrap w:val="0"/>
            <w:vAlign w:val="center"/>
          </w:tcPr>
          <w:p w14:paraId="513D19C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55" w:type="dxa"/>
            <w:noWrap w:val="0"/>
            <w:vAlign w:val="center"/>
          </w:tcPr>
          <w:p w14:paraId="198FC13D">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c>
          <w:tcPr>
            <w:tcW w:w="1191" w:type="dxa"/>
            <w:noWrap w:val="0"/>
            <w:vAlign w:val="center"/>
          </w:tcPr>
          <w:p w14:paraId="34CE5670">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c>
          <w:tcPr>
            <w:tcW w:w="1259" w:type="dxa"/>
            <w:noWrap w:val="0"/>
            <w:vAlign w:val="center"/>
          </w:tcPr>
          <w:p w14:paraId="6E6A83E0">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c>
          <w:tcPr>
            <w:tcW w:w="719" w:type="dxa"/>
            <w:noWrap w:val="0"/>
            <w:vAlign w:val="center"/>
          </w:tcPr>
          <w:p w14:paraId="0A94F867">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c>
          <w:tcPr>
            <w:tcW w:w="802" w:type="dxa"/>
            <w:noWrap w:val="0"/>
            <w:vAlign w:val="center"/>
          </w:tcPr>
          <w:p w14:paraId="18DBE610">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c>
          <w:tcPr>
            <w:tcW w:w="1275" w:type="dxa"/>
            <w:noWrap w:val="0"/>
            <w:vAlign w:val="center"/>
          </w:tcPr>
          <w:p w14:paraId="6A59FAB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47BDDA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51D7E5DB">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2BC0A5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1" w:type="dxa"/>
            <w:vMerge w:val="restart"/>
            <w:tcBorders>
              <w:bottom w:val="nil"/>
            </w:tcBorders>
            <w:noWrap w:val="0"/>
            <w:vAlign w:val="center"/>
          </w:tcPr>
          <w:p w14:paraId="3B298198">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14:paraId="1D0546AE">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155" w:type="dxa"/>
            <w:noWrap w:val="0"/>
            <w:vAlign w:val="center"/>
          </w:tcPr>
          <w:p w14:paraId="5A739C87">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p>
        </w:tc>
        <w:tc>
          <w:tcPr>
            <w:tcW w:w="1191" w:type="dxa"/>
            <w:noWrap w:val="0"/>
            <w:vAlign w:val="center"/>
          </w:tcPr>
          <w:p w14:paraId="18F119B5">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hint="default" w:ascii="Arial" w:eastAsiaTheme="minorEastAsia"/>
                <w:color w:val="000000" w:themeColor="text1"/>
                <w:sz w:val="20"/>
                <w:lang w:val="en-US" w:eastAsia="zh-CN"/>
                <w14:textFill>
                  <w14:solidFill>
                    <w14:schemeClr w14:val="tx1"/>
                  </w14:solidFill>
                </w14:textFill>
              </w:rPr>
            </w:pPr>
          </w:p>
        </w:tc>
        <w:tc>
          <w:tcPr>
            <w:tcW w:w="1259" w:type="dxa"/>
            <w:noWrap w:val="0"/>
            <w:vAlign w:val="center"/>
          </w:tcPr>
          <w:p w14:paraId="32FE67CC">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hint="default" w:ascii="Arial" w:eastAsiaTheme="minorEastAsia"/>
                <w:color w:val="000000" w:themeColor="text1"/>
                <w:sz w:val="20"/>
                <w:lang w:val="en-US" w:eastAsia="zh-CN"/>
                <w14:textFill>
                  <w14:solidFill>
                    <w14:schemeClr w14:val="tx1"/>
                  </w14:solidFill>
                </w14:textFill>
              </w:rPr>
            </w:pPr>
          </w:p>
        </w:tc>
        <w:tc>
          <w:tcPr>
            <w:tcW w:w="719" w:type="dxa"/>
            <w:noWrap w:val="0"/>
            <w:vAlign w:val="center"/>
          </w:tcPr>
          <w:p w14:paraId="0D8A05D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p>
        </w:tc>
        <w:tc>
          <w:tcPr>
            <w:tcW w:w="802" w:type="dxa"/>
            <w:noWrap w:val="0"/>
            <w:vAlign w:val="center"/>
          </w:tcPr>
          <w:p w14:paraId="07821384">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p>
        </w:tc>
        <w:tc>
          <w:tcPr>
            <w:tcW w:w="1275" w:type="dxa"/>
            <w:noWrap w:val="0"/>
            <w:vAlign w:val="center"/>
          </w:tcPr>
          <w:p w14:paraId="78C58985">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5835EA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58ACA70B">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45D70A8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1" w:type="dxa"/>
            <w:vMerge w:val="continue"/>
            <w:tcBorders>
              <w:top w:val="nil"/>
              <w:bottom w:val="nil"/>
            </w:tcBorders>
            <w:noWrap w:val="0"/>
            <w:vAlign w:val="center"/>
          </w:tcPr>
          <w:p w14:paraId="16D9C52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55" w:type="dxa"/>
            <w:noWrap w:val="0"/>
            <w:vAlign w:val="center"/>
          </w:tcPr>
          <w:p w14:paraId="793D866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91" w:type="dxa"/>
            <w:noWrap w:val="0"/>
            <w:vAlign w:val="center"/>
          </w:tcPr>
          <w:p w14:paraId="57B1922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59" w:type="dxa"/>
            <w:noWrap w:val="0"/>
            <w:vAlign w:val="center"/>
          </w:tcPr>
          <w:p w14:paraId="54B232B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719" w:type="dxa"/>
            <w:noWrap w:val="0"/>
            <w:vAlign w:val="center"/>
          </w:tcPr>
          <w:p w14:paraId="47EC873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802" w:type="dxa"/>
            <w:noWrap w:val="0"/>
            <w:vAlign w:val="center"/>
          </w:tcPr>
          <w:p w14:paraId="4A6F83B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5" w:type="dxa"/>
            <w:noWrap w:val="0"/>
            <w:vAlign w:val="center"/>
          </w:tcPr>
          <w:p w14:paraId="7147BB5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7B7A60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2A1F53F5">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2984AC2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1" w:type="dxa"/>
            <w:vMerge w:val="continue"/>
            <w:tcBorders>
              <w:top w:val="nil"/>
            </w:tcBorders>
            <w:noWrap w:val="0"/>
            <w:vAlign w:val="center"/>
          </w:tcPr>
          <w:p w14:paraId="1B04DC8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55" w:type="dxa"/>
            <w:noWrap w:val="0"/>
            <w:vAlign w:val="center"/>
          </w:tcPr>
          <w:p w14:paraId="40E9558E">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1191" w:type="dxa"/>
            <w:noWrap w:val="0"/>
            <w:vAlign w:val="center"/>
          </w:tcPr>
          <w:p w14:paraId="13F50342">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1259" w:type="dxa"/>
            <w:noWrap w:val="0"/>
            <w:vAlign w:val="center"/>
          </w:tcPr>
          <w:p w14:paraId="1B7F0081">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719" w:type="dxa"/>
            <w:noWrap w:val="0"/>
            <w:vAlign w:val="center"/>
          </w:tcPr>
          <w:p w14:paraId="72F9E531">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802" w:type="dxa"/>
            <w:noWrap w:val="0"/>
            <w:vAlign w:val="center"/>
          </w:tcPr>
          <w:p w14:paraId="7BA17FEF">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c>
          <w:tcPr>
            <w:tcW w:w="1275" w:type="dxa"/>
            <w:noWrap w:val="0"/>
            <w:vAlign w:val="center"/>
          </w:tcPr>
          <w:p w14:paraId="314DC34F">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14:paraId="2AFE79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14:paraId="6A0A14DA">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411158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1" w:type="dxa"/>
            <w:vMerge w:val="restart"/>
            <w:tcBorders>
              <w:bottom w:val="nil"/>
            </w:tcBorders>
            <w:noWrap w:val="0"/>
            <w:vAlign w:val="center"/>
          </w:tcPr>
          <w:p w14:paraId="4CE54223">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14:paraId="7BBDCE85">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155" w:type="dxa"/>
            <w:noWrap w:val="0"/>
            <w:vAlign w:val="center"/>
          </w:tcPr>
          <w:p w14:paraId="7686309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完成业务培训任务</w:t>
            </w:r>
          </w:p>
        </w:tc>
        <w:tc>
          <w:tcPr>
            <w:tcW w:w="1191" w:type="dxa"/>
            <w:noWrap w:val="0"/>
            <w:vAlign w:val="center"/>
          </w:tcPr>
          <w:p w14:paraId="644276C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259" w:type="dxa"/>
            <w:noWrap w:val="0"/>
            <w:vAlign w:val="center"/>
          </w:tcPr>
          <w:p w14:paraId="586C4CEB">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100%</w:t>
            </w:r>
          </w:p>
        </w:tc>
        <w:tc>
          <w:tcPr>
            <w:tcW w:w="719" w:type="dxa"/>
            <w:noWrap w:val="0"/>
            <w:vAlign w:val="center"/>
          </w:tcPr>
          <w:p w14:paraId="6835205F">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14:paraId="0CF9E0B9">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275" w:type="dxa"/>
            <w:noWrap w:val="0"/>
            <w:vAlign w:val="center"/>
          </w:tcPr>
          <w:p w14:paraId="3DA9B42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64485F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trPr>
        <w:tc>
          <w:tcPr>
            <w:tcW w:w="1084" w:type="dxa"/>
            <w:vMerge w:val="continue"/>
            <w:tcBorders>
              <w:top w:val="nil"/>
              <w:bottom w:val="nil"/>
            </w:tcBorders>
            <w:noWrap w:val="0"/>
            <w:textDirection w:val="tbRlV"/>
            <w:vAlign w:val="top"/>
          </w:tcPr>
          <w:p w14:paraId="11B70A58">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0C97023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1" w:type="dxa"/>
            <w:vMerge w:val="continue"/>
            <w:tcBorders>
              <w:top w:val="nil"/>
              <w:bottom w:val="nil"/>
            </w:tcBorders>
            <w:noWrap w:val="0"/>
            <w:vAlign w:val="center"/>
          </w:tcPr>
          <w:p w14:paraId="7A14283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55" w:type="dxa"/>
            <w:noWrap w:val="0"/>
            <w:vAlign w:val="center"/>
          </w:tcPr>
          <w:p w14:paraId="541BE22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91" w:type="dxa"/>
            <w:noWrap w:val="0"/>
            <w:vAlign w:val="center"/>
          </w:tcPr>
          <w:p w14:paraId="2C37C44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59" w:type="dxa"/>
            <w:noWrap w:val="0"/>
            <w:vAlign w:val="center"/>
          </w:tcPr>
          <w:p w14:paraId="50C819B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719" w:type="dxa"/>
            <w:noWrap w:val="0"/>
            <w:vAlign w:val="center"/>
          </w:tcPr>
          <w:p w14:paraId="7369245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802" w:type="dxa"/>
            <w:noWrap w:val="0"/>
            <w:vAlign w:val="center"/>
          </w:tcPr>
          <w:p w14:paraId="175DDC3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5" w:type="dxa"/>
            <w:noWrap w:val="0"/>
            <w:vAlign w:val="center"/>
          </w:tcPr>
          <w:p w14:paraId="1E5ACFB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6DB2BB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84" w:type="dxa"/>
            <w:vMerge w:val="continue"/>
            <w:tcBorders>
              <w:top w:val="nil"/>
              <w:bottom w:val="nil"/>
            </w:tcBorders>
            <w:noWrap w:val="0"/>
            <w:textDirection w:val="tbRlV"/>
            <w:vAlign w:val="top"/>
          </w:tcPr>
          <w:p w14:paraId="4BC69F8C">
            <w:pPr>
              <w:rPr>
                <w:rFonts w:ascii="Arial"/>
                <w:color w:val="000000" w:themeColor="text1"/>
                <w:sz w:val="21"/>
                <w14:textFill>
                  <w14:solidFill>
                    <w14:schemeClr w14:val="tx1"/>
                  </w14:solidFill>
                </w14:textFill>
              </w:rPr>
            </w:pPr>
          </w:p>
        </w:tc>
        <w:tc>
          <w:tcPr>
            <w:tcW w:w="1079" w:type="dxa"/>
            <w:vMerge w:val="continue"/>
            <w:tcBorders>
              <w:top w:val="nil"/>
            </w:tcBorders>
            <w:noWrap w:val="0"/>
            <w:vAlign w:val="center"/>
          </w:tcPr>
          <w:p w14:paraId="243872D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1" w:type="dxa"/>
            <w:vMerge w:val="continue"/>
            <w:tcBorders>
              <w:top w:val="nil"/>
            </w:tcBorders>
            <w:noWrap w:val="0"/>
            <w:vAlign w:val="center"/>
          </w:tcPr>
          <w:p w14:paraId="6AD4B1A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55" w:type="dxa"/>
            <w:noWrap w:val="0"/>
            <w:vAlign w:val="center"/>
          </w:tcPr>
          <w:p w14:paraId="42A1D5C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91" w:type="dxa"/>
            <w:noWrap w:val="0"/>
            <w:vAlign w:val="center"/>
          </w:tcPr>
          <w:p w14:paraId="19D3567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59" w:type="dxa"/>
            <w:noWrap w:val="0"/>
            <w:vAlign w:val="center"/>
          </w:tcPr>
          <w:p w14:paraId="7128135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719" w:type="dxa"/>
            <w:noWrap w:val="0"/>
            <w:vAlign w:val="center"/>
          </w:tcPr>
          <w:p w14:paraId="6D06E14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802" w:type="dxa"/>
            <w:noWrap w:val="0"/>
            <w:vAlign w:val="center"/>
          </w:tcPr>
          <w:p w14:paraId="192FE28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5" w:type="dxa"/>
            <w:noWrap w:val="0"/>
            <w:vAlign w:val="center"/>
          </w:tcPr>
          <w:p w14:paraId="68769BA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1F76E9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14:paraId="09AE3955">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760A7CFC">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14:paraId="5FCD5540">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14:paraId="78D87A7A">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271" w:type="dxa"/>
            <w:vMerge w:val="restart"/>
            <w:tcBorders>
              <w:bottom w:val="nil"/>
            </w:tcBorders>
            <w:noWrap w:val="0"/>
            <w:vAlign w:val="center"/>
          </w:tcPr>
          <w:p w14:paraId="56638EF6">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14:paraId="36CBB212">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14:paraId="13824A1D">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155" w:type="dxa"/>
            <w:noWrap w:val="0"/>
            <w:vAlign w:val="center"/>
          </w:tcPr>
          <w:p w14:paraId="0CF602AB">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社会公众满意度</w:t>
            </w:r>
          </w:p>
        </w:tc>
        <w:tc>
          <w:tcPr>
            <w:tcW w:w="1191" w:type="dxa"/>
            <w:noWrap w:val="0"/>
            <w:vAlign w:val="center"/>
          </w:tcPr>
          <w:p w14:paraId="5EB0DAE2">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≥90%</w:t>
            </w:r>
          </w:p>
        </w:tc>
        <w:tc>
          <w:tcPr>
            <w:tcW w:w="1259" w:type="dxa"/>
            <w:noWrap w:val="0"/>
            <w:vAlign w:val="center"/>
          </w:tcPr>
          <w:p w14:paraId="1B19538E">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≥90%</w:t>
            </w:r>
          </w:p>
        </w:tc>
        <w:tc>
          <w:tcPr>
            <w:tcW w:w="719" w:type="dxa"/>
            <w:noWrap w:val="0"/>
            <w:vAlign w:val="center"/>
          </w:tcPr>
          <w:p w14:paraId="599A4994">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14:paraId="1BCCEDE9">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275" w:type="dxa"/>
            <w:noWrap w:val="0"/>
            <w:vAlign w:val="center"/>
          </w:tcPr>
          <w:p w14:paraId="11BB8FA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447A05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84" w:type="dxa"/>
            <w:vMerge w:val="continue"/>
            <w:tcBorders>
              <w:top w:val="nil"/>
              <w:bottom w:val="nil"/>
            </w:tcBorders>
            <w:noWrap w:val="0"/>
            <w:textDirection w:val="tbRlV"/>
            <w:vAlign w:val="top"/>
          </w:tcPr>
          <w:p w14:paraId="016D07CA">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5488364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1" w:type="dxa"/>
            <w:vMerge w:val="continue"/>
            <w:tcBorders>
              <w:top w:val="nil"/>
              <w:bottom w:val="nil"/>
            </w:tcBorders>
            <w:noWrap w:val="0"/>
            <w:vAlign w:val="center"/>
          </w:tcPr>
          <w:p w14:paraId="4E6CD9C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55" w:type="dxa"/>
            <w:noWrap w:val="0"/>
            <w:vAlign w:val="center"/>
          </w:tcPr>
          <w:p w14:paraId="43147E3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91" w:type="dxa"/>
            <w:noWrap w:val="0"/>
            <w:vAlign w:val="center"/>
          </w:tcPr>
          <w:p w14:paraId="7F76E3E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59" w:type="dxa"/>
            <w:noWrap w:val="0"/>
            <w:vAlign w:val="center"/>
          </w:tcPr>
          <w:p w14:paraId="03C5999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719" w:type="dxa"/>
            <w:noWrap w:val="0"/>
            <w:vAlign w:val="center"/>
          </w:tcPr>
          <w:p w14:paraId="43EA062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802" w:type="dxa"/>
            <w:noWrap w:val="0"/>
            <w:vAlign w:val="center"/>
          </w:tcPr>
          <w:p w14:paraId="5258205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5" w:type="dxa"/>
            <w:noWrap w:val="0"/>
            <w:vAlign w:val="center"/>
          </w:tcPr>
          <w:p w14:paraId="614989E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41022C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84" w:type="dxa"/>
            <w:vMerge w:val="continue"/>
            <w:tcBorders>
              <w:top w:val="nil"/>
            </w:tcBorders>
            <w:noWrap w:val="0"/>
            <w:textDirection w:val="tbRlV"/>
            <w:vAlign w:val="top"/>
          </w:tcPr>
          <w:p w14:paraId="7CCE8174">
            <w:pPr>
              <w:rPr>
                <w:rFonts w:ascii="Arial"/>
                <w:color w:val="000000" w:themeColor="text1"/>
                <w:sz w:val="21"/>
                <w14:textFill>
                  <w14:solidFill>
                    <w14:schemeClr w14:val="tx1"/>
                  </w14:solidFill>
                </w14:textFill>
              </w:rPr>
            </w:pPr>
          </w:p>
        </w:tc>
        <w:tc>
          <w:tcPr>
            <w:tcW w:w="1079" w:type="dxa"/>
            <w:vMerge w:val="continue"/>
            <w:tcBorders>
              <w:top w:val="nil"/>
            </w:tcBorders>
            <w:noWrap w:val="0"/>
            <w:vAlign w:val="center"/>
          </w:tcPr>
          <w:p w14:paraId="5389F55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1" w:type="dxa"/>
            <w:vMerge w:val="continue"/>
            <w:tcBorders>
              <w:top w:val="nil"/>
            </w:tcBorders>
            <w:noWrap w:val="0"/>
            <w:vAlign w:val="center"/>
          </w:tcPr>
          <w:p w14:paraId="1AE8D1F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55" w:type="dxa"/>
            <w:noWrap w:val="0"/>
            <w:vAlign w:val="center"/>
          </w:tcPr>
          <w:p w14:paraId="227CE8A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191" w:type="dxa"/>
            <w:noWrap w:val="0"/>
            <w:vAlign w:val="center"/>
          </w:tcPr>
          <w:p w14:paraId="1F522F2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59" w:type="dxa"/>
            <w:noWrap w:val="0"/>
            <w:vAlign w:val="center"/>
          </w:tcPr>
          <w:p w14:paraId="298118F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719" w:type="dxa"/>
            <w:noWrap w:val="0"/>
            <w:vAlign w:val="center"/>
          </w:tcPr>
          <w:p w14:paraId="501CE00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802" w:type="dxa"/>
            <w:noWrap w:val="0"/>
            <w:vAlign w:val="center"/>
          </w:tcPr>
          <w:p w14:paraId="65C4B99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75" w:type="dxa"/>
            <w:noWrap w:val="0"/>
            <w:vAlign w:val="center"/>
          </w:tcPr>
          <w:p w14:paraId="78DA72F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5914C4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14:paraId="51CE168D">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14:paraId="719D2F49">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noWrap w:val="0"/>
            <w:vAlign w:val="center"/>
          </w:tcPr>
          <w:p w14:paraId="42CDC8D9">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97</w:t>
            </w:r>
          </w:p>
        </w:tc>
        <w:tc>
          <w:tcPr>
            <w:tcW w:w="1275" w:type="dxa"/>
            <w:noWrap w:val="0"/>
            <w:vAlign w:val="center"/>
          </w:tcPr>
          <w:p w14:paraId="134536B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14:paraId="11A4FE2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ascii="仿宋" w:hAnsi="仿宋" w:eastAsia="仿宋" w:cs="仿宋"/>
          <w:color w:val="000000" w:themeColor="text1"/>
          <w:spacing w:val="-22"/>
          <w:sz w:val="22"/>
          <w:szCs w:val="22"/>
          <w14:textFill>
            <w14:solidFill>
              <w14:schemeClr w14:val="tx1"/>
            </w14:solidFill>
          </w14:textFill>
        </w:rPr>
        <w:t>填表人：</w:t>
      </w:r>
      <w:r>
        <w:rPr>
          <w:rFonts w:ascii="仿宋" w:hAnsi="仿宋" w:eastAsia="仿宋" w:cs="仿宋"/>
          <w:color w:val="000000" w:themeColor="text1"/>
          <w:spacing w:val="9"/>
          <w:sz w:val="22"/>
          <w:szCs w:val="22"/>
          <w14:textFill>
            <w14:solidFill>
              <w14:schemeClr w14:val="tx1"/>
            </w14:solidFill>
          </w14:textFill>
        </w:rPr>
        <w:t xml:space="preserve"> </w:t>
      </w:r>
      <w:r>
        <w:rPr>
          <w:rFonts w:hint="eastAsia" w:ascii="仿宋" w:hAnsi="仿宋" w:eastAsia="仿宋" w:cs="仿宋"/>
          <w:color w:val="000000" w:themeColor="text1"/>
          <w:spacing w:val="9"/>
          <w:sz w:val="22"/>
          <w:szCs w:val="22"/>
          <w:lang w:val="en-US" w:eastAsia="zh-CN"/>
          <w14:textFill>
            <w14:solidFill>
              <w14:schemeClr w14:val="tx1"/>
            </w14:solidFill>
          </w14:textFill>
        </w:rPr>
        <w:t>彭玲</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hint="eastAsia" w:ascii="仿宋" w:hAnsi="仿宋" w:eastAsia="仿宋" w:cs="仿宋"/>
          <w:color w:val="000000" w:themeColor="text1"/>
          <w:spacing w:val="-22"/>
          <w:sz w:val="22"/>
          <w:szCs w:val="22"/>
          <w:lang w:val="en-US" w:eastAsia="zh-CN"/>
          <w14:textFill>
            <w14:solidFill>
              <w14:schemeClr w14:val="tx1"/>
            </w14:solidFill>
          </w14:textFill>
        </w:rPr>
        <w:t>13507300622</w:t>
      </w:r>
      <w:r>
        <w:rPr>
          <w:rFonts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ascii="仿宋" w:hAnsi="仿宋" w:eastAsia="仿宋" w:cs="仿宋"/>
          <w:color w:val="000000" w:themeColor="text1"/>
          <w:spacing w:val="3"/>
          <w:sz w:val="22"/>
          <w:szCs w:val="22"/>
          <w14:textFill>
            <w14:solidFill>
              <w14:schemeClr w14:val="tx1"/>
            </w14:solidFill>
          </w14:textFill>
        </w:rPr>
        <w:t xml:space="preserve">  </w:t>
      </w:r>
    </w:p>
    <w:p w14:paraId="3246061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NumType w:fmt="decimal"/>
          <w:cols w:space="0" w:num="1"/>
          <w:rtlGutter w:val="0"/>
          <w:docGrid w:type="lines" w:linePitch="312" w:charSpace="0"/>
        </w:sect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14:paraId="02DC8DD1">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14:paraId="28D8153D">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14:paraId="65ACF140">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岳阳市公共租赁房屋房屋运营服务中心</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整体支出绩效自评报告</w:t>
      </w:r>
    </w:p>
    <w:p w14:paraId="28FD047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E406D0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FAF38C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4D35C9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3BBA78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362B6B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C14F6F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B145BC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98FB27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9C1763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94FBD7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9ACA22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B805D1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B37AD3E">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B894D8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79C20F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DB4C55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3F4F4B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F82D30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5B141AE">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1A333A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FAC6A8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38277EE">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AED703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2F8EBB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4E4E9B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BA0A452">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14:paraId="0B753713">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年  月  日</w:t>
      </w:r>
    </w:p>
    <w:p w14:paraId="0DAA123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58CBFC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291B94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0EF75F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D8D593E">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2022年度岳阳楼区岳阳市公共租赁房屋运营服务中心整体支出绩效自评报告</w:t>
      </w:r>
    </w:p>
    <w:p w14:paraId="5661FD1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A95D3A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DB3069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62FA1DF">
      <w:pPr>
        <w:widowControl/>
        <w:numPr>
          <w:ilvl w:val="0"/>
          <w:numId w:val="1"/>
        </w:numPr>
        <w:spacing w:line="600" w:lineRule="exact"/>
        <w:ind w:firstLine="640" w:firstLineChars="200"/>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14:paraId="7B802ECB">
      <w:pPr>
        <w:widowControl/>
        <w:numPr>
          <w:ilvl w:val="0"/>
          <w:numId w:val="0"/>
        </w:numPr>
        <w:spacing w:line="600" w:lineRule="exact"/>
        <w:ind w:firstLine="640" w:firstLineChars="200"/>
        <w:rPr>
          <w:rFonts w:hint="eastAsia" w:ascii="仿宋" w:hAnsi="仿宋" w:eastAsia="仿宋" w:cs="仿宋_GB2312"/>
          <w:kern w:val="0"/>
          <w:sz w:val="32"/>
          <w:szCs w:val="32"/>
        </w:rPr>
      </w:pPr>
      <w:r>
        <w:rPr>
          <w:rFonts w:hint="eastAsia" w:ascii="仿宋" w:hAnsi="仿宋" w:eastAsia="仿宋" w:cs="仿宋_GB2312"/>
          <w:kern w:val="0"/>
          <w:sz w:val="32"/>
          <w:szCs w:val="32"/>
          <w:lang w:val="en-US" w:eastAsia="zh-CN"/>
        </w:rPr>
        <w:t>岳阳</w:t>
      </w:r>
      <w:r>
        <w:rPr>
          <w:rFonts w:hint="eastAsia" w:ascii="仿宋" w:hAnsi="仿宋" w:eastAsia="仿宋" w:cs="仿宋_GB2312"/>
          <w:kern w:val="0"/>
          <w:sz w:val="32"/>
          <w:szCs w:val="32"/>
        </w:rPr>
        <w:t>市公共租赁房屋运营服务中心为区政府所属正科级公益一类事业单位，根据《关于印发〈关于强化基层治理和事权属地管理的方案〉的通知》（岳机改发〔2021〕1号）文件精神，2021年4月事权整体下沉到岳阳楼区。根据相关文件，我中心为：副主任3名，核定事业编制为42名。目前我中心在岗在编人员</w:t>
      </w:r>
      <w:r>
        <w:rPr>
          <w:rFonts w:hint="eastAsia" w:ascii="仿宋" w:hAnsi="仿宋" w:eastAsia="仿宋" w:cs="仿宋_GB2312"/>
          <w:kern w:val="0"/>
          <w:sz w:val="32"/>
          <w:szCs w:val="32"/>
          <w:lang w:val="en-US" w:eastAsia="zh-CN"/>
        </w:rPr>
        <w:t>40</w:t>
      </w:r>
      <w:r>
        <w:rPr>
          <w:rFonts w:hint="eastAsia" w:ascii="仿宋" w:hAnsi="仿宋" w:eastAsia="仿宋" w:cs="仿宋_GB2312"/>
          <w:kern w:val="0"/>
          <w:sz w:val="32"/>
          <w:szCs w:val="32"/>
        </w:rPr>
        <w:t>名，临聘人员</w:t>
      </w:r>
      <w:r>
        <w:rPr>
          <w:rFonts w:hint="eastAsia" w:ascii="仿宋" w:hAnsi="仿宋" w:eastAsia="仿宋" w:cs="仿宋_GB2312"/>
          <w:kern w:val="0"/>
          <w:sz w:val="32"/>
          <w:szCs w:val="32"/>
          <w:lang w:val="en-US" w:eastAsia="zh-CN"/>
        </w:rPr>
        <w:t>6</w:t>
      </w:r>
      <w:r>
        <w:rPr>
          <w:rFonts w:hint="eastAsia" w:ascii="仿宋" w:hAnsi="仿宋" w:eastAsia="仿宋" w:cs="仿宋_GB2312"/>
          <w:kern w:val="0"/>
          <w:sz w:val="32"/>
          <w:szCs w:val="32"/>
        </w:rPr>
        <w:t xml:space="preserve">人。 </w:t>
      </w:r>
    </w:p>
    <w:p w14:paraId="4F523F22">
      <w:pPr>
        <w:widowControl/>
        <w:spacing w:line="600" w:lineRule="exact"/>
        <w:ind w:firstLine="640" w:firstLineChars="200"/>
        <w:rPr>
          <w:rFonts w:hint="eastAsia" w:ascii="仿宋" w:hAnsi="仿宋" w:eastAsia="仿宋" w:cs="仿宋_GB2312"/>
          <w:kern w:val="0"/>
          <w:sz w:val="32"/>
          <w:szCs w:val="32"/>
        </w:rPr>
      </w:pPr>
      <w:r>
        <w:rPr>
          <w:rFonts w:hint="eastAsia" w:ascii="仿宋" w:hAnsi="仿宋" w:eastAsia="仿宋" w:cs="仿宋_GB2312"/>
          <w:kern w:val="0"/>
          <w:sz w:val="32"/>
          <w:szCs w:val="32"/>
          <w:lang w:val="en-US" w:eastAsia="zh-CN"/>
        </w:rPr>
        <w:t>单位</w:t>
      </w:r>
      <w:r>
        <w:rPr>
          <w:rFonts w:hint="eastAsia" w:ascii="仿宋" w:hAnsi="仿宋" w:eastAsia="仿宋" w:cs="仿宋_GB2312"/>
          <w:kern w:val="0"/>
          <w:sz w:val="32"/>
          <w:szCs w:val="32"/>
        </w:rPr>
        <w:t>内设股室（根据岳编办通〔2011〕154号文件）9个：办公室、房屋管理股、工程股、财务股、存量公房管理股、市场管理股、直管公房管理股、公共租赁住房管理股</w:t>
      </w:r>
      <w:r>
        <w:rPr>
          <w:rFonts w:hint="eastAsia" w:ascii="仿宋" w:hAnsi="仿宋" w:eastAsia="仿宋" w:cs="仿宋_GB2312"/>
          <w:kern w:val="0"/>
          <w:sz w:val="32"/>
          <w:szCs w:val="32"/>
          <w:lang w:eastAsia="zh-CN"/>
        </w:rPr>
        <w:t>，</w:t>
      </w:r>
      <w:r>
        <w:rPr>
          <w:rFonts w:hint="eastAsia" w:ascii="仿宋" w:hAnsi="仿宋" w:eastAsia="仿宋" w:cs="仿宋_GB2312"/>
          <w:kern w:val="0"/>
          <w:sz w:val="32"/>
          <w:szCs w:val="32"/>
          <w:lang w:val="en-US" w:eastAsia="zh-CN"/>
        </w:rPr>
        <w:t>法规股</w:t>
      </w:r>
      <w:r>
        <w:rPr>
          <w:rFonts w:hint="eastAsia" w:ascii="仿宋" w:hAnsi="仿宋" w:eastAsia="仿宋" w:cs="仿宋_GB2312"/>
          <w:kern w:val="0"/>
          <w:sz w:val="32"/>
          <w:szCs w:val="32"/>
        </w:rPr>
        <w:t>。</w:t>
      </w:r>
    </w:p>
    <w:p w14:paraId="77F1D02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p>
    <w:p w14:paraId="511DF9FE">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14:paraId="48B8198B">
      <w:pPr>
        <w:keepNext w:val="0"/>
        <w:keepLines w:val="0"/>
        <w:pageBreakBefore w:val="0"/>
        <w:widowControl w:val="0"/>
        <w:kinsoku/>
        <w:wordWrap/>
        <w:overflowPunct/>
        <w:topLinePunct w:val="0"/>
        <w:autoSpaceDE/>
        <w:autoSpaceDN/>
        <w:bidi w:val="0"/>
        <w:adjustRightInd/>
        <w:snapToGrid/>
        <w:ind w:left="319" w:leftChars="152" w:firstLine="321" w:firstLineChars="1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 xml:space="preserve">(一)基本支出情况                             </w:t>
      </w:r>
      <w:r>
        <w:rPr>
          <w:rFonts w:hint="eastAsia" w:ascii="仿宋" w:hAnsi="仿宋" w:eastAsia="仿宋" w:cs="仿宋_GB2312"/>
          <w:kern w:val="0"/>
          <w:sz w:val="32"/>
          <w:szCs w:val="32"/>
        </w:rPr>
        <w:t>2022年本单位支出</w:t>
      </w:r>
      <w:r>
        <w:rPr>
          <w:rFonts w:hint="eastAsia" w:ascii="仿宋" w:hAnsi="仿宋" w:eastAsia="仿宋" w:cs="仿宋_GB2312"/>
          <w:kern w:val="0"/>
          <w:sz w:val="32"/>
          <w:szCs w:val="32"/>
          <w:lang w:val="en-US" w:eastAsia="zh-CN"/>
        </w:rPr>
        <w:t>683.26</w:t>
      </w:r>
      <w:r>
        <w:rPr>
          <w:rFonts w:hint="eastAsia" w:ascii="仿宋" w:hAnsi="仿宋" w:eastAsia="仿宋" w:cs="仿宋_GB2312"/>
          <w:kern w:val="0"/>
          <w:sz w:val="32"/>
          <w:szCs w:val="32"/>
        </w:rPr>
        <w:t>万元</w:t>
      </w:r>
      <w:r>
        <w:rPr>
          <w:rFonts w:hint="eastAsia" w:ascii="仿宋" w:hAnsi="仿宋" w:eastAsia="仿宋" w:cs="仿宋_GB2312"/>
          <w:kern w:val="0"/>
          <w:sz w:val="32"/>
          <w:szCs w:val="32"/>
          <w:lang w:eastAsia="zh-CN"/>
        </w:rPr>
        <w:t>。</w:t>
      </w:r>
      <w:r>
        <w:rPr>
          <w:rFonts w:hint="eastAsia" w:ascii="仿宋" w:hAnsi="仿宋" w:eastAsia="仿宋" w:cs="仿宋_GB2312"/>
          <w:kern w:val="0"/>
          <w:sz w:val="32"/>
          <w:szCs w:val="32"/>
        </w:rPr>
        <w:t>其中，</w:t>
      </w:r>
      <w:r>
        <w:rPr>
          <w:rFonts w:hint="eastAsia" w:ascii="仿宋" w:hAnsi="仿宋" w:eastAsia="仿宋" w:cs="仿宋_GB2312"/>
          <w:kern w:val="0"/>
          <w:sz w:val="32"/>
          <w:szCs w:val="32"/>
          <w:lang w:val="en-US" w:eastAsia="zh-CN"/>
        </w:rPr>
        <w:t>社会保障和就业支出137.33</w:t>
      </w:r>
      <w:r>
        <w:rPr>
          <w:rFonts w:hint="eastAsia" w:ascii="仿宋" w:hAnsi="仿宋" w:eastAsia="仿宋" w:cs="仿宋_GB2312"/>
          <w:kern w:val="0"/>
          <w:sz w:val="32"/>
          <w:szCs w:val="32"/>
        </w:rPr>
        <w:t>万元，</w:t>
      </w:r>
      <w:r>
        <w:rPr>
          <w:rFonts w:hint="eastAsia" w:ascii="仿宋" w:hAnsi="仿宋" w:eastAsia="仿宋" w:cs="仿宋_GB2312"/>
          <w:kern w:val="0"/>
          <w:sz w:val="32"/>
          <w:szCs w:val="32"/>
          <w:lang w:val="en-US" w:eastAsia="zh-CN"/>
        </w:rPr>
        <w:t>卫生健康支出19.42万元，城乡社区支出480.86万元，社会保障支出45.64万元。</w:t>
      </w:r>
    </w:p>
    <w:p w14:paraId="2EFF4CB4">
      <w:pPr>
        <w:keepNext w:val="0"/>
        <w:keepLines w:val="0"/>
        <w:pageBreakBefore w:val="0"/>
        <w:widowControl w:val="0"/>
        <w:kinsoku/>
        <w:wordWrap/>
        <w:overflowPunct/>
        <w:topLinePunct w:val="0"/>
        <w:autoSpaceDE/>
        <w:autoSpaceDN/>
        <w:bidi w:val="0"/>
        <w:adjustRightInd/>
        <w:snapToGrid/>
        <w:ind w:left="319" w:leftChars="152" w:firstLine="321" w:firstLineChars="1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 xml:space="preserve">(二)项目支出情况                             </w:t>
      </w:r>
      <w:r>
        <w:rPr>
          <w:rFonts w:hint="eastAsia" w:ascii="仿宋" w:hAnsi="仿宋" w:eastAsia="仿宋" w:cs="仿宋_GB2312"/>
          <w:kern w:val="0"/>
          <w:sz w:val="32"/>
          <w:szCs w:val="32"/>
          <w:lang w:val="en-US" w:eastAsia="zh-CN"/>
        </w:rPr>
        <w:t>2022年度本单位无项目支出。</w:t>
      </w:r>
    </w:p>
    <w:p w14:paraId="14916785">
      <w:pPr>
        <w:keepNext w:val="0"/>
        <w:keepLines w:val="0"/>
        <w:pageBreakBefore w:val="0"/>
        <w:widowControl w:val="0"/>
        <w:kinsoku/>
        <w:wordWrap/>
        <w:overflowPunct/>
        <w:topLinePunct w:val="0"/>
        <w:autoSpaceDE/>
        <w:autoSpaceDN/>
        <w:bidi w:val="0"/>
        <w:adjustRightInd/>
        <w:snapToGrid/>
        <w:ind w:left="638" w:leftChars="304" w:firstLine="0" w:firstLineChars="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 xml:space="preserve">三、政府性基金预算支出情况                     </w:t>
      </w:r>
      <w:r>
        <w:rPr>
          <w:rFonts w:hint="eastAsia" w:ascii="仿宋" w:hAnsi="仿宋" w:eastAsia="仿宋" w:cs="仿宋_GB2312"/>
          <w:kern w:val="0"/>
          <w:sz w:val="32"/>
          <w:szCs w:val="32"/>
          <w:lang w:val="en-US" w:eastAsia="zh-CN"/>
        </w:rPr>
        <w:t>2022年度本单位无政府性基金安排的支出。</w:t>
      </w:r>
    </w:p>
    <w:p w14:paraId="3B0C69B7">
      <w:pPr>
        <w:keepNext w:val="0"/>
        <w:keepLines w:val="0"/>
        <w:pageBreakBefore w:val="0"/>
        <w:widowControl w:val="0"/>
        <w:kinsoku/>
        <w:wordWrap/>
        <w:overflowPunct/>
        <w:topLinePunct w:val="0"/>
        <w:autoSpaceDE/>
        <w:autoSpaceDN/>
        <w:bidi w:val="0"/>
        <w:adjustRightInd/>
        <w:snapToGrid/>
        <w:ind w:left="638" w:leftChars="304" w:firstLine="0" w:firstLineChars="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 xml:space="preserve">四、国有资本经营预算支出情况                   </w:t>
      </w:r>
      <w:r>
        <w:rPr>
          <w:rFonts w:hint="eastAsia" w:ascii="仿宋" w:hAnsi="仿宋" w:eastAsia="仿宋" w:cs="仿宋_GB2312"/>
          <w:kern w:val="0"/>
          <w:sz w:val="32"/>
          <w:szCs w:val="32"/>
          <w:lang w:val="en-US" w:eastAsia="zh-CN"/>
        </w:rPr>
        <w:t>2022年度本单位无国有资本经营安排的支出。</w:t>
      </w:r>
    </w:p>
    <w:p w14:paraId="445156B5">
      <w:pPr>
        <w:keepNext w:val="0"/>
        <w:keepLines w:val="0"/>
        <w:pageBreakBefore w:val="0"/>
        <w:widowControl w:val="0"/>
        <w:kinsoku/>
        <w:wordWrap/>
        <w:overflowPunct/>
        <w:topLinePunct w:val="0"/>
        <w:autoSpaceDE/>
        <w:autoSpaceDN/>
        <w:bidi w:val="0"/>
        <w:adjustRightInd/>
        <w:snapToGrid/>
        <w:ind w:left="638" w:leftChars="304" w:firstLine="0" w:firstLineChars="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 xml:space="preserve">五、社会保险基金预算支出情况                   </w:t>
      </w:r>
      <w:r>
        <w:rPr>
          <w:rFonts w:hint="eastAsia" w:ascii="仿宋" w:hAnsi="仿宋" w:eastAsia="仿宋" w:cs="仿宋_GB2312"/>
          <w:kern w:val="0"/>
          <w:sz w:val="32"/>
          <w:szCs w:val="32"/>
          <w:lang w:val="en-US" w:eastAsia="zh-CN"/>
        </w:rPr>
        <w:t>2022年度本单位无社会保险基金安排的支出。</w:t>
      </w:r>
    </w:p>
    <w:p w14:paraId="6F672A4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p>
    <w:p w14:paraId="695EDB2D">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14:paraId="59C759D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000000"/>
          <w:sz w:val="32"/>
          <w:szCs w:val="32"/>
          <w:lang w:val="en-US" w:eastAsia="zh-CN"/>
        </w:rPr>
      </w:pPr>
      <w:r>
        <w:rPr>
          <w:rFonts w:hint="eastAsia" w:ascii="仿宋" w:hAnsi="仿宋" w:eastAsia="仿宋" w:cs="仿宋_GB2312"/>
          <w:kern w:val="0"/>
          <w:sz w:val="32"/>
          <w:szCs w:val="32"/>
          <w:lang w:val="en-US" w:eastAsia="zh-CN"/>
        </w:rPr>
        <w:t>岳阳市公共租赁房屋运营服务中心</w:t>
      </w:r>
      <w:r>
        <w:rPr>
          <w:rFonts w:hint="eastAsia" w:ascii="仿宋" w:hAnsi="仿宋" w:eastAsia="仿宋" w:cs="仿宋_GB2312"/>
          <w:kern w:val="0"/>
          <w:sz w:val="32"/>
          <w:szCs w:val="32"/>
        </w:rPr>
        <w:t>负责贯彻执行公共租赁房屋管理的法律、法规和政策，参与拟定公共租赁房屋管理的政策法规文件；制定公共租赁房屋运营管理的各项制度；负责公共租赁房屋的管理、维修、租金收取工作，协助实施公共租赁房屋危旧房的改造及公共租赁房屋的征迁工作；负责公共租赁房屋运营腾退管理；负责查处有关违法违规行为，协调处理运营管理过程中有关信访纠纷问题；负责公共租赁房屋资产保值增值及安全管理工作；完成上级部门交办的其他工作。2021年4月</w:t>
      </w:r>
      <w:r>
        <w:rPr>
          <w:rFonts w:hint="eastAsia" w:ascii="仿宋" w:hAnsi="仿宋" w:eastAsia="仿宋" w:cs="仿宋_GB2312"/>
          <w:kern w:val="0"/>
          <w:sz w:val="32"/>
          <w:szCs w:val="32"/>
          <w:lang w:val="en-US" w:eastAsia="zh-CN"/>
        </w:rPr>
        <w:t>单位</w:t>
      </w:r>
      <w:r>
        <w:rPr>
          <w:rFonts w:hint="eastAsia" w:ascii="仿宋" w:hAnsi="仿宋" w:eastAsia="仿宋" w:cs="仿宋_GB2312"/>
          <w:kern w:val="0"/>
          <w:sz w:val="32"/>
          <w:szCs w:val="32"/>
        </w:rPr>
        <w:t>事权整体下沉到岳阳楼区</w:t>
      </w:r>
      <w:r>
        <w:rPr>
          <w:rFonts w:hint="eastAsia" w:ascii="仿宋" w:hAnsi="仿宋" w:eastAsia="仿宋" w:cs="仿宋_GB2312"/>
          <w:kern w:val="0"/>
          <w:sz w:val="32"/>
          <w:szCs w:val="32"/>
          <w:lang w:eastAsia="zh-CN"/>
        </w:rPr>
        <w:t>，</w:t>
      </w:r>
      <w:r>
        <w:rPr>
          <w:rFonts w:hint="eastAsia" w:ascii="仿宋_GB2312" w:hAnsi="仿宋_GB2312" w:eastAsia="仿宋_GB2312" w:cs="仿宋_GB2312"/>
          <w:color w:val="000000"/>
          <w:sz w:val="32"/>
          <w:szCs w:val="32"/>
          <w:lang w:val="en-US" w:eastAsia="zh-CN"/>
        </w:rPr>
        <w:t>面对庞杂的下沉工作,中心领导理清思路,抓住重点。人事方面，对中心机构编制和人员情况进行统计汇总，并在规定期限内向对应部门报送相关材料；财务方面，配合审计部门对本单位的财务资产等进行全面清查核实，逐项登记造册，确保账账相符、账实相符。现中心基本完成人员调整划转，财务资产清理、审计、移交，预算调整及档案移交管理等工作，确保机构改革过程中人员平稳调整，财政资金、国有资产和档案的安全，保证了单位机构改革工作顺利完成。</w:t>
      </w:r>
    </w:p>
    <w:p w14:paraId="1910B5FD">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color w:val="000000"/>
          <w:sz w:val="32"/>
          <w:szCs w:val="32"/>
          <w:lang w:eastAsia="zh-CN"/>
        </w:rPr>
      </w:pPr>
      <w:r>
        <w:rPr>
          <w:rFonts w:hint="eastAsia" w:ascii="仿宋" w:hAnsi="仿宋" w:eastAsia="仿宋" w:cs="仿宋"/>
          <w:color w:val="000000"/>
          <w:sz w:val="32"/>
          <w:szCs w:val="32"/>
          <w:lang w:val="en-US" w:eastAsia="zh-CN"/>
        </w:rPr>
        <w:t>2022年，在区委、区政府坚强指导下，我中心机构改革工作稳步推进,</w:t>
      </w:r>
      <w:r>
        <w:rPr>
          <w:rFonts w:hint="eastAsia" w:ascii="仿宋" w:hAnsi="仿宋" w:eastAsia="仿宋" w:cs="仿宋"/>
          <w:color w:val="000000"/>
          <w:sz w:val="32"/>
          <w:szCs w:val="32"/>
        </w:rPr>
        <w:t>认真履行</w:t>
      </w:r>
      <w:r>
        <w:rPr>
          <w:rFonts w:hint="eastAsia" w:ascii="仿宋" w:hAnsi="仿宋" w:eastAsia="仿宋" w:cs="仿宋"/>
          <w:color w:val="000000"/>
          <w:sz w:val="32"/>
          <w:szCs w:val="32"/>
          <w:lang w:eastAsia="zh-CN"/>
        </w:rPr>
        <w:t>相应的服务</w:t>
      </w:r>
      <w:r>
        <w:rPr>
          <w:rFonts w:hint="eastAsia" w:ascii="仿宋" w:hAnsi="仿宋" w:eastAsia="仿宋" w:cs="仿宋"/>
          <w:color w:val="000000"/>
          <w:sz w:val="32"/>
          <w:szCs w:val="32"/>
        </w:rPr>
        <w:t>职能</w:t>
      </w:r>
      <w:r>
        <w:rPr>
          <w:rFonts w:hint="eastAsia" w:ascii="仿宋" w:hAnsi="仿宋" w:eastAsia="仿宋" w:cs="仿宋"/>
          <w:color w:val="000000"/>
          <w:sz w:val="32"/>
          <w:szCs w:val="32"/>
          <w:lang w:eastAsia="zh-CN"/>
        </w:rPr>
        <w:t>。</w:t>
      </w:r>
      <w:r>
        <w:rPr>
          <w:rFonts w:hint="eastAsia" w:ascii="仿宋" w:hAnsi="仿宋" w:eastAsia="仿宋" w:cs="仿宋"/>
          <w:color w:val="000000"/>
          <w:sz w:val="32"/>
          <w:szCs w:val="32"/>
          <w:lang w:val="en-US" w:eastAsia="zh-CN"/>
        </w:rPr>
        <w:t>完成了机构下沉的具体工作，</w:t>
      </w:r>
      <w:r>
        <w:rPr>
          <w:rFonts w:hint="eastAsia" w:ascii="仿宋" w:hAnsi="仿宋" w:eastAsia="仿宋" w:cs="仿宋"/>
          <w:color w:val="000000"/>
          <w:sz w:val="32"/>
          <w:szCs w:val="32"/>
          <w:lang w:val="en-US"/>
        </w:rPr>
        <w:t>累计完成3项重点工作，其中包括房屋租金收取、房屋维修申报以及日常事项管理汇总</w:t>
      </w:r>
      <w:r>
        <w:rPr>
          <w:rFonts w:hint="eastAsia" w:ascii="仿宋" w:hAnsi="仿宋" w:eastAsia="仿宋" w:cs="仿宋"/>
          <w:color w:val="000000"/>
          <w:sz w:val="32"/>
          <w:szCs w:val="32"/>
          <w:lang w:val="en-US" w:eastAsia="zh-CN"/>
        </w:rPr>
        <w:t>。年初既定</w:t>
      </w:r>
      <w:r>
        <w:rPr>
          <w:rFonts w:hint="eastAsia" w:ascii="仿宋" w:hAnsi="仿宋" w:eastAsia="仿宋" w:cs="仿宋"/>
          <w:color w:val="000000"/>
          <w:sz w:val="32"/>
          <w:szCs w:val="32"/>
        </w:rPr>
        <w:t>经济</w:t>
      </w:r>
      <w:r>
        <w:rPr>
          <w:rFonts w:hint="eastAsia" w:ascii="仿宋" w:hAnsi="仿宋" w:eastAsia="仿宋" w:cs="仿宋"/>
          <w:color w:val="000000"/>
          <w:sz w:val="32"/>
          <w:szCs w:val="32"/>
          <w:lang w:val="en-US" w:eastAsia="zh-CN"/>
        </w:rPr>
        <w:t>目标任务：已</w:t>
      </w:r>
      <w:r>
        <w:rPr>
          <w:rFonts w:hint="eastAsia" w:ascii="仿宋" w:hAnsi="仿宋" w:eastAsia="仿宋" w:cs="仿宋"/>
          <w:color w:val="000000"/>
          <w:sz w:val="32"/>
          <w:szCs w:val="32"/>
          <w:lang w:val="en-US"/>
        </w:rPr>
        <w:t>完成租金收缴</w:t>
      </w:r>
      <w:r>
        <w:rPr>
          <w:rFonts w:hint="eastAsia" w:ascii="仿宋" w:hAnsi="仿宋" w:eastAsia="仿宋" w:cs="仿宋"/>
          <w:color w:val="000000"/>
          <w:sz w:val="32"/>
          <w:szCs w:val="32"/>
          <w:lang w:val="en-US" w:eastAsia="zh-CN"/>
        </w:rPr>
        <w:t>共计7070622</w:t>
      </w:r>
      <w:r>
        <w:rPr>
          <w:rFonts w:hint="eastAsia" w:ascii="仿宋" w:hAnsi="仿宋" w:eastAsia="仿宋" w:cs="仿宋"/>
          <w:color w:val="000000"/>
          <w:sz w:val="32"/>
          <w:szCs w:val="32"/>
          <w:lang w:val="en-US"/>
        </w:rPr>
        <w:t>元，</w:t>
      </w:r>
      <w:r>
        <w:rPr>
          <w:rFonts w:hint="eastAsia" w:ascii="仿宋" w:hAnsi="仿宋" w:eastAsia="仿宋" w:cs="仿宋"/>
          <w:color w:val="000000"/>
          <w:sz w:val="32"/>
          <w:szCs w:val="32"/>
          <w:lang w:val="en-US" w:eastAsia="zh-CN"/>
        </w:rPr>
        <w:t>其中</w:t>
      </w:r>
      <w:r>
        <w:rPr>
          <w:rFonts w:hint="eastAsia" w:ascii="仿宋" w:hAnsi="仿宋" w:eastAsia="仿宋" w:cs="仿宋"/>
          <w:color w:val="000000"/>
          <w:sz w:val="32"/>
          <w:szCs w:val="32"/>
          <w:lang w:val="en-US"/>
        </w:rPr>
        <w:t>收回往年拖欠租金</w:t>
      </w:r>
      <w:r>
        <w:rPr>
          <w:rFonts w:hint="eastAsia" w:ascii="仿宋" w:hAnsi="仿宋" w:eastAsia="仿宋" w:cs="仿宋"/>
          <w:color w:val="000000"/>
          <w:sz w:val="32"/>
          <w:szCs w:val="32"/>
          <w:lang w:val="en-US" w:eastAsia="zh-CN"/>
        </w:rPr>
        <w:t>417000</w:t>
      </w:r>
      <w:r>
        <w:rPr>
          <w:rFonts w:hint="eastAsia" w:ascii="仿宋" w:hAnsi="仿宋" w:eastAsia="仿宋" w:cs="仿宋"/>
          <w:color w:val="000000"/>
          <w:sz w:val="32"/>
          <w:szCs w:val="32"/>
          <w:lang w:val="en-US"/>
        </w:rPr>
        <w:t>元</w:t>
      </w:r>
      <w:r>
        <w:rPr>
          <w:rFonts w:hint="eastAsia" w:ascii="仿宋" w:hAnsi="仿宋" w:eastAsia="仿宋" w:cs="仿宋"/>
          <w:color w:val="000000"/>
          <w:sz w:val="32"/>
          <w:szCs w:val="32"/>
          <w:lang w:val="en-US" w:eastAsia="zh-CN"/>
        </w:rPr>
        <w:t>；旧城改造征收工作需征收我中心74户房屋，现已完成征收合同的签订，收入征收拆迁补偿款13219326元，其中产权补偿款为94282287元（产权补偿款到账直接上缴财政），装饰装修等补偿款为3737039元，现已补偿租赁户1329279元，余款2407760元待征收任务完成后上缴区财政。</w:t>
      </w:r>
    </w:p>
    <w:p w14:paraId="3C68CDCE">
      <w:pPr>
        <w:keepNext w:val="0"/>
        <w:keepLines w:val="0"/>
        <w:pageBreakBefore w:val="0"/>
        <w:widowControl w:val="0"/>
        <w:kinsoku/>
        <w:wordWrap/>
        <w:overflowPunct/>
        <w:topLinePunct w:val="0"/>
        <w:autoSpaceDE/>
        <w:autoSpaceDN/>
        <w:bidi w:val="0"/>
        <w:adjustRightInd/>
        <w:snapToGrid/>
        <w:spacing w:line="600" w:lineRule="exact"/>
        <w:ind w:left="0" w:leftChars="0" w:firstLine="419" w:firstLineChars="131"/>
        <w:textAlignment w:val="auto"/>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（一）党建工作：</w:t>
      </w:r>
      <w:r>
        <w:rPr>
          <w:rFonts w:hint="eastAsia" w:ascii="仿宋" w:hAnsi="仿宋" w:eastAsia="仿宋" w:cs="仿宋"/>
          <w:color w:val="000000"/>
          <w:sz w:val="32"/>
          <w:szCs w:val="32"/>
          <w:lang w:eastAsia="zh-CN"/>
        </w:rPr>
        <w:t>党总支按照</w:t>
      </w:r>
      <w:r>
        <w:rPr>
          <w:rFonts w:hint="eastAsia" w:ascii="仿宋" w:hAnsi="仿宋" w:eastAsia="仿宋" w:cs="仿宋"/>
          <w:color w:val="000000"/>
          <w:sz w:val="32"/>
          <w:szCs w:val="32"/>
          <w:lang w:val="en-US" w:eastAsia="zh-CN"/>
        </w:rPr>
        <w:t>上级党组织</w:t>
      </w:r>
      <w:r>
        <w:rPr>
          <w:rFonts w:hint="eastAsia" w:ascii="仿宋" w:hAnsi="仿宋" w:eastAsia="仿宋" w:cs="仿宋"/>
          <w:color w:val="000000"/>
          <w:sz w:val="32"/>
          <w:szCs w:val="32"/>
          <w:lang w:eastAsia="zh-CN"/>
        </w:rPr>
        <w:t>的部署和安排，</w:t>
      </w:r>
      <w:r>
        <w:rPr>
          <w:rFonts w:hint="eastAsia" w:ascii="仿宋" w:hAnsi="仿宋" w:eastAsia="仿宋" w:cs="仿宋"/>
          <w:color w:val="000000"/>
          <w:sz w:val="32"/>
          <w:szCs w:val="32"/>
          <w:lang w:val="en-US" w:eastAsia="zh-CN"/>
        </w:rPr>
        <w:t>以“奋力建设名副其实的省域副中心城市和首善之区”主题教育活动</w:t>
      </w:r>
      <w:r>
        <w:rPr>
          <w:rFonts w:hint="eastAsia" w:ascii="仿宋" w:hAnsi="仿宋" w:eastAsia="仿宋" w:cs="仿宋"/>
          <w:color w:val="000000"/>
          <w:sz w:val="32"/>
          <w:szCs w:val="32"/>
          <w:lang w:eastAsia="zh-CN"/>
        </w:rPr>
        <w:t>为契机，紧紧围绕中心工作，进一步加强主题教育与日常工作的深度融合。</w:t>
      </w:r>
      <w:r>
        <w:rPr>
          <w:rFonts w:hint="eastAsia" w:ascii="仿宋" w:hAnsi="仿宋" w:eastAsia="仿宋" w:cs="仿宋"/>
          <w:color w:val="000000"/>
          <w:sz w:val="32"/>
          <w:szCs w:val="32"/>
          <w:lang w:val="en-US" w:eastAsia="zh-CN"/>
        </w:rPr>
        <w:t>党风廉政建设制度落实方面，确定单位风险防患重点，规范权力行为。根据住房保障工作特点，将保障房分配使用、租金挪用、工程管理等方面确定为中心党风廉政建设和反腐败工作重点。针对这些风险点，我中心组织开展管钱、管房、管事的重点岗位和重点人员监督紧盯“关键少数”，将“一把手”作为监督重点，建立主要负责人《履职用权风险提示清单》，增强领导干部履职用权的风险意识，强化对问题的监督检查。</w:t>
      </w:r>
    </w:p>
    <w:p w14:paraId="1CCC33E6">
      <w:pPr>
        <w:keepNext w:val="0"/>
        <w:keepLines w:val="0"/>
        <w:pageBreakBefore w:val="0"/>
        <w:widowControl w:val="0"/>
        <w:numPr>
          <w:ilvl w:val="0"/>
          <w:numId w:val="0"/>
        </w:numPr>
        <w:kinsoku/>
        <w:wordWrap/>
        <w:overflowPunct/>
        <w:topLinePunct w:val="0"/>
        <w:autoSpaceDE/>
        <w:autoSpaceDN/>
        <w:bidi w:val="0"/>
        <w:adjustRightInd/>
        <w:spacing w:line="600" w:lineRule="exact"/>
        <w:ind w:left="0" w:leftChars="0" w:firstLine="419" w:firstLineChars="131"/>
        <w:textAlignment w:val="auto"/>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二）5月起，中心以保障性住房“百日攻坚”行动为契机，迅速行动，全力推进。一方面成立专项工作小组，由一把手担任组长，分管领导具体负责，经租各股为单位，机关各股室抽调人员。责任到人，联动配合，深入一线，在各保障性住房小区上门上户、认真排查，全面开展房屋转租、转借、转卖专项整治清理行动。经过摸底排查3728户承租户中有190户存在转租现象，有48户转卖，184户欠租。完成春华家园租金收缴1152927万元，收回往年拖欠租金累计162208万元，春蕾家园租金收缴791389万元，收回往年拖欠租金累计108060万元，春兰家园租金收缴1554634万元，收回往年拖欠租金累计129239万元。另一方面根据上级部门部署安排，同时对辖区内房屋及门店进行了安全隐患排查及综合整治责任划分，加强环境卫生死角、盲区的重点清理。日常工作中积极接待群众并解决群众反映的问题，做到为群众解难题办实事，全年没发生一起因处理问题不及时，导致住户赴区、赴市上访事件。</w:t>
      </w:r>
    </w:p>
    <w:p w14:paraId="2C1F7082">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firstLine="419" w:firstLineChars="131"/>
        <w:textAlignment w:val="auto"/>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三）根据市委市政府对岳阳市棚户区改造的安排部署，我中心抽调多名熟悉征迁业务的工作人员到动迁小组，全力配合推进洞庭南路沿湖棚户区改造一期鱼巷子路段、老城区先锋路旧城改造、吕仙亭旧城改造、百信市场建设等四个项目征收拆迁工作，截止目前，吕仙亭旧城改造24套房屋已全部拆完，2至4楼10户已拆完，1楼18个门面待拆；百信市场房屋拆迁工作已接近尾声；城陵矶桂花园改造项目中，我中心所辖4个门面也已拆迁完毕。</w:t>
      </w:r>
    </w:p>
    <w:p w14:paraId="598A35A1">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firstLine="419" w:firstLineChars="131"/>
        <w:textAlignment w:val="auto"/>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四）着力监管，房屋安全工作长抓不懈。针对公房中危旧房屋多、管理难等问题，中心制定了房屋维修管理制度和房屋安全管理应急预案，结合区委区政府组织的房屋安全大排查工作，明确房屋管修责任到人，加强房屋安全监管巡查，提高房屋维护管理效率，确保房屋出现问题后，责任人能第一时间了解情况并进行处理，今年完成了300余次房屋中小型维修项目，阻止了3户敲墙打洞的违法行为。另外，结合中心辖区消防安全形势和季节特点，深入开展消防安全集中排查整治和各类专项治理活动，并投入7万多元，完成了对租赁户消防安全意识的宣传工作，对百信市场、春华小区1000余个过期的灭火器进行了更换，初步消除了火灾隐患。</w:t>
      </w:r>
    </w:p>
    <w:p w14:paraId="6CD2F145">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600" w:lineRule="exact"/>
        <w:ind w:left="0" w:leftChars="0" w:firstLine="419" w:firstLineChars="131"/>
        <w:jc w:val="both"/>
        <w:textAlignment w:val="auto"/>
        <w:outlineLvl w:val="9"/>
        <w:rPr>
          <w:rFonts w:hint="eastAsia" w:ascii="仿宋" w:hAnsi="仿宋" w:eastAsia="仿宋" w:cs="仿宋"/>
          <w:color w:val="000000"/>
          <w:kern w:val="2"/>
          <w:sz w:val="32"/>
          <w:szCs w:val="32"/>
          <w:lang w:val="en-US" w:eastAsia="zh-CN"/>
        </w:rPr>
      </w:pPr>
      <w:r>
        <w:rPr>
          <w:rFonts w:hint="eastAsia" w:ascii="仿宋" w:hAnsi="仿宋" w:eastAsia="仿宋" w:cs="仿宋"/>
          <w:color w:val="000000"/>
          <w:kern w:val="2"/>
          <w:sz w:val="32"/>
          <w:szCs w:val="32"/>
          <w:lang w:val="en-US" w:eastAsia="zh-CN"/>
        </w:rPr>
        <w:t>（五）注重维稳，信访处置成效明显。进一步建立完善信访接待制度，指定专人负责，即时办理本部门受理和市、区及各部门转办的各类信访案件，做到依法依规，有理有据处理好反映的问题、矛盾，切实保障信访人、举报人的权利。今年以来，我中心受理各级各类信访件28件，信访处置回复满意率100％。</w:t>
      </w:r>
    </w:p>
    <w:p w14:paraId="38C3FE82">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auto"/>
          <w:spacing w:val="0"/>
          <w:position w:val="0"/>
          <w:sz w:val="32"/>
          <w:szCs w:val="32"/>
          <w:lang w:val="en-US" w:eastAsia="zh-CN"/>
        </w:rPr>
      </w:pPr>
      <w:r>
        <w:rPr>
          <w:rFonts w:hint="eastAsia" w:ascii="仿宋_GB2312" w:hAnsi="仿宋_GB2312" w:eastAsia="仿宋_GB2312" w:cs="仿宋_GB2312"/>
          <w:color w:val="auto"/>
          <w:spacing w:val="0"/>
          <w:position w:val="0"/>
          <w:sz w:val="32"/>
          <w:szCs w:val="32"/>
          <w:lang w:val="en-US" w:eastAsia="zh-CN"/>
        </w:rPr>
        <w:t>总结归纳本单位“四本预算”支出的绩效目标完成 情况，实现产出和取得效益的情况。围绕单位职责、 行业发展规划，以预算资金管理为主线，总结单位资产管理和开展业务情况，从运行成本、管理效率、履职效能、 社会效应、可持续发展能力和服务对象满意度等方面，衡量单位整体及核心业务实施效果。</w:t>
      </w:r>
    </w:p>
    <w:p w14:paraId="2A66E30E">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default" w:ascii="仿宋_GB2312" w:hAnsi="仿宋_GB2312" w:eastAsia="仿宋_GB2312" w:cs="仿宋_GB2312"/>
          <w:color w:val="000000"/>
          <w:sz w:val="32"/>
          <w:szCs w:val="32"/>
          <w:lang w:val="en-US" w:eastAsia="zh-CN"/>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七、存在的问题及原因分析</w:t>
      </w:r>
    </w:p>
    <w:p w14:paraId="15E3E766">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319" w:leftChars="152" w:firstLine="96" w:firstLineChars="30"/>
        <w:textAlignment w:val="auto"/>
        <w:rPr>
          <w:rFonts w:hint="default"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（一）公用经费超出预算6.78万元，原因是中心开展为期6个月的以保障性住房“百日攻坚”行动，加班用餐费用共计4.73万元，围绕行动产生了相应的律师诉讼费及办公费2.87万元。</w:t>
      </w:r>
    </w:p>
    <w:p w14:paraId="510D89C7">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320" w:firstLineChars="100"/>
        <w:textAlignment w:val="auto"/>
        <w:rPr>
          <w:rFonts w:hint="default"/>
          <w:lang w:val="en-US" w:eastAsia="zh-CN"/>
        </w:rPr>
      </w:pPr>
      <w:r>
        <w:rPr>
          <w:rFonts w:hint="eastAsia" w:ascii="仿宋" w:hAnsi="仿宋" w:eastAsia="仿宋" w:cs="仿宋"/>
          <w:color w:val="000000"/>
          <w:sz w:val="32"/>
          <w:szCs w:val="32"/>
          <w:lang w:val="en-US" w:eastAsia="zh-CN"/>
        </w:rPr>
        <w:t>(二）国有资产系统中有两台公车未做报废处理（2019年均已按程序拍卖）。</w:t>
      </w:r>
    </w:p>
    <w:p w14:paraId="3B115381">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320" w:firstLineChars="100"/>
        <w:textAlignment w:val="auto"/>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（二）基层所规范化建设进度滞后，硬件设施和软件差距较大，经租业务和保障性住房管理方面钻研力度和深度有待于进一步提升。</w:t>
      </w:r>
    </w:p>
    <w:p w14:paraId="6C965170">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firstLine="419" w:firstLineChars="131"/>
        <w:textAlignment w:val="auto"/>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（三）欠租率高，收欠工作进度滞后，急需改进。</w:t>
      </w:r>
    </w:p>
    <w:p w14:paraId="08CA4E7E">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firstLine="419" w:firstLineChars="131"/>
        <w:textAlignment w:val="auto"/>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（四）住户管理闭环尚未形成，转卖、转借、转租等其他违法行为依然存在。</w:t>
      </w:r>
    </w:p>
    <w:p w14:paraId="46BD3C5E">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auto"/>
          <w:spacing w:val="0"/>
          <w:position w:val="0"/>
          <w:sz w:val="32"/>
          <w:szCs w:val="32"/>
          <w:lang w:val="en-US" w:eastAsia="zh-CN"/>
        </w:rPr>
      </w:pPr>
      <w:r>
        <w:rPr>
          <w:rFonts w:hint="eastAsia" w:ascii="仿宋_GB2312" w:hAnsi="仿宋_GB2312" w:eastAsia="仿宋_GB2312" w:cs="仿宋_GB2312"/>
          <w:color w:val="auto"/>
          <w:spacing w:val="0"/>
          <w:position w:val="0"/>
          <w:sz w:val="32"/>
          <w:szCs w:val="32"/>
          <w:lang w:val="en-US" w:eastAsia="zh-CN"/>
        </w:rPr>
        <w:t>可以从预算和预算绩效管理，部门履职效能，资金分配、使用和管理，资产和财务管理、政府采购等方面归纳存在的问题；反映各种预算支出执行偏离绩效目标的情况，并分析其原因。</w:t>
      </w:r>
      <w:bookmarkStart w:id="0" w:name="_GoBack"/>
      <w:bookmarkEnd w:id="0"/>
    </w:p>
    <w:p w14:paraId="662223C5">
      <w:pPr>
        <w:keepNext w:val="0"/>
        <w:keepLines w:val="0"/>
        <w:pageBreakBefore w:val="0"/>
        <w:widowControl w:val="0"/>
        <w:numPr>
          <w:ilvl w:val="0"/>
          <w:numId w:val="2"/>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下一步改进措施</w:t>
      </w:r>
    </w:p>
    <w:p w14:paraId="52EF0191">
      <w:pPr>
        <w:pStyle w:val="5"/>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财务管理方面</w:t>
      </w:r>
    </w:p>
    <w:p w14:paraId="408DA16F">
      <w:pPr>
        <w:pStyle w:val="5"/>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right="0" w:rightChars="0" w:firstLine="320" w:firstLineChars="100"/>
        <w:jc w:val="both"/>
        <w:textAlignment w:val="center"/>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1.细化预算编制工作，进一步加强预算编制和管理意识，严格按照预算编制的相关制度和要求，本着“勤俭节约、保障运转”的原则进行预算编制；编制范围尽可能的全面、不漏项，进一步提高预算编制的科学性、合理性和可控性。</w:t>
      </w:r>
    </w:p>
    <w:p w14:paraId="32BD76FF">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right="0" w:firstLine="320" w:firstLineChars="100"/>
        <w:jc w:val="both"/>
        <w:textAlignment w:val="center"/>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2.加强财务管理工作，在费用报账支付时，按照预算规定的费用项目和用途进行资金的审核，严格按照费用的实际使用用途进行资金支付项目的列报，严格按照实际的费用支出内容进行财务核算，严格控制超支现象发生。</w:t>
      </w:r>
    </w:p>
    <w:p w14:paraId="12B47504">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320" w:firstLineChars="100"/>
        <w:jc w:val="both"/>
        <w:textAlignment w:val="center"/>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3.加强三公经费管理，进一步严控三公经费，严格控制三公经费的规模和比例，严格三公经费支出的审核流程，杜绝挪用和挤占其他预算资金行为。</w:t>
      </w:r>
    </w:p>
    <w:p w14:paraId="4B67DED1">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320" w:firstLineChars="100"/>
        <w:jc w:val="both"/>
        <w:textAlignment w:val="center"/>
        <w:rPr>
          <w:rFonts w:hint="default"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4、对国有资产系统中两台已拍卖的公车按程序进行处理。</w:t>
      </w:r>
    </w:p>
    <w:p w14:paraId="67BC8FF0">
      <w:pPr>
        <w:keepNext w:val="0"/>
        <w:keepLines w:val="0"/>
        <w:pageBreakBefore w:val="0"/>
        <w:widowControl w:val="0"/>
        <w:numPr>
          <w:ilvl w:val="0"/>
          <w:numId w:val="0"/>
        </w:numPr>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(二）公租房管理方面</w:t>
      </w:r>
    </w:p>
    <w:p w14:paraId="1FEADF54">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320" w:firstLineChars="100"/>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1、加大收租力度，确保完成全年经济目标任务。</w:t>
      </w:r>
    </w:p>
    <w:p w14:paraId="38B8B14D">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320" w:firstLineChars="100"/>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2、进一步优化保障性住房工作品质，扩大对违规行为的处理，持续巩固保障性住房“百日攻坚”行动成果。</w:t>
      </w:r>
    </w:p>
    <w:p w14:paraId="2B207919">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320" w:firstLineChars="100"/>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3、配合项目部完成征拆工作，整理征拆房屋档案的归集。</w:t>
      </w:r>
    </w:p>
    <w:p w14:paraId="5B67543A">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320" w:firstLineChars="100"/>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4、强化中心各项管理制度，确保房屋和人员的安全稳定。</w:t>
      </w:r>
    </w:p>
    <w:p w14:paraId="364701B2">
      <w:pPr>
        <w:pStyle w:val="2"/>
        <w:numPr>
          <w:ilvl w:val="0"/>
          <w:numId w:val="0"/>
        </w:numPr>
        <w:rPr>
          <w:rFonts w:hint="eastAsia"/>
          <w:lang w:val="en-US" w:eastAsia="zh-CN"/>
        </w:rPr>
      </w:pPr>
    </w:p>
    <w:p w14:paraId="2140C8CD">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14:paraId="790D37C6">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其他需要说明的情况</w:t>
      </w:r>
    </w:p>
    <w:p w14:paraId="42F50B6E">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6DF916D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05A5CB82">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报告需要以下附件：</w:t>
      </w:r>
    </w:p>
    <w:p w14:paraId="084E6482">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1、部门整体支出绩效评价基础数据表</w:t>
      </w:r>
    </w:p>
    <w:p w14:paraId="7A84B05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2、部门整体支出绩效自评表</w:t>
      </w:r>
    </w:p>
    <w:p w14:paraId="33EE32CD">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3、项目支出绩效自评表(一个一级项目支出一张表)</w:t>
      </w:r>
    </w:p>
    <w:p w14:paraId="5C261CC2">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4、政府性基金预算支出情况表</w:t>
      </w:r>
    </w:p>
    <w:p w14:paraId="2A4A3FCE">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5、国有资本经营预算支出情况表</w:t>
      </w:r>
    </w:p>
    <w:p w14:paraId="7420E6FD">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6、社会保险基金预算支出情况表</w:t>
      </w:r>
    </w:p>
    <w:p w14:paraId="37F7EFA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022445F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7BDADB62">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3FD6C53A">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5E39F2BD">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670799A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40570F27">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30252CD5">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14:paraId="526A3AEE">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79B6F5D2">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9"/>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14:paraId="3046AC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14:paraId="1A32638C">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3A748925">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3D0A389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5D4273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330429AA">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14:paraId="7591094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66D5C150">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530990E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08AADC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29D6D33A">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68EC2734">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783C52A2">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29FE8040">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14:paraId="36330B55">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4712ED8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554725F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14:paraId="01F0581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2FD24A1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14:paraId="4E927E5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5B3F0C6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5043F3C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7084CDD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280D505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0BA188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6D136F1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77B56FC6">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14:paraId="4E3A80D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1131" w:type="dxa"/>
            <w:noWrap w:val="0"/>
            <w:vAlign w:val="center"/>
          </w:tcPr>
          <w:p w14:paraId="01A1972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1140" w:type="dxa"/>
            <w:noWrap w:val="0"/>
            <w:vAlign w:val="center"/>
          </w:tcPr>
          <w:p w14:paraId="07E486A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685" w:type="dxa"/>
            <w:noWrap w:val="0"/>
            <w:vAlign w:val="center"/>
          </w:tcPr>
          <w:p w14:paraId="61377D23">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position w:val="-2"/>
                <w:sz w:val="21"/>
                <w:szCs w:val="21"/>
                <w:lang w:val="en-US" w:eastAsia="zh-CN"/>
                <w14:textFill>
                  <w14:solidFill>
                    <w14:schemeClr w14:val="tx1"/>
                  </w14:solidFill>
                </w14:textFill>
              </w:rPr>
              <w:t>/</w:t>
            </w:r>
          </w:p>
        </w:tc>
        <w:tc>
          <w:tcPr>
            <w:tcW w:w="795" w:type="dxa"/>
            <w:noWrap w:val="0"/>
            <w:vAlign w:val="center"/>
          </w:tcPr>
          <w:p w14:paraId="6572BF8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c>
          <w:tcPr>
            <w:tcW w:w="1365" w:type="dxa"/>
            <w:noWrap w:val="0"/>
            <w:vAlign w:val="center"/>
          </w:tcPr>
          <w:p w14:paraId="58945D55">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r>
      <w:tr w14:paraId="476179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3013861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024C00B3">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14:paraId="64DA49D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6D22BB8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46B764B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60E8AA4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47469DE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2B4CD28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3F64D3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171C4F0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0D3D4AAE">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14:paraId="3A3AA8D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2A5F3B8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07EB8FE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23CBB92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A665B1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413C0CA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5621E7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5B87537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580F3ADB">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14:paraId="64C17EB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0A81E82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44C546D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4319EA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4531C8A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54D3EF4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2E6D60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10C18CB9">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5036F438">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14:paraId="7FC21660">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14:paraId="72D7D00B">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7F5132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14:paraId="6CC98EF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14:paraId="4A938D6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3985" w:type="dxa"/>
            <w:gridSpan w:val="4"/>
            <w:noWrap w:val="0"/>
            <w:vAlign w:val="center"/>
          </w:tcPr>
          <w:p w14:paraId="52485D5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1DBFC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53D7DE83">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14:paraId="2AEE0FD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14:paraId="3705DC2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14:paraId="2058EB0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14:paraId="1249BEC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1BAA4B8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14:paraId="3859285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6628EAD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24B059B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7A582C7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0AC0ED43">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01014A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14:paraId="7AD4D1B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20370DE2">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32CDD639">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76E562A5">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769FE8FD">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0AFDF645">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65042D2B">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14:paraId="5D15B968">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14:paraId="2AB4DDCA">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07011A5B">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0A4E966D">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6D0FA9FA">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1123D211">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6E73C0BB">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C2FF1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22D4487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901031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2A6264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2FB7B96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7731B99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3967F8C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5C6F69B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1DC122D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7622E92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DC4DE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3C7E6D9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B5792C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7E7A3B4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1E34634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5741C11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245062E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2371C7B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7E621CD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2221C6F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AF661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4BA689F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0DFCAC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22B2DB87">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14:paraId="6E71465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6A24680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6FC3B1D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FC37C2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303E3AD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6355B0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C5D84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5AC9A7D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A415AD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2C7F26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1B48C01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6A45C2C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07CACDE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04EFE2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36AEE7F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540834E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D0093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14:paraId="77D03E0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09871B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68E906E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54C3C0F7">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749B5F85">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78393A35">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3BCA9C22">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1254308F">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72AE2FF5">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AEE93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5CE521C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D76CE3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22EDE45F">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14:paraId="4B81099A">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56804655">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316CB357">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7BABCA43">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78E78EBC">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0BF2E1F2">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09CA9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3F10C29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6AD33F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074A73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6D00D1A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2CB4795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22A40FA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A65FA2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0185B4D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279FE79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51833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2EB11D8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580B84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3FDEAD4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0F65D0D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0819787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674185B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226E18C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2CF7D6D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316556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25A30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14:paraId="083BE30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768AB7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65443C53">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14:paraId="2EA68E0F">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12210FC8">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7BD6E99F">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262BB21B">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0E91286F">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21688148">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B0E74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4048A74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8A5B18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96B0FE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0FD204C9">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49CD36FF">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3819BCCB">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6CC22CD1">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CE5EE83">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47FFAFA">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8ADEF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14:paraId="3E859FF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641273A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2C0242A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1960AFBD">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322FD56C">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1812B400">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72DDE53">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23AD77D5">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43A8DFC">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AF76F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00D0CC5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4BE3C09A">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14:paraId="59070C4D">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0765942A">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60A41D08">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14:paraId="36E12C4F">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vMerge w:val="restart"/>
            <w:tcBorders>
              <w:bottom w:val="nil"/>
            </w:tcBorders>
            <w:noWrap w:val="0"/>
            <w:vAlign w:val="center"/>
          </w:tcPr>
          <w:p w14:paraId="01A5B6C8">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14:paraId="01F502E3">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14:paraId="3C6B48AF">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6789A117">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2BF9133C">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313AC209">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501A5A3E">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7EF3C8BD">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1FA4B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14:paraId="5E1B4B0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9A126C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2FD303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56EE95C5">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56951E06">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001BFEA0">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64E7FE2C">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578B1C0B">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07E19D5">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5F8EC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1075" w:type="dxa"/>
            <w:vMerge w:val="continue"/>
            <w:tcBorders>
              <w:top w:val="nil"/>
              <w:bottom w:val="nil"/>
            </w:tcBorders>
            <w:noWrap w:val="0"/>
            <w:textDirection w:val="tbRlV"/>
            <w:vAlign w:val="center"/>
          </w:tcPr>
          <w:p w14:paraId="12BB857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645A44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1733480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0D5645B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6997A75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33DC3ED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7B5AD24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530D566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64DF9CE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A348E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0414ED4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05043C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5642644B">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0AE4C26F">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14:paraId="424BE12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5542C66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3B0AAFD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48DE29F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52E11B1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75E35D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518F4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645DF88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B38C64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5C3AB9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36603B91">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7D5A0DE3">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4F7FD7C0">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A81DEBB">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7DCB4F66">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66CA81F4">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B1201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5" w:type="dxa"/>
            <w:vMerge w:val="continue"/>
            <w:tcBorders>
              <w:top w:val="nil"/>
              <w:bottom w:val="nil"/>
            </w:tcBorders>
            <w:noWrap w:val="0"/>
            <w:textDirection w:val="tbRlV"/>
            <w:vAlign w:val="center"/>
          </w:tcPr>
          <w:p w14:paraId="1871EFE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3A89DC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2C6980F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48B0B7A6">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15E287C1">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351DB63F">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2B991434">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10E0DA3E">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4EE9CB82">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4523E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3420449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C10B48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6413A2BE">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14:paraId="011FFB9A">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14:paraId="1AB1CD2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3EB85B0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47BCDE3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7EF1E43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025FAA5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7DF7E92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A4E40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3A415E9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2044DB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855BDE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3A2E7F9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03D32E0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7741E30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5ABF620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527E0CF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214EF26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10B0D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 w:hRule="atLeast"/>
        </w:trPr>
        <w:tc>
          <w:tcPr>
            <w:tcW w:w="1075" w:type="dxa"/>
            <w:vMerge w:val="continue"/>
            <w:tcBorders>
              <w:top w:val="nil"/>
              <w:bottom w:val="nil"/>
            </w:tcBorders>
            <w:noWrap w:val="0"/>
            <w:textDirection w:val="tbRlV"/>
            <w:vAlign w:val="center"/>
          </w:tcPr>
          <w:p w14:paraId="47BC7FE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EDA565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7E3D5A0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6C2587A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3F5F00D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70C6B33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6E4C753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5CE3238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9AE962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6F9F0A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045683C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66D857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6194B68C">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12D8BF6B">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14:paraId="6F18361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1B4E6A6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22E476E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63605DB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50ED4D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975F7D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E70F3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1C2BE55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EB101A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B20840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7B657C4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7E13F01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5657E33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299D391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40C2FC3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417A1E1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6B756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6" w:hRule="atLeast"/>
        </w:trPr>
        <w:tc>
          <w:tcPr>
            <w:tcW w:w="1075" w:type="dxa"/>
            <w:vMerge w:val="continue"/>
            <w:tcBorders>
              <w:top w:val="nil"/>
              <w:bottom w:val="nil"/>
            </w:tcBorders>
            <w:noWrap w:val="0"/>
            <w:textDirection w:val="tbRlV"/>
            <w:vAlign w:val="center"/>
          </w:tcPr>
          <w:p w14:paraId="0DE162F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11D3CD8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7172D43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63004B2A">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57242800">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087D3879">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53DD2E66">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0EA3B8F4">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5F741F5">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38690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64CD35E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232B64BB">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04689A98">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438B5875">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tcBorders>
              <w:bottom w:val="nil"/>
            </w:tcBorders>
            <w:noWrap w:val="0"/>
            <w:vAlign w:val="center"/>
          </w:tcPr>
          <w:p w14:paraId="6D368786">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14:paraId="738BC996">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1F4FBDE1">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14:paraId="551D56B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2857435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7C76104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DFEAC9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AEB34A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7BBE357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00241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6A6F799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7E755B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78A68D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419B727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425DECB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28AA00A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3500EF7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20AEFDD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0F80548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CB8D3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075" w:type="dxa"/>
            <w:vMerge w:val="continue"/>
            <w:tcBorders>
              <w:top w:val="nil"/>
            </w:tcBorders>
            <w:noWrap w:val="0"/>
            <w:textDirection w:val="tbRlV"/>
            <w:vAlign w:val="center"/>
          </w:tcPr>
          <w:p w14:paraId="201FAA5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1E4A4C0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3BB6B20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236CA0B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1E284D9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5E031E7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19CFB3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36B4780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67AC49D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5274AC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14:paraId="5720CE4E">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1581708E">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w:t>
            </w:r>
          </w:p>
        </w:tc>
        <w:tc>
          <w:tcPr>
            <w:tcW w:w="795" w:type="dxa"/>
            <w:noWrap w:val="0"/>
            <w:vAlign w:val="center"/>
          </w:tcPr>
          <w:p w14:paraId="4E7D94D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c>
          <w:tcPr>
            <w:tcW w:w="1365" w:type="dxa"/>
            <w:noWrap w:val="0"/>
            <w:vAlign w:val="center"/>
          </w:tcPr>
          <w:p w14:paraId="03E8430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2FB6F4AC">
      <w:pPr>
        <w:spacing w:line="252" w:lineRule="auto"/>
        <w:rPr>
          <w:rFonts w:ascii="Arial"/>
          <w:color w:val="000000" w:themeColor="text1"/>
          <w:sz w:val="21"/>
          <w14:textFill>
            <w14:solidFill>
              <w14:schemeClr w14:val="tx1"/>
            </w14:solidFill>
          </w14:textFill>
        </w:rPr>
      </w:pPr>
    </w:p>
    <w:p w14:paraId="3379AC61">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69F4D88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14:paraId="31E12508">
      <w:pPr>
        <w:ind w:firstLine="1440" w:firstLineChars="400"/>
        <w:jc w:val="both"/>
        <w:rPr>
          <w:rFonts w:hint="eastAsia" w:eastAsia="方正小标宋简体"/>
          <w:sz w:val="36"/>
          <w:szCs w:val="36"/>
          <w:lang w:eastAsia="zh-CN"/>
        </w:rPr>
      </w:pPr>
    </w:p>
    <w:p w14:paraId="5D614530">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6"/>
        <w:tblW w:w="9510" w:type="dxa"/>
        <w:jc w:val="center"/>
        <w:tblLayout w:type="fixed"/>
        <w:tblCellMar>
          <w:top w:w="0" w:type="dxa"/>
          <w:left w:w="108" w:type="dxa"/>
          <w:bottom w:w="0" w:type="dxa"/>
          <w:right w:w="108" w:type="dxa"/>
        </w:tblCellMar>
      </w:tblPr>
      <w:tblGrid>
        <w:gridCol w:w="774"/>
        <w:gridCol w:w="1501"/>
        <w:gridCol w:w="6482"/>
        <w:gridCol w:w="753"/>
      </w:tblGrid>
      <w:tr w14:paraId="3645FDCB">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2045D1C2">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14:paraId="7C863B32">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14:paraId="2439EE7E">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14:paraId="4442039B">
            <w:pPr>
              <w:spacing w:line="240" w:lineRule="exact"/>
              <w:jc w:val="center"/>
              <w:rPr>
                <w:rFonts w:eastAsia="黑体"/>
                <w:szCs w:val="21"/>
              </w:rPr>
            </w:pPr>
            <w:r>
              <w:rPr>
                <w:rFonts w:eastAsia="黑体"/>
                <w:szCs w:val="21"/>
              </w:rPr>
              <w:t>评分</w:t>
            </w:r>
          </w:p>
        </w:tc>
      </w:tr>
      <w:tr w14:paraId="03BA5CA0">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2DFA5FD1">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14:paraId="5AFB047C">
            <w:pPr>
              <w:spacing w:line="320" w:lineRule="exact"/>
              <w:jc w:val="center"/>
              <w:rPr>
                <w:rFonts w:hint="eastAsia" w:asciiTheme="majorEastAsia" w:hAnsiTheme="majorEastAsia" w:eastAsiaTheme="majorEastAsia" w:cstheme="majorEastAsia"/>
                <w:szCs w:val="21"/>
              </w:rPr>
            </w:pPr>
          </w:p>
          <w:p w14:paraId="4CC71DDE">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14:paraId="78EFDAD3">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14:paraId="3AADB094">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14:paraId="75DD3FA6">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14:paraId="3F721AB0">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20</w:t>
            </w:r>
          </w:p>
        </w:tc>
      </w:tr>
      <w:tr w14:paraId="095C5455">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3364523D">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14:paraId="7F2BB5DC">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14:paraId="545E8B07">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14:paraId="7243AD11">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14:paraId="5C4AC1F1">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14:paraId="534AB1FF">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11B64673">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14:paraId="66C80B9A">
            <w:pPr>
              <w:spacing w:line="240" w:lineRule="exact"/>
              <w:jc w:val="center"/>
              <w:rPr>
                <w:rFonts w:hint="eastAsia" w:asciiTheme="majorEastAsia" w:hAnsiTheme="majorEastAsia" w:eastAsiaTheme="majorEastAsia" w:cstheme="majorEastAsia"/>
                <w:szCs w:val="21"/>
              </w:rPr>
            </w:pPr>
          </w:p>
          <w:p w14:paraId="648B8975">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14:paraId="5D947065">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14:paraId="57EA30DF">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14:paraId="107C0855">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107B9BDF">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14:paraId="3E781F98">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14:paraId="29648B4E">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14:paraId="4D3FBF0F">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10FA2E52">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14:paraId="5497AF39">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14:paraId="23B615C2">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7CF2FCB4">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14:paraId="2130D374">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14:paraId="15A0122E">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14:paraId="41734D1F">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17</w:t>
            </w:r>
          </w:p>
        </w:tc>
      </w:tr>
      <w:tr w14:paraId="53483D3A">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3F4427DB">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73485B38">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14:paraId="4DCD68A1">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14:paraId="4DD574F0">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14:paraId="013E27CA">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48F51B04">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1DB703FE">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20</w:t>
            </w:r>
            <w:r>
              <w:rPr>
                <w:rFonts w:hint="eastAsia" w:asciiTheme="majorEastAsia" w:hAnsiTheme="majorEastAsia" w:eastAsiaTheme="majorEastAsia" w:cstheme="majorEastAsia"/>
                <w:szCs w:val="21"/>
              </w:rPr>
              <w:t>　</w:t>
            </w:r>
          </w:p>
        </w:tc>
      </w:tr>
      <w:tr w14:paraId="0D712F36">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388A0EF4">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7546CE6C">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14:paraId="43896FFD">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14:paraId="15EE8852">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09DC0E3C">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71789276">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15</w:t>
            </w:r>
          </w:p>
        </w:tc>
      </w:tr>
      <w:tr w14:paraId="64F510BF">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4BB4B2E6">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14:paraId="6B97ED89">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14:paraId="30E2A6D3">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14:paraId="4C450779">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97</w:t>
            </w:r>
          </w:p>
        </w:tc>
      </w:tr>
    </w:tbl>
    <w:p w14:paraId="20534ABF">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方正舒体"/>
    <w:panose1 w:val="02010601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E9BE5F">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633971">
                          <w:pPr>
                            <w:pStyle w:val="4"/>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F633971">
                    <w:pPr>
                      <w:pStyle w:val="4"/>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33C478"/>
    <w:multiLevelType w:val="singleLevel"/>
    <w:tmpl w:val="9F33C478"/>
    <w:lvl w:ilvl="0" w:tentative="0">
      <w:start w:val="1"/>
      <w:numFmt w:val="chineseCounting"/>
      <w:suff w:val="nothing"/>
      <w:lvlText w:val="%1、"/>
      <w:lvlJc w:val="left"/>
      <w:rPr>
        <w:rFonts w:hint="eastAsia"/>
      </w:rPr>
    </w:lvl>
  </w:abstractNum>
  <w:abstractNum w:abstractNumId="1">
    <w:nsid w:val="4690B067"/>
    <w:multiLevelType w:val="singleLevel"/>
    <w:tmpl w:val="4690B067"/>
    <w:lvl w:ilvl="0" w:tentative="0">
      <w:start w:val="1"/>
      <w:numFmt w:val="chineseCounting"/>
      <w:suff w:val="nothing"/>
      <w:lvlText w:val="（%1）"/>
      <w:lvlJc w:val="left"/>
      <w:rPr>
        <w:rFonts w:hint="eastAsia"/>
      </w:rPr>
    </w:lvl>
  </w:abstractNum>
  <w:abstractNum w:abstractNumId="2">
    <w:nsid w:val="56D99E59"/>
    <w:multiLevelType w:val="singleLevel"/>
    <w:tmpl w:val="56D99E59"/>
    <w:lvl w:ilvl="0" w:tentative="0">
      <w:start w:val="8"/>
      <w:numFmt w:val="chineseCounting"/>
      <w:suff w:val="nothing"/>
      <w:lvlText w:val="%1、"/>
      <w:lvlJc w:val="left"/>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FmZWIzNDg2MmIzZjExOTIzMmViNTBmYTMwYTk0ZWYifQ=="/>
  </w:docVars>
  <w:rsids>
    <w:rsidRoot w:val="53FC3987"/>
    <w:rsid w:val="000A3765"/>
    <w:rsid w:val="001D7282"/>
    <w:rsid w:val="0039081D"/>
    <w:rsid w:val="005E6ECB"/>
    <w:rsid w:val="00744EA1"/>
    <w:rsid w:val="009419CA"/>
    <w:rsid w:val="00955854"/>
    <w:rsid w:val="009C7330"/>
    <w:rsid w:val="00A00FBB"/>
    <w:rsid w:val="00BF0721"/>
    <w:rsid w:val="00C03795"/>
    <w:rsid w:val="00CE3756"/>
    <w:rsid w:val="00D27A7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A55ED1"/>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41B36"/>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BE3915"/>
    <w:rsid w:val="12C621E8"/>
    <w:rsid w:val="12CF0716"/>
    <w:rsid w:val="12D95227"/>
    <w:rsid w:val="12E33197"/>
    <w:rsid w:val="12EE1C9C"/>
    <w:rsid w:val="12EF3A78"/>
    <w:rsid w:val="12F863E6"/>
    <w:rsid w:val="13094CA6"/>
    <w:rsid w:val="132156D8"/>
    <w:rsid w:val="132911E2"/>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0A1A6E"/>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27B7E"/>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A663C4"/>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E93AA2"/>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EDF58C0"/>
    <w:rsid w:val="2F0E1C14"/>
    <w:rsid w:val="2F366FC1"/>
    <w:rsid w:val="2F5034C7"/>
    <w:rsid w:val="2F866106"/>
    <w:rsid w:val="2FA3249D"/>
    <w:rsid w:val="2FC05B92"/>
    <w:rsid w:val="2FDE3BE4"/>
    <w:rsid w:val="2FEC1413"/>
    <w:rsid w:val="2FEF5C51"/>
    <w:rsid w:val="301F1E0F"/>
    <w:rsid w:val="302E6295"/>
    <w:rsid w:val="303329F0"/>
    <w:rsid w:val="303818E5"/>
    <w:rsid w:val="303962BA"/>
    <w:rsid w:val="303F1851"/>
    <w:rsid w:val="303F79AD"/>
    <w:rsid w:val="30492212"/>
    <w:rsid w:val="304C3A2B"/>
    <w:rsid w:val="30596318"/>
    <w:rsid w:val="306F339C"/>
    <w:rsid w:val="30762710"/>
    <w:rsid w:val="30814CF1"/>
    <w:rsid w:val="308E4163"/>
    <w:rsid w:val="30C20BA4"/>
    <w:rsid w:val="30C43B5C"/>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D21A02"/>
    <w:rsid w:val="37104DEB"/>
    <w:rsid w:val="372D0977"/>
    <w:rsid w:val="37337382"/>
    <w:rsid w:val="374D5647"/>
    <w:rsid w:val="374F42A7"/>
    <w:rsid w:val="37506DBE"/>
    <w:rsid w:val="3759338C"/>
    <w:rsid w:val="37654002"/>
    <w:rsid w:val="37785F1B"/>
    <w:rsid w:val="378E3E66"/>
    <w:rsid w:val="37C244FC"/>
    <w:rsid w:val="37D95C79"/>
    <w:rsid w:val="37E81F7B"/>
    <w:rsid w:val="38026A1B"/>
    <w:rsid w:val="38197832"/>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D8279E"/>
    <w:rsid w:val="3AE73EDB"/>
    <w:rsid w:val="3B08641D"/>
    <w:rsid w:val="3B1C7A19"/>
    <w:rsid w:val="3B2B5582"/>
    <w:rsid w:val="3B4234D4"/>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5A60CA"/>
    <w:rsid w:val="3D673770"/>
    <w:rsid w:val="3D9F4364"/>
    <w:rsid w:val="3DA10EFE"/>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D33DCB"/>
    <w:rsid w:val="4EE34782"/>
    <w:rsid w:val="4EE52B9F"/>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6759C7"/>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8B6DDD"/>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613F45"/>
    <w:rsid w:val="6C756221"/>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057AE"/>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D09113D"/>
    <w:rsid w:val="7D157A0E"/>
    <w:rsid w:val="7D1658AD"/>
    <w:rsid w:val="7D1D4159"/>
    <w:rsid w:val="7D243099"/>
    <w:rsid w:val="7D3731E5"/>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3E27EB"/>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3">
    <w:name w:val="toa heading"/>
    <w:next w:val="1"/>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Pages>
  <Words>5351</Words>
  <Characters>5753</Characters>
  <Lines>0</Lines>
  <Paragraphs>0</Paragraphs>
  <TotalTime>0</TotalTime>
  <ScaleCrop>false</ScaleCrop>
  <LinksUpToDate>false</LinksUpToDate>
  <CharactersWithSpaces>6016</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阿朵</cp:lastModifiedBy>
  <cp:lastPrinted>2023-07-18T01:21:00Z</cp:lastPrinted>
  <dcterms:modified xsi:type="dcterms:W3CDTF">2024-06-15T12:08:30Z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FF077220C8784FDEBAA6BB1B55D8DAF6_13</vt:lpwstr>
  </property>
</Properties>
</file>