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352C8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473A0217">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6BB34ED0">
      <w:pPr>
        <w:spacing w:line="115" w:lineRule="exact"/>
        <w:rPr>
          <w:color w:val="000000" w:themeColor="text1"/>
          <w14:textFill>
            <w14:solidFill>
              <w14:schemeClr w14:val="tx1"/>
            </w14:solidFill>
          </w14:textFill>
        </w:rPr>
      </w:pPr>
    </w:p>
    <w:tbl>
      <w:tblPr>
        <w:tblStyle w:val="10"/>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482715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73740668">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7F5EBEC3">
            <w:pPr>
              <w:spacing w:before="103" w:line="219" w:lineRule="auto"/>
              <w:ind w:left="708"/>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岳阳市岳阳楼区站前路街道办事处</w:t>
            </w:r>
          </w:p>
        </w:tc>
      </w:tr>
      <w:tr w14:paraId="1F695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37EDF7CA">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268340BE">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6A53A6E8">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99878B4">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2876C9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vMerge w:val="continue"/>
            <w:tcBorders>
              <w:top w:val="nil"/>
            </w:tcBorders>
            <w:noWrap w:val="0"/>
            <w:vAlign w:val="top"/>
          </w:tcPr>
          <w:p w14:paraId="1E3DFC78">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71EE32E5">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53</w:t>
            </w:r>
          </w:p>
        </w:tc>
        <w:tc>
          <w:tcPr>
            <w:tcW w:w="2325" w:type="dxa"/>
            <w:gridSpan w:val="2"/>
            <w:noWrap w:val="0"/>
            <w:vAlign w:val="top"/>
          </w:tcPr>
          <w:p w14:paraId="2161027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53</w:t>
            </w:r>
            <w:bookmarkStart w:id="0" w:name="_GoBack"/>
            <w:bookmarkEnd w:id="0"/>
          </w:p>
        </w:tc>
        <w:tc>
          <w:tcPr>
            <w:tcW w:w="1679" w:type="dxa"/>
            <w:gridSpan w:val="2"/>
            <w:noWrap w:val="0"/>
            <w:vAlign w:val="top"/>
          </w:tcPr>
          <w:p w14:paraId="0713C955">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54E886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7180569C">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347F4373">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063DEC0B">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075C91A3">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3F776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F45286E">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0E023B8B">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11.34</w:t>
            </w:r>
          </w:p>
        </w:tc>
        <w:tc>
          <w:tcPr>
            <w:tcW w:w="2325" w:type="dxa"/>
            <w:gridSpan w:val="2"/>
            <w:noWrap w:val="0"/>
            <w:vAlign w:val="top"/>
          </w:tcPr>
          <w:p w14:paraId="3C7A2A9A">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24</w:t>
            </w:r>
          </w:p>
        </w:tc>
        <w:tc>
          <w:tcPr>
            <w:tcW w:w="1679" w:type="dxa"/>
            <w:gridSpan w:val="2"/>
            <w:noWrap w:val="0"/>
            <w:vAlign w:val="top"/>
          </w:tcPr>
          <w:p w14:paraId="62834769">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8.44</w:t>
            </w:r>
          </w:p>
        </w:tc>
      </w:tr>
      <w:tr w14:paraId="27AA4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1387DA5">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75ECDBE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E377D0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5B98A16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63A412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797F1A3">
            <w:pPr>
              <w:spacing w:before="149" w:line="193" w:lineRule="auto"/>
              <w:ind w:left="414"/>
              <w:jc w:val="left"/>
              <w:rPr>
                <w:rFonts w:hint="eastAsia"/>
              </w:rPr>
            </w:pPr>
          </w:p>
          <w:p w14:paraId="57D809B1">
            <w:pPr>
              <w:pStyle w:val="2"/>
              <w:rPr>
                <w:rFonts w:hint="eastAsia"/>
              </w:rPr>
            </w:pPr>
          </w:p>
        </w:tc>
        <w:tc>
          <w:tcPr>
            <w:tcW w:w="1815" w:type="dxa"/>
            <w:gridSpan w:val="2"/>
            <w:noWrap w:val="0"/>
            <w:vAlign w:val="top"/>
          </w:tcPr>
          <w:p w14:paraId="4E32677E">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893BD1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1D563A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5AC7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1E4CE54">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0DC80045">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0048715">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71357E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DDDB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70E8F24C">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1867DE2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BD2374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1159B2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FB8D7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7F06EAE1">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45199D9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8FF4F8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C7D70EC">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A2AB8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700830D">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24D95DD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11.34</w:t>
            </w:r>
          </w:p>
        </w:tc>
        <w:tc>
          <w:tcPr>
            <w:tcW w:w="2325" w:type="dxa"/>
            <w:gridSpan w:val="2"/>
            <w:noWrap w:val="0"/>
            <w:vAlign w:val="top"/>
          </w:tcPr>
          <w:p w14:paraId="46CD940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w:t>
            </w:r>
          </w:p>
        </w:tc>
        <w:tc>
          <w:tcPr>
            <w:tcW w:w="1679" w:type="dxa"/>
            <w:gridSpan w:val="2"/>
            <w:noWrap w:val="0"/>
            <w:vAlign w:val="top"/>
          </w:tcPr>
          <w:p w14:paraId="20993FC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8.44</w:t>
            </w:r>
          </w:p>
        </w:tc>
      </w:tr>
      <w:tr w14:paraId="673757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D31EEA4">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7406E602">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1ADB34E">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791DB698">
            <w:pPr>
              <w:jc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940.81</w:t>
            </w:r>
          </w:p>
        </w:tc>
      </w:tr>
      <w:tr w14:paraId="0002D3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22C87EF">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2CF7C4B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FCB04B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w:t>
            </w:r>
          </w:p>
        </w:tc>
        <w:tc>
          <w:tcPr>
            <w:tcW w:w="1679" w:type="dxa"/>
            <w:gridSpan w:val="2"/>
            <w:noWrap w:val="0"/>
            <w:vAlign w:val="top"/>
          </w:tcPr>
          <w:p w14:paraId="5F74719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3AF4C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676239E8">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6A52706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4CAAD6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3E4ADF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64011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3CF65AF1">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29B7C69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39C4897">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E948CF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940.81</w:t>
            </w:r>
          </w:p>
        </w:tc>
      </w:tr>
      <w:tr w14:paraId="697395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14:paraId="2B773587">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就业援助岗位补助</w:t>
            </w:r>
          </w:p>
        </w:tc>
        <w:tc>
          <w:tcPr>
            <w:tcW w:w="1815" w:type="dxa"/>
            <w:gridSpan w:val="2"/>
            <w:noWrap w:val="0"/>
            <w:vAlign w:val="top"/>
          </w:tcPr>
          <w:p w14:paraId="5999B0E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4D8218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42E2CBF2">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0.23</w:t>
            </w:r>
          </w:p>
        </w:tc>
      </w:tr>
      <w:tr w14:paraId="0B7DFB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14:paraId="09954484">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劳动协理员补贴</w:t>
            </w:r>
          </w:p>
        </w:tc>
        <w:tc>
          <w:tcPr>
            <w:tcW w:w="1815" w:type="dxa"/>
            <w:gridSpan w:val="2"/>
            <w:noWrap w:val="0"/>
            <w:vAlign w:val="top"/>
          </w:tcPr>
          <w:p w14:paraId="43F9571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08D8B6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27202E6B">
            <w:pPr>
              <w:keepNext w:val="0"/>
              <w:keepLines w:val="0"/>
              <w:widowControl/>
              <w:suppressLineNumbers w:val="0"/>
              <w:jc w:val="center"/>
              <w:textAlignment w:val="cente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1.44</w:t>
            </w:r>
          </w:p>
        </w:tc>
      </w:tr>
      <w:tr w14:paraId="59ED0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14:paraId="0DF692B4">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公益性岗位补贴</w:t>
            </w:r>
          </w:p>
        </w:tc>
        <w:tc>
          <w:tcPr>
            <w:tcW w:w="1815" w:type="dxa"/>
            <w:gridSpan w:val="2"/>
            <w:noWrap w:val="0"/>
            <w:vAlign w:val="top"/>
          </w:tcPr>
          <w:p w14:paraId="293C4F8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1E9DAC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7A253594">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33.48</w:t>
            </w:r>
          </w:p>
        </w:tc>
      </w:tr>
      <w:tr w14:paraId="59C09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 w:hRule="atLeast"/>
        </w:trPr>
        <w:tc>
          <w:tcPr>
            <w:tcW w:w="3850" w:type="dxa"/>
            <w:noWrap w:val="0"/>
            <w:vAlign w:val="center"/>
          </w:tcPr>
          <w:p w14:paraId="7346C333">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劳保资金</w:t>
            </w:r>
          </w:p>
        </w:tc>
        <w:tc>
          <w:tcPr>
            <w:tcW w:w="1815" w:type="dxa"/>
            <w:gridSpan w:val="2"/>
            <w:noWrap w:val="0"/>
            <w:vAlign w:val="top"/>
          </w:tcPr>
          <w:p w14:paraId="386D650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2D2723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F5C0DDE">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6.91</w:t>
            </w:r>
          </w:p>
        </w:tc>
      </w:tr>
      <w:tr w14:paraId="619C65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14:paraId="2C42B72D">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春节慰问款</w:t>
            </w:r>
          </w:p>
        </w:tc>
        <w:tc>
          <w:tcPr>
            <w:tcW w:w="1815" w:type="dxa"/>
            <w:gridSpan w:val="2"/>
            <w:noWrap w:val="0"/>
            <w:vAlign w:val="top"/>
          </w:tcPr>
          <w:p w14:paraId="2B34F85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EF36E9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50D3219">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8</w:t>
            </w:r>
          </w:p>
        </w:tc>
      </w:tr>
      <w:tr w14:paraId="4D24CA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14:paraId="78DCD782">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流浪乞讨人员救助款</w:t>
            </w:r>
          </w:p>
        </w:tc>
        <w:tc>
          <w:tcPr>
            <w:tcW w:w="1815" w:type="dxa"/>
            <w:gridSpan w:val="2"/>
            <w:noWrap w:val="0"/>
            <w:vAlign w:val="top"/>
          </w:tcPr>
          <w:p w14:paraId="0E91101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99CCFE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7E1AB2E0">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0.3</w:t>
            </w:r>
          </w:p>
        </w:tc>
      </w:tr>
      <w:tr w14:paraId="5A673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center"/>
          </w:tcPr>
          <w:p w14:paraId="027D12EC">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临时救助</w:t>
            </w:r>
          </w:p>
        </w:tc>
        <w:tc>
          <w:tcPr>
            <w:tcW w:w="1815" w:type="dxa"/>
            <w:gridSpan w:val="2"/>
            <w:noWrap w:val="0"/>
            <w:vAlign w:val="top"/>
          </w:tcPr>
          <w:p w14:paraId="408D3F6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2091F1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2B8F196D">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6.07</w:t>
            </w:r>
          </w:p>
        </w:tc>
      </w:tr>
      <w:tr w14:paraId="1548F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376042F9">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民政资金</w:t>
            </w:r>
          </w:p>
        </w:tc>
        <w:tc>
          <w:tcPr>
            <w:tcW w:w="1815" w:type="dxa"/>
            <w:gridSpan w:val="2"/>
            <w:noWrap w:val="0"/>
            <w:vAlign w:val="top"/>
          </w:tcPr>
          <w:p w14:paraId="033C896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2FA48E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0AD1549F">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0.91</w:t>
            </w:r>
          </w:p>
        </w:tc>
      </w:tr>
      <w:tr w14:paraId="1C6A8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5702C22C">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环卫工人工资</w:t>
            </w:r>
          </w:p>
        </w:tc>
        <w:tc>
          <w:tcPr>
            <w:tcW w:w="1815" w:type="dxa"/>
            <w:gridSpan w:val="2"/>
            <w:noWrap w:val="0"/>
            <w:vAlign w:val="top"/>
          </w:tcPr>
          <w:p w14:paraId="4293538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85B79A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10892B0">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443.64</w:t>
            </w:r>
          </w:p>
        </w:tc>
      </w:tr>
      <w:tr w14:paraId="0B772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6E566AC8">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环卫工作经费</w:t>
            </w:r>
          </w:p>
        </w:tc>
        <w:tc>
          <w:tcPr>
            <w:tcW w:w="1815" w:type="dxa"/>
            <w:gridSpan w:val="2"/>
            <w:noWrap w:val="0"/>
            <w:vAlign w:val="top"/>
          </w:tcPr>
          <w:p w14:paraId="6BAF3A9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CCEB4F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F7E5CC8">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43.04</w:t>
            </w:r>
          </w:p>
        </w:tc>
      </w:tr>
      <w:tr w14:paraId="129598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7466F33A">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环卫工人社保经费</w:t>
            </w:r>
          </w:p>
        </w:tc>
        <w:tc>
          <w:tcPr>
            <w:tcW w:w="1815" w:type="dxa"/>
            <w:gridSpan w:val="2"/>
            <w:noWrap w:val="0"/>
            <w:vAlign w:val="top"/>
          </w:tcPr>
          <w:p w14:paraId="1E30E79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A5C092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EBA5306">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92.03</w:t>
            </w:r>
          </w:p>
        </w:tc>
      </w:tr>
      <w:tr w14:paraId="5ABDFB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7922FC98">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环卫工人保险外赔偿</w:t>
            </w:r>
          </w:p>
        </w:tc>
        <w:tc>
          <w:tcPr>
            <w:tcW w:w="1815" w:type="dxa"/>
            <w:gridSpan w:val="2"/>
            <w:noWrap w:val="0"/>
            <w:vAlign w:val="top"/>
          </w:tcPr>
          <w:p w14:paraId="7BCDFAA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0518D5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5631FAFD">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0.84</w:t>
            </w:r>
          </w:p>
        </w:tc>
      </w:tr>
      <w:tr w14:paraId="7E68F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60F64B60">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环境整治经费</w:t>
            </w:r>
          </w:p>
        </w:tc>
        <w:tc>
          <w:tcPr>
            <w:tcW w:w="1815" w:type="dxa"/>
            <w:gridSpan w:val="2"/>
            <w:noWrap w:val="0"/>
            <w:vAlign w:val="top"/>
          </w:tcPr>
          <w:p w14:paraId="271EDF0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C4F780A">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748F3331">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2.97</w:t>
            </w:r>
          </w:p>
        </w:tc>
      </w:tr>
      <w:tr w14:paraId="4955F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6A4288F5">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垃圾分类工作经费</w:t>
            </w:r>
          </w:p>
        </w:tc>
        <w:tc>
          <w:tcPr>
            <w:tcW w:w="1815" w:type="dxa"/>
            <w:gridSpan w:val="2"/>
            <w:noWrap w:val="0"/>
            <w:vAlign w:val="top"/>
          </w:tcPr>
          <w:p w14:paraId="301EB03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CB20AE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CC8E512">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48.29</w:t>
            </w:r>
          </w:p>
        </w:tc>
      </w:tr>
      <w:tr w14:paraId="448BC8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4E61E609">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环卫资金</w:t>
            </w:r>
          </w:p>
        </w:tc>
        <w:tc>
          <w:tcPr>
            <w:tcW w:w="1815" w:type="dxa"/>
            <w:gridSpan w:val="2"/>
            <w:noWrap w:val="0"/>
            <w:vAlign w:val="top"/>
          </w:tcPr>
          <w:p w14:paraId="39782DD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0759232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7CC705E7">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2.9</w:t>
            </w:r>
          </w:p>
        </w:tc>
      </w:tr>
      <w:tr w14:paraId="5C0C60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1C315E29">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重性精神病监护补贴</w:t>
            </w:r>
          </w:p>
        </w:tc>
        <w:tc>
          <w:tcPr>
            <w:tcW w:w="1815" w:type="dxa"/>
            <w:gridSpan w:val="2"/>
            <w:noWrap w:val="0"/>
            <w:vAlign w:val="top"/>
          </w:tcPr>
          <w:p w14:paraId="4D74D83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7DE2BD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59D8B297">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4.42</w:t>
            </w:r>
          </w:p>
        </w:tc>
      </w:tr>
      <w:tr w14:paraId="0C8BC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18856FED">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特困家庭失独抚慰金</w:t>
            </w:r>
          </w:p>
        </w:tc>
        <w:tc>
          <w:tcPr>
            <w:tcW w:w="1815" w:type="dxa"/>
            <w:gridSpan w:val="2"/>
            <w:noWrap w:val="0"/>
            <w:vAlign w:val="top"/>
          </w:tcPr>
          <w:p w14:paraId="5E3FA20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2EF16F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6EE2FB6A">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6.2</w:t>
            </w:r>
          </w:p>
        </w:tc>
      </w:tr>
      <w:tr w14:paraId="4655C8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583FCB77">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生育关怀扶助金</w:t>
            </w:r>
          </w:p>
        </w:tc>
        <w:tc>
          <w:tcPr>
            <w:tcW w:w="1815" w:type="dxa"/>
            <w:gridSpan w:val="2"/>
            <w:noWrap w:val="0"/>
            <w:vAlign w:val="top"/>
          </w:tcPr>
          <w:p w14:paraId="0F9B0D7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4FCE63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768FAE0E">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1.77</w:t>
            </w:r>
          </w:p>
        </w:tc>
      </w:tr>
      <w:tr w14:paraId="45F79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253FA212">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计生资金</w:t>
            </w:r>
          </w:p>
        </w:tc>
        <w:tc>
          <w:tcPr>
            <w:tcW w:w="1815" w:type="dxa"/>
            <w:gridSpan w:val="2"/>
            <w:noWrap w:val="0"/>
            <w:vAlign w:val="top"/>
          </w:tcPr>
          <w:p w14:paraId="3914777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4C7265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5EACFC75">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0.01</w:t>
            </w:r>
          </w:p>
        </w:tc>
      </w:tr>
      <w:tr w14:paraId="092176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3A5ADF5E">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残疾人就业扶助</w:t>
            </w:r>
          </w:p>
        </w:tc>
        <w:tc>
          <w:tcPr>
            <w:tcW w:w="1815" w:type="dxa"/>
            <w:gridSpan w:val="2"/>
            <w:noWrap w:val="0"/>
            <w:vAlign w:val="top"/>
          </w:tcPr>
          <w:p w14:paraId="02C5A34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30E22B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BA14B33">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6.37</w:t>
            </w:r>
          </w:p>
        </w:tc>
      </w:tr>
      <w:tr w14:paraId="6BC1C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6143814A">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联络员补贴</w:t>
            </w:r>
          </w:p>
        </w:tc>
        <w:tc>
          <w:tcPr>
            <w:tcW w:w="1815" w:type="dxa"/>
            <w:gridSpan w:val="2"/>
            <w:noWrap w:val="0"/>
            <w:vAlign w:val="top"/>
          </w:tcPr>
          <w:p w14:paraId="17BE2D5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697100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F29B7AC">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3.04</w:t>
            </w:r>
          </w:p>
        </w:tc>
      </w:tr>
      <w:tr w14:paraId="0E2FBD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18AC0EB7">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燃油补贴</w:t>
            </w:r>
          </w:p>
        </w:tc>
        <w:tc>
          <w:tcPr>
            <w:tcW w:w="1815" w:type="dxa"/>
            <w:gridSpan w:val="2"/>
            <w:noWrap w:val="0"/>
            <w:vAlign w:val="top"/>
          </w:tcPr>
          <w:p w14:paraId="4631818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B3F876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000236E">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0.62</w:t>
            </w:r>
          </w:p>
        </w:tc>
      </w:tr>
      <w:tr w14:paraId="2DC0B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5497FFAB">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残疾人办证补贴</w:t>
            </w:r>
          </w:p>
        </w:tc>
        <w:tc>
          <w:tcPr>
            <w:tcW w:w="1815" w:type="dxa"/>
            <w:gridSpan w:val="2"/>
            <w:noWrap w:val="0"/>
            <w:vAlign w:val="top"/>
          </w:tcPr>
          <w:p w14:paraId="13AB67A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067842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FA8FF05">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0.44</w:t>
            </w:r>
          </w:p>
        </w:tc>
      </w:tr>
      <w:tr w14:paraId="47276C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61619AAF">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残联资金</w:t>
            </w:r>
          </w:p>
        </w:tc>
        <w:tc>
          <w:tcPr>
            <w:tcW w:w="1815" w:type="dxa"/>
            <w:gridSpan w:val="2"/>
            <w:noWrap w:val="0"/>
            <w:vAlign w:val="top"/>
          </w:tcPr>
          <w:p w14:paraId="7A93540E">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F8181C8">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01F8042">
            <w:pPr>
              <w:keepNext w:val="0"/>
              <w:keepLines w:val="0"/>
              <w:widowControl/>
              <w:suppressLineNumbers w:val="0"/>
              <w:jc w:val="center"/>
              <w:textAlignment w:val="center"/>
              <w:rPr>
                <w:rFonts w:hint="default" w:asciiTheme="majorEastAsia" w:hAnsiTheme="majorEastAsia" w:eastAsiaTheme="majorEastAsia" w:cstheme="majorEastAsia"/>
                <w:color w:val="auto"/>
                <w:sz w:val="21"/>
                <w:lang w:val="en-US"/>
              </w:rPr>
            </w:pPr>
            <w:r>
              <w:rPr>
                <w:rFonts w:hint="eastAsia" w:ascii="宋体" w:hAnsi="宋体" w:eastAsia="宋体" w:cs="宋体"/>
                <w:i w:val="0"/>
                <w:iCs w:val="0"/>
                <w:color w:val="auto"/>
                <w:kern w:val="0"/>
                <w:sz w:val="22"/>
                <w:szCs w:val="22"/>
                <w:u w:val="none"/>
                <w:lang w:val="en-US" w:eastAsia="zh-CN" w:bidi="ar"/>
              </w:rPr>
              <w:t>1.86</w:t>
            </w:r>
          </w:p>
        </w:tc>
      </w:tr>
      <w:tr w14:paraId="4CB7D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36246CA3">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泰和整治经费</w:t>
            </w:r>
          </w:p>
        </w:tc>
        <w:tc>
          <w:tcPr>
            <w:tcW w:w="1815" w:type="dxa"/>
            <w:gridSpan w:val="2"/>
            <w:noWrap w:val="0"/>
            <w:vAlign w:val="top"/>
          </w:tcPr>
          <w:p w14:paraId="61798D1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746B1C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54186DF5">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78.43</w:t>
            </w:r>
          </w:p>
        </w:tc>
      </w:tr>
      <w:tr w14:paraId="590F50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68928694">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泰和消防安全整治经费</w:t>
            </w:r>
          </w:p>
        </w:tc>
        <w:tc>
          <w:tcPr>
            <w:tcW w:w="1815" w:type="dxa"/>
            <w:gridSpan w:val="2"/>
            <w:noWrap w:val="0"/>
            <w:vAlign w:val="top"/>
          </w:tcPr>
          <w:p w14:paraId="6295761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F1F243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6473598B">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12</w:t>
            </w:r>
          </w:p>
        </w:tc>
      </w:tr>
      <w:tr w14:paraId="7765A1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739488FF">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军转干部解困金</w:t>
            </w:r>
          </w:p>
        </w:tc>
        <w:tc>
          <w:tcPr>
            <w:tcW w:w="1815" w:type="dxa"/>
            <w:gridSpan w:val="2"/>
            <w:noWrap w:val="0"/>
            <w:vAlign w:val="top"/>
          </w:tcPr>
          <w:p w14:paraId="468E173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064EF02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122D0BD8">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12.95</w:t>
            </w:r>
          </w:p>
        </w:tc>
      </w:tr>
      <w:tr w14:paraId="05B65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4D218CE4">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入伍义务兵补贴</w:t>
            </w:r>
          </w:p>
        </w:tc>
        <w:tc>
          <w:tcPr>
            <w:tcW w:w="1815" w:type="dxa"/>
            <w:gridSpan w:val="2"/>
            <w:noWrap w:val="0"/>
            <w:vAlign w:val="top"/>
          </w:tcPr>
          <w:p w14:paraId="01ABB7C7">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6D3C7B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641F71FC">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19.2</w:t>
            </w:r>
          </w:p>
        </w:tc>
      </w:tr>
      <w:tr w14:paraId="376967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center"/>
          </w:tcPr>
          <w:p w14:paraId="7551B91C">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慰问款</w:t>
            </w:r>
          </w:p>
        </w:tc>
        <w:tc>
          <w:tcPr>
            <w:tcW w:w="1815" w:type="dxa"/>
            <w:gridSpan w:val="2"/>
            <w:noWrap w:val="0"/>
            <w:vAlign w:val="top"/>
          </w:tcPr>
          <w:p w14:paraId="3D87103C">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F6197E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01453902">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17.65</w:t>
            </w:r>
          </w:p>
        </w:tc>
      </w:tr>
      <w:tr w14:paraId="6F25B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3850" w:type="dxa"/>
            <w:noWrap w:val="0"/>
            <w:vAlign w:val="center"/>
          </w:tcPr>
          <w:p w14:paraId="33584F3C">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其余资金</w:t>
            </w:r>
          </w:p>
        </w:tc>
        <w:tc>
          <w:tcPr>
            <w:tcW w:w="1815" w:type="dxa"/>
            <w:gridSpan w:val="2"/>
            <w:noWrap w:val="0"/>
            <w:vAlign w:val="top"/>
          </w:tcPr>
          <w:p w14:paraId="3C306884">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1709F5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2849C7ED">
            <w:pPr>
              <w:keepNext w:val="0"/>
              <w:keepLines w:val="0"/>
              <w:widowControl/>
              <w:suppressLineNumbers w:val="0"/>
              <w:jc w:val="center"/>
              <w:textAlignment w:val="center"/>
              <w:rPr>
                <w:rFonts w:hint="eastAsia" w:asciiTheme="majorEastAsia" w:hAnsiTheme="majorEastAsia" w:eastAsiaTheme="majorEastAsia" w:cstheme="majorEastAsia"/>
                <w:color w:val="auto"/>
                <w:sz w:val="21"/>
              </w:rPr>
            </w:pPr>
            <w:r>
              <w:rPr>
                <w:rFonts w:hint="eastAsia" w:ascii="宋体" w:hAnsi="宋体" w:eastAsia="宋体" w:cs="宋体"/>
                <w:i w:val="0"/>
                <w:iCs w:val="0"/>
                <w:color w:val="auto"/>
                <w:kern w:val="0"/>
                <w:sz w:val="22"/>
                <w:szCs w:val="22"/>
                <w:u w:val="none"/>
                <w:lang w:val="en-US" w:eastAsia="zh-CN" w:bidi="ar"/>
              </w:rPr>
              <w:t>10.83</w:t>
            </w:r>
          </w:p>
        </w:tc>
      </w:tr>
      <w:tr w14:paraId="42136D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3850" w:type="dxa"/>
            <w:noWrap w:val="0"/>
            <w:vAlign w:val="center"/>
          </w:tcPr>
          <w:p w14:paraId="1EB920BA">
            <w:pPr>
              <w:keepNext w:val="0"/>
              <w:keepLines w:val="0"/>
              <w:widowControl/>
              <w:suppressLineNumbers w:val="0"/>
              <w:jc w:val="center"/>
              <w:textAlignment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疫情防控</w:t>
            </w:r>
          </w:p>
        </w:tc>
        <w:tc>
          <w:tcPr>
            <w:tcW w:w="1815" w:type="dxa"/>
            <w:gridSpan w:val="2"/>
            <w:noWrap w:val="0"/>
            <w:vAlign w:val="top"/>
          </w:tcPr>
          <w:p w14:paraId="061B178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5D7AA52">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14:paraId="3451C656">
            <w:pPr>
              <w:keepNext w:val="0"/>
              <w:keepLines w:val="0"/>
              <w:widowControl/>
              <w:suppressLineNumbers w:val="0"/>
              <w:jc w:val="center"/>
              <w:textAlignment w:val="center"/>
              <w:rPr>
                <w:rFonts w:hint="eastAsia"/>
              </w:rPr>
            </w:pPr>
          </w:p>
          <w:p w14:paraId="320970DE">
            <w:pPr>
              <w:pStyle w:val="2"/>
              <w:rPr>
                <w:rFonts w:hint="eastAsia"/>
              </w:rPr>
            </w:pPr>
          </w:p>
          <w:p w14:paraId="113F49A9">
            <w:pPr>
              <w:rPr>
                <w:rFonts w:hint="eastAsia"/>
              </w:rPr>
            </w:pPr>
          </w:p>
        </w:tc>
      </w:tr>
      <w:tr w14:paraId="07024D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B09CDCB">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4DDDA4DE">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3213AE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CAD612C">
            <w:pPr>
              <w:rPr>
                <w:rFonts w:hint="eastAsia" w:asciiTheme="majorEastAsia" w:hAnsiTheme="majorEastAsia" w:eastAsiaTheme="majorEastAsia" w:cstheme="majorEastAsia"/>
                <w:color w:val="auto"/>
                <w:sz w:val="21"/>
              </w:rPr>
            </w:pPr>
          </w:p>
        </w:tc>
      </w:tr>
      <w:tr w14:paraId="6273B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DD80795">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29E36AE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A4C1E4B">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3B7F98E">
            <w:pPr>
              <w:rPr>
                <w:rFonts w:hint="eastAsia" w:asciiTheme="majorEastAsia" w:hAnsiTheme="majorEastAsia" w:eastAsiaTheme="majorEastAsia" w:cstheme="majorEastAsia"/>
                <w:color w:val="auto"/>
                <w:sz w:val="21"/>
              </w:rPr>
            </w:pPr>
          </w:p>
        </w:tc>
      </w:tr>
      <w:tr w14:paraId="0DE40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D024230">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3B9FC8E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534.22</w:t>
            </w:r>
          </w:p>
        </w:tc>
        <w:tc>
          <w:tcPr>
            <w:tcW w:w="2325" w:type="dxa"/>
            <w:gridSpan w:val="2"/>
            <w:noWrap w:val="0"/>
            <w:vAlign w:val="top"/>
          </w:tcPr>
          <w:p w14:paraId="642110F6">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97.2</w:t>
            </w:r>
          </w:p>
        </w:tc>
        <w:tc>
          <w:tcPr>
            <w:tcW w:w="1679" w:type="dxa"/>
            <w:gridSpan w:val="2"/>
            <w:noWrap w:val="0"/>
            <w:vAlign w:val="top"/>
          </w:tcPr>
          <w:p w14:paraId="215CBA4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303.15</w:t>
            </w:r>
          </w:p>
        </w:tc>
      </w:tr>
      <w:tr w14:paraId="2E917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4B93736">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5089E176">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39.27</w:t>
            </w:r>
          </w:p>
        </w:tc>
        <w:tc>
          <w:tcPr>
            <w:tcW w:w="2325" w:type="dxa"/>
            <w:gridSpan w:val="2"/>
            <w:noWrap w:val="0"/>
            <w:vAlign w:val="top"/>
          </w:tcPr>
          <w:p w14:paraId="00DFA6F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56.5</w:t>
            </w:r>
          </w:p>
        </w:tc>
        <w:tc>
          <w:tcPr>
            <w:tcW w:w="1679" w:type="dxa"/>
            <w:gridSpan w:val="2"/>
            <w:noWrap w:val="0"/>
            <w:vAlign w:val="top"/>
          </w:tcPr>
          <w:p w14:paraId="784F224D">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61.73</w:t>
            </w:r>
          </w:p>
        </w:tc>
      </w:tr>
      <w:tr w14:paraId="77F74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51954B7">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2B8C4055">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8.39</w:t>
            </w:r>
          </w:p>
        </w:tc>
        <w:tc>
          <w:tcPr>
            <w:tcW w:w="2325" w:type="dxa"/>
            <w:gridSpan w:val="2"/>
            <w:noWrap w:val="0"/>
            <w:vAlign w:val="top"/>
          </w:tcPr>
          <w:p w14:paraId="673D315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c>
          <w:tcPr>
            <w:tcW w:w="1679" w:type="dxa"/>
            <w:gridSpan w:val="2"/>
            <w:noWrap w:val="0"/>
            <w:vAlign w:val="top"/>
          </w:tcPr>
          <w:p w14:paraId="7BEA0EFC">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8.29</w:t>
            </w:r>
          </w:p>
        </w:tc>
      </w:tr>
      <w:tr w14:paraId="1110A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32B3548">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397031D7">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3.54</w:t>
            </w:r>
          </w:p>
        </w:tc>
        <w:tc>
          <w:tcPr>
            <w:tcW w:w="2325" w:type="dxa"/>
            <w:gridSpan w:val="2"/>
            <w:noWrap w:val="0"/>
            <w:vAlign w:val="top"/>
          </w:tcPr>
          <w:p w14:paraId="0524A19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w:t>
            </w:r>
          </w:p>
        </w:tc>
        <w:tc>
          <w:tcPr>
            <w:tcW w:w="1679" w:type="dxa"/>
            <w:gridSpan w:val="2"/>
            <w:noWrap w:val="0"/>
            <w:vAlign w:val="top"/>
          </w:tcPr>
          <w:p w14:paraId="0D6B89EE">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0.2</w:t>
            </w:r>
          </w:p>
        </w:tc>
      </w:tr>
      <w:tr w14:paraId="2F187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588D623">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00DB0D9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C7F9826">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123.2</w:t>
            </w:r>
          </w:p>
        </w:tc>
        <w:tc>
          <w:tcPr>
            <w:tcW w:w="1679" w:type="dxa"/>
            <w:gridSpan w:val="2"/>
            <w:noWrap w:val="0"/>
            <w:vAlign w:val="top"/>
          </w:tcPr>
          <w:p w14:paraId="6C0F615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132.20</w:t>
            </w:r>
          </w:p>
        </w:tc>
      </w:tr>
      <w:tr w14:paraId="52AAB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05D5D40">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68D7124F">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7789483">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8433FA5">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9613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441DC81C">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369C9A98">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3279B50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647763B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4C07633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5733335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36EE5F4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0EB0C74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466F2A4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711CF5C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2682C2C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5F34E09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29ABB26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6D84A15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4346602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220C7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3B1638FF">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1D0C955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14:paraId="1FF46D20">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75A946CD">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5619FC11">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617E8A59">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37A383D7">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BEF0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36B15D52">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7F1CFA9B">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7C14F945">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15E82A52">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吴倩</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13789003891</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2023.6.14</w:t>
      </w:r>
    </w:p>
    <w:p w14:paraId="436D698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5554F009">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19BAAA66">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16279E43">
      <w:pPr>
        <w:spacing w:line="168" w:lineRule="exact"/>
        <w:rPr>
          <w:color w:val="000000" w:themeColor="text1"/>
          <w14:textFill>
            <w14:solidFill>
              <w14:schemeClr w14:val="tx1"/>
            </w14:solidFill>
          </w14:textFill>
        </w:rPr>
      </w:pPr>
    </w:p>
    <w:tbl>
      <w:tblPr>
        <w:tblStyle w:val="10"/>
        <w:tblW w:w="9835"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84"/>
        <w:gridCol w:w="1079"/>
        <w:gridCol w:w="1099"/>
        <w:gridCol w:w="1199"/>
        <w:gridCol w:w="1319"/>
        <w:gridCol w:w="1259"/>
        <w:gridCol w:w="719"/>
        <w:gridCol w:w="802"/>
        <w:gridCol w:w="1275"/>
      </w:tblGrid>
      <w:tr w14:paraId="14056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4" w:hRule="atLeast"/>
        </w:trPr>
        <w:tc>
          <w:tcPr>
            <w:tcW w:w="1084" w:type="dxa"/>
            <w:noWrap w:val="0"/>
            <w:vAlign w:val="top"/>
          </w:tcPr>
          <w:p w14:paraId="3C6C5E7F">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1926023C">
            <w:pPr>
              <w:jc w:val="center"/>
              <w:rPr>
                <w:rFonts w:ascii="Arial"/>
                <w:color w:val="000000" w:themeColor="text1"/>
                <w:sz w:val="21"/>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岳阳市岳阳楼区站前路街道办事处</w:t>
            </w:r>
          </w:p>
        </w:tc>
      </w:tr>
      <w:tr w14:paraId="64A8C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084" w:type="dxa"/>
            <w:vMerge w:val="restart"/>
            <w:noWrap w:val="0"/>
            <w:vAlign w:val="top"/>
          </w:tcPr>
          <w:p w14:paraId="725FADF5">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6489A01E">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2DCBAC5B">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366F0F51">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78" w:type="dxa"/>
            <w:gridSpan w:val="2"/>
            <w:noWrap w:val="0"/>
            <w:vAlign w:val="center"/>
          </w:tcPr>
          <w:p w14:paraId="1756EAA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199" w:type="dxa"/>
            <w:noWrap w:val="0"/>
            <w:vAlign w:val="center"/>
          </w:tcPr>
          <w:p w14:paraId="2803870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77E8692B">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360B104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0F78569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1C9C106A">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45074576">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72C4E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continue"/>
            <w:noWrap w:val="0"/>
            <w:vAlign w:val="top"/>
          </w:tcPr>
          <w:p w14:paraId="6EC161F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78" w:type="dxa"/>
            <w:gridSpan w:val="2"/>
            <w:noWrap w:val="0"/>
            <w:vAlign w:val="center"/>
          </w:tcPr>
          <w:p w14:paraId="3C3A963B">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99" w:type="dxa"/>
            <w:noWrap w:val="0"/>
            <w:vAlign w:val="center"/>
          </w:tcPr>
          <w:p w14:paraId="35C7543F">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866.63</w:t>
            </w:r>
          </w:p>
        </w:tc>
        <w:tc>
          <w:tcPr>
            <w:tcW w:w="1319" w:type="dxa"/>
            <w:noWrap w:val="0"/>
            <w:vAlign w:val="center"/>
          </w:tcPr>
          <w:p w14:paraId="0FAC8178">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2026.12</w:t>
            </w:r>
          </w:p>
        </w:tc>
        <w:tc>
          <w:tcPr>
            <w:tcW w:w="1259" w:type="dxa"/>
            <w:noWrap w:val="0"/>
            <w:vAlign w:val="center"/>
          </w:tcPr>
          <w:p w14:paraId="06FF439D">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2026.12</w:t>
            </w:r>
          </w:p>
        </w:tc>
        <w:tc>
          <w:tcPr>
            <w:tcW w:w="719" w:type="dxa"/>
            <w:noWrap w:val="0"/>
            <w:vAlign w:val="center"/>
          </w:tcPr>
          <w:p w14:paraId="263ADED1">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50D3522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7F2C9D4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7DA3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trPr>
        <w:tc>
          <w:tcPr>
            <w:tcW w:w="1084" w:type="dxa"/>
            <w:vMerge w:val="continue"/>
            <w:noWrap w:val="0"/>
            <w:vAlign w:val="top"/>
          </w:tcPr>
          <w:p w14:paraId="29BD88B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B3617DF">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3DF2ECCC">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00943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trPr>
        <w:tc>
          <w:tcPr>
            <w:tcW w:w="1084" w:type="dxa"/>
            <w:vMerge w:val="continue"/>
            <w:noWrap w:val="0"/>
            <w:vAlign w:val="top"/>
          </w:tcPr>
          <w:p w14:paraId="681B839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5C308AB">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816.63万元</w:t>
            </w:r>
          </w:p>
        </w:tc>
        <w:tc>
          <w:tcPr>
            <w:tcW w:w="4055" w:type="dxa"/>
            <w:gridSpan w:val="4"/>
            <w:noWrap w:val="0"/>
            <w:vAlign w:val="center"/>
          </w:tcPr>
          <w:p w14:paraId="15932F55">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1085.31万元</w:t>
            </w:r>
          </w:p>
        </w:tc>
      </w:tr>
      <w:tr w14:paraId="6B41F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0" w:hRule="atLeast"/>
        </w:trPr>
        <w:tc>
          <w:tcPr>
            <w:tcW w:w="1084" w:type="dxa"/>
            <w:vMerge w:val="continue"/>
            <w:noWrap w:val="0"/>
            <w:vAlign w:val="top"/>
          </w:tcPr>
          <w:p w14:paraId="5C81732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BDE8248">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2B94B677">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940.81万元</w:t>
            </w:r>
          </w:p>
        </w:tc>
      </w:tr>
      <w:tr w14:paraId="3DC9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continue"/>
            <w:noWrap w:val="0"/>
            <w:vAlign w:val="top"/>
          </w:tcPr>
          <w:p w14:paraId="1516063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99DC068">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50</w:t>
            </w:r>
          </w:p>
        </w:tc>
        <w:tc>
          <w:tcPr>
            <w:tcW w:w="4055" w:type="dxa"/>
            <w:gridSpan w:val="4"/>
            <w:noWrap w:val="0"/>
            <w:vAlign w:val="center"/>
          </w:tcPr>
          <w:p w14:paraId="6BBFBC21">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w:t>
            </w:r>
          </w:p>
        </w:tc>
      </w:tr>
      <w:tr w14:paraId="50E34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084" w:type="dxa"/>
            <w:vMerge w:val="continue"/>
            <w:noWrap w:val="0"/>
            <w:vAlign w:val="top"/>
          </w:tcPr>
          <w:p w14:paraId="205AC33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A529B32">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1159.49万元</w:t>
            </w:r>
          </w:p>
        </w:tc>
        <w:tc>
          <w:tcPr>
            <w:tcW w:w="4055" w:type="dxa"/>
            <w:gridSpan w:val="4"/>
            <w:noWrap w:val="0"/>
            <w:vAlign w:val="center"/>
          </w:tcPr>
          <w:p w14:paraId="57771A6D">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1B737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restart"/>
            <w:noWrap w:val="0"/>
            <w:vAlign w:val="top"/>
          </w:tcPr>
          <w:p w14:paraId="5E7CAA5D">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2E3412A4">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276BDA85">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3CB9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05" w:hRule="atLeast"/>
        </w:trPr>
        <w:tc>
          <w:tcPr>
            <w:tcW w:w="1084" w:type="dxa"/>
            <w:vMerge w:val="continue"/>
            <w:noWrap w:val="0"/>
            <w:vAlign w:val="top"/>
          </w:tcPr>
          <w:p w14:paraId="45244872">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EE3C7EB">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rPr>
            </w:pPr>
            <w:r>
              <w:rPr>
                <w:rFonts w:hint="eastAsia"/>
              </w:rPr>
              <w:t>目标1：财政供养人员控制率100%，“三公”经费控制到位，重点项目资金安排到位。</w:t>
            </w:r>
          </w:p>
          <w:p w14:paraId="30F2128D">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rPr>
            </w:pPr>
            <w:r>
              <w:rPr>
                <w:rFonts w:hint="eastAsia"/>
              </w:rPr>
              <w:t>目标2：控制预算调整率，资金支付进度正常，资金结余控制到位，“三公”经费支出控制到位，资金管理和使用合规，信息公开完善，执行政府采购及公务卡使用规范。</w:t>
            </w:r>
          </w:p>
          <w:p w14:paraId="1596AF65">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Arial" w:eastAsia="宋体"/>
                <w:color w:val="000000" w:themeColor="text1"/>
                <w:spacing w:val="0"/>
                <w:sz w:val="20"/>
                <w:lang w:val="en-US" w:eastAsia="zh-CN"/>
                <w14:textFill>
                  <w14:solidFill>
                    <w14:schemeClr w14:val="tx1"/>
                  </w14:solidFill>
                </w14:textFill>
              </w:rPr>
            </w:pPr>
            <w:r>
              <w:rPr>
                <w:rFonts w:hint="eastAsia"/>
              </w:rPr>
              <w:t>目标3：资产管理制度健全，安全管理，利用率100%；目标4：完成街道中心工作。</w:t>
            </w:r>
          </w:p>
        </w:tc>
        <w:tc>
          <w:tcPr>
            <w:tcW w:w="4055" w:type="dxa"/>
            <w:gridSpan w:val="4"/>
            <w:noWrap w:val="0"/>
            <w:vAlign w:val="center"/>
          </w:tcPr>
          <w:p w14:paraId="16A8B9B8">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目标1：财政供养人员控制率100%，“三公”经费控制到位，重点项目资金安排到位。</w:t>
            </w:r>
          </w:p>
          <w:p w14:paraId="0642F4A5">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目标2：控制预算调整率，资金支付进度正常，资金结余控制到位，“三公”经费支出控制到位，资金管理和使用合规，信息公开完善，执行政府采购及公务卡使用规范。</w:t>
            </w:r>
          </w:p>
          <w:p w14:paraId="67FAC5F6">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目标3：资产管理制度健全，安全管理，利用率100%。目标四：各项中心工作完成良好，疫情防控、平安创建、控建拆违等工作均有效开展。</w:t>
            </w:r>
          </w:p>
        </w:tc>
      </w:tr>
      <w:tr w14:paraId="7EE91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9" w:hRule="atLeast"/>
        </w:trPr>
        <w:tc>
          <w:tcPr>
            <w:tcW w:w="1084" w:type="dxa"/>
            <w:vMerge w:val="restart"/>
            <w:noWrap w:val="0"/>
            <w:vAlign w:val="center"/>
          </w:tcPr>
          <w:p w14:paraId="54F29ADE">
            <w:pPr>
              <w:keepNext w:val="0"/>
              <w:keepLines w:val="0"/>
              <w:widowControl/>
              <w:suppressLineNumbers w:val="0"/>
              <w:jc w:val="center"/>
              <w:textAlignment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绩效指标</w:t>
            </w:r>
          </w:p>
        </w:tc>
        <w:tc>
          <w:tcPr>
            <w:tcW w:w="1079" w:type="dxa"/>
            <w:noWrap w:val="0"/>
            <w:vAlign w:val="center"/>
          </w:tcPr>
          <w:p w14:paraId="7EF41AFD">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一级指标</w:t>
            </w:r>
          </w:p>
        </w:tc>
        <w:tc>
          <w:tcPr>
            <w:tcW w:w="1099" w:type="dxa"/>
            <w:noWrap w:val="0"/>
            <w:vAlign w:val="center"/>
          </w:tcPr>
          <w:p w14:paraId="7859F3F7">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二级指标</w:t>
            </w:r>
          </w:p>
        </w:tc>
        <w:tc>
          <w:tcPr>
            <w:tcW w:w="1199" w:type="dxa"/>
            <w:noWrap w:val="0"/>
            <w:vAlign w:val="center"/>
          </w:tcPr>
          <w:p w14:paraId="21DBC336">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三级指标</w:t>
            </w:r>
          </w:p>
        </w:tc>
        <w:tc>
          <w:tcPr>
            <w:tcW w:w="1319" w:type="dxa"/>
            <w:noWrap w:val="0"/>
            <w:vAlign w:val="center"/>
          </w:tcPr>
          <w:p w14:paraId="01FF6D9C">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年度指标值</w:t>
            </w:r>
          </w:p>
        </w:tc>
        <w:tc>
          <w:tcPr>
            <w:tcW w:w="1259" w:type="dxa"/>
            <w:noWrap w:val="0"/>
            <w:vAlign w:val="center"/>
          </w:tcPr>
          <w:p w14:paraId="5E44F860">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实际完成值</w:t>
            </w:r>
          </w:p>
        </w:tc>
        <w:tc>
          <w:tcPr>
            <w:tcW w:w="719" w:type="dxa"/>
            <w:noWrap w:val="0"/>
            <w:vAlign w:val="center"/>
          </w:tcPr>
          <w:p w14:paraId="3AB77B4F">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分值</w:t>
            </w:r>
          </w:p>
        </w:tc>
        <w:tc>
          <w:tcPr>
            <w:tcW w:w="802" w:type="dxa"/>
            <w:noWrap w:val="0"/>
            <w:vAlign w:val="center"/>
          </w:tcPr>
          <w:p w14:paraId="41B06C52">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得分</w:t>
            </w:r>
          </w:p>
        </w:tc>
        <w:tc>
          <w:tcPr>
            <w:tcW w:w="1275" w:type="dxa"/>
            <w:noWrap w:val="0"/>
            <w:vAlign w:val="center"/>
          </w:tcPr>
          <w:p w14:paraId="0D5889EF">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偏差原因分析 及改进措施</w:t>
            </w:r>
          </w:p>
        </w:tc>
      </w:tr>
      <w:tr w14:paraId="05B0B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6" w:hRule="atLeast"/>
        </w:trPr>
        <w:tc>
          <w:tcPr>
            <w:tcW w:w="1084" w:type="dxa"/>
            <w:vMerge w:val="continue"/>
            <w:noWrap w:val="0"/>
            <w:vAlign w:val="center"/>
          </w:tcPr>
          <w:p w14:paraId="0F83DBAD">
            <w:pPr>
              <w:jc w:val="center"/>
              <w:rPr>
                <w:rFonts w:ascii="Arial"/>
                <w:color w:val="000000" w:themeColor="text1"/>
                <w:sz w:val="21"/>
                <w14:textFill>
                  <w14:solidFill>
                    <w14:schemeClr w14:val="tx1"/>
                  </w14:solidFill>
                </w14:textFill>
              </w:rPr>
            </w:pPr>
          </w:p>
        </w:tc>
        <w:tc>
          <w:tcPr>
            <w:tcW w:w="1079" w:type="dxa"/>
            <w:vMerge w:val="restart"/>
            <w:noWrap w:val="0"/>
            <w:vAlign w:val="center"/>
          </w:tcPr>
          <w:p w14:paraId="60D3645B">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产出指标</w:t>
            </w:r>
          </w:p>
          <w:p w14:paraId="5EF7AFAC">
            <w:pPr>
              <w:keepNext w:val="0"/>
              <w:keepLines w:val="0"/>
              <w:widowControl/>
              <w:suppressLineNumbers w:val="0"/>
              <w:jc w:val="center"/>
              <w:textAlignment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（50分）</w:t>
            </w:r>
          </w:p>
        </w:tc>
        <w:tc>
          <w:tcPr>
            <w:tcW w:w="1099" w:type="dxa"/>
            <w:vMerge w:val="restart"/>
            <w:noWrap w:val="0"/>
            <w:vAlign w:val="center"/>
          </w:tcPr>
          <w:p w14:paraId="444AAE24">
            <w:pPr>
              <w:keepNext w:val="0"/>
              <w:keepLines w:val="0"/>
              <w:widowControl/>
              <w:suppressLineNumbers w:val="0"/>
              <w:jc w:val="center"/>
              <w:textAlignment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数量指标</w:t>
            </w:r>
          </w:p>
        </w:tc>
        <w:tc>
          <w:tcPr>
            <w:tcW w:w="1199" w:type="dxa"/>
            <w:noWrap w:val="0"/>
            <w:vAlign w:val="center"/>
          </w:tcPr>
          <w:p w14:paraId="032C1EF9">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税收完成进度</w:t>
            </w:r>
          </w:p>
        </w:tc>
        <w:tc>
          <w:tcPr>
            <w:tcW w:w="1319" w:type="dxa"/>
            <w:noWrap w:val="0"/>
            <w:vAlign w:val="center"/>
          </w:tcPr>
          <w:p w14:paraId="59B2EFCB">
            <w:pPr>
              <w:keepNext w:val="0"/>
              <w:keepLines w:val="0"/>
              <w:widowControl/>
              <w:suppressLineNumbers w:val="0"/>
              <w:jc w:val="center"/>
              <w:textAlignment w:val="center"/>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69B6A135">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191D9FB8">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802" w:type="dxa"/>
            <w:noWrap w:val="0"/>
            <w:vAlign w:val="center"/>
          </w:tcPr>
          <w:p w14:paraId="3CFA6F4B">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1275" w:type="dxa"/>
            <w:noWrap w:val="0"/>
            <w:vAlign w:val="center"/>
          </w:tcPr>
          <w:p w14:paraId="5582E60C">
            <w:pPr>
              <w:jc w:val="center"/>
              <w:rPr>
                <w:rFonts w:ascii="Arial"/>
                <w:color w:val="000000" w:themeColor="text1"/>
                <w:sz w:val="20"/>
                <w14:textFill>
                  <w14:solidFill>
                    <w14:schemeClr w14:val="tx1"/>
                  </w14:solidFill>
                </w14:textFill>
              </w:rPr>
            </w:pPr>
          </w:p>
        </w:tc>
      </w:tr>
      <w:tr w14:paraId="13AA1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0" w:hRule="atLeast"/>
        </w:trPr>
        <w:tc>
          <w:tcPr>
            <w:tcW w:w="1084" w:type="dxa"/>
            <w:vMerge w:val="continue"/>
            <w:noWrap w:val="0"/>
            <w:vAlign w:val="center"/>
          </w:tcPr>
          <w:p w14:paraId="53C56A44">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21028928">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3D1AE366">
            <w:pPr>
              <w:jc w:val="center"/>
              <w:rPr>
                <w:rFonts w:ascii="Arial"/>
                <w:color w:val="000000" w:themeColor="text1"/>
                <w:sz w:val="21"/>
                <w14:textFill>
                  <w14:solidFill>
                    <w14:schemeClr w14:val="tx1"/>
                  </w14:solidFill>
                </w14:textFill>
              </w:rPr>
            </w:pPr>
          </w:p>
        </w:tc>
        <w:tc>
          <w:tcPr>
            <w:tcW w:w="1199" w:type="dxa"/>
            <w:noWrap w:val="0"/>
            <w:vAlign w:val="center"/>
          </w:tcPr>
          <w:p w14:paraId="0AE0AEA7">
            <w:pPr>
              <w:keepNext w:val="0"/>
              <w:keepLines w:val="0"/>
              <w:widowControl/>
              <w:suppressLineNumbers w:val="0"/>
              <w:jc w:val="center"/>
              <w:textAlignment w:val="center"/>
              <w:rPr>
                <w:rFonts w:hint="eastAsia"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三大类六小项 环境整治（卫生、市容、市貌）平安建设(信访维稳、综治、禁毒)完成进度</w:t>
            </w:r>
          </w:p>
        </w:tc>
        <w:tc>
          <w:tcPr>
            <w:tcW w:w="1319" w:type="dxa"/>
            <w:noWrap w:val="0"/>
            <w:vAlign w:val="center"/>
          </w:tcPr>
          <w:p w14:paraId="238AF930">
            <w:pPr>
              <w:keepNext w:val="0"/>
              <w:keepLines w:val="0"/>
              <w:widowControl/>
              <w:suppressLineNumbers w:val="0"/>
              <w:jc w:val="center"/>
              <w:textAlignment w:val="center"/>
              <w:rPr>
                <w:rFonts w:hint="eastAsia" w:ascii="Arial" w:eastAsiaTheme="minorEastAsia"/>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3D3914EA">
            <w:pPr>
              <w:keepNext w:val="0"/>
              <w:keepLines w:val="0"/>
              <w:widowControl/>
              <w:suppressLineNumbers w:val="0"/>
              <w:jc w:val="center"/>
              <w:textAlignment w:val="center"/>
              <w:rPr>
                <w:rFonts w:hint="default" w:ascii="Arial"/>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90%</w:t>
            </w:r>
          </w:p>
        </w:tc>
        <w:tc>
          <w:tcPr>
            <w:tcW w:w="719" w:type="dxa"/>
            <w:noWrap w:val="0"/>
            <w:vAlign w:val="center"/>
          </w:tcPr>
          <w:p w14:paraId="57CD8AD2">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29A1FB3A">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1275" w:type="dxa"/>
            <w:noWrap w:val="0"/>
            <w:vAlign w:val="center"/>
          </w:tcPr>
          <w:p w14:paraId="0810BE1B">
            <w:pPr>
              <w:keepNext w:val="0"/>
              <w:keepLines w:val="0"/>
              <w:widowControl/>
              <w:suppressLineNumbers w:val="0"/>
              <w:jc w:val="center"/>
              <w:textAlignment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宣传力度欠缺，加强宣传</w:t>
            </w:r>
          </w:p>
        </w:tc>
      </w:tr>
      <w:tr w14:paraId="12A0B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93" w:hRule="atLeast"/>
        </w:trPr>
        <w:tc>
          <w:tcPr>
            <w:tcW w:w="1084" w:type="dxa"/>
            <w:vMerge w:val="continue"/>
            <w:noWrap w:val="0"/>
            <w:vAlign w:val="center"/>
          </w:tcPr>
          <w:p w14:paraId="5E354C53">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0D403A27">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6F20EC42">
            <w:pPr>
              <w:jc w:val="center"/>
              <w:rPr>
                <w:rFonts w:ascii="Arial"/>
                <w:color w:val="000000" w:themeColor="text1"/>
                <w:sz w:val="21"/>
                <w14:textFill>
                  <w14:solidFill>
                    <w14:schemeClr w14:val="tx1"/>
                  </w14:solidFill>
                </w14:textFill>
              </w:rPr>
            </w:pPr>
          </w:p>
        </w:tc>
        <w:tc>
          <w:tcPr>
            <w:tcW w:w="1199" w:type="dxa"/>
            <w:noWrap w:val="0"/>
            <w:vAlign w:val="center"/>
          </w:tcPr>
          <w:p w14:paraId="01A0B0C8">
            <w:pPr>
              <w:keepNext w:val="0"/>
              <w:keepLines w:val="0"/>
              <w:widowControl/>
              <w:suppressLineNumbers w:val="0"/>
              <w:jc w:val="center"/>
              <w:textAlignment w:val="center"/>
              <w:rPr>
                <w:rFonts w:hint="eastAsia" w:ascii="Arial" w:eastAsiaTheme="minorEastAsia"/>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两大类八小项清廉、文明新风（志愿者服务、文化、市民学校，科普、宣传教育、移风易俗、道德讲党、农家书屋）完成进度</w:t>
            </w:r>
          </w:p>
        </w:tc>
        <w:tc>
          <w:tcPr>
            <w:tcW w:w="1319" w:type="dxa"/>
            <w:noWrap w:val="0"/>
            <w:vAlign w:val="center"/>
          </w:tcPr>
          <w:p w14:paraId="17035685">
            <w:pPr>
              <w:keepNext w:val="0"/>
              <w:keepLines w:val="0"/>
              <w:widowControl/>
              <w:suppressLineNumbers w:val="0"/>
              <w:jc w:val="center"/>
              <w:textAlignment w:val="center"/>
              <w:rPr>
                <w:rFonts w:hint="eastAsia" w:ascii="Arial" w:eastAsiaTheme="minorEastAsia"/>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3562166E">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73C0C318">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33A12ABD">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52A0A673">
            <w:pPr>
              <w:jc w:val="center"/>
              <w:rPr>
                <w:rFonts w:hint="default" w:ascii="Arial" w:eastAsiaTheme="minorEastAsia"/>
                <w:color w:val="000000" w:themeColor="text1"/>
                <w:sz w:val="20"/>
                <w:lang w:val="en-US" w:eastAsia="zh-CN"/>
                <w14:textFill>
                  <w14:solidFill>
                    <w14:schemeClr w14:val="tx1"/>
                  </w14:solidFill>
                </w14:textFill>
              </w:rPr>
            </w:pPr>
          </w:p>
        </w:tc>
      </w:tr>
      <w:tr w14:paraId="0434F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72" w:hRule="atLeast"/>
        </w:trPr>
        <w:tc>
          <w:tcPr>
            <w:tcW w:w="1084" w:type="dxa"/>
            <w:vMerge w:val="continue"/>
            <w:noWrap w:val="0"/>
            <w:vAlign w:val="center"/>
          </w:tcPr>
          <w:p w14:paraId="7C83B40D">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39DB9B29">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384F971E">
            <w:pPr>
              <w:jc w:val="center"/>
              <w:rPr>
                <w:rFonts w:ascii="Arial"/>
                <w:color w:val="000000" w:themeColor="text1"/>
                <w:sz w:val="21"/>
                <w14:textFill>
                  <w14:solidFill>
                    <w14:schemeClr w14:val="tx1"/>
                  </w14:solidFill>
                </w14:textFill>
              </w:rPr>
            </w:pPr>
          </w:p>
        </w:tc>
        <w:tc>
          <w:tcPr>
            <w:tcW w:w="1199" w:type="dxa"/>
            <w:noWrap w:val="0"/>
            <w:vAlign w:val="center"/>
          </w:tcPr>
          <w:p w14:paraId="11F68FA2">
            <w:pPr>
              <w:keepNext w:val="0"/>
              <w:keepLines w:val="0"/>
              <w:widowControl/>
              <w:suppressLineNumbers w:val="0"/>
              <w:jc w:val="center"/>
              <w:textAlignment w:val="center"/>
              <w:rPr>
                <w:rFonts w:hint="eastAsia" w:ascii="Arial"/>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旧改拆违项目建设工作任务数</w:t>
            </w:r>
          </w:p>
        </w:tc>
        <w:tc>
          <w:tcPr>
            <w:tcW w:w="1319" w:type="dxa"/>
            <w:noWrap w:val="0"/>
            <w:vAlign w:val="center"/>
          </w:tcPr>
          <w:p w14:paraId="46C891C5">
            <w:pPr>
              <w:keepNext w:val="0"/>
              <w:keepLines w:val="0"/>
              <w:widowControl/>
              <w:suppressLineNumbers w:val="0"/>
              <w:jc w:val="center"/>
              <w:textAlignment w:val="center"/>
              <w:rPr>
                <w:rFonts w:hint="eastAsia" w:ascii="Arial"/>
                <w:color w:val="000000" w:themeColor="text1"/>
                <w:sz w:val="18"/>
                <w:szCs w:val="18"/>
                <w:highlight w:val="none"/>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≧600处</w:t>
            </w:r>
          </w:p>
        </w:tc>
        <w:tc>
          <w:tcPr>
            <w:tcW w:w="1259" w:type="dxa"/>
            <w:noWrap w:val="0"/>
            <w:vAlign w:val="center"/>
          </w:tcPr>
          <w:p w14:paraId="4A3DDBC1">
            <w:pPr>
              <w:keepNext w:val="0"/>
              <w:keepLines w:val="0"/>
              <w:widowControl/>
              <w:suppressLineNumbers w:val="0"/>
              <w:jc w:val="center"/>
              <w:textAlignment w:val="center"/>
              <w:rPr>
                <w:rFonts w:hint="default" w:ascii="仿宋_GB2312" w:hAnsi="仿宋_GB2312" w:eastAsia="仿宋_GB2312" w:cs="仿宋_GB2312"/>
                <w:sz w:val="18"/>
                <w:szCs w:val="18"/>
                <w:lang w:val="en-US" w:eastAsia="zh-CN"/>
              </w:rPr>
            </w:pPr>
            <w:r>
              <w:rPr>
                <w:rFonts w:hint="eastAsia" w:ascii="宋体" w:hAnsi="宋体" w:eastAsia="宋体" w:cs="宋体"/>
                <w:i w:val="0"/>
                <w:iCs w:val="0"/>
                <w:color w:val="000000"/>
                <w:kern w:val="0"/>
                <w:sz w:val="20"/>
                <w:szCs w:val="20"/>
                <w:u w:val="none"/>
                <w:lang w:val="en-US" w:eastAsia="zh-CN" w:bidi="ar"/>
              </w:rPr>
              <w:t>537处</w:t>
            </w:r>
          </w:p>
        </w:tc>
        <w:tc>
          <w:tcPr>
            <w:tcW w:w="719" w:type="dxa"/>
            <w:noWrap w:val="0"/>
            <w:vAlign w:val="center"/>
          </w:tcPr>
          <w:p w14:paraId="1599E35B">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186EE079">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1275" w:type="dxa"/>
            <w:noWrap w:val="0"/>
            <w:vAlign w:val="center"/>
          </w:tcPr>
          <w:p w14:paraId="57F27DCA">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有待加强</w:t>
            </w:r>
          </w:p>
        </w:tc>
      </w:tr>
      <w:tr w14:paraId="008A2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continue"/>
            <w:noWrap w:val="0"/>
            <w:vAlign w:val="center"/>
          </w:tcPr>
          <w:p w14:paraId="1D3FB183">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1885CCCB">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7E717915">
            <w:pPr>
              <w:jc w:val="center"/>
              <w:rPr>
                <w:rFonts w:ascii="Arial"/>
                <w:color w:val="000000" w:themeColor="text1"/>
                <w:sz w:val="21"/>
                <w14:textFill>
                  <w14:solidFill>
                    <w14:schemeClr w14:val="tx1"/>
                  </w14:solidFill>
                </w14:textFill>
              </w:rPr>
            </w:pPr>
          </w:p>
        </w:tc>
        <w:tc>
          <w:tcPr>
            <w:tcW w:w="1199" w:type="dxa"/>
            <w:noWrap w:val="0"/>
            <w:vAlign w:val="center"/>
          </w:tcPr>
          <w:p w14:paraId="6F32F0ED">
            <w:pPr>
              <w:keepNext w:val="0"/>
              <w:keepLines w:val="0"/>
              <w:widowControl/>
              <w:suppressLineNumbers w:val="0"/>
              <w:jc w:val="center"/>
              <w:textAlignment w:val="center"/>
              <w:rPr>
                <w:rFonts w:hint="eastAsia" w:ascii="Arial"/>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疫情防控工作疫苗接种完成度</w:t>
            </w:r>
          </w:p>
        </w:tc>
        <w:tc>
          <w:tcPr>
            <w:tcW w:w="1319" w:type="dxa"/>
            <w:noWrap w:val="0"/>
            <w:vAlign w:val="center"/>
          </w:tcPr>
          <w:p w14:paraId="63881EB3">
            <w:pPr>
              <w:keepNext w:val="0"/>
              <w:keepLines w:val="0"/>
              <w:widowControl/>
              <w:suppressLineNumbers w:val="0"/>
              <w:jc w:val="center"/>
              <w:textAlignment w:val="center"/>
              <w:rPr>
                <w:rFonts w:hint="eastAsia" w:ascii="Arial"/>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≧8万</w:t>
            </w:r>
          </w:p>
        </w:tc>
        <w:tc>
          <w:tcPr>
            <w:tcW w:w="1259" w:type="dxa"/>
            <w:noWrap w:val="0"/>
            <w:vAlign w:val="center"/>
          </w:tcPr>
          <w:p w14:paraId="2ECFE0E1">
            <w:pPr>
              <w:keepNext w:val="0"/>
              <w:keepLines w:val="0"/>
              <w:widowControl/>
              <w:suppressLineNumbers w:val="0"/>
              <w:jc w:val="center"/>
              <w:textAlignment w:val="center"/>
              <w:rPr>
                <w:rFonts w:hint="eastAsia" w:ascii="仿宋_GB2312" w:hAnsi="仿宋_GB2312" w:eastAsia="仿宋_GB2312" w:cs="仿宋_GB2312"/>
                <w:sz w:val="18"/>
                <w:szCs w:val="18"/>
              </w:rPr>
            </w:pPr>
            <w:r>
              <w:rPr>
                <w:rFonts w:hint="eastAsia" w:ascii="宋体" w:hAnsi="宋体" w:eastAsia="宋体" w:cs="宋体"/>
                <w:i w:val="0"/>
                <w:iCs w:val="0"/>
                <w:color w:val="000000"/>
                <w:kern w:val="0"/>
                <w:sz w:val="20"/>
                <w:szCs w:val="20"/>
                <w:u w:val="none"/>
                <w:lang w:val="en-US" w:eastAsia="zh-CN" w:bidi="ar"/>
              </w:rPr>
              <w:t>8万</w:t>
            </w:r>
          </w:p>
        </w:tc>
        <w:tc>
          <w:tcPr>
            <w:tcW w:w="719" w:type="dxa"/>
            <w:noWrap w:val="0"/>
            <w:vAlign w:val="center"/>
          </w:tcPr>
          <w:p w14:paraId="5FEF098E">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802" w:type="dxa"/>
            <w:noWrap w:val="0"/>
            <w:vAlign w:val="center"/>
          </w:tcPr>
          <w:p w14:paraId="21D12442">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77338996">
            <w:pPr>
              <w:jc w:val="center"/>
              <w:rPr>
                <w:rFonts w:ascii="Arial"/>
                <w:color w:val="000000" w:themeColor="text1"/>
                <w:sz w:val="20"/>
                <w14:textFill>
                  <w14:solidFill>
                    <w14:schemeClr w14:val="tx1"/>
                  </w14:solidFill>
                </w14:textFill>
              </w:rPr>
            </w:pPr>
          </w:p>
        </w:tc>
      </w:tr>
      <w:tr w14:paraId="47EC7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continue"/>
            <w:noWrap w:val="0"/>
            <w:vAlign w:val="center"/>
          </w:tcPr>
          <w:p w14:paraId="3B121930">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0EA465EB">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27FC6162">
            <w:pPr>
              <w:jc w:val="center"/>
              <w:rPr>
                <w:rFonts w:ascii="Arial"/>
                <w:color w:val="000000" w:themeColor="text1"/>
                <w:sz w:val="21"/>
                <w14:textFill>
                  <w14:solidFill>
                    <w14:schemeClr w14:val="tx1"/>
                  </w14:solidFill>
                </w14:textFill>
              </w:rPr>
            </w:pPr>
          </w:p>
        </w:tc>
        <w:tc>
          <w:tcPr>
            <w:tcW w:w="1199" w:type="dxa"/>
            <w:noWrap w:val="0"/>
            <w:vAlign w:val="center"/>
          </w:tcPr>
          <w:p w14:paraId="297E8F4F">
            <w:pPr>
              <w:keepNext w:val="0"/>
              <w:keepLines w:val="0"/>
              <w:widowControl/>
              <w:suppressLineNumbers w:val="0"/>
              <w:jc w:val="center"/>
              <w:textAlignment w:val="center"/>
              <w:rPr>
                <w:rFonts w:hint="eastAsia" w:ascii="Arial"/>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公共财政支出进度</w:t>
            </w:r>
          </w:p>
        </w:tc>
        <w:tc>
          <w:tcPr>
            <w:tcW w:w="1319" w:type="dxa"/>
            <w:noWrap w:val="0"/>
            <w:vAlign w:val="center"/>
          </w:tcPr>
          <w:p w14:paraId="77BF1A8A">
            <w:pPr>
              <w:keepNext w:val="0"/>
              <w:keepLines w:val="0"/>
              <w:widowControl/>
              <w:suppressLineNumbers w:val="0"/>
              <w:jc w:val="center"/>
              <w:textAlignment w:val="center"/>
              <w:rPr>
                <w:rFonts w:hint="default" w:ascii="Arial"/>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7E40A23E">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5124A276">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1877A6C8">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6A947F0B">
            <w:pPr>
              <w:jc w:val="center"/>
              <w:rPr>
                <w:rFonts w:hint="eastAsia" w:ascii="Arial" w:eastAsiaTheme="minorEastAsia"/>
                <w:color w:val="000000" w:themeColor="text1"/>
                <w:sz w:val="20"/>
                <w:lang w:val="en-US" w:eastAsia="zh-CN"/>
                <w14:textFill>
                  <w14:solidFill>
                    <w14:schemeClr w14:val="tx1"/>
                  </w14:solidFill>
                </w14:textFill>
              </w:rPr>
            </w:pPr>
          </w:p>
        </w:tc>
      </w:tr>
      <w:tr w14:paraId="53149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6" w:hRule="atLeast"/>
        </w:trPr>
        <w:tc>
          <w:tcPr>
            <w:tcW w:w="1084" w:type="dxa"/>
            <w:vMerge w:val="continue"/>
            <w:noWrap w:val="0"/>
            <w:vAlign w:val="center"/>
          </w:tcPr>
          <w:p w14:paraId="49A9FDA4">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34C79BDA">
            <w:pPr>
              <w:jc w:val="center"/>
              <w:rPr>
                <w:rFonts w:ascii="Arial"/>
                <w:color w:val="000000" w:themeColor="text1"/>
                <w:sz w:val="21"/>
                <w14:textFill>
                  <w14:solidFill>
                    <w14:schemeClr w14:val="tx1"/>
                  </w14:solidFill>
                </w14:textFill>
              </w:rPr>
            </w:pPr>
          </w:p>
        </w:tc>
        <w:tc>
          <w:tcPr>
            <w:tcW w:w="1099" w:type="dxa"/>
            <w:vMerge w:val="restart"/>
            <w:noWrap w:val="0"/>
            <w:vAlign w:val="center"/>
          </w:tcPr>
          <w:p w14:paraId="6C162DC2">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质量指标</w:t>
            </w:r>
          </w:p>
        </w:tc>
        <w:tc>
          <w:tcPr>
            <w:tcW w:w="1199" w:type="dxa"/>
            <w:noWrap w:val="0"/>
            <w:vAlign w:val="center"/>
          </w:tcPr>
          <w:p w14:paraId="1B2532B8">
            <w:pPr>
              <w:keepNext w:val="0"/>
              <w:keepLines w:val="0"/>
              <w:widowControl/>
              <w:suppressLineNumbers w:val="0"/>
              <w:jc w:val="center"/>
              <w:textAlignment w:val="center"/>
              <w:rPr>
                <w:rFonts w:hint="eastAsia" w:ascii="Arial"/>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财政收入增速</w:t>
            </w:r>
          </w:p>
        </w:tc>
        <w:tc>
          <w:tcPr>
            <w:tcW w:w="1319" w:type="dxa"/>
            <w:noWrap w:val="0"/>
            <w:vAlign w:val="center"/>
          </w:tcPr>
          <w:p w14:paraId="0980F8CA">
            <w:pPr>
              <w:keepNext w:val="0"/>
              <w:keepLines w:val="0"/>
              <w:widowControl/>
              <w:suppressLineNumbers w:val="0"/>
              <w:jc w:val="center"/>
              <w:textAlignment w:val="center"/>
              <w:rPr>
                <w:rFonts w:hint="default" w:ascii="Arial"/>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高于财政收入增速</w:t>
            </w:r>
          </w:p>
        </w:tc>
        <w:tc>
          <w:tcPr>
            <w:tcW w:w="1259" w:type="dxa"/>
            <w:noWrap w:val="0"/>
            <w:vAlign w:val="center"/>
          </w:tcPr>
          <w:p w14:paraId="486AA881">
            <w:pPr>
              <w:keepNext w:val="0"/>
              <w:keepLines w:val="0"/>
              <w:widowControl/>
              <w:suppressLineNumbers w:val="0"/>
              <w:jc w:val="center"/>
              <w:textAlignment w:val="center"/>
              <w:rPr>
                <w:rFonts w:hint="eastAsia" w:ascii="Arial" w:eastAsia="仿宋_GB2312"/>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持续</w:t>
            </w:r>
          </w:p>
        </w:tc>
        <w:tc>
          <w:tcPr>
            <w:tcW w:w="719" w:type="dxa"/>
            <w:noWrap w:val="0"/>
            <w:vAlign w:val="center"/>
          </w:tcPr>
          <w:p w14:paraId="0BD79D20">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65CA63A5">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723D07AC">
            <w:pPr>
              <w:jc w:val="center"/>
              <w:rPr>
                <w:rFonts w:hint="eastAsia" w:ascii="Arial" w:eastAsiaTheme="minorEastAsia"/>
                <w:color w:val="000000" w:themeColor="text1"/>
                <w:sz w:val="20"/>
                <w:lang w:val="en-US" w:eastAsia="zh-CN"/>
                <w14:textFill>
                  <w14:solidFill>
                    <w14:schemeClr w14:val="tx1"/>
                  </w14:solidFill>
                </w14:textFill>
              </w:rPr>
            </w:pPr>
          </w:p>
        </w:tc>
      </w:tr>
      <w:tr w14:paraId="0C054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084" w:type="dxa"/>
            <w:vMerge w:val="continue"/>
            <w:noWrap w:val="0"/>
            <w:vAlign w:val="center"/>
          </w:tcPr>
          <w:p w14:paraId="196ACD36">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786C4839">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3C9BA994">
            <w:pPr>
              <w:jc w:val="center"/>
              <w:rPr>
                <w:rFonts w:ascii="宋体" w:hAnsi="宋体" w:eastAsia="宋体" w:cs="宋体"/>
                <w:color w:val="000000" w:themeColor="text1"/>
                <w:sz w:val="21"/>
                <w:szCs w:val="21"/>
                <w14:textFill>
                  <w14:solidFill>
                    <w14:schemeClr w14:val="tx1"/>
                  </w14:solidFill>
                </w14:textFill>
              </w:rPr>
            </w:pPr>
          </w:p>
        </w:tc>
        <w:tc>
          <w:tcPr>
            <w:tcW w:w="1199" w:type="dxa"/>
            <w:noWrap w:val="0"/>
            <w:vAlign w:val="center"/>
          </w:tcPr>
          <w:p w14:paraId="7909A66A">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群众投诉处理率</w:t>
            </w:r>
          </w:p>
        </w:tc>
        <w:tc>
          <w:tcPr>
            <w:tcW w:w="1319" w:type="dxa"/>
            <w:noWrap w:val="0"/>
            <w:vAlign w:val="center"/>
          </w:tcPr>
          <w:p w14:paraId="4D5419E6">
            <w:pPr>
              <w:keepNext w:val="0"/>
              <w:keepLines w:val="0"/>
              <w:widowControl/>
              <w:suppressLineNumbers w:val="0"/>
              <w:jc w:val="center"/>
              <w:textAlignment w:val="center"/>
              <w:rPr>
                <w:rFonts w:hint="default" w:ascii="Arial" w:eastAsia="宋体"/>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2CFD05AB">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33ED45E6">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3FE49FE5">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33736928">
            <w:pPr>
              <w:jc w:val="center"/>
              <w:rPr>
                <w:rFonts w:ascii="Arial"/>
                <w:color w:val="000000" w:themeColor="text1"/>
                <w:sz w:val="20"/>
                <w14:textFill>
                  <w14:solidFill>
                    <w14:schemeClr w14:val="tx1"/>
                  </w14:solidFill>
                </w14:textFill>
              </w:rPr>
            </w:pPr>
          </w:p>
        </w:tc>
      </w:tr>
      <w:tr w14:paraId="104E9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6" w:hRule="atLeast"/>
        </w:trPr>
        <w:tc>
          <w:tcPr>
            <w:tcW w:w="1084" w:type="dxa"/>
            <w:vMerge w:val="continue"/>
            <w:noWrap w:val="0"/>
            <w:vAlign w:val="center"/>
          </w:tcPr>
          <w:p w14:paraId="1DAE848B">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68FCA05B">
            <w:pPr>
              <w:jc w:val="center"/>
              <w:rPr>
                <w:rFonts w:ascii="Arial"/>
                <w:color w:val="000000" w:themeColor="text1"/>
                <w:sz w:val="21"/>
                <w14:textFill>
                  <w14:solidFill>
                    <w14:schemeClr w14:val="tx1"/>
                  </w14:solidFill>
                </w14:textFill>
              </w:rPr>
            </w:pPr>
          </w:p>
        </w:tc>
        <w:tc>
          <w:tcPr>
            <w:tcW w:w="1099" w:type="dxa"/>
            <w:vMerge w:val="restart"/>
            <w:noWrap w:val="0"/>
            <w:vAlign w:val="center"/>
          </w:tcPr>
          <w:p w14:paraId="67588A7E">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时效指标</w:t>
            </w:r>
          </w:p>
        </w:tc>
        <w:tc>
          <w:tcPr>
            <w:tcW w:w="1199" w:type="dxa"/>
            <w:noWrap w:val="0"/>
            <w:vAlign w:val="center"/>
          </w:tcPr>
          <w:p w14:paraId="3BE53A7D">
            <w:pPr>
              <w:keepNext w:val="0"/>
              <w:keepLines w:val="0"/>
              <w:widowControl/>
              <w:suppressLineNumbers w:val="0"/>
              <w:jc w:val="center"/>
              <w:textAlignment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工资发放及时率</w:t>
            </w:r>
          </w:p>
        </w:tc>
        <w:tc>
          <w:tcPr>
            <w:tcW w:w="1319" w:type="dxa"/>
            <w:noWrap w:val="0"/>
            <w:vAlign w:val="center"/>
          </w:tcPr>
          <w:p w14:paraId="7DF48011">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每月15日前足额发放</w:t>
            </w:r>
          </w:p>
        </w:tc>
        <w:tc>
          <w:tcPr>
            <w:tcW w:w="1259" w:type="dxa"/>
            <w:noWrap w:val="0"/>
            <w:vAlign w:val="center"/>
          </w:tcPr>
          <w:p w14:paraId="3FDAA592">
            <w:pPr>
              <w:keepNext w:val="0"/>
              <w:keepLines w:val="0"/>
              <w:widowControl/>
              <w:suppressLineNumbers w:val="0"/>
              <w:jc w:val="center"/>
              <w:textAlignment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定时</w:t>
            </w:r>
          </w:p>
        </w:tc>
        <w:tc>
          <w:tcPr>
            <w:tcW w:w="719" w:type="dxa"/>
            <w:noWrap w:val="0"/>
            <w:vAlign w:val="center"/>
          </w:tcPr>
          <w:p w14:paraId="5AD097EF">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694E2F56">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426D1A76">
            <w:pPr>
              <w:jc w:val="center"/>
              <w:rPr>
                <w:rFonts w:ascii="Arial"/>
                <w:color w:val="000000" w:themeColor="text1"/>
                <w:sz w:val="21"/>
                <w14:textFill>
                  <w14:solidFill>
                    <w14:schemeClr w14:val="tx1"/>
                  </w14:solidFill>
                </w14:textFill>
              </w:rPr>
            </w:pPr>
          </w:p>
        </w:tc>
      </w:tr>
      <w:tr w14:paraId="52FF1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continue"/>
            <w:noWrap w:val="0"/>
            <w:vAlign w:val="center"/>
          </w:tcPr>
          <w:p w14:paraId="7D753884">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2E6B89F1">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31717B78">
            <w:pPr>
              <w:jc w:val="center"/>
              <w:rPr>
                <w:rFonts w:ascii="宋体" w:hAnsi="宋体" w:eastAsia="宋体" w:cs="宋体"/>
                <w:color w:val="000000" w:themeColor="text1"/>
                <w:sz w:val="21"/>
                <w:szCs w:val="21"/>
                <w14:textFill>
                  <w14:solidFill>
                    <w14:schemeClr w14:val="tx1"/>
                  </w14:solidFill>
                </w14:textFill>
              </w:rPr>
            </w:pPr>
          </w:p>
        </w:tc>
        <w:tc>
          <w:tcPr>
            <w:tcW w:w="1199" w:type="dxa"/>
            <w:noWrap w:val="0"/>
            <w:vAlign w:val="center"/>
          </w:tcPr>
          <w:p w14:paraId="0F2B84EF">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12345接诉即办处理时间</w:t>
            </w:r>
          </w:p>
        </w:tc>
        <w:tc>
          <w:tcPr>
            <w:tcW w:w="1319" w:type="dxa"/>
            <w:noWrap w:val="0"/>
            <w:vAlign w:val="center"/>
          </w:tcPr>
          <w:p w14:paraId="6AFE853A">
            <w:pPr>
              <w:keepNext w:val="0"/>
              <w:keepLines w:val="0"/>
              <w:widowControl/>
              <w:suppressLineNumbers w:val="0"/>
              <w:jc w:val="center"/>
              <w:textAlignment w:val="center"/>
              <w:rPr>
                <w:rFonts w:hint="eastAsia" w:ascii="Arial" w:eastAsia="宋体"/>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接到之日起2日内</w:t>
            </w:r>
          </w:p>
        </w:tc>
        <w:tc>
          <w:tcPr>
            <w:tcW w:w="1259" w:type="dxa"/>
            <w:noWrap w:val="0"/>
            <w:vAlign w:val="center"/>
          </w:tcPr>
          <w:p w14:paraId="2D2770CE">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定时</w:t>
            </w:r>
          </w:p>
        </w:tc>
        <w:tc>
          <w:tcPr>
            <w:tcW w:w="719" w:type="dxa"/>
            <w:noWrap w:val="0"/>
            <w:vAlign w:val="center"/>
          </w:tcPr>
          <w:p w14:paraId="3AD9132D">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6AF13771">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67709BB9">
            <w:pPr>
              <w:jc w:val="center"/>
              <w:rPr>
                <w:rFonts w:ascii="Arial"/>
                <w:color w:val="000000" w:themeColor="text1"/>
                <w:sz w:val="20"/>
                <w14:textFill>
                  <w14:solidFill>
                    <w14:schemeClr w14:val="tx1"/>
                  </w14:solidFill>
                </w14:textFill>
              </w:rPr>
            </w:pPr>
          </w:p>
        </w:tc>
      </w:tr>
      <w:tr w14:paraId="0CFF5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9" w:hRule="atLeast"/>
        </w:trPr>
        <w:tc>
          <w:tcPr>
            <w:tcW w:w="1084" w:type="dxa"/>
            <w:vMerge w:val="continue"/>
            <w:noWrap w:val="0"/>
            <w:vAlign w:val="center"/>
          </w:tcPr>
          <w:p w14:paraId="5C915041">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0969CC8F">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41850D3B">
            <w:pPr>
              <w:jc w:val="center"/>
              <w:rPr>
                <w:rFonts w:ascii="宋体" w:hAnsi="宋体" w:eastAsia="宋体" w:cs="宋体"/>
                <w:color w:val="000000" w:themeColor="text1"/>
                <w:spacing w:val="2"/>
                <w:sz w:val="21"/>
                <w:szCs w:val="21"/>
                <w14:textFill>
                  <w14:solidFill>
                    <w14:schemeClr w14:val="tx1"/>
                  </w14:solidFill>
                </w14:textFill>
              </w:rPr>
            </w:pPr>
          </w:p>
        </w:tc>
        <w:tc>
          <w:tcPr>
            <w:tcW w:w="1199" w:type="dxa"/>
            <w:noWrap w:val="0"/>
            <w:vAlign w:val="center"/>
          </w:tcPr>
          <w:p w14:paraId="076C394E">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预决算公开</w:t>
            </w:r>
          </w:p>
        </w:tc>
        <w:tc>
          <w:tcPr>
            <w:tcW w:w="1319" w:type="dxa"/>
            <w:noWrap w:val="0"/>
            <w:vAlign w:val="center"/>
          </w:tcPr>
          <w:p w14:paraId="2DFF5F6E">
            <w:pPr>
              <w:keepNext w:val="0"/>
              <w:keepLines w:val="0"/>
              <w:widowControl/>
              <w:suppressLineNumbers w:val="0"/>
              <w:jc w:val="center"/>
              <w:textAlignment w:val="center"/>
              <w:rPr>
                <w:rFonts w:hint="eastAsia" w:ascii="Arial" w:eastAsia="宋体" w:hAnsiTheme="minorHAnsi" w:cstheme="minorBidi"/>
                <w:color w:val="000000" w:themeColor="text1"/>
                <w:kern w:val="2"/>
                <w:sz w:val="20"/>
                <w:szCs w:val="24"/>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按相应公开工作时限</w:t>
            </w:r>
          </w:p>
        </w:tc>
        <w:tc>
          <w:tcPr>
            <w:tcW w:w="1259" w:type="dxa"/>
            <w:noWrap w:val="0"/>
            <w:vAlign w:val="center"/>
          </w:tcPr>
          <w:p w14:paraId="6117A4FE">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定时</w:t>
            </w:r>
          </w:p>
        </w:tc>
        <w:tc>
          <w:tcPr>
            <w:tcW w:w="719" w:type="dxa"/>
            <w:noWrap w:val="0"/>
            <w:vAlign w:val="center"/>
          </w:tcPr>
          <w:p w14:paraId="70C2654E">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2AD5700F">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721ED502">
            <w:pPr>
              <w:jc w:val="center"/>
              <w:rPr>
                <w:rFonts w:ascii="Arial"/>
                <w:color w:val="000000" w:themeColor="text1"/>
                <w:sz w:val="20"/>
                <w14:textFill>
                  <w14:solidFill>
                    <w14:schemeClr w14:val="tx1"/>
                  </w14:solidFill>
                </w14:textFill>
              </w:rPr>
            </w:pPr>
          </w:p>
        </w:tc>
      </w:tr>
      <w:tr w14:paraId="7FFD1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0" w:hRule="atLeast"/>
        </w:trPr>
        <w:tc>
          <w:tcPr>
            <w:tcW w:w="1084" w:type="dxa"/>
            <w:vMerge w:val="continue"/>
            <w:noWrap w:val="0"/>
            <w:vAlign w:val="center"/>
          </w:tcPr>
          <w:p w14:paraId="0C42ABB1">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3641BDE1">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57513D43">
            <w:pPr>
              <w:jc w:val="center"/>
              <w:rPr>
                <w:rFonts w:ascii="Arial"/>
                <w:color w:val="000000" w:themeColor="text1"/>
                <w:sz w:val="21"/>
                <w14:textFill>
                  <w14:solidFill>
                    <w14:schemeClr w14:val="tx1"/>
                  </w14:solidFill>
                </w14:textFill>
              </w:rPr>
            </w:pPr>
          </w:p>
        </w:tc>
        <w:tc>
          <w:tcPr>
            <w:tcW w:w="1199" w:type="dxa"/>
            <w:noWrap w:val="0"/>
            <w:vAlign w:val="center"/>
          </w:tcPr>
          <w:p w14:paraId="7B5489A2">
            <w:pPr>
              <w:keepNext w:val="0"/>
              <w:keepLines w:val="0"/>
              <w:widowControl/>
              <w:suppressLineNumbers w:val="0"/>
              <w:jc w:val="center"/>
              <w:textAlignment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财务账务处理时限</w:t>
            </w:r>
          </w:p>
        </w:tc>
        <w:tc>
          <w:tcPr>
            <w:tcW w:w="1319" w:type="dxa"/>
            <w:noWrap w:val="0"/>
            <w:vAlign w:val="center"/>
          </w:tcPr>
          <w:p w14:paraId="6E8AE3A8">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每月10日前</w:t>
            </w:r>
          </w:p>
        </w:tc>
        <w:tc>
          <w:tcPr>
            <w:tcW w:w="1259" w:type="dxa"/>
            <w:noWrap w:val="0"/>
            <w:vAlign w:val="center"/>
          </w:tcPr>
          <w:p w14:paraId="191E69BD">
            <w:pPr>
              <w:keepNext w:val="0"/>
              <w:keepLines w:val="0"/>
              <w:widowControl/>
              <w:suppressLineNumbers w:val="0"/>
              <w:jc w:val="center"/>
              <w:textAlignment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定时</w:t>
            </w:r>
          </w:p>
        </w:tc>
        <w:tc>
          <w:tcPr>
            <w:tcW w:w="719" w:type="dxa"/>
            <w:noWrap w:val="0"/>
            <w:vAlign w:val="center"/>
          </w:tcPr>
          <w:p w14:paraId="047F8296">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24CF6556">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1275" w:type="dxa"/>
            <w:noWrap w:val="0"/>
            <w:vAlign w:val="center"/>
          </w:tcPr>
          <w:p w14:paraId="1CE5A415">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资料偶有欠缺</w:t>
            </w:r>
          </w:p>
        </w:tc>
      </w:tr>
      <w:tr w14:paraId="479FA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084" w:type="dxa"/>
            <w:vMerge w:val="continue"/>
            <w:noWrap w:val="0"/>
            <w:vAlign w:val="center"/>
          </w:tcPr>
          <w:p w14:paraId="3CB3150D">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75C45FAE">
            <w:pPr>
              <w:jc w:val="center"/>
              <w:rPr>
                <w:rFonts w:ascii="Arial"/>
                <w:color w:val="000000" w:themeColor="text1"/>
                <w:sz w:val="21"/>
                <w14:textFill>
                  <w14:solidFill>
                    <w14:schemeClr w14:val="tx1"/>
                  </w14:solidFill>
                </w14:textFill>
              </w:rPr>
            </w:pPr>
          </w:p>
        </w:tc>
        <w:tc>
          <w:tcPr>
            <w:tcW w:w="1099" w:type="dxa"/>
            <w:vMerge w:val="restart"/>
            <w:noWrap w:val="0"/>
            <w:vAlign w:val="center"/>
          </w:tcPr>
          <w:p w14:paraId="712877A5">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成本指标</w:t>
            </w:r>
          </w:p>
        </w:tc>
        <w:tc>
          <w:tcPr>
            <w:tcW w:w="1199" w:type="dxa"/>
            <w:noWrap w:val="0"/>
            <w:vAlign w:val="center"/>
          </w:tcPr>
          <w:p w14:paraId="1CE16227">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本单位财政供养人数</w:t>
            </w:r>
          </w:p>
        </w:tc>
        <w:tc>
          <w:tcPr>
            <w:tcW w:w="1319" w:type="dxa"/>
            <w:noWrap w:val="0"/>
            <w:vAlign w:val="center"/>
          </w:tcPr>
          <w:p w14:paraId="749AF8B3">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≧52人</w:t>
            </w:r>
          </w:p>
        </w:tc>
        <w:tc>
          <w:tcPr>
            <w:tcW w:w="1259" w:type="dxa"/>
            <w:noWrap w:val="0"/>
            <w:vAlign w:val="center"/>
          </w:tcPr>
          <w:p w14:paraId="5F6FE8CF">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≧52人</w:t>
            </w:r>
          </w:p>
        </w:tc>
        <w:tc>
          <w:tcPr>
            <w:tcW w:w="719" w:type="dxa"/>
            <w:noWrap w:val="0"/>
            <w:vAlign w:val="center"/>
          </w:tcPr>
          <w:p w14:paraId="2A307E76">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38CFBD9F">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71440729">
            <w:pPr>
              <w:jc w:val="center"/>
              <w:rPr>
                <w:rFonts w:ascii="Arial"/>
                <w:color w:val="000000" w:themeColor="text1"/>
                <w:sz w:val="20"/>
                <w14:textFill>
                  <w14:solidFill>
                    <w14:schemeClr w14:val="tx1"/>
                  </w14:solidFill>
                </w14:textFill>
              </w:rPr>
            </w:pPr>
          </w:p>
        </w:tc>
      </w:tr>
      <w:tr w14:paraId="1937B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1084" w:type="dxa"/>
            <w:vMerge w:val="continue"/>
            <w:noWrap w:val="0"/>
            <w:vAlign w:val="center"/>
          </w:tcPr>
          <w:p w14:paraId="3638D704">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37FCB611">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2FD4C5F7">
            <w:pPr>
              <w:jc w:val="center"/>
              <w:rPr>
                <w:rFonts w:ascii="宋体" w:hAnsi="宋体" w:eastAsia="宋体" w:cs="宋体"/>
                <w:color w:val="000000" w:themeColor="text1"/>
                <w:sz w:val="21"/>
                <w:szCs w:val="21"/>
                <w14:textFill>
                  <w14:solidFill>
                    <w14:schemeClr w14:val="tx1"/>
                  </w14:solidFill>
                </w14:textFill>
              </w:rPr>
            </w:pPr>
          </w:p>
        </w:tc>
        <w:tc>
          <w:tcPr>
            <w:tcW w:w="1199" w:type="dxa"/>
            <w:noWrap w:val="0"/>
            <w:vAlign w:val="center"/>
          </w:tcPr>
          <w:p w14:paraId="0437DD1A">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加班用餐开支</w:t>
            </w:r>
          </w:p>
        </w:tc>
        <w:tc>
          <w:tcPr>
            <w:tcW w:w="1319" w:type="dxa"/>
            <w:noWrap w:val="0"/>
            <w:vAlign w:val="center"/>
          </w:tcPr>
          <w:p w14:paraId="50E4E1ED">
            <w:pPr>
              <w:keepNext w:val="0"/>
              <w:keepLines w:val="0"/>
              <w:widowControl/>
              <w:suppressLineNumbers w:val="0"/>
              <w:jc w:val="center"/>
              <w:textAlignment w:val="center"/>
              <w:rPr>
                <w:rFonts w:hint="eastAsia" w:ascii="Arial" w:eastAsia="宋体"/>
                <w:color w:val="000000" w:themeColor="text1"/>
                <w:sz w:val="20"/>
                <w:highlight w:val="none"/>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≧5万元</w:t>
            </w:r>
          </w:p>
        </w:tc>
        <w:tc>
          <w:tcPr>
            <w:tcW w:w="1259" w:type="dxa"/>
            <w:noWrap w:val="0"/>
            <w:vAlign w:val="center"/>
          </w:tcPr>
          <w:p w14:paraId="5976D133">
            <w:pPr>
              <w:keepNext w:val="0"/>
              <w:keepLines w:val="0"/>
              <w:widowControl/>
              <w:suppressLineNumbers w:val="0"/>
              <w:jc w:val="center"/>
              <w:textAlignment w:val="center"/>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5.84万元</w:t>
            </w:r>
          </w:p>
        </w:tc>
        <w:tc>
          <w:tcPr>
            <w:tcW w:w="719" w:type="dxa"/>
            <w:noWrap w:val="0"/>
            <w:vAlign w:val="center"/>
          </w:tcPr>
          <w:p w14:paraId="6F9415F9">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26C30C2C">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1AD7C023">
            <w:pPr>
              <w:jc w:val="center"/>
              <w:rPr>
                <w:rFonts w:ascii="Arial"/>
                <w:color w:val="000000" w:themeColor="text1"/>
                <w:sz w:val="20"/>
                <w14:textFill>
                  <w14:solidFill>
                    <w14:schemeClr w14:val="tx1"/>
                  </w14:solidFill>
                </w14:textFill>
              </w:rPr>
            </w:pPr>
          </w:p>
        </w:tc>
      </w:tr>
      <w:tr w14:paraId="2602B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0" w:hRule="atLeast"/>
        </w:trPr>
        <w:tc>
          <w:tcPr>
            <w:tcW w:w="1084" w:type="dxa"/>
            <w:vMerge w:val="continue"/>
            <w:noWrap w:val="0"/>
            <w:vAlign w:val="center"/>
          </w:tcPr>
          <w:p w14:paraId="733BB163">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673755AD">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32F91722">
            <w:pPr>
              <w:jc w:val="center"/>
              <w:rPr>
                <w:rFonts w:ascii="Arial"/>
                <w:color w:val="000000" w:themeColor="text1"/>
                <w:sz w:val="21"/>
                <w14:textFill>
                  <w14:solidFill>
                    <w14:schemeClr w14:val="tx1"/>
                  </w14:solidFill>
                </w14:textFill>
              </w:rPr>
            </w:pPr>
          </w:p>
        </w:tc>
        <w:tc>
          <w:tcPr>
            <w:tcW w:w="1199" w:type="dxa"/>
            <w:noWrap w:val="0"/>
            <w:vAlign w:val="center"/>
          </w:tcPr>
          <w:p w14:paraId="4AA2A037">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街道固定资产投资总额</w:t>
            </w:r>
          </w:p>
        </w:tc>
        <w:tc>
          <w:tcPr>
            <w:tcW w:w="1319" w:type="dxa"/>
            <w:noWrap w:val="0"/>
            <w:vAlign w:val="center"/>
          </w:tcPr>
          <w:p w14:paraId="0BCDF385">
            <w:pPr>
              <w:keepNext w:val="0"/>
              <w:keepLines w:val="0"/>
              <w:widowControl/>
              <w:suppressLineNumbers w:val="0"/>
              <w:jc w:val="center"/>
              <w:textAlignment w:val="center"/>
              <w:rPr>
                <w:rFonts w:ascii="Arial"/>
                <w:color w:val="000000" w:themeColor="text1"/>
                <w:sz w:val="20"/>
                <w:highlight w:val="none"/>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≧850亿</w:t>
            </w:r>
          </w:p>
        </w:tc>
        <w:tc>
          <w:tcPr>
            <w:tcW w:w="1259" w:type="dxa"/>
            <w:noWrap w:val="0"/>
            <w:vAlign w:val="center"/>
          </w:tcPr>
          <w:p w14:paraId="72E983A7">
            <w:pPr>
              <w:keepNext w:val="0"/>
              <w:keepLines w:val="0"/>
              <w:widowControl/>
              <w:suppressLineNumbers w:val="0"/>
              <w:jc w:val="center"/>
              <w:textAlignment w:val="center"/>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870.58万元</w:t>
            </w:r>
          </w:p>
        </w:tc>
        <w:tc>
          <w:tcPr>
            <w:tcW w:w="719" w:type="dxa"/>
            <w:noWrap w:val="0"/>
            <w:vAlign w:val="center"/>
          </w:tcPr>
          <w:p w14:paraId="4E23D766">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802" w:type="dxa"/>
            <w:noWrap w:val="0"/>
            <w:vAlign w:val="center"/>
          </w:tcPr>
          <w:p w14:paraId="3D0C3CA3">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w:t>
            </w:r>
          </w:p>
        </w:tc>
        <w:tc>
          <w:tcPr>
            <w:tcW w:w="1275" w:type="dxa"/>
            <w:noWrap w:val="0"/>
            <w:vAlign w:val="center"/>
          </w:tcPr>
          <w:p w14:paraId="1EE4F06B">
            <w:pPr>
              <w:jc w:val="center"/>
              <w:rPr>
                <w:rFonts w:hint="eastAsia" w:ascii="Arial" w:eastAsiaTheme="minorEastAsia"/>
                <w:color w:val="000000" w:themeColor="text1"/>
                <w:sz w:val="20"/>
                <w:lang w:val="en-US" w:eastAsia="zh-CN"/>
                <w14:textFill>
                  <w14:solidFill>
                    <w14:schemeClr w14:val="tx1"/>
                  </w14:solidFill>
                </w14:textFill>
              </w:rPr>
            </w:pPr>
          </w:p>
        </w:tc>
      </w:tr>
      <w:tr w14:paraId="5EB34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3" w:hRule="atLeast"/>
        </w:trPr>
        <w:tc>
          <w:tcPr>
            <w:tcW w:w="1084" w:type="dxa"/>
            <w:vMerge w:val="continue"/>
            <w:noWrap w:val="0"/>
            <w:vAlign w:val="center"/>
          </w:tcPr>
          <w:p w14:paraId="587753C0">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7A128D52">
            <w:pPr>
              <w:jc w:val="center"/>
              <w:rPr>
                <w:rFonts w:ascii="宋体" w:hAnsi="宋体" w:eastAsia="宋体" w:cs="宋体"/>
                <w:color w:val="000000" w:themeColor="text1"/>
                <w:sz w:val="21"/>
                <w:szCs w:val="21"/>
                <w14:textFill>
                  <w14:solidFill>
                    <w14:schemeClr w14:val="tx1"/>
                  </w14:solidFill>
                </w14:textFill>
              </w:rPr>
            </w:pPr>
          </w:p>
        </w:tc>
        <w:tc>
          <w:tcPr>
            <w:tcW w:w="1099" w:type="dxa"/>
            <w:vMerge w:val="continue"/>
            <w:noWrap w:val="0"/>
            <w:vAlign w:val="center"/>
          </w:tcPr>
          <w:p w14:paraId="5BCD2284">
            <w:pPr>
              <w:jc w:val="center"/>
              <w:rPr>
                <w:rFonts w:ascii="宋体" w:hAnsi="宋体" w:eastAsia="宋体" w:cs="宋体"/>
                <w:color w:val="000000" w:themeColor="text1"/>
                <w:sz w:val="21"/>
                <w:szCs w:val="21"/>
                <w14:textFill>
                  <w14:solidFill>
                    <w14:schemeClr w14:val="tx1"/>
                  </w14:solidFill>
                </w14:textFill>
              </w:rPr>
            </w:pPr>
          </w:p>
        </w:tc>
        <w:tc>
          <w:tcPr>
            <w:tcW w:w="1199" w:type="dxa"/>
            <w:noWrap w:val="0"/>
            <w:vAlign w:val="center"/>
          </w:tcPr>
          <w:p w14:paraId="590F7D76">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行政成本控制</w:t>
            </w:r>
          </w:p>
        </w:tc>
        <w:tc>
          <w:tcPr>
            <w:tcW w:w="1319" w:type="dxa"/>
            <w:noWrap w:val="0"/>
            <w:vAlign w:val="center"/>
          </w:tcPr>
          <w:p w14:paraId="22095C27">
            <w:pPr>
              <w:keepNext w:val="0"/>
              <w:keepLines w:val="0"/>
              <w:widowControl/>
              <w:suppressLineNumbers w:val="0"/>
              <w:jc w:val="center"/>
              <w:textAlignment w:val="center"/>
              <w:rPr>
                <w:rFonts w:hint="default" w:ascii="Arial" w:eastAsia="宋体"/>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“三公”经费同比下降</w:t>
            </w:r>
          </w:p>
        </w:tc>
        <w:tc>
          <w:tcPr>
            <w:tcW w:w="1259" w:type="dxa"/>
            <w:noWrap w:val="0"/>
            <w:vAlign w:val="center"/>
          </w:tcPr>
          <w:p w14:paraId="47E89718">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下降25.63%</w:t>
            </w:r>
          </w:p>
        </w:tc>
        <w:tc>
          <w:tcPr>
            <w:tcW w:w="719" w:type="dxa"/>
            <w:noWrap w:val="0"/>
            <w:vAlign w:val="center"/>
          </w:tcPr>
          <w:p w14:paraId="408F3B57">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802" w:type="dxa"/>
            <w:noWrap w:val="0"/>
            <w:vAlign w:val="center"/>
          </w:tcPr>
          <w:p w14:paraId="533EBF53">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2</w:t>
            </w:r>
          </w:p>
        </w:tc>
        <w:tc>
          <w:tcPr>
            <w:tcW w:w="1275" w:type="dxa"/>
            <w:noWrap w:val="0"/>
            <w:vAlign w:val="center"/>
          </w:tcPr>
          <w:p w14:paraId="2C084685">
            <w:pPr>
              <w:jc w:val="both"/>
              <w:rPr>
                <w:rFonts w:ascii="Arial"/>
                <w:color w:val="000000" w:themeColor="text1"/>
                <w:sz w:val="20"/>
                <w14:textFill>
                  <w14:solidFill>
                    <w14:schemeClr w14:val="tx1"/>
                  </w14:solidFill>
                </w14:textFill>
              </w:rPr>
            </w:pPr>
          </w:p>
        </w:tc>
      </w:tr>
      <w:tr w14:paraId="2D0A3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0" w:hRule="atLeast"/>
        </w:trPr>
        <w:tc>
          <w:tcPr>
            <w:tcW w:w="1084" w:type="dxa"/>
            <w:vMerge w:val="continue"/>
            <w:noWrap w:val="0"/>
            <w:vAlign w:val="center"/>
          </w:tcPr>
          <w:p w14:paraId="0FCDC955">
            <w:pPr>
              <w:jc w:val="center"/>
              <w:rPr>
                <w:rFonts w:ascii="Arial"/>
                <w:color w:val="000000" w:themeColor="text1"/>
                <w:sz w:val="21"/>
                <w14:textFill>
                  <w14:solidFill>
                    <w14:schemeClr w14:val="tx1"/>
                  </w14:solidFill>
                </w14:textFill>
              </w:rPr>
            </w:pPr>
          </w:p>
        </w:tc>
        <w:tc>
          <w:tcPr>
            <w:tcW w:w="1079" w:type="dxa"/>
            <w:vMerge w:val="restart"/>
            <w:noWrap w:val="0"/>
            <w:vAlign w:val="center"/>
          </w:tcPr>
          <w:p w14:paraId="1499F055">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效益指标</w:t>
            </w:r>
          </w:p>
          <w:p w14:paraId="4F4E3EE5">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（30分）</w:t>
            </w:r>
          </w:p>
        </w:tc>
        <w:tc>
          <w:tcPr>
            <w:tcW w:w="1099" w:type="dxa"/>
            <w:vMerge w:val="restart"/>
            <w:noWrap w:val="0"/>
            <w:vAlign w:val="center"/>
          </w:tcPr>
          <w:p w14:paraId="0E40BDC7">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经济效益指标</w:t>
            </w:r>
          </w:p>
        </w:tc>
        <w:tc>
          <w:tcPr>
            <w:tcW w:w="1199" w:type="dxa"/>
            <w:noWrap w:val="0"/>
            <w:vAlign w:val="center"/>
          </w:tcPr>
          <w:p w14:paraId="5F6F44A0">
            <w:pPr>
              <w:keepNext w:val="0"/>
              <w:keepLines w:val="0"/>
              <w:widowControl/>
              <w:suppressLineNumbers w:val="0"/>
              <w:jc w:val="center"/>
              <w:textAlignment w:val="center"/>
              <w:rPr>
                <w:rFonts w:hint="eastAsia" w:ascii="Arial" w:eastAsiaTheme="minorEastAsia"/>
                <w:color w:val="000000" w:themeColor="text1"/>
                <w:sz w:val="21"/>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促进社会就业</w:t>
            </w:r>
          </w:p>
        </w:tc>
        <w:tc>
          <w:tcPr>
            <w:tcW w:w="1319" w:type="dxa"/>
            <w:noWrap w:val="0"/>
            <w:vAlign w:val="center"/>
          </w:tcPr>
          <w:p w14:paraId="68DC89D8">
            <w:pPr>
              <w:keepNext w:val="0"/>
              <w:keepLines w:val="0"/>
              <w:widowControl/>
              <w:suppressLineNumbers w:val="0"/>
              <w:jc w:val="center"/>
              <w:textAlignment w:val="center"/>
              <w:rPr>
                <w:rFonts w:hint="default" w:ascii="Arial" w:eastAsia="宋体"/>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就业人数增加大于700人</w:t>
            </w:r>
          </w:p>
        </w:tc>
        <w:tc>
          <w:tcPr>
            <w:tcW w:w="1259" w:type="dxa"/>
            <w:noWrap w:val="0"/>
            <w:vAlign w:val="center"/>
          </w:tcPr>
          <w:p w14:paraId="755F3B2D">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728人</w:t>
            </w:r>
          </w:p>
        </w:tc>
        <w:tc>
          <w:tcPr>
            <w:tcW w:w="719" w:type="dxa"/>
            <w:noWrap w:val="0"/>
            <w:vAlign w:val="center"/>
          </w:tcPr>
          <w:p w14:paraId="4DBA1854">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802" w:type="dxa"/>
            <w:noWrap w:val="0"/>
            <w:vAlign w:val="center"/>
          </w:tcPr>
          <w:p w14:paraId="510BD8DD">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2739ABDF">
            <w:pPr>
              <w:jc w:val="center"/>
              <w:rPr>
                <w:rFonts w:ascii="Arial"/>
                <w:color w:val="000000" w:themeColor="text1"/>
                <w:sz w:val="21"/>
                <w14:textFill>
                  <w14:solidFill>
                    <w14:schemeClr w14:val="tx1"/>
                  </w14:solidFill>
                </w14:textFill>
              </w:rPr>
            </w:pPr>
          </w:p>
        </w:tc>
      </w:tr>
      <w:tr w14:paraId="525C4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7" w:hRule="atLeast"/>
        </w:trPr>
        <w:tc>
          <w:tcPr>
            <w:tcW w:w="1084" w:type="dxa"/>
            <w:vMerge w:val="continue"/>
            <w:noWrap w:val="0"/>
            <w:vAlign w:val="center"/>
          </w:tcPr>
          <w:p w14:paraId="6B98453C">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45A4EF4A">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259795AA">
            <w:pPr>
              <w:jc w:val="center"/>
              <w:rPr>
                <w:rFonts w:ascii="Arial"/>
                <w:color w:val="000000" w:themeColor="text1"/>
                <w:sz w:val="21"/>
                <w14:textFill>
                  <w14:solidFill>
                    <w14:schemeClr w14:val="tx1"/>
                  </w14:solidFill>
                </w14:textFill>
              </w:rPr>
            </w:pPr>
          </w:p>
        </w:tc>
        <w:tc>
          <w:tcPr>
            <w:tcW w:w="1199" w:type="dxa"/>
            <w:noWrap w:val="0"/>
            <w:vAlign w:val="center"/>
          </w:tcPr>
          <w:p w14:paraId="09775D80">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保障社会公平</w:t>
            </w:r>
          </w:p>
        </w:tc>
        <w:tc>
          <w:tcPr>
            <w:tcW w:w="1319" w:type="dxa"/>
            <w:noWrap w:val="0"/>
            <w:vAlign w:val="center"/>
          </w:tcPr>
          <w:p w14:paraId="391AF887">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2C0C120C">
            <w:pPr>
              <w:keepNext w:val="0"/>
              <w:keepLines w:val="0"/>
              <w:widowControl/>
              <w:suppressLineNumbers w:val="0"/>
              <w:jc w:val="center"/>
              <w:textAlignment w:val="center"/>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274242C9">
            <w:pPr>
              <w:keepNext w:val="0"/>
              <w:keepLines w:val="0"/>
              <w:widowControl/>
              <w:suppressLineNumbers w:val="0"/>
              <w:jc w:val="center"/>
              <w:textAlignment w:val="center"/>
              <w:rPr>
                <w:rFonts w:hint="eastAsia"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802" w:type="dxa"/>
            <w:noWrap w:val="0"/>
            <w:vAlign w:val="center"/>
          </w:tcPr>
          <w:p w14:paraId="20FAD35A">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36322B09">
            <w:pPr>
              <w:jc w:val="center"/>
              <w:rPr>
                <w:rFonts w:hint="eastAsia" w:ascii="Arial" w:eastAsiaTheme="minorEastAsia"/>
                <w:color w:val="000000" w:themeColor="text1"/>
                <w:sz w:val="20"/>
                <w:lang w:eastAsia="zh-CN"/>
                <w14:textFill>
                  <w14:solidFill>
                    <w14:schemeClr w14:val="tx1"/>
                  </w14:solidFill>
                </w14:textFill>
              </w:rPr>
            </w:pPr>
          </w:p>
        </w:tc>
      </w:tr>
      <w:tr w14:paraId="5824C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3" w:hRule="atLeast"/>
        </w:trPr>
        <w:tc>
          <w:tcPr>
            <w:tcW w:w="1084" w:type="dxa"/>
            <w:vMerge w:val="continue"/>
            <w:noWrap w:val="0"/>
            <w:vAlign w:val="center"/>
          </w:tcPr>
          <w:p w14:paraId="7257B0B3">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1994771B">
            <w:pPr>
              <w:jc w:val="center"/>
              <w:rPr>
                <w:rFonts w:ascii="Arial"/>
                <w:color w:val="000000" w:themeColor="text1"/>
                <w:sz w:val="21"/>
                <w14:textFill>
                  <w14:solidFill>
                    <w14:schemeClr w14:val="tx1"/>
                  </w14:solidFill>
                </w14:textFill>
              </w:rPr>
            </w:pPr>
          </w:p>
        </w:tc>
        <w:tc>
          <w:tcPr>
            <w:tcW w:w="1099" w:type="dxa"/>
            <w:vMerge w:val="restart"/>
            <w:noWrap w:val="0"/>
            <w:vAlign w:val="center"/>
          </w:tcPr>
          <w:p w14:paraId="4929EF4B">
            <w:pPr>
              <w:keepNext w:val="0"/>
              <w:keepLines w:val="0"/>
              <w:widowControl/>
              <w:suppressLineNumbers w:val="0"/>
              <w:jc w:val="center"/>
              <w:textAlignment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社会效益指标</w:t>
            </w:r>
          </w:p>
        </w:tc>
        <w:tc>
          <w:tcPr>
            <w:tcW w:w="1199" w:type="dxa"/>
            <w:noWrap w:val="0"/>
            <w:vAlign w:val="center"/>
          </w:tcPr>
          <w:p w14:paraId="7231181C">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城镇居民医保征缴率提升</w:t>
            </w:r>
          </w:p>
        </w:tc>
        <w:tc>
          <w:tcPr>
            <w:tcW w:w="1319" w:type="dxa"/>
            <w:noWrap w:val="0"/>
            <w:vAlign w:val="center"/>
          </w:tcPr>
          <w:p w14:paraId="60E4FE2E">
            <w:pPr>
              <w:keepNext w:val="0"/>
              <w:keepLines w:val="0"/>
              <w:widowControl/>
              <w:suppressLineNumbers w:val="0"/>
              <w:jc w:val="center"/>
              <w:textAlignment w:val="center"/>
              <w:rPr>
                <w:rFonts w:hint="eastAsia" w:ascii="Arial" w:eastAsia="宋体"/>
                <w:color w:val="000000" w:themeColor="text1"/>
                <w:sz w:val="20"/>
                <w:highlight w:val="none"/>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7D5B2DD9">
            <w:pPr>
              <w:keepNext w:val="0"/>
              <w:keepLines w:val="0"/>
              <w:widowControl/>
              <w:suppressLineNumbers w:val="0"/>
              <w:jc w:val="center"/>
              <w:textAlignment w:val="center"/>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7BDA5B6C">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802" w:type="dxa"/>
            <w:noWrap w:val="0"/>
            <w:vAlign w:val="center"/>
          </w:tcPr>
          <w:p w14:paraId="122B856D">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3CDF6B25">
            <w:pPr>
              <w:jc w:val="center"/>
              <w:rPr>
                <w:rFonts w:ascii="Arial"/>
                <w:color w:val="000000" w:themeColor="text1"/>
                <w:sz w:val="20"/>
                <w14:textFill>
                  <w14:solidFill>
                    <w14:schemeClr w14:val="tx1"/>
                  </w14:solidFill>
                </w14:textFill>
              </w:rPr>
            </w:pPr>
          </w:p>
        </w:tc>
      </w:tr>
      <w:tr w14:paraId="6347F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4" w:hRule="atLeast"/>
        </w:trPr>
        <w:tc>
          <w:tcPr>
            <w:tcW w:w="1084" w:type="dxa"/>
            <w:vMerge w:val="continue"/>
            <w:noWrap w:val="0"/>
            <w:vAlign w:val="center"/>
          </w:tcPr>
          <w:p w14:paraId="45473CEB">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72CAC59E">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7BB80A47">
            <w:pPr>
              <w:jc w:val="center"/>
              <w:rPr>
                <w:rFonts w:ascii="Arial"/>
                <w:color w:val="000000" w:themeColor="text1"/>
                <w:sz w:val="21"/>
                <w14:textFill>
                  <w14:solidFill>
                    <w14:schemeClr w14:val="tx1"/>
                  </w14:solidFill>
                </w14:textFill>
              </w:rPr>
            </w:pPr>
          </w:p>
        </w:tc>
        <w:tc>
          <w:tcPr>
            <w:tcW w:w="1199" w:type="dxa"/>
            <w:noWrap w:val="0"/>
            <w:vAlign w:val="center"/>
          </w:tcPr>
          <w:p w14:paraId="4A879A1F">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安全生产</w:t>
            </w:r>
          </w:p>
        </w:tc>
        <w:tc>
          <w:tcPr>
            <w:tcW w:w="1319" w:type="dxa"/>
            <w:noWrap w:val="0"/>
            <w:vAlign w:val="center"/>
          </w:tcPr>
          <w:p w14:paraId="1FA4754C">
            <w:pPr>
              <w:keepNext w:val="0"/>
              <w:keepLines w:val="0"/>
              <w:widowControl/>
              <w:suppressLineNumbers w:val="0"/>
              <w:jc w:val="center"/>
              <w:textAlignment w:val="center"/>
              <w:rPr>
                <w:rFonts w:hint="default" w:ascii="Arial" w:eastAsia="宋体"/>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辖区内无重大安全事故</w:t>
            </w:r>
          </w:p>
        </w:tc>
        <w:tc>
          <w:tcPr>
            <w:tcW w:w="1259" w:type="dxa"/>
            <w:noWrap w:val="0"/>
            <w:vAlign w:val="center"/>
          </w:tcPr>
          <w:p w14:paraId="482BE1F4">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3F637749">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802" w:type="dxa"/>
            <w:noWrap w:val="0"/>
            <w:vAlign w:val="center"/>
          </w:tcPr>
          <w:p w14:paraId="20CC872A">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60BBE107">
            <w:pPr>
              <w:jc w:val="center"/>
              <w:rPr>
                <w:rFonts w:ascii="Arial"/>
                <w:color w:val="000000" w:themeColor="text1"/>
                <w:sz w:val="20"/>
                <w14:textFill>
                  <w14:solidFill>
                    <w14:schemeClr w14:val="tx1"/>
                  </w14:solidFill>
                </w14:textFill>
              </w:rPr>
            </w:pPr>
          </w:p>
        </w:tc>
      </w:tr>
      <w:tr w14:paraId="33B17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8" w:hRule="atLeast"/>
        </w:trPr>
        <w:tc>
          <w:tcPr>
            <w:tcW w:w="1084" w:type="dxa"/>
            <w:vMerge w:val="continue"/>
            <w:noWrap w:val="0"/>
            <w:vAlign w:val="center"/>
          </w:tcPr>
          <w:p w14:paraId="6ED4495E">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0C0232E3">
            <w:pPr>
              <w:jc w:val="center"/>
              <w:rPr>
                <w:rFonts w:ascii="Arial"/>
                <w:color w:val="000000" w:themeColor="text1"/>
                <w:sz w:val="21"/>
                <w14:textFill>
                  <w14:solidFill>
                    <w14:schemeClr w14:val="tx1"/>
                  </w14:solidFill>
                </w14:textFill>
              </w:rPr>
            </w:pPr>
          </w:p>
        </w:tc>
        <w:tc>
          <w:tcPr>
            <w:tcW w:w="1099" w:type="dxa"/>
            <w:vMerge w:val="continue"/>
            <w:noWrap w:val="0"/>
            <w:vAlign w:val="center"/>
          </w:tcPr>
          <w:p w14:paraId="152686F1">
            <w:pPr>
              <w:jc w:val="center"/>
              <w:rPr>
                <w:rFonts w:ascii="Arial"/>
                <w:color w:val="000000" w:themeColor="text1"/>
                <w:sz w:val="21"/>
                <w14:textFill>
                  <w14:solidFill>
                    <w14:schemeClr w14:val="tx1"/>
                  </w14:solidFill>
                </w14:textFill>
              </w:rPr>
            </w:pPr>
          </w:p>
        </w:tc>
        <w:tc>
          <w:tcPr>
            <w:tcW w:w="1199" w:type="dxa"/>
            <w:noWrap w:val="0"/>
            <w:vAlign w:val="center"/>
          </w:tcPr>
          <w:p w14:paraId="5B318040">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市容市貌提升</w:t>
            </w:r>
          </w:p>
        </w:tc>
        <w:tc>
          <w:tcPr>
            <w:tcW w:w="1319" w:type="dxa"/>
            <w:noWrap w:val="0"/>
            <w:vAlign w:val="center"/>
          </w:tcPr>
          <w:p w14:paraId="50FED329">
            <w:pPr>
              <w:keepNext w:val="0"/>
              <w:keepLines w:val="0"/>
              <w:widowControl/>
              <w:suppressLineNumbers w:val="0"/>
              <w:jc w:val="center"/>
              <w:textAlignment w:val="center"/>
              <w:rPr>
                <w:rFonts w:hint="default" w:ascii="Arial" w:eastAsia="宋体"/>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违建拆除增加</w:t>
            </w:r>
          </w:p>
        </w:tc>
        <w:tc>
          <w:tcPr>
            <w:tcW w:w="1259" w:type="dxa"/>
            <w:noWrap w:val="0"/>
            <w:vAlign w:val="center"/>
          </w:tcPr>
          <w:p w14:paraId="6384529D">
            <w:pPr>
              <w:keepNext w:val="0"/>
              <w:keepLines w:val="0"/>
              <w:widowControl/>
              <w:suppressLineNumbers w:val="0"/>
              <w:jc w:val="center"/>
              <w:textAlignment w:val="center"/>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持续</w:t>
            </w:r>
          </w:p>
        </w:tc>
        <w:tc>
          <w:tcPr>
            <w:tcW w:w="719" w:type="dxa"/>
            <w:noWrap w:val="0"/>
            <w:vAlign w:val="center"/>
          </w:tcPr>
          <w:p w14:paraId="2D5F9FCE">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802" w:type="dxa"/>
            <w:noWrap w:val="0"/>
            <w:vAlign w:val="center"/>
          </w:tcPr>
          <w:p w14:paraId="2B0CCC48">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413C7925">
            <w:pPr>
              <w:jc w:val="center"/>
              <w:rPr>
                <w:rFonts w:ascii="Arial"/>
                <w:color w:val="000000" w:themeColor="text1"/>
                <w:sz w:val="20"/>
                <w14:textFill>
                  <w14:solidFill>
                    <w14:schemeClr w14:val="tx1"/>
                  </w14:solidFill>
                </w14:textFill>
              </w:rPr>
            </w:pPr>
          </w:p>
        </w:tc>
      </w:tr>
      <w:tr w14:paraId="1BCAA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 w:hRule="atLeast"/>
        </w:trPr>
        <w:tc>
          <w:tcPr>
            <w:tcW w:w="1084" w:type="dxa"/>
            <w:vMerge w:val="continue"/>
            <w:noWrap w:val="0"/>
            <w:vAlign w:val="center"/>
          </w:tcPr>
          <w:p w14:paraId="21863D23">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0C82B54C">
            <w:pPr>
              <w:jc w:val="center"/>
              <w:rPr>
                <w:rFonts w:ascii="Arial"/>
                <w:color w:val="000000" w:themeColor="text1"/>
                <w:sz w:val="21"/>
                <w14:textFill>
                  <w14:solidFill>
                    <w14:schemeClr w14:val="tx1"/>
                  </w14:solidFill>
                </w14:textFill>
              </w:rPr>
            </w:pPr>
          </w:p>
        </w:tc>
        <w:tc>
          <w:tcPr>
            <w:tcW w:w="1099" w:type="dxa"/>
            <w:noWrap w:val="0"/>
            <w:vAlign w:val="center"/>
          </w:tcPr>
          <w:p w14:paraId="75132BF5">
            <w:pPr>
              <w:keepNext w:val="0"/>
              <w:keepLines w:val="0"/>
              <w:widowControl/>
              <w:suppressLineNumbers w:val="0"/>
              <w:jc w:val="left"/>
              <w:textAlignment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生态效益指标</w:t>
            </w:r>
          </w:p>
        </w:tc>
        <w:tc>
          <w:tcPr>
            <w:tcW w:w="1199" w:type="dxa"/>
            <w:noWrap w:val="0"/>
            <w:vAlign w:val="center"/>
          </w:tcPr>
          <w:p w14:paraId="4AB2D6C2">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环境质量提升</w:t>
            </w:r>
          </w:p>
        </w:tc>
        <w:tc>
          <w:tcPr>
            <w:tcW w:w="1319" w:type="dxa"/>
            <w:noWrap w:val="0"/>
            <w:vAlign w:val="center"/>
          </w:tcPr>
          <w:p w14:paraId="5503D01D">
            <w:pPr>
              <w:keepNext w:val="0"/>
              <w:keepLines w:val="0"/>
              <w:widowControl/>
              <w:suppressLineNumbers w:val="0"/>
              <w:jc w:val="center"/>
              <w:textAlignment w:val="center"/>
              <w:rPr>
                <w:rFonts w:hint="eastAsia" w:ascii="Arial" w:eastAsia="宋体"/>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清理的垃圾全面清理完毕</w:t>
            </w:r>
          </w:p>
        </w:tc>
        <w:tc>
          <w:tcPr>
            <w:tcW w:w="1259" w:type="dxa"/>
            <w:noWrap w:val="0"/>
            <w:vAlign w:val="center"/>
          </w:tcPr>
          <w:p w14:paraId="7372CFCF">
            <w:pPr>
              <w:keepNext w:val="0"/>
              <w:keepLines w:val="0"/>
              <w:widowControl/>
              <w:suppressLineNumbers w:val="0"/>
              <w:jc w:val="center"/>
              <w:textAlignment w:val="center"/>
              <w:rPr>
                <w:rFonts w:hint="default"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2B88D695">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802" w:type="dxa"/>
            <w:noWrap w:val="0"/>
            <w:vAlign w:val="center"/>
          </w:tcPr>
          <w:p w14:paraId="32822FEE">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4</w:t>
            </w:r>
          </w:p>
        </w:tc>
        <w:tc>
          <w:tcPr>
            <w:tcW w:w="1275" w:type="dxa"/>
            <w:noWrap w:val="0"/>
            <w:vAlign w:val="center"/>
          </w:tcPr>
          <w:p w14:paraId="5A3DF3D1">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宣传力度欠缺，加强宣传</w:t>
            </w:r>
          </w:p>
        </w:tc>
      </w:tr>
      <w:tr w14:paraId="1BB2E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trPr>
        <w:tc>
          <w:tcPr>
            <w:tcW w:w="1084" w:type="dxa"/>
            <w:vMerge w:val="continue"/>
            <w:noWrap w:val="0"/>
            <w:vAlign w:val="center"/>
          </w:tcPr>
          <w:p w14:paraId="0B5AC6E7">
            <w:pPr>
              <w:jc w:val="center"/>
              <w:rPr>
                <w:rFonts w:ascii="Arial"/>
                <w:color w:val="000000" w:themeColor="text1"/>
                <w:sz w:val="21"/>
                <w14:textFill>
                  <w14:solidFill>
                    <w14:schemeClr w14:val="tx1"/>
                  </w14:solidFill>
                </w14:textFill>
              </w:rPr>
            </w:pPr>
          </w:p>
        </w:tc>
        <w:tc>
          <w:tcPr>
            <w:tcW w:w="1079" w:type="dxa"/>
            <w:vMerge w:val="continue"/>
            <w:noWrap w:val="0"/>
            <w:vAlign w:val="center"/>
          </w:tcPr>
          <w:p w14:paraId="15C5A916">
            <w:pPr>
              <w:jc w:val="center"/>
              <w:rPr>
                <w:rFonts w:ascii="Arial"/>
                <w:color w:val="000000" w:themeColor="text1"/>
                <w:sz w:val="21"/>
                <w14:textFill>
                  <w14:solidFill>
                    <w14:schemeClr w14:val="tx1"/>
                  </w14:solidFill>
                </w14:textFill>
              </w:rPr>
            </w:pPr>
          </w:p>
        </w:tc>
        <w:tc>
          <w:tcPr>
            <w:tcW w:w="1099" w:type="dxa"/>
            <w:noWrap w:val="0"/>
            <w:vAlign w:val="center"/>
          </w:tcPr>
          <w:p w14:paraId="36C91548">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可持续影响指标</w:t>
            </w:r>
          </w:p>
        </w:tc>
        <w:tc>
          <w:tcPr>
            <w:tcW w:w="1199" w:type="dxa"/>
            <w:noWrap w:val="0"/>
            <w:vAlign w:val="center"/>
          </w:tcPr>
          <w:p w14:paraId="198BBDBC">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精准落实惠民政策</w:t>
            </w:r>
          </w:p>
        </w:tc>
        <w:tc>
          <w:tcPr>
            <w:tcW w:w="1319" w:type="dxa"/>
            <w:noWrap w:val="0"/>
            <w:vAlign w:val="center"/>
          </w:tcPr>
          <w:p w14:paraId="7E755948">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1259" w:type="dxa"/>
            <w:noWrap w:val="0"/>
            <w:vAlign w:val="center"/>
          </w:tcPr>
          <w:p w14:paraId="113CA8C6">
            <w:pPr>
              <w:keepNext w:val="0"/>
              <w:keepLines w:val="0"/>
              <w:widowControl/>
              <w:suppressLineNumbers w:val="0"/>
              <w:jc w:val="center"/>
              <w:textAlignment w:val="center"/>
              <w:rPr>
                <w:rFonts w:hint="eastAsia" w:ascii="Arial" w:eastAsiaTheme="minorEastAsia"/>
                <w:color w:val="000000" w:themeColor="text1"/>
                <w:sz w:val="20"/>
                <w:lang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719" w:type="dxa"/>
            <w:noWrap w:val="0"/>
            <w:vAlign w:val="center"/>
          </w:tcPr>
          <w:p w14:paraId="6967F4A1">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802" w:type="dxa"/>
            <w:noWrap w:val="0"/>
            <w:vAlign w:val="center"/>
          </w:tcPr>
          <w:p w14:paraId="0A83210E">
            <w:pPr>
              <w:keepNext w:val="0"/>
              <w:keepLines w:val="0"/>
              <w:widowControl/>
              <w:suppressLineNumbers w:val="0"/>
              <w:jc w:val="center"/>
              <w:textAlignment w:val="center"/>
              <w:rPr>
                <w:rFonts w:hint="eastAsia" w:ascii="Arial" w:eastAsiaTheme="minorEastAsia"/>
                <w:color w:val="000000" w:themeColor="text1"/>
                <w:sz w:val="20"/>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5</w:t>
            </w:r>
          </w:p>
        </w:tc>
        <w:tc>
          <w:tcPr>
            <w:tcW w:w="1275" w:type="dxa"/>
            <w:noWrap w:val="0"/>
            <w:vAlign w:val="center"/>
          </w:tcPr>
          <w:p w14:paraId="469C02C1">
            <w:pPr>
              <w:jc w:val="center"/>
              <w:rPr>
                <w:rFonts w:ascii="Arial"/>
                <w:color w:val="000000" w:themeColor="text1"/>
                <w:sz w:val="20"/>
                <w14:textFill>
                  <w14:solidFill>
                    <w14:schemeClr w14:val="tx1"/>
                  </w14:solidFill>
                </w14:textFill>
              </w:rPr>
            </w:pPr>
          </w:p>
        </w:tc>
      </w:tr>
      <w:tr w14:paraId="5C5FA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1084" w:type="dxa"/>
            <w:vMerge w:val="continue"/>
            <w:noWrap w:val="0"/>
            <w:vAlign w:val="center"/>
          </w:tcPr>
          <w:p w14:paraId="06A6DAFA">
            <w:pPr>
              <w:jc w:val="center"/>
              <w:rPr>
                <w:rFonts w:ascii="Arial"/>
                <w:color w:val="000000" w:themeColor="text1"/>
                <w:sz w:val="21"/>
                <w14:textFill>
                  <w14:solidFill>
                    <w14:schemeClr w14:val="tx1"/>
                  </w14:solidFill>
                </w14:textFill>
              </w:rPr>
            </w:pPr>
          </w:p>
        </w:tc>
        <w:tc>
          <w:tcPr>
            <w:tcW w:w="1079" w:type="dxa"/>
            <w:noWrap w:val="0"/>
            <w:vAlign w:val="center"/>
          </w:tcPr>
          <w:p w14:paraId="5736D3A3">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满意度指标</w:t>
            </w:r>
          </w:p>
          <w:p w14:paraId="2EE6D3DF">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（10分）</w:t>
            </w:r>
          </w:p>
        </w:tc>
        <w:tc>
          <w:tcPr>
            <w:tcW w:w="1099" w:type="dxa"/>
            <w:noWrap w:val="0"/>
            <w:vAlign w:val="center"/>
          </w:tcPr>
          <w:p w14:paraId="4AC0E7E3">
            <w:pPr>
              <w:keepNext w:val="0"/>
              <w:keepLines w:val="0"/>
              <w:widowControl/>
              <w:suppressLineNumbers w:val="0"/>
              <w:jc w:val="center"/>
              <w:textAlignment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服务对象满意度指标</w:t>
            </w:r>
          </w:p>
        </w:tc>
        <w:tc>
          <w:tcPr>
            <w:tcW w:w="1199" w:type="dxa"/>
            <w:noWrap w:val="0"/>
            <w:vAlign w:val="center"/>
          </w:tcPr>
          <w:p w14:paraId="4A7E2B8C">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群众满意度</w:t>
            </w:r>
          </w:p>
        </w:tc>
        <w:tc>
          <w:tcPr>
            <w:tcW w:w="1319" w:type="dxa"/>
            <w:noWrap w:val="0"/>
            <w:vAlign w:val="center"/>
          </w:tcPr>
          <w:p w14:paraId="611C4194">
            <w:pPr>
              <w:keepNext w:val="0"/>
              <w:keepLines w:val="0"/>
              <w:widowControl/>
              <w:suppressLineNumbers w:val="0"/>
              <w:jc w:val="center"/>
              <w:textAlignment w:val="cente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≧98%</w:t>
            </w:r>
          </w:p>
        </w:tc>
        <w:tc>
          <w:tcPr>
            <w:tcW w:w="1259" w:type="dxa"/>
            <w:noWrap w:val="0"/>
            <w:vAlign w:val="center"/>
          </w:tcPr>
          <w:p w14:paraId="22E26DF8">
            <w:pPr>
              <w:keepNext w:val="0"/>
              <w:keepLines w:val="0"/>
              <w:widowControl/>
              <w:suppressLineNumbers w:val="0"/>
              <w:jc w:val="center"/>
              <w:textAlignment w:val="center"/>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97</w:t>
            </w:r>
          </w:p>
        </w:tc>
        <w:tc>
          <w:tcPr>
            <w:tcW w:w="719" w:type="dxa"/>
            <w:noWrap w:val="0"/>
            <w:vAlign w:val="center"/>
          </w:tcPr>
          <w:p w14:paraId="300206FC">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w:t>
            </w:r>
          </w:p>
        </w:tc>
        <w:tc>
          <w:tcPr>
            <w:tcW w:w="802" w:type="dxa"/>
            <w:noWrap w:val="0"/>
            <w:vAlign w:val="center"/>
          </w:tcPr>
          <w:p w14:paraId="5CC02E54">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w:t>
            </w:r>
          </w:p>
        </w:tc>
        <w:tc>
          <w:tcPr>
            <w:tcW w:w="1275" w:type="dxa"/>
            <w:noWrap w:val="0"/>
            <w:vAlign w:val="center"/>
          </w:tcPr>
          <w:p w14:paraId="742346F8">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完善工作人员的水平</w:t>
            </w:r>
          </w:p>
        </w:tc>
      </w:tr>
      <w:tr w14:paraId="4288D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0" w:hRule="atLeast"/>
        </w:trPr>
        <w:tc>
          <w:tcPr>
            <w:tcW w:w="1084" w:type="dxa"/>
            <w:noWrap w:val="0"/>
            <w:vAlign w:val="center"/>
          </w:tcPr>
          <w:p w14:paraId="14B036D0">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总分</w:t>
            </w:r>
          </w:p>
        </w:tc>
        <w:tc>
          <w:tcPr>
            <w:tcW w:w="1079" w:type="dxa"/>
            <w:noWrap w:val="0"/>
            <w:vAlign w:val="center"/>
          </w:tcPr>
          <w:p w14:paraId="4A5F18E0">
            <w:pPr>
              <w:jc w:val="center"/>
              <w:rPr>
                <w:rFonts w:ascii="Arial"/>
                <w:color w:val="000000" w:themeColor="text1"/>
                <w:sz w:val="21"/>
                <w14:textFill>
                  <w14:solidFill>
                    <w14:schemeClr w14:val="tx1"/>
                  </w14:solidFill>
                </w14:textFill>
              </w:rPr>
            </w:pPr>
          </w:p>
        </w:tc>
        <w:tc>
          <w:tcPr>
            <w:tcW w:w="1099" w:type="dxa"/>
            <w:noWrap w:val="0"/>
            <w:vAlign w:val="center"/>
          </w:tcPr>
          <w:p w14:paraId="7E7075C4">
            <w:pPr>
              <w:jc w:val="center"/>
              <w:rPr>
                <w:rFonts w:ascii="宋体" w:hAnsi="宋体" w:eastAsia="宋体" w:cs="宋体"/>
                <w:color w:val="000000" w:themeColor="text1"/>
                <w:sz w:val="21"/>
                <w:szCs w:val="21"/>
                <w14:textFill>
                  <w14:solidFill>
                    <w14:schemeClr w14:val="tx1"/>
                  </w14:solidFill>
                </w14:textFill>
              </w:rPr>
            </w:pPr>
          </w:p>
        </w:tc>
        <w:tc>
          <w:tcPr>
            <w:tcW w:w="1199" w:type="dxa"/>
            <w:noWrap w:val="0"/>
            <w:vAlign w:val="center"/>
          </w:tcPr>
          <w:p w14:paraId="7CE6395F">
            <w:pPr>
              <w:jc w:val="center"/>
              <w:rPr>
                <w:rFonts w:hint="default" w:ascii="Arial" w:eastAsiaTheme="minorEastAsia"/>
                <w:color w:val="000000" w:themeColor="text1"/>
                <w:sz w:val="21"/>
                <w:lang w:val="en-US" w:eastAsia="zh-CN"/>
                <w14:textFill>
                  <w14:solidFill>
                    <w14:schemeClr w14:val="tx1"/>
                  </w14:solidFill>
                </w14:textFill>
              </w:rPr>
            </w:pPr>
          </w:p>
        </w:tc>
        <w:tc>
          <w:tcPr>
            <w:tcW w:w="1319" w:type="dxa"/>
            <w:noWrap w:val="0"/>
            <w:vAlign w:val="center"/>
          </w:tcPr>
          <w:p w14:paraId="3C08E839">
            <w:pPr>
              <w:jc w:val="center"/>
              <w:rPr>
                <w:rFonts w:hint="default" w:ascii="Arial" w:eastAsiaTheme="minorEastAsia"/>
                <w:color w:val="000000" w:themeColor="text1"/>
                <w:sz w:val="21"/>
                <w:lang w:val="en-US" w:eastAsia="zh-CN"/>
                <w14:textFill>
                  <w14:solidFill>
                    <w14:schemeClr w14:val="tx1"/>
                  </w14:solidFill>
                </w14:textFill>
              </w:rPr>
            </w:pPr>
          </w:p>
        </w:tc>
        <w:tc>
          <w:tcPr>
            <w:tcW w:w="1259" w:type="dxa"/>
            <w:noWrap w:val="0"/>
            <w:vAlign w:val="center"/>
          </w:tcPr>
          <w:p w14:paraId="418D4891">
            <w:pPr>
              <w:jc w:val="center"/>
              <w:rPr>
                <w:rFonts w:hint="default" w:ascii="Arial" w:eastAsiaTheme="minorEastAsia"/>
                <w:color w:val="000000" w:themeColor="text1"/>
                <w:sz w:val="21"/>
                <w:lang w:val="en-US" w:eastAsia="zh-CN"/>
                <w14:textFill>
                  <w14:solidFill>
                    <w14:schemeClr w14:val="tx1"/>
                  </w14:solidFill>
                </w14:textFill>
              </w:rPr>
            </w:pPr>
          </w:p>
        </w:tc>
        <w:tc>
          <w:tcPr>
            <w:tcW w:w="719" w:type="dxa"/>
            <w:noWrap w:val="0"/>
            <w:vAlign w:val="center"/>
          </w:tcPr>
          <w:p w14:paraId="08D92CF5">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100</w:t>
            </w:r>
          </w:p>
        </w:tc>
        <w:tc>
          <w:tcPr>
            <w:tcW w:w="802" w:type="dxa"/>
            <w:noWrap w:val="0"/>
            <w:vAlign w:val="center"/>
          </w:tcPr>
          <w:p w14:paraId="2AB5E531">
            <w:pPr>
              <w:keepNext w:val="0"/>
              <w:keepLines w:val="0"/>
              <w:widowControl/>
              <w:suppressLineNumbers w:val="0"/>
              <w:jc w:val="center"/>
              <w:textAlignment w:val="center"/>
              <w:rPr>
                <w:rFonts w:hint="eastAsia"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95</w:t>
            </w:r>
          </w:p>
        </w:tc>
        <w:tc>
          <w:tcPr>
            <w:tcW w:w="1275" w:type="dxa"/>
            <w:noWrap w:val="0"/>
            <w:vAlign w:val="center"/>
          </w:tcPr>
          <w:p w14:paraId="111191E0">
            <w:pPr>
              <w:jc w:val="center"/>
              <w:rPr>
                <w:rFonts w:ascii="Arial"/>
                <w:color w:val="000000" w:themeColor="text1"/>
                <w:sz w:val="21"/>
                <w14:textFill>
                  <w14:solidFill>
                    <w14:schemeClr w14:val="tx1"/>
                  </w14:solidFill>
                </w14:textFill>
              </w:rPr>
            </w:pPr>
          </w:p>
        </w:tc>
      </w:tr>
    </w:tbl>
    <w:p w14:paraId="6E31165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4" w:type="default"/>
          <w:pgSz w:w="11906" w:h="16838"/>
          <w:pgMar w:top="1134" w:right="1417" w:bottom="1134" w:left="1134" w:header="851" w:footer="992" w:gutter="0"/>
          <w:pgNumType w:fmt="decimal"/>
          <w:cols w:space="0" w:num="1"/>
          <w:rtlGutter w:val="0"/>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val="en-US" w:eastAsia="zh-CN"/>
          <w14:textFill>
            <w14:solidFill>
              <w14:schemeClr w14:val="tx1"/>
            </w14:solidFill>
          </w14:textFill>
        </w:rPr>
        <w:t>吴倩</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13789003891   </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hint="eastAsia" w:ascii="仿宋" w:hAnsi="仿宋" w:eastAsia="仿宋" w:cs="仿宋"/>
          <w:color w:val="000000" w:themeColor="text1"/>
          <w:spacing w:val="9"/>
          <w:sz w:val="22"/>
          <w:szCs w:val="22"/>
          <w:lang w:val="en-US" w:eastAsia="zh-CN"/>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2023年6月1</w:t>
      </w:r>
    </w:p>
    <w:p w14:paraId="25C7C553">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64ABECAC">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107B8641">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岳阳楼区站前路街道办事处</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14:paraId="7787A88D">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1CDD7F0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679254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50FF56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A9A91B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6FEB4A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0D1D6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BACD47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CA3906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2A1F7B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979F0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EC97E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35FF28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025AA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8A7A7B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07F1EB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62470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8A21AF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7B5B32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9AFADD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6E17B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09D32A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岳阳楼区站前路街道办事处</w:t>
      </w: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 xml:space="preserve"> </w:t>
      </w:r>
    </w:p>
    <w:p w14:paraId="52BC2E5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 xml:space="preserve">  ( 盖 章 )</w:t>
      </w:r>
    </w:p>
    <w:p w14:paraId="1E4EFE3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6月 1 日</w:t>
      </w:r>
    </w:p>
    <w:p w14:paraId="74E7645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A621C9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1E1DBE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66D38F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421CFEF">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2022年度岳阳楼区站前路街道办事处整体支出绩效自评报告</w:t>
      </w:r>
    </w:p>
    <w:p w14:paraId="79AC9E0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55DF69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E7273B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4425373">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7FBB8A70">
      <w:pPr>
        <w:ind w:firstLine="420" w:firstLineChars="15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Times New Roman"/>
          <w:sz w:val="28"/>
          <w:szCs w:val="28"/>
        </w:rPr>
        <w:t>站前路街道办事处成立于2006年6月，街道地处城区中心地带，东至建湘北路，西至得胜北路，南至巴陵中路北侧，北至京广铁路线，面积2.02平方公里，辖德胜、新站、铁路、望城岭、连云路5个社区，总人口47128人（其中户籍人口31509人），现有直管党支部6个，直管党员599名。办事处有编制人员6</w:t>
      </w:r>
      <w:r>
        <w:rPr>
          <w:rFonts w:hint="eastAsia" w:ascii="仿宋" w:hAnsi="仿宋" w:eastAsia="仿宋" w:cs="Times New Roman"/>
          <w:sz w:val="28"/>
          <w:szCs w:val="28"/>
          <w:lang w:val="en-US" w:eastAsia="zh-CN"/>
        </w:rPr>
        <w:t>4</w:t>
      </w:r>
      <w:r>
        <w:rPr>
          <w:rFonts w:ascii="仿宋" w:hAnsi="仿宋" w:eastAsia="仿宋" w:cs="Times New Roman"/>
          <w:sz w:val="28"/>
          <w:szCs w:val="28"/>
        </w:rPr>
        <w:t>人，其中：在职编制</w:t>
      </w:r>
      <w:r>
        <w:rPr>
          <w:rFonts w:hint="eastAsia" w:ascii="仿宋" w:hAnsi="仿宋" w:eastAsia="仿宋" w:cs="Times New Roman"/>
          <w:sz w:val="28"/>
          <w:szCs w:val="28"/>
        </w:rPr>
        <w:t>52</w:t>
      </w:r>
      <w:r>
        <w:rPr>
          <w:rFonts w:ascii="仿宋" w:hAnsi="仿宋" w:eastAsia="仿宋" w:cs="Times New Roman"/>
          <w:sz w:val="28"/>
          <w:szCs w:val="28"/>
        </w:rPr>
        <w:t>人；离退休</w:t>
      </w:r>
      <w:r>
        <w:rPr>
          <w:rFonts w:hint="eastAsia" w:ascii="仿宋" w:hAnsi="仿宋" w:eastAsia="仿宋" w:cs="Times New Roman"/>
          <w:sz w:val="28"/>
          <w:szCs w:val="28"/>
        </w:rPr>
        <w:t>1</w:t>
      </w:r>
      <w:r>
        <w:rPr>
          <w:rFonts w:hint="eastAsia" w:ascii="仿宋" w:hAnsi="仿宋" w:eastAsia="仿宋" w:cs="Times New Roman"/>
          <w:sz w:val="28"/>
          <w:szCs w:val="28"/>
          <w:lang w:val="en-US" w:eastAsia="zh-CN"/>
        </w:rPr>
        <w:t>2</w:t>
      </w:r>
      <w:r>
        <w:rPr>
          <w:rFonts w:ascii="仿宋" w:hAnsi="仿宋" w:eastAsia="仿宋" w:cs="Times New Roman"/>
          <w:sz w:val="28"/>
          <w:szCs w:val="28"/>
        </w:rPr>
        <w:t>人。机关设置</w:t>
      </w:r>
      <w:r>
        <w:rPr>
          <w:rFonts w:hint="eastAsia" w:ascii="仿宋" w:hAnsi="仿宋" w:eastAsia="仿宋" w:cs="Times New Roman"/>
          <w:sz w:val="28"/>
          <w:szCs w:val="28"/>
        </w:rPr>
        <w:t>14</w:t>
      </w:r>
      <w:r>
        <w:rPr>
          <w:rFonts w:ascii="仿宋" w:hAnsi="仿宋" w:eastAsia="仿宋" w:cs="Times New Roman"/>
          <w:sz w:val="28"/>
          <w:szCs w:val="28"/>
        </w:rPr>
        <w:t>个股室：</w:t>
      </w:r>
      <w:r>
        <w:rPr>
          <w:rFonts w:hint="eastAsia" w:ascii="仿宋" w:hAnsi="仿宋" w:eastAsia="仿宋" w:cs="Times New Roman"/>
          <w:sz w:val="28"/>
          <w:szCs w:val="28"/>
        </w:rPr>
        <w:t>党政</w:t>
      </w:r>
      <w:r>
        <w:rPr>
          <w:rFonts w:ascii="仿宋" w:hAnsi="仿宋" w:eastAsia="仿宋" w:cs="Times New Roman"/>
          <w:sz w:val="28"/>
          <w:szCs w:val="28"/>
        </w:rPr>
        <w:t>办公室、</w:t>
      </w:r>
      <w:r>
        <w:rPr>
          <w:rFonts w:hint="eastAsia" w:ascii="仿宋" w:hAnsi="仿宋" w:eastAsia="仿宋" w:cs="Times New Roman"/>
          <w:sz w:val="28"/>
          <w:szCs w:val="28"/>
        </w:rPr>
        <w:t>党建办公室、经济发展办公室、社会事务办公室、综治信访办公室、应急管理办公室、社会事业综合服务中心、产业项目综合服务中心、公共服务和网格化中心、退役军人服务站、综合行政执法大队、环境卫生服务中心、司法所、财政所。</w:t>
      </w:r>
    </w:p>
    <w:p w14:paraId="250A7F5A">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二、一般公共预算支出情况</w:t>
      </w:r>
    </w:p>
    <w:p w14:paraId="2E30F142">
      <w:pPr>
        <w:widowControl/>
        <w:spacing w:line="600" w:lineRule="exact"/>
        <w:ind w:firstLine="640" w:firstLineChars="200"/>
        <w:rPr>
          <w:rFonts w:hint="eastAsia" w:ascii="Times New Roman" w:hAnsi="Times New Roman" w:eastAsia="仿宋_GB2312" w:cs="仿宋_GB2312"/>
          <w:kern w:val="0"/>
          <w:sz w:val="32"/>
          <w:szCs w:val="32"/>
          <w:lang w:val="en-US" w:eastAsia="zh-CN"/>
        </w:rPr>
      </w:pPr>
      <w:r>
        <w:rPr>
          <w:rFonts w:hint="eastAsia" w:ascii="Times New Roman" w:hAnsi="Times New Roman" w:eastAsia="仿宋_GB2312" w:cs="仿宋_GB2312"/>
          <w:kern w:val="0"/>
          <w:sz w:val="32"/>
          <w:szCs w:val="32"/>
          <w:lang w:val="en-US" w:eastAsia="zh-CN"/>
        </w:rPr>
        <w:t>本单位2022年一般公共预算整体支出2026.12元。按收入性质分，其中：一般公共预算收入816.63万元，纳入专户管理的非税收入50万，其他资金收入1159.49万元。按支出性质分，其中：基本支出1085.31万元，项目支出940.81万元。</w:t>
      </w:r>
    </w:p>
    <w:p w14:paraId="0C5A6E94">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(一)基本支出情况</w:t>
      </w:r>
    </w:p>
    <w:p w14:paraId="06A8DE3A">
      <w:pPr>
        <w:widowControl/>
        <w:spacing w:line="600" w:lineRule="exact"/>
        <w:ind w:firstLine="562" w:firstLineChars="200"/>
        <w:rPr>
          <w:rFonts w:hint="eastAsia" w:ascii="Times New Roman" w:hAnsi="Times New Roman" w:eastAsia="仿宋_GB2312" w:cs="仿宋_GB2312"/>
          <w:kern w:val="0"/>
          <w:sz w:val="32"/>
          <w:szCs w:val="32"/>
          <w:lang w:val="zh-CN" w:eastAsia="zh-CN"/>
        </w:rPr>
      </w:pPr>
      <w:r>
        <w:rPr>
          <w:rFonts w:hint="eastAsia" w:ascii="宋体" w:hAnsi="宋体" w:eastAsia="宋体" w:cs="宋体"/>
          <w:b/>
          <w:bCs/>
          <w:sz w:val="28"/>
          <w:szCs w:val="28"/>
          <w:lang w:val="en-US" w:eastAsia="zh-CN"/>
        </w:rPr>
        <w:t>1、</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预算配置情况评价分析 </w:t>
      </w:r>
      <w:r>
        <w:rPr>
          <w:rFonts w:ascii="宋体" w:hAnsi="宋体" w:eastAsia="宋体" w:cs="宋体"/>
          <w:b/>
          <w:bCs/>
          <w:sz w:val="28"/>
          <w:szCs w:val="28"/>
        </w:rPr>
        <w:t xml:space="preserve"> </w:t>
      </w:r>
      <w:r>
        <w:rPr>
          <w:rFonts w:hint="eastAsia" w:ascii="Times New Roman" w:hAnsi="Times New Roman" w:eastAsia="仿宋_GB2312" w:cs="仿宋_GB2312"/>
          <w:kern w:val="0"/>
          <w:sz w:val="32"/>
          <w:szCs w:val="32"/>
          <w:lang w:val="en-US" w:eastAsia="zh-CN"/>
        </w:rPr>
        <w:t>根据岳阳楼区编制部门文件规定岳阳楼区金鹗山街道办事处人员编制52人，2022年决算报表反映实际在职人员52人，财政供养人员控制率为100%。</w:t>
      </w:r>
    </w:p>
    <w:p w14:paraId="33B1C02D">
      <w:pPr>
        <w:ind w:firstLine="636" w:firstLineChars="198"/>
        <w:rPr>
          <w:rFonts w:hint="eastAsia" w:ascii="Times New Roman" w:hAnsi="Times New Roman" w:eastAsia="仿宋_GB2312" w:cs="仿宋_GB2312"/>
          <w:kern w:val="0"/>
          <w:sz w:val="32"/>
          <w:szCs w:val="32"/>
          <w:lang w:val="en-US" w:eastAsia="zh-CN"/>
        </w:rPr>
      </w:pPr>
      <w:r>
        <w:rPr>
          <w:rFonts w:hint="eastAsia" w:ascii="Times New Roman" w:hAnsi="Times New Roman" w:eastAsia="仿宋_GB2312" w:cs="仿宋_GB2312"/>
          <w:b/>
          <w:bCs/>
          <w:kern w:val="0"/>
          <w:sz w:val="32"/>
          <w:szCs w:val="32"/>
          <w:lang w:val="en-US" w:eastAsia="zh-CN"/>
        </w:rPr>
        <w:t>2、</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整体支出情况分析  </w:t>
      </w:r>
      <w:r>
        <w:rPr>
          <w:rFonts w:hint="eastAsia" w:ascii="Times New Roman" w:hAnsi="Times New Roman" w:eastAsia="仿宋_GB2312" w:cs="仿宋_GB2312"/>
          <w:kern w:val="0"/>
          <w:sz w:val="32"/>
          <w:szCs w:val="32"/>
          <w:lang w:val="en-US" w:eastAsia="zh-CN"/>
        </w:rPr>
        <w:t>2022年度基本支出1085.31万元，其中：工资福利支出782.16万元，占基本支出的72.07%。主要包括基本工资、津贴补贴、</w:t>
      </w:r>
      <w:r>
        <w:rPr>
          <w:rFonts w:hint="eastAsia" w:ascii="Times New Roman" w:hAnsi="Times New Roman" w:eastAsia="仿宋_GB2312" w:cs="仿宋_GB2312"/>
          <w:kern w:val="0"/>
          <w:sz w:val="32"/>
          <w:szCs w:val="32"/>
          <w:lang w:val="zh-CN" w:eastAsia="zh-CN"/>
        </w:rPr>
        <w:t>奖金、绩效工资、机关事业单位基本养老保险缴费、职工基本医疗保险缴费、公务员医疗补助缴费、其他社会保障缴费、住房公积金、其他工资福利支出。</w:t>
      </w:r>
      <w:r>
        <w:rPr>
          <w:rFonts w:hint="eastAsia" w:ascii="Times New Roman" w:hAnsi="Times New Roman" w:eastAsia="仿宋_GB2312" w:cs="仿宋_GB2312"/>
          <w:kern w:val="0"/>
          <w:sz w:val="32"/>
          <w:szCs w:val="32"/>
          <w:lang w:val="en-US" w:eastAsia="zh-CN"/>
        </w:rPr>
        <w:t>商品和服务支出303.15万元，占基本支出的27.93%。主要包括办公费、印刷费、水费、电费、邮电费、差旅费、维修（护）费、会议费、培训费、公务接待费、劳务费、工会经费、其他交通费用、其他商品和服务支出。</w:t>
      </w:r>
    </w:p>
    <w:p w14:paraId="617881C9">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（二）项目支出情况</w:t>
      </w:r>
    </w:p>
    <w:p w14:paraId="5F78F335">
      <w:pPr>
        <w:tabs>
          <w:tab w:val="left" w:pos="426"/>
          <w:tab w:val="center" w:pos="4153"/>
        </w:tabs>
        <w:spacing w:line="600" w:lineRule="exact"/>
        <w:ind w:firstLine="843" w:firstLineChars="300"/>
        <w:rPr>
          <w:rFonts w:hint="eastAsia" w:ascii="Times New Roman" w:hAnsi="Times New Roman" w:eastAsia="仿宋_GB2312" w:cs="仿宋_GB2312"/>
          <w:kern w:val="0"/>
          <w:sz w:val="32"/>
          <w:szCs w:val="32"/>
          <w:lang w:val="en-US" w:eastAsia="zh-CN"/>
        </w:rPr>
      </w:pPr>
      <w:r>
        <w:rPr>
          <w:rFonts w:hint="eastAsia" w:ascii="宋体" w:hAnsi="宋体" w:eastAsia="宋体" w:cs="宋体"/>
          <w:b/>
          <w:bCs/>
          <w:sz w:val="28"/>
          <w:szCs w:val="28"/>
          <w:shd w:val="clear" w:color="auto" w:fill="FFFFFF"/>
          <w:lang w:val="en-US" w:eastAsia="zh-CN"/>
        </w:rPr>
        <w:t>1、</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项目资金拨入情况分析</w:t>
      </w:r>
      <w:r>
        <w:rPr>
          <w:rFonts w:hint="eastAsia" w:ascii="宋体" w:hAnsi="宋体" w:eastAsia="宋体" w:cs="宋体"/>
          <w:b/>
          <w:bCs/>
          <w:sz w:val="28"/>
          <w:szCs w:val="28"/>
          <w:shd w:val="clear" w:color="auto" w:fill="FFFFFF"/>
          <w:lang w:val="en-US" w:eastAsia="zh-CN"/>
        </w:rPr>
        <w:t xml:space="preserve">  </w:t>
      </w:r>
      <w:r>
        <w:rPr>
          <w:rFonts w:hint="eastAsia" w:ascii="Times New Roman" w:hAnsi="Times New Roman" w:eastAsia="仿宋_GB2312" w:cs="仿宋_GB2312"/>
          <w:kern w:val="0"/>
          <w:sz w:val="32"/>
          <w:szCs w:val="32"/>
          <w:lang w:val="en-US" w:eastAsia="zh-CN"/>
        </w:rPr>
        <w:t>2022年岳阳楼区站前路街道办事处项目资金到位率100％。</w:t>
      </w:r>
    </w:p>
    <w:p w14:paraId="69A09832">
      <w:pPr>
        <w:pStyle w:val="3"/>
        <w:ind w:firstLine="964" w:firstLineChars="300"/>
        <w:rPr>
          <w:rFonts w:hint="default" w:ascii="Times New Roman" w:hAnsi="Times New Roman" w:eastAsia="仿宋_GB2312" w:cs="仿宋_GB2312"/>
          <w:kern w:val="0"/>
          <w:sz w:val="32"/>
          <w:szCs w:val="32"/>
          <w:lang w:val="en-US" w:eastAsia="zh-CN" w:bidi="ar-SA"/>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 xml:space="preserve">2、项目资金使用情况分析  </w:t>
      </w:r>
      <w:r>
        <w:rPr>
          <w:rFonts w:hint="eastAsia" w:ascii="Times New Roman" w:hAnsi="Times New Roman" w:eastAsia="仿宋_GB2312" w:cs="仿宋_GB2312"/>
          <w:kern w:val="0"/>
          <w:sz w:val="32"/>
          <w:szCs w:val="32"/>
          <w:lang w:val="en-US" w:eastAsia="zh-CN" w:bidi="ar-SA"/>
        </w:rPr>
        <w:t>2022年度项目支出940.81万元，其中超30万元的项目支出共计812.88万元，占总项目支出86.4%。其中公益性岗位补助33.48万元,用于补充环卫工资不足；环卫工人工资443.64万元，用于环卫工人发放工资；环卫工作经费43.04万元，用于环卫垃圾拖运、板车维修等开支；环卫社保经费92.03万元，用于环卫环卫工人社会保险费缴纳；垃圾分类工作经费48.29万元，用于垃圾分类购置用具及宣传；泰和整治经费78.43万元，用于泰和市场安全整治；疫情防控经费73.97万元，用于街道及社区新冠疫情防控采购防疫物资、防疫宣传资料印刷费用，以及消杀、清扫等劳务费。</w:t>
      </w:r>
    </w:p>
    <w:p w14:paraId="16A4D39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7E44BD8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2022年度本单位无政府性基金预算支出。</w:t>
      </w:r>
    </w:p>
    <w:p w14:paraId="643EE72E">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14:paraId="7D3DA514">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2022年度本单位无国有资本经营预算支出。</w:t>
      </w:r>
    </w:p>
    <w:p w14:paraId="32A09E1A">
      <w:pPr>
        <w:keepNext w:val="0"/>
        <w:keepLines w:val="0"/>
        <w:pageBreakBefore w:val="0"/>
        <w:widowControl w:val="0"/>
        <w:numPr>
          <w:ilvl w:val="0"/>
          <w:numId w:val="2"/>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14:paraId="4BCB6AEE">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2022年度本单位无社会保险基金预算支出。</w:t>
      </w:r>
    </w:p>
    <w:p w14:paraId="3666E3A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12EB6582">
      <w:pPr>
        <w:rPr>
          <w:rFonts w:hint="eastAsia" w:ascii="仿宋" w:hAnsi="仿宋" w:eastAsia="仿宋" w:cs="Times New Roman"/>
          <w:sz w:val="28"/>
          <w:szCs w:val="28"/>
        </w:rPr>
      </w:pPr>
      <w:r>
        <w:rPr>
          <w:rFonts w:hint="eastAsia" w:ascii="仿宋" w:hAnsi="仿宋" w:eastAsia="仿宋" w:cs="Times New Roman"/>
          <w:sz w:val="28"/>
          <w:szCs w:val="28"/>
        </w:rPr>
        <w:t xml:space="preserve"> 202</w:t>
      </w:r>
      <w:r>
        <w:rPr>
          <w:rFonts w:hint="eastAsia" w:ascii="仿宋" w:hAnsi="仿宋" w:eastAsia="仿宋" w:cs="Times New Roman"/>
          <w:sz w:val="28"/>
          <w:szCs w:val="28"/>
          <w:lang w:val="en-US" w:eastAsia="zh-CN"/>
        </w:rPr>
        <w:t>2</w:t>
      </w:r>
      <w:r>
        <w:rPr>
          <w:rFonts w:hint="eastAsia" w:ascii="仿宋" w:hAnsi="仿宋" w:eastAsia="仿宋" w:cs="Times New Roman"/>
          <w:sz w:val="28"/>
          <w:szCs w:val="28"/>
        </w:rPr>
        <w:t>年度我办贯彻落实党中央、省、市、区经济工作会议精神，按照区委“一年转型打基础，三年转换见成效，五年转化上台阶”的总体思路，牢抓安全生产、信访维稳等底线工作，常抓城市管理、为民服务等日常管理工作，狠抓项目征拆等中心重点工作，圆满完成了年度考核目标，同时加强对预算收支管理，建立健全了内部管理制度，部门整体支出绩效明显。</w:t>
      </w:r>
    </w:p>
    <w:p w14:paraId="4AF7F03C">
      <w:pPr>
        <w:spacing w:line="580" w:lineRule="exact"/>
        <w:ind w:firstLine="643" w:firstLineChars="200"/>
        <w:rPr>
          <w:rFonts w:hint="eastAsia" w:ascii="仿宋_GB2312" w:hAnsi="仿宋_GB2312" w:eastAsia="仿宋_GB2312" w:cs="仿宋_GB2312"/>
          <w:bCs/>
          <w:color w:val="000000"/>
          <w:sz w:val="32"/>
          <w:szCs w:val="32"/>
          <w:shd w:val="clear" w:color="auto" w:fill="FFFFFF"/>
        </w:rPr>
      </w:pPr>
      <w:r>
        <w:rPr>
          <w:rFonts w:hint="eastAsia" w:ascii="楷体_GB2312" w:hAnsi="仿宋" w:eastAsia="楷体_GB2312" w:cs="Times New Roman"/>
          <w:b/>
          <w:bCs/>
          <w:sz w:val="32"/>
          <w:szCs w:val="32"/>
        </w:rPr>
        <w:t>1.全力抓实疫情防控。</w:t>
      </w:r>
      <w:r>
        <w:rPr>
          <w:rFonts w:hint="eastAsia" w:ascii="仿宋_GB2312" w:hAnsi="Times New Roman" w:eastAsia="仿宋_GB2312" w:cs="Times New Roman"/>
          <w:sz w:val="32"/>
          <w:szCs w:val="32"/>
        </w:rPr>
        <w:t>街道主要负责人</w:t>
      </w:r>
      <w:r>
        <w:rPr>
          <w:rFonts w:ascii="仿宋_GB2312" w:hAnsi="Times New Roman" w:eastAsia="仿宋_GB2312" w:cs="Times New Roman"/>
          <w:sz w:val="32"/>
          <w:szCs w:val="32"/>
        </w:rPr>
        <w:t>坚持靠前</w:t>
      </w:r>
      <w:r>
        <w:rPr>
          <w:rFonts w:hint="eastAsia" w:ascii="仿宋_GB2312" w:hAnsi="Times New Roman" w:eastAsia="仿宋_GB2312" w:cs="Times New Roman"/>
          <w:sz w:val="32"/>
          <w:szCs w:val="32"/>
        </w:rPr>
        <w:t>指挥、一线调度，推动解决工作中的重点难点问题。建立健全指挥体系和工作机制，成立常态化防控10个工作组、战时4个工作专班。严格落实2</w:t>
      </w:r>
      <w:r>
        <w:rPr>
          <w:rFonts w:ascii="仿宋_GB2312" w:hAnsi="Times New Roman" w:eastAsia="仿宋_GB2312" w:cs="Times New Roman"/>
          <w:sz w:val="32"/>
          <w:szCs w:val="32"/>
        </w:rPr>
        <w:t>4</w:t>
      </w:r>
      <w:r>
        <w:rPr>
          <w:rFonts w:hint="eastAsia" w:ascii="仿宋_GB2312" w:hAnsi="Times New Roman" w:eastAsia="仿宋_GB2312" w:cs="Times New Roman"/>
          <w:sz w:val="32"/>
          <w:szCs w:val="32"/>
        </w:rPr>
        <w:t>小时值班值守，组织</w:t>
      </w:r>
      <w:r>
        <w:rPr>
          <w:rFonts w:hint="eastAsia" w:ascii="仿宋_GB2312" w:hAnsi="仿宋_GB2312" w:eastAsia="仿宋_GB2312" w:cs="仿宋_GB2312"/>
          <w:bCs/>
          <w:color w:val="000000"/>
          <w:sz w:val="32"/>
          <w:szCs w:val="32"/>
          <w:shd w:val="clear" w:color="auto" w:fill="FFFFFF"/>
        </w:rPr>
        <w:t>召开疫情防控工作调度会56次，张贴、印发宣传资料5万余份，通过网格微信群每天3次向居民反复推送防控信息，确保工作人员思想不减压，居民群众认识不断提升。精准、高效完成外省返乡自主报备数据摸排</w:t>
      </w:r>
      <w:r>
        <w:rPr>
          <w:rFonts w:hint="eastAsia" w:ascii="仿宋_GB2312" w:hAnsi="Times New Roman" w:eastAsia="仿宋_GB2312" w:cs="Times New Roman"/>
          <w:sz w:val="32"/>
          <w:szCs w:val="32"/>
        </w:rPr>
        <w:t>2654人次，核处</w:t>
      </w:r>
      <w:r>
        <w:rPr>
          <w:rFonts w:hint="eastAsia" w:ascii="仿宋_GB2312" w:hAnsi="仿宋_GB2312" w:eastAsia="仿宋_GB2312" w:cs="仿宋_GB2312"/>
          <w:bCs/>
          <w:color w:val="000000"/>
          <w:sz w:val="32"/>
          <w:szCs w:val="32"/>
          <w:shd w:val="clear" w:color="auto" w:fill="FFFFFF"/>
        </w:rPr>
        <w:t>场所码预警红黄码对象54372人次，转运集中隔离对象862人次，落实集中隔离和居家管控对象</w:t>
      </w:r>
      <w:r>
        <w:rPr>
          <w:rFonts w:ascii="仿宋_GB2312" w:hAnsi="仿宋_GB2312" w:eastAsia="仿宋_GB2312" w:cs="仿宋_GB2312"/>
          <w:bCs/>
          <w:color w:val="000000"/>
          <w:sz w:val="32"/>
          <w:szCs w:val="32"/>
          <w:shd w:val="clear" w:color="auto" w:fill="FFFFFF"/>
        </w:rPr>
        <w:t>2121</w:t>
      </w:r>
      <w:r>
        <w:rPr>
          <w:rFonts w:hint="eastAsia" w:ascii="仿宋_GB2312" w:hAnsi="仿宋_GB2312" w:eastAsia="仿宋_GB2312" w:cs="仿宋_GB2312"/>
          <w:bCs/>
          <w:color w:val="000000"/>
          <w:sz w:val="32"/>
          <w:szCs w:val="32"/>
          <w:shd w:val="clear" w:color="auto" w:fill="FFFFFF"/>
        </w:rPr>
        <w:t>人次，疫苗接种8万余人次，核酸采样1</w:t>
      </w:r>
      <w:r>
        <w:rPr>
          <w:rFonts w:ascii="仿宋_GB2312" w:hAnsi="仿宋_GB2312" w:eastAsia="仿宋_GB2312" w:cs="仿宋_GB2312"/>
          <w:bCs/>
          <w:color w:val="000000"/>
          <w:sz w:val="32"/>
          <w:szCs w:val="32"/>
          <w:shd w:val="clear" w:color="auto" w:fill="FFFFFF"/>
        </w:rPr>
        <w:t>5</w:t>
      </w:r>
      <w:r>
        <w:rPr>
          <w:rFonts w:hint="eastAsia" w:ascii="仿宋_GB2312" w:hAnsi="仿宋_GB2312" w:eastAsia="仿宋_GB2312" w:cs="仿宋_GB2312"/>
          <w:bCs/>
          <w:color w:val="000000"/>
          <w:sz w:val="32"/>
          <w:szCs w:val="32"/>
          <w:shd w:val="clear" w:color="auto" w:fill="FFFFFF"/>
        </w:rPr>
        <w:t>万余人次。。</w:t>
      </w:r>
    </w:p>
    <w:p w14:paraId="1673F631">
      <w:pPr>
        <w:spacing w:line="560" w:lineRule="exact"/>
        <w:ind w:firstLine="643" w:firstLineChars="200"/>
        <w:rPr>
          <w:rFonts w:hint="eastAsia" w:ascii="仿宋_GB2312" w:hAnsi="Times New Roman" w:eastAsia="仿宋_GB2312" w:cs="Times New Roman"/>
          <w:sz w:val="32"/>
          <w:szCs w:val="32"/>
          <w:lang w:eastAsia="zh-CN"/>
        </w:rPr>
      </w:pPr>
      <w:r>
        <w:rPr>
          <w:rFonts w:ascii="楷体_GB2312" w:hAnsi="仿宋" w:eastAsia="楷体_GB2312" w:cs="Times New Roman"/>
          <w:b/>
          <w:bCs/>
          <w:sz w:val="32"/>
          <w:szCs w:val="32"/>
        </w:rPr>
        <w:t>2</w:t>
      </w:r>
      <w:r>
        <w:rPr>
          <w:rFonts w:hint="eastAsia" w:ascii="楷体_GB2312" w:hAnsi="仿宋" w:eastAsia="楷体_GB2312" w:cs="Times New Roman"/>
          <w:b/>
          <w:bCs/>
          <w:sz w:val="32"/>
          <w:szCs w:val="32"/>
        </w:rPr>
        <w:t>.全力抓实安全生产。</w:t>
      </w:r>
      <w:r>
        <w:rPr>
          <w:rFonts w:hint="eastAsia" w:ascii="仿宋_GB2312" w:hAnsi="Times New Roman" w:eastAsia="仿宋_GB2312" w:cs="Times New Roman"/>
          <w:kern w:val="0"/>
          <w:sz w:val="32"/>
          <w:szCs w:val="32"/>
        </w:rPr>
        <w:t>认真落实“党政同责、一岗双责、失职追责”和党政领导干部带队检查安全生产等制度，在街道党政班子会上和干部集体会议上逢会必部署安全生产，实行“每月一检查、每季一讲评、每年一考核”，压实工作责任，推动工作落实。扎实推进</w:t>
      </w:r>
      <w:r>
        <w:rPr>
          <w:rFonts w:ascii="仿宋_GB2312" w:hAnsi="Times New Roman" w:eastAsia="仿宋_GB2312" w:cs="Times New Roman"/>
          <w:kern w:val="0"/>
          <w:sz w:val="32"/>
          <w:szCs w:val="32"/>
        </w:rPr>
        <w:t>泰和市场群</w:t>
      </w:r>
      <w:r>
        <w:rPr>
          <w:rFonts w:hint="eastAsia" w:ascii="仿宋_GB2312" w:hAnsi="Times New Roman" w:eastAsia="仿宋_GB2312" w:cs="Times New Roman"/>
          <w:kern w:val="0"/>
          <w:sz w:val="32"/>
          <w:szCs w:val="32"/>
        </w:rPr>
        <w:t>区域性消防</w:t>
      </w:r>
      <w:r>
        <w:rPr>
          <w:rFonts w:ascii="仿宋_GB2312" w:hAnsi="Times New Roman" w:eastAsia="仿宋_GB2312" w:cs="Times New Roman"/>
          <w:kern w:val="0"/>
          <w:sz w:val="32"/>
          <w:szCs w:val="32"/>
        </w:rPr>
        <w:t>安全隐患</w:t>
      </w:r>
      <w:r>
        <w:rPr>
          <w:rFonts w:hint="eastAsia" w:ascii="仿宋_GB2312" w:hAnsi="Times New Roman" w:eastAsia="仿宋_GB2312" w:cs="Times New Roman"/>
          <w:kern w:val="0"/>
          <w:sz w:val="32"/>
          <w:szCs w:val="32"/>
        </w:rPr>
        <w:t>整治，拆除</w:t>
      </w:r>
      <w:r>
        <w:rPr>
          <w:rFonts w:ascii="仿宋_GB2312" w:hAnsi="Times New Roman" w:eastAsia="仿宋_GB2312" w:cs="Times New Roman"/>
          <w:sz w:val="32"/>
          <w:szCs w:val="32"/>
        </w:rPr>
        <w:t>违建棚亭</w:t>
      </w:r>
      <w:r>
        <w:rPr>
          <w:rFonts w:hint="eastAsia" w:ascii="仿宋_GB2312" w:hAnsi="Times New Roman" w:eastAsia="仿宋_GB2312" w:cs="Times New Roman"/>
          <w:sz w:val="32"/>
          <w:szCs w:val="32"/>
        </w:rPr>
        <w:t>、独立门店、</w:t>
      </w:r>
      <w:r>
        <w:rPr>
          <w:rFonts w:ascii="仿宋_GB2312" w:hAnsi="Times New Roman" w:eastAsia="仿宋_GB2312" w:cs="Times New Roman"/>
          <w:sz w:val="32"/>
          <w:szCs w:val="32"/>
        </w:rPr>
        <w:t>大型广告牌及招牌</w:t>
      </w:r>
      <w:r>
        <w:rPr>
          <w:rFonts w:hint="eastAsia" w:ascii="仿宋_GB2312" w:hAnsi="Times New Roman" w:eastAsia="仿宋_GB2312" w:cs="Times New Roman"/>
          <w:kern w:val="0"/>
          <w:sz w:val="32"/>
          <w:szCs w:val="32"/>
        </w:rPr>
        <w:t>等存量违法建设225处</w:t>
      </w:r>
      <w:r>
        <w:rPr>
          <w:rFonts w:ascii="仿宋_GB2312" w:hAnsi="Times New Roman" w:eastAsia="仿宋_GB2312" w:cs="Times New Roman"/>
          <w:kern w:val="0"/>
          <w:sz w:val="32"/>
          <w:szCs w:val="32"/>
        </w:rPr>
        <w:t>1.5</w:t>
      </w:r>
      <w:r>
        <w:rPr>
          <w:rFonts w:hint="eastAsia" w:ascii="仿宋_GB2312" w:hAnsi="Times New Roman" w:eastAsia="仿宋_GB2312" w:cs="Times New Roman"/>
          <w:kern w:val="0"/>
          <w:sz w:val="32"/>
          <w:szCs w:val="32"/>
        </w:rPr>
        <w:t>万余平方米，</w:t>
      </w:r>
      <w:r>
        <w:rPr>
          <w:rFonts w:ascii="仿宋_GB2312" w:hAnsi="Times New Roman" w:eastAsia="仿宋_GB2312" w:cs="Times New Roman"/>
          <w:sz w:val="32"/>
          <w:szCs w:val="32"/>
        </w:rPr>
        <w:t>铺设</w:t>
      </w:r>
      <w:r>
        <w:rPr>
          <w:rFonts w:hint="eastAsia" w:ascii="仿宋_GB2312" w:hAnsi="Times New Roman" w:eastAsia="仿宋_GB2312" w:cs="Times New Roman"/>
          <w:sz w:val="32"/>
          <w:szCs w:val="32"/>
        </w:rPr>
        <w:t>消防</w:t>
      </w:r>
      <w:r>
        <w:rPr>
          <w:rFonts w:ascii="仿宋_GB2312" w:hAnsi="Times New Roman" w:eastAsia="仿宋_GB2312" w:cs="Times New Roman"/>
          <w:sz w:val="32"/>
          <w:szCs w:val="32"/>
        </w:rPr>
        <w:t>管道656米，</w:t>
      </w:r>
      <w:r>
        <w:rPr>
          <w:rFonts w:hint="eastAsia" w:ascii="仿宋_GB2312" w:hAnsi="Times New Roman" w:eastAsia="仿宋_GB2312" w:cs="Times New Roman"/>
          <w:sz w:val="32"/>
          <w:szCs w:val="32"/>
        </w:rPr>
        <w:t>增设修复消防栓5处，</w:t>
      </w:r>
      <w:r>
        <w:rPr>
          <w:rFonts w:hint="eastAsia" w:ascii="仿宋_GB2312" w:hAnsi="Times New Roman" w:eastAsia="仿宋_GB2312" w:cs="Times New Roman"/>
          <w:kern w:val="0"/>
          <w:sz w:val="32"/>
          <w:szCs w:val="32"/>
        </w:rPr>
        <w:t>完成</w:t>
      </w:r>
      <w:r>
        <w:rPr>
          <w:rFonts w:ascii="仿宋_GB2312" w:hAnsi="Times New Roman" w:eastAsia="仿宋_GB2312" w:cs="Times New Roman"/>
          <w:sz w:val="32"/>
          <w:szCs w:val="32"/>
        </w:rPr>
        <w:t>675家门店</w:t>
      </w:r>
      <w:r>
        <w:rPr>
          <w:rFonts w:hint="eastAsia" w:ascii="仿宋_GB2312" w:hAnsi="Times New Roman" w:eastAsia="仿宋_GB2312" w:cs="Times New Roman"/>
          <w:sz w:val="32"/>
          <w:szCs w:val="32"/>
        </w:rPr>
        <w:t>33511平方米建筑面积的自动消防设施增设工作，</w:t>
      </w:r>
      <w:r>
        <w:rPr>
          <w:rFonts w:ascii="仿宋_GB2312" w:hAnsi="Times New Roman" w:eastAsia="仿宋_GB2312" w:cs="Times New Roman"/>
          <w:sz w:val="32"/>
          <w:szCs w:val="32"/>
        </w:rPr>
        <w:t>市场内突出</w:t>
      </w:r>
      <w:r>
        <w:rPr>
          <w:rFonts w:hint="eastAsia" w:ascii="仿宋_GB2312" w:hAnsi="Times New Roman" w:eastAsia="仿宋_GB2312" w:cs="Times New Roman"/>
          <w:sz w:val="32"/>
          <w:szCs w:val="32"/>
        </w:rPr>
        <w:t>消防安全隐患</w:t>
      </w:r>
      <w:r>
        <w:rPr>
          <w:rFonts w:ascii="仿宋_GB2312" w:hAnsi="Times New Roman" w:eastAsia="仿宋_GB2312" w:cs="Times New Roman"/>
          <w:sz w:val="32"/>
          <w:szCs w:val="32"/>
        </w:rPr>
        <w:t>问题得到</w:t>
      </w:r>
      <w:r>
        <w:rPr>
          <w:rFonts w:hint="eastAsia" w:ascii="仿宋_GB2312" w:hAnsi="Times New Roman" w:eastAsia="仿宋_GB2312" w:cs="Times New Roman"/>
          <w:sz w:val="32"/>
          <w:szCs w:val="32"/>
        </w:rPr>
        <w:t>有效治理，区域火灾风险大幅降低，市安委会对整治工作进行专门通报表扬</w:t>
      </w:r>
      <w:r>
        <w:rPr>
          <w:rFonts w:hint="eastAsia" w:ascii="仿宋_GB2312" w:hAnsi="Times New Roman" w:eastAsia="仿宋_GB2312" w:cs="Times New Roman"/>
          <w:sz w:val="32"/>
          <w:szCs w:val="32"/>
          <w:lang w:eastAsia="zh-CN"/>
        </w:rPr>
        <w:t>。</w:t>
      </w:r>
    </w:p>
    <w:p w14:paraId="0A773340">
      <w:pPr>
        <w:spacing w:line="560" w:lineRule="exact"/>
        <w:ind w:firstLine="643" w:firstLineChars="200"/>
        <w:rPr>
          <w:rFonts w:ascii="仿宋_GB2312" w:hAnsi="Times New Roman" w:eastAsia="仿宋_GB2312" w:cs="Times New Roman"/>
          <w:sz w:val="32"/>
          <w:szCs w:val="32"/>
        </w:rPr>
      </w:pPr>
      <w:r>
        <w:rPr>
          <w:rFonts w:hint="eastAsia" w:ascii="楷体_GB2312" w:hAnsi="仿宋" w:eastAsia="楷体_GB2312" w:cs="Times New Roman"/>
          <w:b/>
          <w:bCs/>
          <w:sz w:val="32"/>
          <w:szCs w:val="32"/>
        </w:rPr>
        <w:t>3</w:t>
      </w:r>
      <w:r>
        <w:rPr>
          <w:rFonts w:ascii="楷体_GB2312" w:hAnsi="仿宋" w:eastAsia="楷体_GB2312" w:cs="Times New Roman"/>
          <w:b/>
          <w:bCs/>
          <w:sz w:val="32"/>
          <w:szCs w:val="32"/>
        </w:rPr>
        <w:t>.</w:t>
      </w:r>
      <w:r>
        <w:rPr>
          <w:rFonts w:hint="eastAsia" w:ascii="楷体_GB2312" w:hAnsi="仿宋" w:eastAsia="楷体_GB2312" w:cs="Times New Roman"/>
          <w:b/>
          <w:bCs/>
          <w:sz w:val="32"/>
          <w:szCs w:val="32"/>
        </w:rPr>
        <w:t>全力抓实平安建设。</w:t>
      </w:r>
      <w:r>
        <w:rPr>
          <w:rFonts w:hint="eastAsia" w:ascii="仿宋_GB2312" w:hAnsi="Times New Roman" w:eastAsia="仿宋_GB2312" w:cs="Times New Roman"/>
          <w:sz w:val="32"/>
          <w:szCs w:val="32"/>
        </w:rPr>
        <w:t>坚决落实信访工作“五包一”责任，加大信访矛盾排查力度，全年共接待来访群众22批117人次，处理网上信访投诉</w:t>
      </w:r>
      <w:r>
        <w:rPr>
          <w:rFonts w:ascii="仿宋_GB2312" w:hAnsi="Times New Roman" w:eastAsia="仿宋_GB2312" w:cs="Times New Roman"/>
          <w:sz w:val="32"/>
          <w:szCs w:val="32"/>
        </w:rPr>
        <w:t>4</w:t>
      </w:r>
      <w:r>
        <w:rPr>
          <w:rFonts w:hint="eastAsia" w:ascii="仿宋_GB2312" w:hAnsi="Times New Roman" w:eastAsia="仿宋_GB2312" w:cs="Times New Roman"/>
          <w:sz w:val="32"/>
          <w:szCs w:val="32"/>
        </w:rPr>
        <w:t>9起，妥善调处邮政公司员工合同纠纷、图书城安装电梯纠纷等2起群访事件和湖北宾馆非正常死亡突发事件</w:t>
      </w:r>
      <w:r>
        <w:rPr>
          <w:rFonts w:hint="eastAsia" w:ascii="仿宋_GB2312" w:hAnsi="Times New Roman" w:eastAsia="仿宋_GB2312" w:cs="Times New Roman"/>
          <w:sz w:val="32"/>
          <w:szCs w:val="32"/>
          <w:lang w:eastAsia="zh-CN"/>
        </w:rPr>
        <w:t>，</w:t>
      </w:r>
      <w:r>
        <w:rPr>
          <w:rFonts w:ascii="仿宋_GB2312" w:hAnsi="Times New Roman" w:eastAsia="仿宋_GB2312" w:cs="Times New Roman"/>
          <w:sz w:val="32"/>
          <w:szCs w:val="32"/>
        </w:rPr>
        <w:t>构建</w:t>
      </w:r>
      <w:r>
        <w:rPr>
          <w:rFonts w:hint="eastAsia" w:ascii="仿宋_GB2312" w:hAnsi="Times New Roman" w:eastAsia="仿宋_GB2312" w:cs="Times New Roman"/>
          <w:sz w:val="32"/>
          <w:szCs w:val="32"/>
        </w:rPr>
        <w:t>平安和谐的生活</w:t>
      </w:r>
      <w:r>
        <w:rPr>
          <w:rFonts w:ascii="仿宋_GB2312" w:hAnsi="Times New Roman" w:eastAsia="仿宋_GB2312" w:cs="Times New Roman"/>
          <w:sz w:val="32"/>
          <w:szCs w:val="32"/>
        </w:rPr>
        <w:t>环境。</w:t>
      </w:r>
    </w:p>
    <w:p w14:paraId="66E7295B">
      <w:pPr>
        <w:spacing w:line="560" w:lineRule="exact"/>
        <w:ind w:firstLine="643" w:firstLineChars="200"/>
        <w:rPr>
          <w:rFonts w:hint="eastAsia" w:ascii="仿宋_GB2312" w:eastAsia="仿宋_GB2312"/>
          <w:sz w:val="32"/>
          <w:szCs w:val="32"/>
        </w:rPr>
      </w:pPr>
      <w:r>
        <w:rPr>
          <w:rFonts w:hint="eastAsia" w:ascii="楷体_GB2312" w:hAnsi="仿宋" w:eastAsia="楷体_GB2312"/>
          <w:b/>
          <w:bCs/>
          <w:sz w:val="32"/>
          <w:szCs w:val="32"/>
          <w:lang w:val="en-US" w:eastAsia="zh-CN"/>
        </w:rPr>
        <w:t>4</w:t>
      </w:r>
      <w:r>
        <w:rPr>
          <w:rFonts w:ascii="楷体_GB2312" w:hAnsi="仿宋" w:eastAsia="楷体_GB2312"/>
          <w:b/>
          <w:bCs/>
          <w:sz w:val="32"/>
          <w:szCs w:val="32"/>
        </w:rPr>
        <w:t>.</w:t>
      </w:r>
      <w:r>
        <w:rPr>
          <w:rFonts w:hint="eastAsia" w:ascii="楷体_GB2312" w:hAnsi="仿宋" w:eastAsia="楷体_GB2312"/>
          <w:b/>
          <w:bCs/>
          <w:sz w:val="32"/>
          <w:szCs w:val="32"/>
        </w:rPr>
        <w:t>扭住旧改“牛鼻子”，促街区风貌焕然一新。</w:t>
      </w:r>
      <w:r>
        <w:rPr>
          <w:rFonts w:ascii="仿宋_GB2312" w:eastAsia="仿宋_GB2312"/>
          <w:sz w:val="32"/>
          <w:szCs w:val="32"/>
        </w:rPr>
        <w:t>抢抓城市更新老旧小区改造机遇，</w:t>
      </w:r>
      <w:r>
        <w:rPr>
          <w:rFonts w:hint="eastAsia" w:ascii="仿宋_GB2312" w:hAnsi="仿宋" w:eastAsia="仿宋_GB2312"/>
          <w:sz w:val="32"/>
          <w:szCs w:val="32"/>
        </w:rPr>
        <w:t>挑选精兵强将，提前谋划，</w:t>
      </w:r>
      <w:r>
        <w:rPr>
          <w:rFonts w:hint="eastAsia" w:ascii="仿宋_GB2312" w:eastAsia="仿宋_GB2312"/>
          <w:sz w:val="32"/>
          <w:szCs w:val="32"/>
        </w:rPr>
        <w:t>加力加压，高速高效推进</w:t>
      </w:r>
      <w:r>
        <w:rPr>
          <w:rFonts w:hint="eastAsia" w:ascii="仿宋_GB2312" w:hAnsi="仿宋_GB2312" w:eastAsia="仿宋_GB2312" w:cs="仿宋_GB2312"/>
          <w:color w:val="000000"/>
          <w:sz w:val="32"/>
          <w:szCs w:val="32"/>
        </w:rPr>
        <w:t>2个片区17个邻里和2个独立小区的旧改建设，涉及房屋489栋、居民6225户，</w:t>
      </w:r>
      <w:r>
        <w:rPr>
          <w:rFonts w:hint="eastAsia" w:ascii="仿宋_GB2312" w:hAnsi="仿宋_GB2312" w:eastAsia="仿宋_GB2312" w:cs="仿宋_GB2312"/>
          <w:bCs/>
          <w:sz w:val="32"/>
          <w:szCs w:val="32"/>
        </w:rPr>
        <w:t>拆除违章建筑</w:t>
      </w:r>
      <w:r>
        <w:rPr>
          <w:rFonts w:ascii="仿宋_GB2312" w:hAnsi="仿宋_GB2312" w:eastAsia="仿宋_GB2312" w:cs="仿宋_GB2312"/>
          <w:bCs/>
          <w:sz w:val="32"/>
          <w:szCs w:val="32"/>
        </w:rPr>
        <w:t>537</w:t>
      </w:r>
      <w:r>
        <w:rPr>
          <w:rFonts w:hint="eastAsia" w:ascii="仿宋_GB2312" w:hAnsi="仿宋_GB2312" w:eastAsia="仿宋_GB2312" w:cs="仿宋_GB2312"/>
          <w:bCs/>
          <w:sz w:val="32"/>
          <w:szCs w:val="32"/>
        </w:rPr>
        <w:t>处</w:t>
      </w:r>
      <w:r>
        <w:rPr>
          <w:rFonts w:ascii="仿宋_GB2312" w:hAnsi="仿宋_GB2312" w:eastAsia="仿宋_GB2312" w:cs="仿宋_GB2312"/>
          <w:sz w:val="32"/>
          <w:szCs w:val="32"/>
        </w:rPr>
        <w:t>10750</w:t>
      </w:r>
      <w:r>
        <w:rPr>
          <w:rFonts w:hint="eastAsia" w:ascii="仿宋_GB2312" w:hAnsi="仿宋_GB2312" w:eastAsia="仿宋_GB2312" w:cs="仿宋_GB2312"/>
          <w:sz w:val="32"/>
          <w:szCs w:val="32"/>
        </w:rPr>
        <w:t>平方米，</w:t>
      </w:r>
      <w:r>
        <w:rPr>
          <w:rFonts w:ascii="仿宋_GB2312" w:eastAsia="仿宋_GB2312"/>
          <w:sz w:val="32"/>
          <w:szCs w:val="32"/>
        </w:rPr>
        <w:t>，</w:t>
      </w:r>
      <w:r>
        <w:rPr>
          <w:rFonts w:hint="eastAsia" w:ascii="仿宋_GB2312" w:eastAsia="仿宋_GB2312"/>
          <w:sz w:val="32"/>
          <w:szCs w:val="32"/>
        </w:rPr>
        <w:t>不断</w:t>
      </w:r>
      <w:r>
        <w:rPr>
          <w:rFonts w:ascii="仿宋_GB2312" w:eastAsia="仿宋_GB2312"/>
          <w:sz w:val="32"/>
          <w:szCs w:val="32"/>
        </w:rPr>
        <w:t>提升城市基础功能品质</w:t>
      </w:r>
      <w:r>
        <w:rPr>
          <w:rFonts w:hint="eastAsia" w:ascii="仿宋_GB2312" w:eastAsia="仿宋_GB2312"/>
          <w:sz w:val="32"/>
          <w:szCs w:val="32"/>
        </w:rPr>
        <w:t xml:space="preserve">。 </w:t>
      </w:r>
    </w:p>
    <w:p w14:paraId="142462C0">
      <w:pPr>
        <w:ind w:firstLine="630" w:firstLineChars="196"/>
        <w:rPr>
          <w:rFonts w:hint="eastAsia" w:ascii="仿宋_GB2312" w:hAnsi="Times New Roman" w:eastAsia="仿宋_GB2312" w:cs="Times New Roman"/>
          <w:sz w:val="32"/>
          <w:szCs w:val="32"/>
        </w:rPr>
      </w:pPr>
      <w:r>
        <w:rPr>
          <w:rFonts w:hint="eastAsia" w:ascii="楷体_GB2312" w:hAnsi="仿宋" w:eastAsia="楷体_GB2312" w:cs="Times New Roman"/>
          <w:b/>
          <w:bCs/>
          <w:sz w:val="32"/>
          <w:szCs w:val="32"/>
          <w:lang w:val="en-US" w:eastAsia="zh-CN"/>
        </w:rPr>
        <w:t>5</w:t>
      </w:r>
      <w:r>
        <w:rPr>
          <w:rFonts w:ascii="楷体_GB2312" w:hAnsi="仿宋" w:eastAsia="楷体_GB2312" w:cs="Times New Roman"/>
          <w:b/>
          <w:bCs/>
          <w:sz w:val="32"/>
          <w:szCs w:val="32"/>
        </w:rPr>
        <w:t>.</w:t>
      </w:r>
      <w:r>
        <w:rPr>
          <w:rFonts w:hint="eastAsia" w:ascii="楷体_GB2312" w:hAnsi="仿宋" w:eastAsia="楷体_GB2312" w:cs="Times New Roman"/>
          <w:b/>
          <w:bCs/>
          <w:sz w:val="32"/>
          <w:szCs w:val="32"/>
        </w:rPr>
        <w:t>守好管理“责任田”，抓城市“六治”造福一方。</w:t>
      </w:r>
      <w:r>
        <w:rPr>
          <w:rFonts w:hint="eastAsia" w:ascii="仿宋_GB2312" w:hAnsi="仿宋" w:eastAsia="仿宋_GB2312" w:cs="Times New Roman"/>
          <w:b/>
          <w:bCs/>
          <w:sz w:val="32"/>
          <w:szCs w:val="32"/>
        </w:rPr>
        <w:t>一是</w:t>
      </w:r>
      <w:r>
        <w:rPr>
          <w:rFonts w:hint="eastAsia" w:ascii="仿宋_GB2312" w:hAnsi="Times New Roman" w:eastAsia="仿宋_GB2312" w:cs="Times New Roman"/>
          <w:sz w:val="32"/>
          <w:szCs w:val="32"/>
        </w:rPr>
        <w:t>环卫治脏精</w:t>
      </w:r>
      <w:r>
        <w:rPr>
          <w:rFonts w:hint="eastAsia" w:ascii="仿宋_GB2312" w:hAnsi="仿宋" w:eastAsia="仿宋_GB2312" w:cs="Times New Roman"/>
          <w:sz w:val="32"/>
          <w:szCs w:val="32"/>
        </w:rPr>
        <w:t>准精细，严格落实“三个彻底”“清仓见底”工作标准和“一把手管扫帚”工作理念，深入推进垃圾分类示范街道建设，督促做实街道干部联社区、社区书记巡街、周五卫生大扫除等工作，坚持微信群“晒动态、比效果”，严格督查讲评，实现环境卫生管理常态长效；大力开展生活垃圾分类示范街道创建工作，全面改善了辖区生活环境，全年迎接中央、省、市生活垃圾分类评估小组督导检查4次，接待省、市、区重要领导调研垃圾分类工作3次，接待各县、市、区领导考察交流垃圾分类将工作7次。</w:t>
      </w:r>
      <w:r>
        <w:rPr>
          <w:rFonts w:hint="eastAsia" w:ascii="仿宋_GB2312" w:hAnsi="仿宋" w:eastAsia="仿宋_GB2312" w:cs="Times New Roman"/>
          <w:b/>
          <w:sz w:val="32"/>
          <w:szCs w:val="32"/>
        </w:rPr>
        <w:t>二是</w:t>
      </w:r>
      <w:r>
        <w:rPr>
          <w:rFonts w:hint="eastAsia" w:ascii="仿宋_GB2312" w:hAnsi="Times New Roman" w:eastAsia="仿宋_GB2312" w:cs="Times New Roman"/>
          <w:sz w:val="32"/>
          <w:szCs w:val="32"/>
        </w:rPr>
        <w:t>禁违治违应拆尽拆，较真碰硬，零补偿拆除存量违法建设313处9200余平方米，下发49处图斑全部核实整改拆除到位，</w:t>
      </w:r>
      <w:r>
        <w:rPr>
          <w:rFonts w:hint="eastAsia" w:ascii="Times New Roman" w:hAnsi="Times New Roman" w:eastAsia="仿宋_GB2312" w:cs="Times New Roman"/>
          <w:bCs/>
          <w:sz w:val="32"/>
          <w:szCs w:val="32"/>
        </w:rPr>
        <w:t>点多量大、成效明显，</w:t>
      </w:r>
      <w:r>
        <w:rPr>
          <w:rFonts w:hint="eastAsia" w:ascii="仿宋_GB2312" w:hAnsi="Times New Roman" w:eastAsia="仿宋_GB2312" w:cs="Times New Roman"/>
          <w:sz w:val="32"/>
          <w:szCs w:val="32"/>
        </w:rPr>
        <w:t>得到了居民群众的支持和好评。</w:t>
      </w:r>
      <w:r>
        <w:rPr>
          <w:rFonts w:hint="eastAsia" w:ascii="仿宋_GB2312" w:hAnsi="Times New Roman" w:eastAsia="仿宋_GB2312" w:cs="Times New Roman"/>
          <w:b/>
          <w:sz w:val="32"/>
          <w:szCs w:val="32"/>
        </w:rPr>
        <w:t>三是</w:t>
      </w:r>
      <w:r>
        <w:rPr>
          <w:rFonts w:hint="eastAsia" w:ascii="仿宋_GB2312" w:hAnsi="Times New Roman" w:eastAsia="仿宋_GB2312" w:cs="Times New Roman"/>
          <w:sz w:val="32"/>
          <w:szCs w:val="32"/>
        </w:rPr>
        <w:t>社会治安提质提标，开展“扫楼、扫街”敲门清查行动26次，常态化开展夜间巡逻180余次，坚决打击“黄赌毒”和“电信诈骗”不法行为，治安环境明显好转。</w:t>
      </w:r>
    </w:p>
    <w:p w14:paraId="5F4FCBFE">
      <w:pPr>
        <w:spacing w:line="580" w:lineRule="exact"/>
        <w:ind w:firstLine="643" w:firstLineChars="200"/>
      </w:pPr>
      <w:r>
        <w:rPr>
          <w:rFonts w:hint="eastAsia" w:ascii="楷体_GB2312" w:hAnsi="仿宋" w:eastAsia="楷体_GB2312" w:cs="Times New Roman"/>
          <w:b/>
          <w:bCs/>
          <w:sz w:val="32"/>
          <w:szCs w:val="32"/>
          <w:lang w:val="en-US" w:eastAsia="zh-CN"/>
        </w:rPr>
        <w:t>6</w:t>
      </w:r>
      <w:r>
        <w:rPr>
          <w:rFonts w:ascii="楷体_GB2312" w:hAnsi="仿宋" w:eastAsia="楷体_GB2312" w:cs="Times New Roman"/>
          <w:b/>
          <w:bCs/>
          <w:sz w:val="32"/>
          <w:szCs w:val="32"/>
        </w:rPr>
        <w:t>.</w:t>
      </w:r>
      <w:r>
        <w:rPr>
          <w:rFonts w:hint="eastAsia" w:ascii="楷体_GB2312" w:hAnsi="仿宋" w:eastAsia="楷体_GB2312" w:cs="Times New Roman"/>
          <w:b/>
          <w:bCs/>
          <w:sz w:val="32"/>
          <w:szCs w:val="32"/>
        </w:rPr>
        <w:t>积极办好民生实事。</w:t>
      </w:r>
      <w:r>
        <w:rPr>
          <w:rFonts w:ascii="仿宋_GB2312" w:hAnsi="Times New Roman" w:eastAsia="仿宋_GB2312" w:cs="Times New Roman"/>
          <w:sz w:val="32"/>
          <w:szCs w:val="32"/>
        </w:rPr>
        <w:t>用心用情</w:t>
      </w:r>
      <w:r>
        <w:rPr>
          <w:rFonts w:hint="eastAsia" w:ascii="仿宋_GB2312" w:hAnsi="Times New Roman" w:eastAsia="仿宋_GB2312" w:cs="Times New Roman"/>
          <w:sz w:val="32"/>
          <w:szCs w:val="32"/>
        </w:rPr>
        <w:t>用力落实好民生兜底政策</w:t>
      </w:r>
      <w:r>
        <w:rPr>
          <w:rFonts w:ascii="仿宋_GB2312" w:hAnsi="Times New Roman" w:eastAsia="仿宋_GB2312" w:cs="Times New Roman"/>
          <w:sz w:val="32"/>
          <w:szCs w:val="32"/>
        </w:rPr>
        <w:t>，</w:t>
      </w:r>
      <w:r>
        <w:rPr>
          <w:rFonts w:hint="eastAsia" w:ascii="仿宋_GB2312" w:hAnsi="Times New Roman" w:eastAsia="仿宋_GB2312" w:cs="Times New Roman"/>
          <w:sz w:val="32"/>
          <w:szCs w:val="32"/>
        </w:rPr>
        <w:t>全面摸排、精准动态调整低保户27户38人、新增10户15人、提标67户，确保最低生活应保尽保；公平公正开展困难群众节假日慰问，慰问资金8万元，实现149户特困供养人员</w:t>
      </w:r>
      <w:r>
        <w:rPr>
          <w:rFonts w:ascii="仿宋_GB2312" w:hAnsi="Times New Roman" w:eastAsia="仿宋_GB2312" w:cs="Times New Roman"/>
          <w:sz w:val="32"/>
          <w:szCs w:val="32"/>
        </w:rPr>
        <w:t>应救尽救</w:t>
      </w:r>
      <w:r>
        <w:rPr>
          <w:rFonts w:hint="eastAsia" w:ascii="仿宋_GB2312" w:hAnsi="Times New Roman" w:eastAsia="仿宋_GB2312" w:cs="Times New Roman"/>
          <w:sz w:val="32"/>
          <w:szCs w:val="32"/>
        </w:rPr>
        <w:t>；认定失业人员3</w:t>
      </w:r>
      <w:r>
        <w:rPr>
          <w:rFonts w:ascii="仿宋_GB2312" w:hAnsi="Times New Roman" w:eastAsia="仿宋_GB2312" w:cs="Times New Roman"/>
          <w:sz w:val="32"/>
          <w:szCs w:val="32"/>
        </w:rPr>
        <w:t>49</w:t>
      </w:r>
      <w:r>
        <w:rPr>
          <w:rFonts w:hint="eastAsia" w:ascii="仿宋_GB2312" w:hAnsi="Times New Roman" w:eastAsia="仿宋_GB2312" w:cs="Times New Roman"/>
          <w:sz w:val="32"/>
          <w:szCs w:val="32"/>
        </w:rPr>
        <w:t>人，推荐就业岗位833个，新增就业728人，完成医保征缴8884人，办理生育证及上报出生2</w:t>
      </w:r>
      <w:r>
        <w:rPr>
          <w:rFonts w:ascii="仿宋_GB2312" w:hAnsi="Times New Roman" w:eastAsia="仿宋_GB2312" w:cs="Times New Roman"/>
          <w:sz w:val="32"/>
          <w:szCs w:val="32"/>
        </w:rPr>
        <w:t>98</w:t>
      </w:r>
      <w:r>
        <w:rPr>
          <w:rFonts w:hint="eastAsia" w:ascii="仿宋_GB2312" w:hAnsi="Times New Roman" w:eastAsia="仿宋_GB2312" w:cs="Times New Roman"/>
          <w:sz w:val="32"/>
          <w:szCs w:val="32"/>
        </w:rPr>
        <w:t>人，申报独生子女父母奖励扶助70人，发放严重精神障碍患者看护费21人，让</w:t>
      </w:r>
      <w:r>
        <w:rPr>
          <w:rFonts w:ascii="仿宋_GB2312" w:hAnsi="Times New Roman" w:eastAsia="仿宋_GB2312" w:cs="Times New Roman"/>
          <w:sz w:val="32"/>
          <w:szCs w:val="32"/>
        </w:rPr>
        <w:t>公共服务更</w:t>
      </w:r>
      <w:r>
        <w:rPr>
          <w:rFonts w:hint="eastAsia" w:ascii="仿宋_GB2312" w:hAnsi="Times New Roman" w:eastAsia="仿宋_GB2312" w:cs="Times New Roman"/>
          <w:sz w:val="32"/>
          <w:szCs w:val="32"/>
        </w:rPr>
        <w:t>加</w:t>
      </w:r>
      <w:r>
        <w:rPr>
          <w:rFonts w:ascii="仿宋_GB2312" w:hAnsi="Times New Roman" w:eastAsia="仿宋_GB2312" w:cs="Times New Roman"/>
          <w:sz w:val="32"/>
          <w:szCs w:val="32"/>
        </w:rPr>
        <w:t>细致</w:t>
      </w:r>
      <w:r>
        <w:rPr>
          <w:rFonts w:hint="eastAsia" w:ascii="仿宋_GB2312" w:hAnsi="Times New Roman" w:eastAsia="仿宋_GB2312" w:cs="Times New Roman"/>
          <w:sz w:val="32"/>
          <w:szCs w:val="32"/>
        </w:rPr>
        <w:t>，</w:t>
      </w:r>
    </w:p>
    <w:p w14:paraId="6FFF3744">
      <w:pPr>
        <w:rPr>
          <w:rFonts w:hint="eastAsia" w:ascii="仿宋" w:hAnsi="仿宋" w:eastAsia="仿宋" w:cs="Times New Roman"/>
          <w:sz w:val="28"/>
          <w:szCs w:val="28"/>
        </w:rPr>
      </w:pPr>
    </w:p>
    <w:p w14:paraId="4B65EBC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249A456D">
      <w:pPr>
        <w:ind w:firstLine="420" w:firstLineChars="150"/>
        <w:rPr>
          <w:rFonts w:hint="eastAsia" w:ascii="仿宋" w:hAnsi="仿宋" w:eastAsia="仿宋" w:cs="Times New Roman"/>
          <w:sz w:val="28"/>
          <w:szCs w:val="28"/>
        </w:rPr>
      </w:pPr>
      <w:r>
        <w:rPr>
          <w:rFonts w:hint="eastAsia" w:ascii="仿宋" w:hAnsi="仿宋" w:eastAsia="仿宋" w:cs="Times New Roman"/>
          <w:sz w:val="28"/>
          <w:szCs w:val="28"/>
        </w:rPr>
        <w:t>虽然财政资金使用规范，效果明显，经济能够保持稳步增长，社会和谐进步，但也还存在可用财力偏小，不能满足日益增长的财政支出及社会发展需要，资金支出的绩效评价还有待加强等问题，需要我们在今后的工作中不断改进和完善，进一步加强绩效管理，提高财政资金的使用效益。</w:t>
      </w:r>
    </w:p>
    <w:p w14:paraId="77535B95">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799A0592">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1.加大宣传力度，强化部门预算绩效管理意识。采取集中学习、培训等方式，加大对各站所预算绩效管理的培训力度，提高预算绩效管理的重要性认识，加强业务知识学习，让预算绩效管理渗透到各项资金中，发挥资金使用效益。</w:t>
      </w:r>
    </w:p>
    <w:p w14:paraId="1488E21D">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2.在项目实施过程中，需不断改进和细化绩效目标内容及指标体系，根据工作重心作出相应调整，切实推动绩效目标任务的顺利完成。</w:t>
      </w:r>
    </w:p>
    <w:p w14:paraId="6719BF5E">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3、初步树立绩效理念，通过开展绩效评价，我街道全体工作人员</w:t>
      </w:r>
      <w:r>
        <w:rPr>
          <w:rFonts w:hint="eastAsia" w:eastAsia="仿宋_GB2312" w:cs="仿宋_GB2312"/>
          <w:kern w:val="0"/>
          <w:sz w:val="32"/>
          <w:szCs w:val="32"/>
          <w:lang w:val="en-US" w:eastAsia="zh-CN" w:bidi="ar-SA"/>
        </w:rPr>
        <w:t>必须</w:t>
      </w:r>
      <w:r>
        <w:rPr>
          <w:rFonts w:hint="eastAsia" w:ascii="Times New Roman" w:hAnsi="Times New Roman" w:eastAsia="仿宋_GB2312" w:cs="仿宋_GB2312"/>
          <w:kern w:val="0"/>
          <w:sz w:val="32"/>
          <w:szCs w:val="32"/>
          <w:lang w:val="en-US" w:eastAsia="zh-CN" w:bidi="ar-SA"/>
        </w:rPr>
        <w:t>转变观念，开始重视支出绩效问题，由重资金争取，重过程管理，向重支出责任，重产出和结果转变。</w:t>
      </w:r>
      <w:r>
        <w:rPr>
          <w:rFonts w:hint="eastAsia" w:eastAsia="仿宋_GB2312" w:cs="仿宋_GB2312"/>
          <w:kern w:val="0"/>
          <w:sz w:val="32"/>
          <w:szCs w:val="32"/>
          <w:lang w:val="en-US" w:eastAsia="zh-CN" w:bidi="ar-SA"/>
        </w:rPr>
        <w:t>形成</w:t>
      </w:r>
      <w:r>
        <w:rPr>
          <w:rFonts w:hint="eastAsia" w:ascii="Times New Roman" w:hAnsi="Times New Roman" w:eastAsia="仿宋_GB2312" w:cs="仿宋_GB2312"/>
          <w:kern w:val="0"/>
          <w:sz w:val="32"/>
          <w:szCs w:val="32"/>
          <w:lang w:val="en-US" w:eastAsia="zh-CN" w:bidi="ar-SA"/>
        </w:rPr>
        <w:t>以提高资金使用绩效为目标、以结果为导向的管理理念。</w:t>
      </w:r>
    </w:p>
    <w:p w14:paraId="540005E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4、强化责任意识，通过设定明确可衡量的绩效目标，各部门更清楚地了解财政资金支出所要取得的社会和经济效益，其职能和目标得到进一步明确；通过绩效评价，考核各</w:t>
      </w:r>
      <w:r>
        <w:rPr>
          <w:rFonts w:hint="eastAsia" w:eastAsia="仿宋_GB2312" w:cs="仿宋_GB2312"/>
          <w:kern w:val="0"/>
          <w:sz w:val="32"/>
          <w:szCs w:val="32"/>
          <w:lang w:val="en-US" w:eastAsia="zh-CN" w:bidi="ar-SA"/>
        </w:rPr>
        <w:t>站所</w:t>
      </w:r>
      <w:r>
        <w:rPr>
          <w:rFonts w:hint="eastAsia" w:ascii="Times New Roman" w:hAnsi="Times New Roman" w:eastAsia="仿宋_GB2312" w:cs="仿宋_GB2312"/>
          <w:kern w:val="0"/>
          <w:sz w:val="32"/>
          <w:szCs w:val="32"/>
          <w:lang w:val="en-US" w:eastAsia="zh-CN" w:bidi="ar-SA"/>
        </w:rPr>
        <w:t>绩效目标实际完成情况和取得的成效，并与下年度预算安排挂钩，用财要问效，无效要问责，在一定程度上强化了单位整体和部门的财经纪律约束意识和责任意识。</w:t>
      </w:r>
    </w:p>
    <w:p w14:paraId="21534C04">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5、提高财政资金的使用效益，各站所的工作规划和年度工作计划有机结合起来，并进行运行监控，有利于整合财政资金，优化支出结构，减少支出的随意性和盲目性，最大限度地将有限资源配置到效益最佳的部门并发挥最大效益。</w:t>
      </w:r>
    </w:p>
    <w:p w14:paraId="7DD8F427">
      <w:pPr>
        <w:pStyle w:val="2"/>
        <w:numPr>
          <w:ilvl w:val="0"/>
          <w:numId w:val="0"/>
        </w:numPr>
        <w:rPr>
          <w:rFonts w:hint="eastAsia"/>
          <w:lang w:val="en-US" w:eastAsia="zh-CN"/>
        </w:rPr>
      </w:pPr>
    </w:p>
    <w:p w14:paraId="406AFDB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44DA2415">
      <w:pPr>
        <w:ind w:firstLine="640" w:firstLineChars="200"/>
        <w:jc w:val="left"/>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194B2484">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14:paraId="1592CB6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671578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843711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7AD87B6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2C30A17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77544B8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6B131CE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2AEEE98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419B7C3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0332D3A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B6ADC7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4F3150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21F7DE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266C51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364062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3925B9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DE5B003">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524B601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2E49FE5">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0"/>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4CF6B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6BF7E6E6">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4F34379B">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14ABC3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项目支出——其他支出</w:t>
            </w:r>
          </w:p>
        </w:tc>
      </w:tr>
      <w:tr w14:paraId="41C448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7BFE09D4">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1203F5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区财政局</w:t>
            </w:r>
          </w:p>
        </w:tc>
        <w:tc>
          <w:tcPr>
            <w:tcW w:w="1140" w:type="dxa"/>
            <w:noWrap w:val="0"/>
            <w:vAlign w:val="center"/>
          </w:tcPr>
          <w:p w14:paraId="5324223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58AF8C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站前路</w:t>
            </w:r>
            <w:r>
              <w:rPr>
                <w:rFonts w:hint="eastAsia" w:ascii="Arial"/>
                <w:color w:val="000000" w:themeColor="text1"/>
                <w:spacing w:val="0"/>
                <w:sz w:val="21"/>
                <w:szCs w:val="21"/>
                <w:lang w:eastAsia="zh-CN"/>
                <w14:textFill>
                  <w14:solidFill>
                    <w14:schemeClr w14:val="tx1"/>
                  </w14:solidFill>
                </w14:textFill>
              </w:rPr>
              <w:t>街道办事处</w:t>
            </w:r>
          </w:p>
        </w:tc>
      </w:tr>
      <w:tr w14:paraId="1D24F2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0EAAB415">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1FB5AE75">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0398E39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6C16CF8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51A81EA9">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750A3E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1642D9C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6D28F35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C3E843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4FA9103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3F1C03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7FD7842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55121E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1AE2A8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7167A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89FBE3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6420B7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0A645B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3C0B5C2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812.88</w:t>
            </w:r>
          </w:p>
        </w:tc>
        <w:tc>
          <w:tcPr>
            <w:tcW w:w="1140" w:type="dxa"/>
            <w:noWrap w:val="0"/>
            <w:vAlign w:val="center"/>
          </w:tcPr>
          <w:p w14:paraId="238B94E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812.88</w:t>
            </w:r>
          </w:p>
        </w:tc>
        <w:tc>
          <w:tcPr>
            <w:tcW w:w="685" w:type="dxa"/>
            <w:noWrap w:val="0"/>
            <w:vAlign w:val="center"/>
          </w:tcPr>
          <w:p w14:paraId="33B3EB87">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775A4AD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438EE34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77EAC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737A6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B56F10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07E13D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EF93C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812.88</w:t>
            </w:r>
          </w:p>
        </w:tc>
        <w:tc>
          <w:tcPr>
            <w:tcW w:w="1140" w:type="dxa"/>
            <w:noWrap w:val="0"/>
            <w:vAlign w:val="center"/>
          </w:tcPr>
          <w:p w14:paraId="7CC104A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812.88</w:t>
            </w:r>
          </w:p>
        </w:tc>
        <w:tc>
          <w:tcPr>
            <w:tcW w:w="685" w:type="dxa"/>
            <w:noWrap w:val="0"/>
            <w:vAlign w:val="center"/>
          </w:tcPr>
          <w:p w14:paraId="2ADC69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341125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DC9988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A113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F2508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7D38E2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0DBB8D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1B60CE4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292B215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2E4E62B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84F723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01963D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291AC0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03C348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751A701">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0A0C9D0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3C7BA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756532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6887A17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55F61A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AAC66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0E631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0ADCD685">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2AB908C4">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2D5E9B8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263FE86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07D9C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701C05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7FC23A79">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1、每月确保环卫工资按时正常发放。</w:t>
            </w:r>
          </w:p>
          <w:p w14:paraId="48A12654">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2、每月按时缴纳环卫工人养老、医疗、工伤及失业保险。</w:t>
            </w:r>
          </w:p>
          <w:p w14:paraId="1DBD49EB">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3、疫情防控防工作开展。</w:t>
            </w:r>
          </w:p>
          <w:p w14:paraId="7BB7CA3A">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4、辖区疫苗接种、疫情防控宣传、封控小区消毒、消杀、清扫；管控人员24小时管控到位、疫情防控可控无蔓延。</w:t>
            </w:r>
          </w:p>
          <w:p w14:paraId="55EBF281">
            <w:pPr>
              <w:keepNext w:val="0"/>
              <w:keepLines w:val="0"/>
              <w:pageBreakBefore w:val="0"/>
              <w:widowControl w:val="0"/>
              <w:kinsoku/>
              <w:wordWrap/>
              <w:overflowPunct/>
              <w:topLinePunct w:val="0"/>
              <w:autoSpaceDE/>
              <w:autoSpaceDN/>
              <w:bidi w:val="0"/>
              <w:adjustRightInd/>
              <w:snapToGrid/>
              <w:spacing w:line="240" w:lineRule="exact"/>
              <w:ind w:left="0" w:right="0"/>
              <w:jc w:val="both"/>
              <w:textAlignment w:val="auto"/>
              <w:rPr>
                <w:rFonts w:ascii="Arial"/>
                <w:color w:val="000000" w:themeColor="text1"/>
                <w:spacing w:val="0"/>
                <w:sz w:val="21"/>
                <w:szCs w:val="21"/>
                <w14:textFill>
                  <w14:solidFill>
                    <w14:schemeClr w14:val="tx1"/>
                  </w14:solidFill>
                </w14:textFill>
              </w:rPr>
            </w:pPr>
            <w:r>
              <w:rPr>
                <w:rFonts w:hint="eastAsia" w:asciiTheme="minorHAnsi" w:hAnsiTheme="minorHAnsi" w:eastAsiaTheme="minorEastAsia" w:cstheme="minorBidi"/>
                <w:kern w:val="2"/>
                <w:sz w:val="21"/>
                <w:szCs w:val="24"/>
                <w:lang w:val="en-US" w:eastAsia="zh-CN" w:bidi="ar-SA"/>
              </w:rPr>
              <w:t>5、专款专用，无截留。</w:t>
            </w:r>
          </w:p>
        </w:tc>
        <w:tc>
          <w:tcPr>
            <w:tcW w:w="3985" w:type="dxa"/>
            <w:gridSpan w:val="4"/>
            <w:noWrap w:val="0"/>
            <w:vAlign w:val="center"/>
          </w:tcPr>
          <w:p w14:paraId="37C3684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HAnsi" w:eastAsiaTheme="minorEastAsia"/>
                <w:lang w:val="en-US" w:eastAsia="zh-CN"/>
              </w:rPr>
            </w:pPr>
            <w:r>
              <w:rPr>
                <w:rFonts w:hint="eastAsia" w:asciiTheme="minorHAnsi" w:eastAsiaTheme="minorEastAsia"/>
                <w:lang w:val="en-US" w:eastAsia="zh-CN"/>
              </w:rPr>
              <w:t>1、每月15日前按时发放环卫工人工资。</w:t>
            </w:r>
          </w:p>
          <w:p w14:paraId="570A867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HAnsi" w:eastAsiaTheme="minorEastAsia"/>
                <w:lang w:val="en-US" w:eastAsia="zh-CN"/>
              </w:rPr>
            </w:pPr>
            <w:r>
              <w:rPr>
                <w:rFonts w:hint="eastAsia" w:asciiTheme="minorHAnsi" w:eastAsiaTheme="minorEastAsia"/>
                <w:lang w:val="en-US" w:eastAsia="zh-CN"/>
              </w:rPr>
              <w:t>2、每月15日前缴纳环卫工人养老、医疗、工伤及失业保险。</w:t>
            </w:r>
          </w:p>
          <w:p w14:paraId="651527E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HAnsi" w:eastAsiaTheme="minorEastAsia"/>
                <w:lang w:val="en-US" w:eastAsia="zh-CN"/>
              </w:rPr>
            </w:pPr>
            <w:r>
              <w:rPr>
                <w:rFonts w:hint="eastAsia" w:asciiTheme="minorHAnsi" w:eastAsiaTheme="minorEastAsia"/>
                <w:lang w:val="en-US" w:eastAsia="zh-CN"/>
              </w:rPr>
              <w:t>3、精准、高效完成外省返乡自主报备数据摸排2654人次，落实集中隔离和居家管控对象2121人次，疫苗接种8万余人次，核酸采样15万余人次。</w:t>
            </w:r>
          </w:p>
          <w:p w14:paraId="53ED22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Theme="minorHAnsi" w:eastAsiaTheme="minorEastAsia"/>
                <w:lang w:val="en-US" w:eastAsia="zh-CN"/>
              </w:rPr>
            </w:pPr>
            <w:r>
              <w:rPr>
                <w:rFonts w:hint="eastAsia" w:asciiTheme="minorHAnsi" w:eastAsiaTheme="minorEastAsia"/>
                <w:lang w:val="en-US" w:eastAsia="zh-CN"/>
              </w:rPr>
              <w:t>4、辖区疫苗接种、疫情防控宣传、封控小区消毒、消杀、清扫；管控人员24小时管控到位、疫情防控可控无蔓延。</w:t>
            </w:r>
          </w:p>
          <w:p w14:paraId="11B6468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Theme="minorHAnsi" w:eastAsiaTheme="minorEastAsia"/>
                <w:lang w:val="en-US" w:eastAsia="zh-CN"/>
              </w:rPr>
              <w:t>5、泰和整治经费专款专用。</w:t>
            </w:r>
          </w:p>
        </w:tc>
      </w:tr>
      <w:tr w14:paraId="3B8003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371DBCB0">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3B4E33F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2C4030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41FDD85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22677AD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499819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53D2F45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3E4E50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6175CB2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E86B9B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2FCA7BA3">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20F8A9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1B375D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0E14074">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14927BC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99B5132">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4B8034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7BF50C6">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6B6F1DF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14:paraId="16A5831D">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数量指标</w:t>
            </w:r>
          </w:p>
        </w:tc>
        <w:tc>
          <w:tcPr>
            <w:tcW w:w="1229" w:type="dxa"/>
            <w:noWrap w:val="0"/>
            <w:vAlign w:val="center"/>
          </w:tcPr>
          <w:p w14:paraId="7EF028A4">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街道疫情防控采购防疫物资投入数</w:t>
            </w:r>
          </w:p>
        </w:tc>
        <w:tc>
          <w:tcPr>
            <w:tcW w:w="1131" w:type="dxa"/>
            <w:noWrap w:val="0"/>
            <w:vAlign w:val="center"/>
          </w:tcPr>
          <w:p w14:paraId="64A7914E">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≧70万</w:t>
            </w:r>
          </w:p>
        </w:tc>
        <w:tc>
          <w:tcPr>
            <w:tcW w:w="1140" w:type="dxa"/>
            <w:noWrap w:val="0"/>
            <w:vAlign w:val="center"/>
          </w:tcPr>
          <w:p w14:paraId="57895DD9">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73.97万</w:t>
            </w:r>
          </w:p>
        </w:tc>
        <w:tc>
          <w:tcPr>
            <w:tcW w:w="685" w:type="dxa"/>
            <w:noWrap w:val="0"/>
            <w:vAlign w:val="center"/>
          </w:tcPr>
          <w:p w14:paraId="52E69FD6">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795" w:type="dxa"/>
            <w:noWrap w:val="0"/>
            <w:vAlign w:val="center"/>
          </w:tcPr>
          <w:p w14:paraId="14AD5B6A">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365" w:type="dxa"/>
            <w:noWrap w:val="0"/>
            <w:vAlign w:val="center"/>
          </w:tcPr>
          <w:p w14:paraId="2F977AF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22F7A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1" w:hRule="atLeast"/>
        </w:trPr>
        <w:tc>
          <w:tcPr>
            <w:tcW w:w="1075" w:type="dxa"/>
            <w:vMerge w:val="continue"/>
            <w:tcBorders>
              <w:top w:val="nil"/>
              <w:bottom w:val="nil"/>
            </w:tcBorders>
            <w:noWrap w:val="0"/>
            <w:textDirection w:val="tbRlV"/>
            <w:vAlign w:val="center"/>
          </w:tcPr>
          <w:p w14:paraId="221D1E1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2F24E3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36E0469">
            <w:pPr>
              <w:jc w:val="center"/>
              <w:rPr>
                <w:rFonts w:ascii="Arial"/>
                <w:color w:val="000000" w:themeColor="text1"/>
                <w:spacing w:val="0"/>
                <w:sz w:val="21"/>
                <w:szCs w:val="21"/>
                <w14:textFill>
                  <w14:solidFill>
                    <w14:schemeClr w14:val="tx1"/>
                  </w14:solidFill>
                </w14:textFill>
              </w:rPr>
            </w:pPr>
          </w:p>
        </w:tc>
        <w:tc>
          <w:tcPr>
            <w:tcW w:w="1229" w:type="dxa"/>
            <w:noWrap w:val="0"/>
            <w:vAlign w:val="center"/>
          </w:tcPr>
          <w:p w14:paraId="55E48764">
            <w:pPr>
              <w:keepNext w:val="0"/>
              <w:keepLines w:val="0"/>
              <w:widowControl/>
              <w:suppressLineNumbers w:val="0"/>
              <w:jc w:val="center"/>
              <w:textAlignment w:val="center"/>
              <w:rPr>
                <w:rFonts w:hint="default"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泰和整治经费投入量</w:t>
            </w:r>
          </w:p>
        </w:tc>
        <w:tc>
          <w:tcPr>
            <w:tcW w:w="1131" w:type="dxa"/>
            <w:noWrap w:val="0"/>
            <w:vAlign w:val="center"/>
          </w:tcPr>
          <w:p w14:paraId="2E4987B1">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≧70万</w:t>
            </w:r>
          </w:p>
        </w:tc>
        <w:tc>
          <w:tcPr>
            <w:tcW w:w="1140" w:type="dxa"/>
            <w:noWrap w:val="0"/>
            <w:vAlign w:val="center"/>
          </w:tcPr>
          <w:p w14:paraId="25A3763C">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78.43万</w:t>
            </w:r>
          </w:p>
        </w:tc>
        <w:tc>
          <w:tcPr>
            <w:tcW w:w="685" w:type="dxa"/>
            <w:noWrap w:val="0"/>
            <w:vAlign w:val="center"/>
          </w:tcPr>
          <w:p w14:paraId="3AFC64B2">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795" w:type="dxa"/>
            <w:noWrap w:val="0"/>
            <w:vAlign w:val="center"/>
          </w:tcPr>
          <w:p w14:paraId="00FA5A39">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365" w:type="dxa"/>
            <w:noWrap w:val="0"/>
            <w:vAlign w:val="center"/>
          </w:tcPr>
          <w:p w14:paraId="6CF751C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794D32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A9A48F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30500A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919976E">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质量指标</w:t>
            </w:r>
          </w:p>
        </w:tc>
        <w:tc>
          <w:tcPr>
            <w:tcW w:w="1229" w:type="dxa"/>
            <w:noWrap w:val="0"/>
            <w:vAlign w:val="center"/>
          </w:tcPr>
          <w:p w14:paraId="568F53F6">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资金全部专款专用，无截留</w:t>
            </w:r>
          </w:p>
        </w:tc>
        <w:tc>
          <w:tcPr>
            <w:tcW w:w="1131" w:type="dxa"/>
            <w:noWrap w:val="0"/>
            <w:vAlign w:val="center"/>
          </w:tcPr>
          <w:p w14:paraId="2DA907D5">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1140" w:type="dxa"/>
            <w:noWrap w:val="0"/>
            <w:vAlign w:val="center"/>
          </w:tcPr>
          <w:p w14:paraId="595BBB68">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685" w:type="dxa"/>
            <w:noWrap w:val="0"/>
            <w:vAlign w:val="center"/>
          </w:tcPr>
          <w:p w14:paraId="3AA75BAA">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795" w:type="dxa"/>
            <w:noWrap w:val="0"/>
            <w:vAlign w:val="center"/>
          </w:tcPr>
          <w:p w14:paraId="7E322E9C">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365" w:type="dxa"/>
            <w:noWrap w:val="0"/>
            <w:vAlign w:val="center"/>
          </w:tcPr>
          <w:p w14:paraId="5CC19DB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65D13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C4E0D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72B1D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130A951">
            <w:pPr>
              <w:jc w:val="center"/>
              <w:rPr>
                <w:rFonts w:ascii="Arial"/>
                <w:color w:val="000000" w:themeColor="text1"/>
                <w:spacing w:val="0"/>
                <w:sz w:val="21"/>
                <w:szCs w:val="21"/>
                <w14:textFill>
                  <w14:solidFill>
                    <w14:schemeClr w14:val="tx1"/>
                  </w14:solidFill>
                </w14:textFill>
              </w:rPr>
            </w:pPr>
          </w:p>
        </w:tc>
        <w:tc>
          <w:tcPr>
            <w:tcW w:w="1229" w:type="dxa"/>
            <w:noWrap w:val="0"/>
            <w:vAlign w:val="center"/>
          </w:tcPr>
          <w:p w14:paraId="17DE9CDA">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辖区疫情扩散率</w:t>
            </w:r>
          </w:p>
        </w:tc>
        <w:tc>
          <w:tcPr>
            <w:tcW w:w="1131" w:type="dxa"/>
            <w:noWrap w:val="0"/>
            <w:vAlign w:val="center"/>
          </w:tcPr>
          <w:p w14:paraId="4A89BA54">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0%</w:t>
            </w:r>
          </w:p>
        </w:tc>
        <w:tc>
          <w:tcPr>
            <w:tcW w:w="1140" w:type="dxa"/>
            <w:noWrap w:val="0"/>
            <w:vAlign w:val="center"/>
          </w:tcPr>
          <w:p w14:paraId="01024DCE">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0%</w:t>
            </w:r>
          </w:p>
        </w:tc>
        <w:tc>
          <w:tcPr>
            <w:tcW w:w="685" w:type="dxa"/>
            <w:noWrap w:val="0"/>
            <w:vAlign w:val="center"/>
          </w:tcPr>
          <w:p w14:paraId="6928950D">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795" w:type="dxa"/>
            <w:noWrap w:val="0"/>
            <w:vAlign w:val="center"/>
          </w:tcPr>
          <w:p w14:paraId="6236B0E7">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365" w:type="dxa"/>
            <w:noWrap w:val="0"/>
            <w:vAlign w:val="center"/>
          </w:tcPr>
          <w:p w14:paraId="6766C5B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698C0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300F7B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987DC4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EA623DD">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时效指标</w:t>
            </w:r>
          </w:p>
        </w:tc>
        <w:tc>
          <w:tcPr>
            <w:tcW w:w="1229" w:type="dxa"/>
            <w:noWrap w:val="0"/>
            <w:vAlign w:val="center"/>
          </w:tcPr>
          <w:p w14:paraId="2B281AB7">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环卫工人工资发放及时率</w:t>
            </w:r>
          </w:p>
        </w:tc>
        <w:tc>
          <w:tcPr>
            <w:tcW w:w="1131" w:type="dxa"/>
            <w:noWrap w:val="0"/>
            <w:vAlign w:val="center"/>
          </w:tcPr>
          <w:p w14:paraId="0B1DE602">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每月15日之前发放环卫工资</w:t>
            </w:r>
          </w:p>
        </w:tc>
        <w:tc>
          <w:tcPr>
            <w:tcW w:w="1140" w:type="dxa"/>
            <w:noWrap w:val="0"/>
            <w:vAlign w:val="center"/>
          </w:tcPr>
          <w:p w14:paraId="2E842C04">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685" w:type="dxa"/>
            <w:noWrap w:val="0"/>
            <w:vAlign w:val="center"/>
          </w:tcPr>
          <w:p w14:paraId="176940F4">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795" w:type="dxa"/>
            <w:noWrap w:val="0"/>
            <w:vAlign w:val="center"/>
          </w:tcPr>
          <w:p w14:paraId="1B9A74E9">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8</w:t>
            </w:r>
          </w:p>
        </w:tc>
        <w:tc>
          <w:tcPr>
            <w:tcW w:w="1365" w:type="dxa"/>
            <w:noWrap w:val="0"/>
            <w:vAlign w:val="center"/>
          </w:tcPr>
          <w:p w14:paraId="58A5D64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190F0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91AEC6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A030C1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64A0000">
            <w:pPr>
              <w:jc w:val="center"/>
              <w:rPr>
                <w:rFonts w:ascii="Arial"/>
                <w:color w:val="000000" w:themeColor="text1"/>
                <w:spacing w:val="0"/>
                <w:sz w:val="21"/>
                <w:szCs w:val="21"/>
                <w14:textFill>
                  <w14:solidFill>
                    <w14:schemeClr w14:val="tx1"/>
                  </w14:solidFill>
                </w14:textFill>
              </w:rPr>
            </w:pPr>
          </w:p>
        </w:tc>
        <w:tc>
          <w:tcPr>
            <w:tcW w:w="1229" w:type="dxa"/>
            <w:noWrap w:val="0"/>
            <w:vAlign w:val="center"/>
          </w:tcPr>
          <w:p w14:paraId="2A694B92">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及时对红黄码人员进行管控</w:t>
            </w:r>
          </w:p>
        </w:tc>
        <w:tc>
          <w:tcPr>
            <w:tcW w:w="1131" w:type="dxa"/>
            <w:noWrap w:val="0"/>
            <w:vAlign w:val="center"/>
          </w:tcPr>
          <w:p w14:paraId="27843BCD">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1140" w:type="dxa"/>
            <w:noWrap w:val="0"/>
            <w:vAlign w:val="center"/>
          </w:tcPr>
          <w:p w14:paraId="17387E15">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685" w:type="dxa"/>
            <w:noWrap w:val="0"/>
            <w:vAlign w:val="center"/>
          </w:tcPr>
          <w:p w14:paraId="44A26BBF">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795" w:type="dxa"/>
            <w:noWrap w:val="0"/>
            <w:vAlign w:val="center"/>
          </w:tcPr>
          <w:p w14:paraId="0AB7A824">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365" w:type="dxa"/>
            <w:noWrap w:val="0"/>
            <w:vAlign w:val="center"/>
          </w:tcPr>
          <w:p w14:paraId="570E632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61D50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7D076A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2BDF88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5C709D6">
            <w:pPr>
              <w:keepNext w:val="0"/>
              <w:keepLines w:val="0"/>
              <w:widowControl/>
              <w:suppressLineNumbers w:val="0"/>
              <w:jc w:val="center"/>
              <w:textAlignment w:val="center"/>
              <w:rPr>
                <w:rFonts w:ascii="宋体" w:hAnsi="宋体" w:eastAsia="宋体" w:cs="宋体"/>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21"/>
                <w:szCs w:val="21"/>
                <w:u w:val="none"/>
                <w:lang w:val="en-US" w:eastAsia="zh-CN" w:bidi="ar"/>
              </w:rPr>
              <w:t>成本指标</w:t>
            </w:r>
          </w:p>
        </w:tc>
        <w:tc>
          <w:tcPr>
            <w:tcW w:w="1229" w:type="dxa"/>
            <w:noWrap w:val="0"/>
            <w:vAlign w:val="center"/>
          </w:tcPr>
          <w:p w14:paraId="4F9A048A">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总成本控制</w:t>
            </w:r>
          </w:p>
        </w:tc>
        <w:tc>
          <w:tcPr>
            <w:tcW w:w="1131" w:type="dxa"/>
            <w:noWrap w:val="0"/>
            <w:vAlign w:val="center"/>
          </w:tcPr>
          <w:p w14:paraId="0C0832A3">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不超过预算金额</w:t>
            </w:r>
          </w:p>
        </w:tc>
        <w:tc>
          <w:tcPr>
            <w:tcW w:w="1140" w:type="dxa"/>
            <w:noWrap w:val="0"/>
            <w:vAlign w:val="center"/>
          </w:tcPr>
          <w:p w14:paraId="2EE72ECC">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688.07万</w:t>
            </w:r>
          </w:p>
        </w:tc>
        <w:tc>
          <w:tcPr>
            <w:tcW w:w="685" w:type="dxa"/>
            <w:noWrap w:val="0"/>
            <w:vAlign w:val="center"/>
          </w:tcPr>
          <w:p w14:paraId="7F151489">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795" w:type="dxa"/>
            <w:noWrap w:val="0"/>
            <w:vAlign w:val="center"/>
          </w:tcPr>
          <w:p w14:paraId="2EB71B71">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365" w:type="dxa"/>
            <w:noWrap w:val="0"/>
            <w:vAlign w:val="center"/>
          </w:tcPr>
          <w:p w14:paraId="6BEC76A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6AC989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75" w:type="dxa"/>
            <w:vMerge w:val="continue"/>
            <w:tcBorders>
              <w:top w:val="nil"/>
              <w:bottom w:val="nil"/>
            </w:tcBorders>
            <w:noWrap w:val="0"/>
            <w:textDirection w:val="tbRlV"/>
            <w:vAlign w:val="center"/>
          </w:tcPr>
          <w:p w14:paraId="0B259AD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237C96C">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7980DD66">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EB26229">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77D370F">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42BB026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499BCF7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69B1643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16527A8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131" w:type="dxa"/>
            <w:noWrap w:val="0"/>
            <w:vAlign w:val="center"/>
          </w:tcPr>
          <w:p w14:paraId="63D8EFE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140" w:type="dxa"/>
            <w:noWrap w:val="0"/>
            <w:vAlign w:val="center"/>
          </w:tcPr>
          <w:p w14:paraId="7A785F0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仿宋_GB2312" w:hAnsi="仿宋_GB2312" w:eastAsia="仿宋_GB2312" w:cs="仿宋_GB2312"/>
                <w:sz w:val="18"/>
                <w:szCs w:val="18"/>
                <w:lang w:val="en-US" w:eastAsia="zh-CN"/>
              </w:rPr>
            </w:pPr>
          </w:p>
        </w:tc>
        <w:tc>
          <w:tcPr>
            <w:tcW w:w="685" w:type="dxa"/>
            <w:noWrap w:val="0"/>
            <w:vAlign w:val="center"/>
          </w:tcPr>
          <w:p w14:paraId="222B55C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仿宋_GB2312" w:hAnsi="仿宋_GB2312" w:eastAsia="仿宋_GB2312" w:cs="仿宋_GB2312"/>
                <w:sz w:val="18"/>
                <w:szCs w:val="18"/>
                <w:lang w:val="en-US" w:eastAsia="zh-CN"/>
              </w:rPr>
            </w:pPr>
          </w:p>
        </w:tc>
        <w:tc>
          <w:tcPr>
            <w:tcW w:w="795" w:type="dxa"/>
            <w:noWrap w:val="0"/>
            <w:vAlign w:val="center"/>
          </w:tcPr>
          <w:p w14:paraId="520977E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仿宋_GB2312" w:hAnsi="仿宋_GB2312" w:eastAsia="仿宋_GB2312" w:cs="仿宋_GB2312"/>
                <w:sz w:val="18"/>
                <w:szCs w:val="18"/>
                <w:lang w:val="en-US" w:eastAsia="zh-CN"/>
              </w:rPr>
            </w:pPr>
          </w:p>
        </w:tc>
        <w:tc>
          <w:tcPr>
            <w:tcW w:w="1365" w:type="dxa"/>
            <w:noWrap w:val="0"/>
            <w:vAlign w:val="center"/>
          </w:tcPr>
          <w:p w14:paraId="660E69F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16E2A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C2F9D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A3E3B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03564F0F">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7596EB0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1AD6B3EA">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优化了社区环境治理</w:t>
            </w:r>
          </w:p>
        </w:tc>
        <w:tc>
          <w:tcPr>
            <w:tcW w:w="1131" w:type="dxa"/>
            <w:noWrap w:val="0"/>
            <w:vAlign w:val="center"/>
          </w:tcPr>
          <w:p w14:paraId="3ED09F8B">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效果明显</w:t>
            </w:r>
          </w:p>
        </w:tc>
        <w:tc>
          <w:tcPr>
            <w:tcW w:w="1140" w:type="dxa"/>
            <w:noWrap w:val="0"/>
            <w:vAlign w:val="center"/>
          </w:tcPr>
          <w:p w14:paraId="7244EF6C">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效果明显</w:t>
            </w:r>
          </w:p>
        </w:tc>
        <w:tc>
          <w:tcPr>
            <w:tcW w:w="685" w:type="dxa"/>
            <w:noWrap w:val="0"/>
            <w:vAlign w:val="center"/>
          </w:tcPr>
          <w:p w14:paraId="0CAE4AC2">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795" w:type="dxa"/>
            <w:noWrap w:val="0"/>
            <w:vAlign w:val="center"/>
          </w:tcPr>
          <w:p w14:paraId="5066445B">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365" w:type="dxa"/>
            <w:noWrap w:val="0"/>
            <w:vAlign w:val="center"/>
          </w:tcPr>
          <w:p w14:paraId="7F95909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7B2A7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75A2D1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0F9B86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149EA34">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24D5354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1EF3FC3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131" w:type="dxa"/>
            <w:noWrap w:val="0"/>
            <w:vAlign w:val="center"/>
          </w:tcPr>
          <w:p w14:paraId="1F42EFD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140" w:type="dxa"/>
            <w:noWrap w:val="0"/>
            <w:vAlign w:val="center"/>
          </w:tcPr>
          <w:p w14:paraId="75311A8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685" w:type="dxa"/>
            <w:noWrap w:val="0"/>
            <w:vAlign w:val="center"/>
          </w:tcPr>
          <w:p w14:paraId="28960A6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795" w:type="dxa"/>
            <w:noWrap w:val="0"/>
            <w:vAlign w:val="center"/>
          </w:tcPr>
          <w:p w14:paraId="7863597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365" w:type="dxa"/>
            <w:noWrap w:val="0"/>
            <w:vAlign w:val="center"/>
          </w:tcPr>
          <w:p w14:paraId="7069B61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206D34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78123F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43CE2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30C56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88D8A2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131" w:type="dxa"/>
            <w:noWrap w:val="0"/>
            <w:vAlign w:val="center"/>
          </w:tcPr>
          <w:p w14:paraId="269FCD7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140" w:type="dxa"/>
            <w:noWrap w:val="0"/>
            <w:vAlign w:val="center"/>
          </w:tcPr>
          <w:p w14:paraId="1D8CBB9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685" w:type="dxa"/>
            <w:noWrap w:val="0"/>
            <w:vAlign w:val="center"/>
          </w:tcPr>
          <w:p w14:paraId="092E62F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795" w:type="dxa"/>
            <w:noWrap w:val="0"/>
            <w:vAlign w:val="center"/>
          </w:tcPr>
          <w:p w14:paraId="34AA531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c>
          <w:tcPr>
            <w:tcW w:w="1365" w:type="dxa"/>
            <w:noWrap w:val="0"/>
            <w:vAlign w:val="center"/>
          </w:tcPr>
          <w:p w14:paraId="0D7D583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3CAD5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9CAF1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722310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1DACC4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7FA14951">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5170C29B">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内部管理规范</w:t>
            </w:r>
          </w:p>
        </w:tc>
        <w:tc>
          <w:tcPr>
            <w:tcW w:w="1131" w:type="dxa"/>
            <w:noWrap w:val="0"/>
            <w:vAlign w:val="center"/>
          </w:tcPr>
          <w:p w14:paraId="548F0A9C">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项目资金严格把控</w:t>
            </w:r>
          </w:p>
        </w:tc>
        <w:tc>
          <w:tcPr>
            <w:tcW w:w="1140" w:type="dxa"/>
            <w:noWrap w:val="0"/>
            <w:vAlign w:val="center"/>
          </w:tcPr>
          <w:p w14:paraId="2A082078">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报账流程细致完整</w:t>
            </w:r>
          </w:p>
        </w:tc>
        <w:tc>
          <w:tcPr>
            <w:tcW w:w="685" w:type="dxa"/>
            <w:noWrap w:val="0"/>
            <w:vAlign w:val="center"/>
          </w:tcPr>
          <w:p w14:paraId="640A99E9">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795" w:type="dxa"/>
            <w:noWrap w:val="0"/>
            <w:vAlign w:val="center"/>
          </w:tcPr>
          <w:p w14:paraId="5474CE47">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365" w:type="dxa"/>
            <w:noWrap w:val="0"/>
            <w:vAlign w:val="center"/>
          </w:tcPr>
          <w:p w14:paraId="6434FED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57B86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68771C2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AC386B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262E76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6D65E7A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112A153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586C6CD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2CFCDCF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79EB9003">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群众对街道满意度</w:t>
            </w:r>
          </w:p>
        </w:tc>
        <w:tc>
          <w:tcPr>
            <w:tcW w:w="1131" w:type="dxa"/>
            <w:noWrap w:val="0"/>
            <w:vAlign w:val="center"/>
          </w:tcPr>
          <w:p w14:paraId="78F939C7">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1140" w:type="dxa"/>
            <w:noWrap w:val="0"/>
            <w:vAlign w:val="center"/>
          </w:tcPr>
          <w:p w14:paraId="4F12E7DB">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100%</w:t>
            </w:r>
          </w:p>
        </w:tc>
        <w:tc>
          <w:tcPr>
            <w:tcW w:w="685" w:type="dxa"/>
            <w:noWrap w:val="0"/>
            <w:vAlign w:val="center"/>
          </w:tcPr>
          <w:p w14:paraId="52D6B2C2">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795" w:type="dxa"/>
            <w:noWrap w:val="0"/>
            <w:vAlign w:val="center"/>
          </w:tcPr>
          <w:p w14:paraId="64D71613">
            <w:pPr>
              <w:keepNext w:val="0"/>
              <w:keepLines w:val="0"/>
              <w:widowControl/>
              <w:suppressLineNumbers w:val="0"/>
              <w:jc w:val="center"/>
              <w:textAlignment w:val="center"/>
              <w:rPr>
                <w:rFonts w:hint="eastAsia" w:ascii="仿宋_GB2312" w:hAnsi="仿宋_GB2312" w:eastAsia="仿宋_GB2312" w:cs="仿宋_GB2312"/>
                <w:sz w:val="18"/>
                <w:szCs w:val="18"/>
                <w:lang w:val="en-US" w:eastAsia="zh-CN"/>
              </w:rPr>
            </w:pPr>
            <w:r>
              <w:rPr>
                <w:rFonts w:hint="eastAsia" w:ascii="仿宋" w:hAnsi="仿宋" w:eastAsia="仿宋" w:cs="仿宋"/>
                <w:i w:val="0"/>
                <w:iCs w:val="0"/>
                <w:color w:val="000000"/>
                <w:kern w:val="0"/>
                <w:sz w:val="18"/>
                <w:szCs w:val="18"/>
                <w:u w:val="none"/>
                <w:lang w:val="en-US" w:eastAsia="zh-CN" w:bidi="ar"/>
              </w:rPr>
              <w:t>10</w:t>
            </w:r>
          </w:p>
        </w:tc>
        <w:tc>
          <w:tcPr>
            <w:tcW w:w="1365" w:type="dxa"/>
            <w:noWrap w:val="0"/>
            <w:vAlign w:val="center"/>
          </w:tcPr>
          <w:p w14:paraId="016E920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lang w:val="en-US" w:eastAsia="zh-CN"/>
              </w:rPr>
            </w:pPr>
          </w:p>
        </w:tc>
      </w:tr>
      <w:tr w14:paraId="61898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76A74B74">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52EE1882">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16B93E4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0388AEF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5B3BB4E6">
      <w:pPr>
        <w:spacing w:line="252" w:lineRule="auto"/>
        <w:rPr>
          <w:rFonts w:ascii="Arial"/>
          <w:color w:val="000000" w:themeColor="text1"/>
          <w:sz w:val="21"/>
          <w14:textFill>
            <w14:solidFill>
              <w14:schemeClr w14:val="tx1"/>
            </w14:solidFill>
          </w14:textFill>
        </w:rPr>
      </w:pPr>
    </w:p>
    <w:p w14:paraId="5A7AC637">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hint="eastAsia" w:ascii="仿宋" w:hAnsi="仿宋" w:eastAsia="仿宋" w:cs="仿宋"/>
          <w:color w:val="000000" w:themeColor="text1"/>
          <w:spacing w:val="15"/>
          <w:sz w:val="23"/>
          <w:szCs w:val="23"/>
          <w:lang w:val="en-US" w:eastAsia="zh-CN"/>
          <w14:textFill>
            <w14:solidFill>
              <w14:schemeClr w14:val="tx1"/>
            </w14:solidFill>
          </w14:textFill>
        </w:rPr>
        <w:t>吴倩</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13789003891</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2023年6月14日</w:t>
      </w:r>
    </w:p>
    <w:p w14:paraId="7791973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34530225">
      <w:pPr>
        <w:ind w:firstLine="1440" w:firstLineChars="400"/>
        <w:jc w:val="both"/>
        <w:rPr>
          <w:rFonts w:hint="eastAsia" w:eastAsia="方正小标宋简体"/>
          <w:sz w:val="36"/>
          <w:szCs w:val="36"/>
          <w:lang w:eastAsia="zh-CN"/>
        </w:rPr>
      </w:pPr>
    </w:p>
    <w:p w14:paraId="50F7A32A">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7"/>
        <w:tblW w:w="9510" w:type="dxa"/>
        <w:jc w:val="center"/>
        <w:tblLayout w:type="fixed"/>
        <w:tblCellMar>
          <w:top w:w="0" w:type="dxa"/>
          <w:left w:w="108" w:type="dxa"/>
          <w:bottom w:w="0" w:type="dxa"/>
          <w:right w:w="108" w:type="dxa"/>
        </w:tblCellMar>
      </w:tblPr>
      <w:tblGrid>
        <w:gridCol w:w="774"/>
        <w:gridCol w:w="1501"/>
        <w:gridCol w:w="6482"/>
        <w:gridCol w:w="753"/>
      </w:tblGrid>
      <w:tr w14:paraId="4B3A21E7">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4315111">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2D711318">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6BFD3B26">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12558B8D">
            <w:pPr>
              <w:spacing w:line="240" w:lineRule="exact"/>
              <w:jc w:val="center"/>
              <w:rPr>
                <w:rFonts w:eastAsia="黑体"/>
                <w:szCs w:val="21"/>
              </w:rPr>
            </w:pPr>
            <w:r>
              <w:rPr>
                <w:rFonts w:eastAsia="黑体"/>
                <w:szCs w:val="21"/>
              </w:rPr>
              <w:t>评分</w:t>
            </w:r>
          </w:p>
        </w:tc>
      </w:tr>
      <w:tr w14:paraId="35078D67">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77DB0121">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718A687B">
            <w:pPr>
              <w:spacing w:line="320" w:lineRule="exact"/>
              <w:jc w:val="center"/>
              <w:rPr>
                <w:rFonts w:hint="eastAsia" w:asciiTheme="majorEastAsia" w:hAnsiTheme="majorEastAsia" w:eastAsiaTheme="majorEastAsia" w:cstheme="majorEastAsia"/>
                <w:szCs w:val="21"/>
              </w:rPr>
            </w:pPr>
          </w:p>
          <w:p w14:paraId="396B4A47">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093FFCC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2B4210C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0EA2DCF4">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4C8457FB">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E34D44E">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00663B4">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02212AD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2F9A2BC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54C5C8A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715BB280">
            <w:pPr>
              <w:spacing w:line="240" w:lineRule="exact"/>
              <w:rPr>
                <w:rFonts w:hint="eastAsia" w:asciiTheme="majorEastAsia" w:hAnsiTheme="majorEastAsia" w:eastAsiaTheme="majorEastAsia" w:cstheme="majorEastAsia"/>
                <w:szCs w:val="21"/>
              </w:rPr>
            </w:pPr>
          </w:p>
        </w:tc>
      </w:tr>
      <w:tr w14:paraId="54C2B424">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2B69BA4">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209A8519">
            <w:pPr>
              <w:spacing w:line="240" w:lineRule="exact"/>
              <w:jc w:val="center"/>
              <w:rPr>
                <w:rFonts w:hint="eastAsia" w:asciiTheme="majorEastAsia" w:hAnsiTheme="majorEastAsia" w:eastAsiaTheme="majorEastAsia" w:cstheme="majorEastAsia"/>
                <w:szCs w:val="21"/>
              </w:rPr>
            </w:pPr>
          </w:p>
          <w:p w14:paraId="5453944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01D4FF2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06B4698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430257F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4035CEFE">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6A941878">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4A0D736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1325F487">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C5D1C1F">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52E1F5D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6A3B013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95E62C0">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636A0405">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3E1C9694">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2727AAB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74590C81">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5041DD4">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23BAA9B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092DA02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65286E3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320BEBF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3BC0C9D1">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07870C60">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4288A479">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BEBBD67">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2735D69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6DED9D9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08F409C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3BE393C0">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2FD5706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AA8FF0B">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5A3FD4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33DBEFF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51001458">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31B2EA68">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2A8EDECA">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7B71FDE">
      <w:pPr>
        <w:pStyle w:val="2"/>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8A8618F">
      <w:pP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47CD034">
      <w:pPr>
        <w:pStyle w:val="2"/>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F65629F">
      <w:pPr>
        <w:rPr>
          <w:rFonts w:hint="eastAsia"/>
          <w:lang w:val="en-US" w:eastAsia="zh-CN"/>
        </w:rPr>
        <w:sectPr>
          <w:pgSz w:w="11906" w:h="16838"/>
          <w:pgMar w:top="1701" w:right="1701" w:bottom="1701" w:left="1701" w:header="851" w:footer="992" w:gutter="0"/>
          <w:pgNumType w:fmt="decimal"/>
          <w:cols w:space="0" w:num="1"/>
          <w:rtlGutter w:val="0"/>
          <w:docGrid w:type="lines" w:linePitch="312" w:charSpace="0"/>
        </w:sectPr>
      </w:pPr>
    </w:p>
    <w:p w14:paraId="4D7DC46A">
      <w:pPr>
        <w:pStyle w:val="2"/>
        <w:rPr>
          <w:rFonts w:hint="eastAsia"/>
          <w:lang w:val="en-US" w:eastAsia="zh-CN"/>
        </w:rPr>
      </w:pPr>
    </w:p>
    <w:sectPr>
      <w:footerReference r:id="rId5" w:type="default"/>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BD194">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111A5F">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5111A5F">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25F05">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C0C643">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75C0C643">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7B6D4">
    <w:pPr>
      <w:spacing w:line="14" w:lineRule="auto"/>
      <w:rPr>
        <w:rFonts w:ascii="Arial"/>
        <w:sz w:val="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80DBDB"/>
    <w:multiLevelType w:val="singleLevel"/>
    <w:tmpl w:val="DB80DBDB"/>
    <w:lvl w:ilvl="0" w:tentative="0">
      <w:start w:val="4"/>
      <w:numFmt w:val="chineseCounting"/>
      <w:suff w:val="nothing"/>
      <w:lvlText w:val="%1、"/>
      <w:lvlJc w:val="left"/>
      <w:rPr>
        <w:rFonts w:hint="eastAsia"/>
      </w:rPr>
    </w:lvl>
  </w:abstractNum>
  <w:abstractNum w:abstractNumId="1">
    <w:nsid w:val="F5CCE24E"/>
    <w:multiLevelType w:val="singleLevel"/>
    <w:tmpl w:val="F5CCE24E"/>
    <w:lvl w:ilvl="0" w:tentative="0">
      <w:start w:val="1"/>
      <w:numFmt w:val="chineseCounting"/>
      <w:suff w:val="nothing"/>
      <w:lvlText w:val="%1、"/>
      <w:lvlJc w:val="left"/>
      <w:rPr>
        <w:rFonts w:hint="eastAsia"/>
      </w:rPr>
    </w:lvl>
  </w:abstractNum>
  <w:abstractNum w:abstractNumId="2">
    <w:nsid w:val="67832EC2"/>
    <w:multiLevelType w:val="singleLevel"/>
    <w:tmpl w:val="67832EC2"/>
    <w:lvl w:ilvl="0" w:tentative="0">
      <w:start w:val="8"/>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8C3EF6"/>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12C9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A5305F"/>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4E24F1"/>
    <w:rsid w:val="08674899"/>
    <w:rsid w:val="08754155"/>
    <w:rsid w:val="087B77E7"/>
    <w:rsid w:val="087D3D34"/>
    <w:rsid w:val="0889236C"/>
    <w:rsid w:val="088E051E"/>
    <w:rsid w:val="08935A7B"/>
    <w:rsid w:val="08A91E6C"/>
    <w:rsid w:val="08BA1B19"/>
    <w:rsid w:val="08CB1C5C"/>
    <w:rsid w:val="08D059DD"/>
    <w:rsid w:val="08DC08E7"/>
    <w:rsid w:val="092D1C9E"/>
    <w:rsid w:val="09377E5E"/>
    <w:rsid w:val="09383E9F"/>
    <w:rsid w:val="0939426E"/>
    <w:rsid w:val="09504F8C"/>
    <w:rsid w:val="09616470"/>
    <w:rsid w:val="096C1F5A"/>
    <w:rsid w:val="096C76C1"/>
    <w:rsid w:val="09891830"/>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9F0AA5"/>
    <w:rsid w:val="0BB324D8"/>
    <w:rsid w:val="0BB672C7"/>
    <w:rsid w:val="0BC07BBF"/>
    <w:rsid w:val="0BC429EF"/>
    <w:rsid w:val="0BCE65D1"/>
    <w:rsid w:val="0BD60937"/>
    <w:rsid w:val="0BD912A4"/>
    <w:rsid w:val="0BE135FA"/>
    <w:rsid w:val="0BEE4F6B"/>
    <w:rsid w:val="0C03261E"/>
    <w:rsid w:val="0C0439FA"/>
    <w:rsid w:val="0C0B17DF"/>
    <w:rsid w:val="0C0F382B"/>
    <w:rsid w:val="0C0F5FE3"/>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9C4D48"/>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B70902"/>
    <w:rsid w:val="10C8346E"/>
    <w:rsid w:val="10FE6AB1"/>
    <w:rsid w:val="1112624E"/>
    <w:rsid w:val="11153798"/>
    <w:rsid w:val="11297158"/>
    <w:rsid w:val="114B2C9B"/>
    <w:rsid w:val="115D78BB"/>
    <w:rsid w:val="116001E2"/>
    <w:rsid w:val="11793618"/>
    <w:rsid w:val="117B6FDE"/>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87572"/>
    <w:rsid w:val="12CF0716"/>
    <w:rsid w:val="12D95227"/>
    <w:rsid w:val="12E33197"/>
    <w:rsid w:val="12EE1C9C"/>
    <w:rsid w:val="12F863E6"/>
    <w:rsid w:val="13094CA6"/>
    <w:rsid w:val="132156D8"/>
    <w:rsid w:val="132911E2"/>
    <w:rsid w:val="13312FE8"/>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53320"/>
    <w:rsid w:val="15DA784E"/>
    <w:rsid w:val="15DB017B"/>
    <w:rsid w:val="15E6370B"/>
    <w:rsid w:val="15E835FB"/>
    <w:rsid w:val="15E84717"/>
    <w:rsid w:val="160F0091"/>
    <w:rsid w:val="16144614"/>
    <w:rsid w:val="163E3AB2"/>
    <w:rsid w:val="165878EE"/>
    <w:rsid w:val="165E3F72"/>
    <w:rsid w:val="166D0110"/>
    <w:rsid w:val="167050F1"/>
    <w:rsid w:val="16713DA7"/>
    <w:rsid w:val="16797776"/>
    <w:rsid w:val="168B5A21"/>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C97671"/>
    <w:rsid w:val="18D233DB"/>
    <w:rsid w:val="18DC433F"/>
    <w:rsid w:val="18DD0C18"/>
    <w:rsid w:val="18DE4BF6"/>
    <w:rsid w:val="18EC1CA5"/>
    <w:rsid w:val="18F23C9D"/>
    <w:rsid w:val="18F554AB"/>
    <w:rsid w:val="18FE49D5"/>
    <w:rsid w:val="190F3527"/>
    <w:rsid w:val="19100497"/>
    <w:rsid w:val="19183CAC"/>
    <w:rsid w:val="193964B7"/>
    <w:rsid w:val="193E682C"/>
    <w:rsid w:val="194404B6"/>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7B75D1"/>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64B86"/>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83E9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1F5F9F"/>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862824"/>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61560E"/>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174A5"/>
    <w:rsid w:val="314A407E"/>
    <w:rsid w:val="317038BB"/>
    <w:rsid w:val="317958D0"/>
    <w:rsid w:val="318D218C"/>
    <w:rsid w:val="318E788B"/>
    <w:rsid w:val="31964319"/>
    <w:rsid w:val="319A32FE"/>
    <w:rsid w:val="31A53AB7"/>
    <w:rsid w:val="31A801F9"/>
    <w:rsid w:val="31C57FB2"/>
    <w:rsid w:val="31C932E2"/>
    <w:rsid w:val="31D9277B"/>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4D684E"/>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9B14AD"/>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7F2E61"/>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05B59"/>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9A0269"/>
    <w:rsid w:val="3CA372A1"/>
    <w:rsid w:val="3CA600E0"/>
    <w:rsid w:val="3CB765A9"/>
    <w:rsid w:val="3CBA4326"/>
    <w:rsid w:val="3CBC0BE3"/>
    <w:rsid w:val="3CC614DA"/>
    <w:rsid w:val="3CCB42F9"/>
    <w:rsid w:val="3CD01DA9"/>
    <w:rsid w:val="3CDA38F5"/>
    <w:rsid w:val="3CDD517D"/>
    <w:rsid w:val="3CE17B94"/>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DFD6D01"/>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A1493"/>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9A7140"/>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A400FD"/>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CC18F2"/>
    <w:rsid w:val="48F84416"/>
    <w:rsid w:val="490874C4"/>
    <w:rsid w:val="4913307D"/>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DFC059C"/>
    <w:rsid w:val="4E370600"/>
    <w:rsid w:val="4E435024"/>
    <w:rsid w:val="4E4E7E80"/>
    <w:rsid w:val="4E510EB2"/>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81B92"/>
    <w:rsid w:val="510F2A7F"/>
    <w:rsid w:val="512746EF"/>
    <w:rsid w:val="51283E4C"/>
    <w:rsid w:val="51291D35"/>
    <w:rsid w:val="512B3A7F"/>
    <w:rsid w:val="51414399"/>
    <w:rsid w:val="515D5FD6"/>
    <w:rsid w:val="516A7012"/>
    <w:rsid w:val="51721A38"/>
    <w:rsid w:val="517D016D"/>
    <w:rsid w:val="518D3B9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AD5AE3"/>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05658"/>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B2191"/>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7E4E20"/>
    <w:rsid w:val="5A821401"/>
    <w:rsid w:val="5A8A2B4B"/>
    <w:rsid w:val="5A9F5080"/>
    <w:rsid w:val="5AAB6618"/>
    <w:rsid w:val="5AC52E1B"/>
    <w:rsid w:val="5AE91049"/>
    <w:rsid w:val="5AEF582B"/>
    <w:rsid w:val="5B0B5334"/>
    <w:rsid w:val="5B1B7ACD"/>
    <w:rsid w:val="5B247C71"/>
    <w:rsid w:val="5B2A406A"/>
    <w:rsid w:val="5B2B06FA"/>
    <w:rsid w:val="5B2D6064"/>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3A197E"/>
    <w:rsid w:val="5C4E1E1E"/>
    <w:rsid w:val="5C4F343B"/>
    <w:rsid w:val="5C6A79EB"/>
    <w:rsid w:val="5C912690"/>
    <w:rsid w:val="5C924274"/>
    <w:rsid w:val="5C970365"/>
    <w:rsid w:val="5C9B4F08"/>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1145A"/>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DB0C58"/>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C972F4"/>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342EE5"/>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32DBD"/>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DC966E2"/>
    <w:rsid w:val="6E016450"/>
    <w:rsid w:val="6E037AD7"/>
    <w:rsid w:val="6E056523"/>
    <w:rsid w:val="6E074EC9"/>
    <w:rsid w:val="6E160E52"/>
    <w:rsid w:val="6E2E569B"/>
    <w:rsid w:val="6E397032"/>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0D5F7A"/>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5B72C0"/>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2438C"/>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D73E5B"/>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4F5B8A"/>
    <w:rsid w:val="7D536B5F"/>
    <w:rsid w:val="7D5F5E30"/>
    <w:rsid w:val="7D6C208F"/>
    <w:rsid w:val="7D897D56"/>
    <w:rsid w:val="7D9B14E5"/>
    <w:rsid w:val="7DAA42B2"/>
    <w:rsid w:val="7DAA569A"/>
    <w:rsid w:val="7DB1501E"/>
    <w:rsid w:val="7DB676D9"/>
    <w:rsid w:val="7DBE16CF"/>
    <w:rsid w:val="7DC37DE3"/>
    <w:rsid w:val="7DD45912"/>
    <w:rsid w:val="7DFB06BD"/>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556080"/>
    <w:rsid w:val="7F66205C"/>
    <w:rsid w:val="7F9D6E47"/>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next w:val="1"/>
    <w:qFormat/>
    <w:uiPriority w:val="99"/>
    <w:pPr>
      <w:widowControl w:val="0"/>
      <w:adjustRightInd/>
      <w:snapToGrid/>
      <w:spacing w:before="100" w:beforeAutospacing="1" w:after="0"/>
      <w:jc w:val="both"/>
    </w:pPr>
    <w:rPr>
      <w:rFonts w:ascii="Calibri" w:hAnsi="Calibri" w:eastAsia="宋体" w:cs="黑体"/>
      <w:kern w:val="2"/>
      <w:sz w:val="21"/>
      <w:szCs w:val="21"/>
      <w:lang w:val="en-US" w:eastAsia="zh-CN" w:bidi="ar-SA"/>
    </w:rPr>
  </w:style>
  <w:style w:type="paragraph" w:styleId="3">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qFormat/>
    <w:uiPriority w:val="0"/>
    <w:pPr>
      <w:widowControl w:val="0"/>
      <w:spacing w:before="100" w:beforeAutospacing="1" w:after="100" w:afterAutospacing="1"/>
      <w:ind w:left="0" w:right="0"/>
      <w:jc w:val="left"/>
    </w:pPr>
    <w:rPr>
      <w:rFonts w:ascii="Times New Roman" w:hAnsi="Times New Roman" w:eastAsia="宋体" w:cs="Times New Roman"/>
      <w:kern w:val="0"/>
      <w:sz w:val="24"/>
      <w:szCs w:val="24"/>
      <w:lang w:val="en-US" w:eastAsia="zh-CN" w:bidi="ar"/>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0">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6871</Words>
  <Characters>7635</Characters>
  <Lines>0</Lines>
  <Paragraphs>0</Paragraphs>
  <TotalTime>0</TotalTime>
  <ScaleCrop>false</ScaleCrop>
  <LinksUpToDate>false</LinksUpToDate>
  <CharactersWithSpaces>7771</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2023-08-28T08:07:00Z</cp:lastPrinted>
  <dcterms:modified xsi:type="dcterms:W3CDTF">2024-07-16T01:28:35Z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E672255DCBE94C1D94EC008D7948D9B6_13</vt:lpwstr>
  </property>
</Properties>
</file>