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2022年度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rFonts w:ascii="Calibri" w:hAnsi="Calibri" w:eastAsia="宋体" w:cs="Times New Roman"/>
          <w:color w:val="000000"/>
          <w:szCs w:val="24"/>
        </w:rPr>
      </w:pPr>
    </w:p>
    <w:tbl>
      <w:tblPr>
        <w:tblStyle w:val="4"/>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eastAsia" w:ascii="宋体" w:hAnsi="宋体" w:eastAsia="宋体" w:cs="宋体"/>
                <w:color w:val="000000"/>
                <w:spacing w:val="-2"/>
                <w:sz w:val="20"/>
                <w:szCs w:val="20"/>
                <w:lang w:eastAsia="zh-CN"/>
              </w:rPr>
            </w:pPr>
            <w:r>
              <w:rPr>
                <w:rFonts w:hint="eastAsia" w:ascii="宋体" w:hAnsi="宋体" w:eastAsia="宋体" w:cs="宋体"/>
                <w:color w:val="000000"/>
                <w:spacing w:val="-2"/>
                <w:sz w:val="20"/>
                <w:szCs w:val="20"/>
                <w:lang w:eastAsia="zh-CN"/>
              </w:rPr>
              <w:t>岳阳楼区医疗保障局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2022年实际在职人数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47</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47</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2021年决算数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2022年预算数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15</w:t>
            </w:r>
          </w:p>
        </w:tc>
        <w:tc>
          <w:tcPr>
            <w:tcW w:w="1679" w:type="dxa"/>
            <w:gridSpan w:val="2"/>
            <w:noWrap w:val="0"/>
            <w:vAlign w:val="top"/>
          </w:tcPr>
          <w:p>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jc w:val="center"/>
              <w:rPr>
                <w:rFonts w:hint="eastAsia" w:ascii="宋体" w:hAnsi="宋体" w:eastAsia="宋体" w:cs="宋体"/>
                <w:color w:val="000000"/>
                <w:sz w:val="21"/>
                <w:szCs w:val="24"/>
              </w:rPr>
            </w:pP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217</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231.98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jc w:val="center"/>
              <w:rPr>
                <w:rFonts w:hint="eastAsia" w:ascii="宋体" w:hAnsi="宋体" w:eastAsia="宋体" w:cs="宋体"/>
                <w:color w:val="000000"/>
                <w:sz w:val="21"/>
                <w:szCs w:val="24"/>
              </w:rPr>
            </w:pP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187</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201.98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jc w:val="center"/>
              <w:rPr>
                <w:rFonts w:hint="eastAsia" w:ascii="宋体" w:hAnsi="宋体" w:eastAsia="宋体" w:cs="宋体"/>
                <w:color w:val="000000"/>
                <w:sz w:val="21"/>
                <w:szCs w:val="24"/>
              </w:rPr>
            </w:pP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30</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3、下单位运转</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288.67</w:t>
            </w: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4、行政运转经费</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34.32</w:t>
            </w: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jc w:val="center"/>
              <w:rPr>
                <w:rFonts w:hint="eastAsia" w:ascii="宋体" w:hAnsi="宋体" w:eastAsia="宋体" w:cs="宋体"/>
                <w:color w:val="000000"/>
                <w:sz w:val="21"/>
                <w:szCs w:val="24"/>
              </w:rPr>
            </w:pP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center"/>
              <w:rPr>
                <w:rFonts w:hint="eastAsia" w:ascii="宋体" w:hAnsi="宋体" w:eastAsia="宋体" w:cs="宋体"/>
                <w:color w:val="000000"/>
                <w:sz w:val="24"/>
                <w:szCs w:val="24"/>
                <w:lang w:eastAsia="zh-CN"/>
              </w:rPr>
            </w:pPr>
          </w:p>
        </w:tc>
        <w:tc>
          <w:tcPr>
            <w:tcW w:w="1815" w:type="dxa"/>
            <w:gridSpan w:val="2"/>
            <w:noWrap w:val="0"/>
            <w:vAlign w:val="top"/>
          </w:tcPr>
          <w:p>
            <w:pPr>
              <w:jc w:val="center"/>
              <w:rPr>
                <w:rFonts w:hint="default" w:ascii="宋体" w:hAnsi="宋体" w:eastAsia="宋体" w:cs="宋体"/>
                <w:color w:val="000000"/>
                <w:sz w:val="21"/>
                <w:szCs w:val="24"/>
                <w:lang w:val="en-US" w:eastAsia="zh-CN"/>
              </w:rPr>
            </w:pP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jc w:val="center"/>
              <w:rPr>
                <w:rFonts w:hint="eastAsia" w:ascii="宋体" w:hAnsi="宋体" w:eastAsia="宋体" w:cs="宋体"/>
                <w:color w:val="000000"/>
                <w:sz w:val="21"/>
                <w:szCs w:val="24"/>
              </w:rPr>
            </w:pP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169.12</w:t>
            </w: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90</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950.31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17.67</w:t>
            </w: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32</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15.17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9.58</w:t>
            </w: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0.39</w:t>
            </w:r>
          </w:p>
        </w:tc>
        <w:tc>
          <w:tcPr>
            <w:tcW w:w="2325" w:type="dxa"/>
            <w:gridSpan w:val="2"/>
            <w:noWrap w:val="0"/>
            <w:vAlign w:val="top"/>
          </w:tcPr>
          <w:p>
            <w:pPr>
              <w:jc w:val="center"/>
              <w:rPr>
                <w:rFonts w:hint="eastAsia" w:ascii="宋体" w:hAnsi="宋体" w:eastAsia="宋体" w:cs="宋体"/>
                <w:color w:val="000000"/>
                <w:sz w:val="21"/>
                <w:szCs w:val="24"/>
              </w:rPr>
            </w:pP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0.06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jc w:val="center"/>
              <w:rPr>
                <w:rFonts w:hint="default" w:ascii="宋体" w:hAnsi="宋体" w:eastAsia="宋体" w:cs="宋体"/>
                <w:color w:val="000000"/>
                <w:sz w:val="21"/>
                <w:szCs w:val="24"/>
                <w:lang w:val="en-US" w:eastAsia="zh-CN"/>
              </w:rPr>
            </w:pPr>
          </w:p>
        </w:tc>
        <w:tc>
          <w:tcPr>
            <w:tcW w:w="2325"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216.45</w:t>
            </w:r>
          </w:p>
        </w:tc>
        <w:tc>
          <w:tcPr>
            <w:tcW w:w="1679" w:type="dxa"/>
            <w:gridSpan w:val="2"/>
            <w:noWrap w:val="0"/>
            <w:vAlign w:val="top"/>
          </w:tcPr>
          <w:p>
            <w:pPr>
              <w:jc w:val="center"/>
              <w:rPr>
                <w:rFonts w:hint="default" w:ascii="宋体" w:hAnsi="宋体" w:eastAsia="宋体" w:cs="宋体"/>
                <w:color w:val="000000"/>
                <w:sz w:val="21"/>
                <w:szCs w:val="24"/>
                <w:lang w:val="en-US" w:eastAsia="zh-CN"/>
              </w:rPr>
            </w:pPr>
            <w:r>
              <w:rPr>
                <w:rFonts w:hint="eastAsia" w:ascii="宋体" w:hAnsi="宋体" w:eastAsia="宋体" w:cs="宋体"/>
                <w:color w:val="000000"/>
                <w:sz w:val="21"/>
                <w:szCs w:val="24"/>
                <w:lang w:val="en-US" w:eastAsia="zh-CN"/>
              </w:rPr>
              <w:t>246.64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szCs w:val="24"/>
              </w:rPr>
            </w:pPr>
          </w:p>
        </w:tc>
        <w:tc>
          <w:tcPr>
            <w:tcW w:w="2325" w:type="dxa"/>
            <w:gridSpan w:val="2"/>
            <w:noWrap w:val="0"/>
            <w:vAlign w:val="top"/>
          </w:tcPr>
          <w:p>
            <w:pPr>
              <w:rPr>
                <w:rFonts w:hint="eastAsia" w:ascii="宋体" w:hAnsi="宋体" w:eastAsia="宋体" w:cs="宋体"/>
                <w:color w:val="000000"/>
                <w:sz w:val="21"/>
                <w:szCs w:val="24"/>
              </w:rPr>
            </w:pPr>
          </w:p>
        </w:tc>
        <w:tc>
          <w:tcPr>
            <w:tcW w:w="1679" w:type="dxa"/>
            <w:gridSpan w:val="2"/>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szCs w:val="24"/>
              </w:rPr>
            </w:pPr>
          </w:p>
        </w:tc>
        <w:tc>
          <w:tcPr>
            <w:tcW w:w="990" w:type="dxa"/>
            <w:noWrap w:val="0"/>
            <w:vAlign w:val="top"/>
          </w:tcPr>
          <w:p>
            <w:pPr>
              <w:rPr>
                <w:rFonts w:hint="eastAsia" w:ascii="宋体" w:hAnsi="宋体" w:eastAsia="宋体" w:cs="宋体"/>
                <w:color w:val="000000"/>
                <w:sz w:val="21"/>
                <w:szCs w:val="24"/>
              </w:rPr>
            </w:pPr>
          </w:p>
        </w:tc>
        <w:tc>
          <w:tcPr>
            <w:tcW w:w="1140" w:type="dxa"/>
            <w:noWrap w:val="0"/>
            <w:vAlign w:val="top"/>
          </w:tcPr>
          <w:p>
            <w:pPr>
              <w:rPr>
                <w:rFonts w:hint="eastAsia" w:ascii="宋体" w:hAnsi="宋体" w:eastAsia="宋体" w:cs="宋体"/>
                <w:color w:val="000000"/>
                <w:sz w:val="21"/>
                <w:szCs w:val="24"/>
              </w:rPr>
            </w:pPr>
          </w:p>
        </w:tc>
        <w:tc>
          <w:tcPr>
            <w:tcW w:w="1185" w:type="dxa"/>
            <w:noWrap w:val="0"/>
            <w:vAlign w:val="top"/>
          </w:tcPr>
          <w:p>
            <w:pPr>
              <w:rPr>
                <w:rFonts w:hint="eastAsia" w:ascii="宋体" w:hAnsi="宋体" w:eastAsia="宋体" w:cs="宋体"/>
                <w:color w:val="000000"/>
                <w:sz w:val="21"/>
                <w:szCs w:val="24"/>
              </w:rPr>
            </w:pPr>
          </w:p>
        </w:tc>
        <w:tc>
          <w:tcPr>
            <w:tcW w:w="810" w:type="dxa"/>
            <w:noWrap w:val="0"/>
            <w:vAlign w:val="top"/>
          </w:tcPr>
          <w:p>
            <w:pPr>
              <w:rPr>
                <w:rFonts w:hint="eastAsia" w:ascii="宋体" w:hAnsi="宋体" w:eastAsia="宋体" w:cs="宋体"/>
                <w:color w:val="000000"/>
                <w:sz w:val="21"/>
                <w:szCs w:val="24"/>
              </w:rPr>
            </w:pPr>
          </w:p>
        </w:tc>
        <w:tc>
          <w:tcPr>
            <w:tcW w:w="869" w:type="dxa"/>
            <w:noWrap w:val="0"/>
            <w:vAlign w:val="top"/>
          </w:tcPr>
          <w:p>
            <w:pPr>
              <w:rPr>
                <w:rFonts w:hint="eastAsia" w:ascii="宋体" w:hAnsi="宋体" w:eastAsia="宋体" w:cs="宋体"/>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szCs w:val="24"/>
                <w:lang w:eastAsia="zh-CN"/>
              </w:rPr>
            </w:pPr>
            <w:r>
              <w:rPr>
                <w:rFonts w:hint="eastAsia" w:ascii="宋体" w:hAnsi="宋体" w:eastAsia="宋体" w:cs="宋体"/>
                <w:color w:val="000000"/>
                <w:sz w:val="21"/>
                <w:szCs w:val="24"/>
                <w:lang w:eastAsia="zh-CN"/>
              </w:rPr>
              <w:t>制定事前报备，事后审核制度</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宋体" w:hAnsi="宋体" w:eastAsia="宋体" w:cs="宋体"/>
          <w:color w:val="000000"/>
          <w:spacing w:val="0"/>
          <w:position w:val="0"/>
          <w:sz w:val="23"/>
          <w:szCs w:val="23"/>
          <w:lang w:val="en-US" w:eastAsia="zh-CN"/>
        </w:rPr>
      </w:pP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童璇</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13873029299</w:t>
      </w:r>
      <w:r>
        <w:rPr>
          <w:rFonts w:hint="eastAsia" w:ascii="宋体" w:hAnsi="宋体" w:eastAsia="宋体" w:cs="宋体"/>
          <w:color w:val="000000"/>
          <w:spacing w:val="0"/>
          <w:position w:val="0"/>
          <w:sz w:val="23"/>
          <w:szCs w:val="23"/>
        </w:rPr>
        <w:t xml:space="preserve">    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2023-6-14</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eastAsia="zh-CN"/>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rPr>
      </w:pPr>
      <w:r>
        <w:rPr>
          <w:rFonts w:hint="eastAsia" w:ascii="方正小标宋简体" w:hAnsi="方正小标宋简体" w:eastAsia="方正小标宋简体" w:cs="方正小标宋简体"/>
          <w:b w:val="0"/>
          <w:bCs w:val="0"/>
          <w:color w:val="000000"/>
          <w:spacing w:val="2"/>
          <w:sz w:val="42"/>
          <w:szCs w:val="42"/>
          <w:lang w:val="en-US" w:eastAsia="zh-CN"/>
        </w:rPr>
        <w:t xml:space="preserve">  </w:t>
      </w:r>
      <w:r>
        <w:rPr>
          <w:rFonts w:hint="eastAsia" w:ascii="方正小标宋简体" w:hAnsi="方正小标宋简体" w:eastAsia="方正小标宋简体" w:cs="方正小标宋简体"/>
          <w:b w:val="0"/>
          <w:bCs w:val="0"/>
          <w:color w:val="000000"/>
          <w:spacing w:val="2"/>
          <w:sz w:val="42"/>
          <w:szCs w:val="42"/>
        </w:rPr>
        <w:t>2022年度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整体支出绩效自评表</w:t>
      </w:r>
    </w:p>
    <w:p>
      <w:pPr>
        <w:spacing w:line="168" w:lineRule="exact"/>
        <w:rPr>
          <w:rFonts w:ascii="Calibri" w:hAnsi="Calibri" w:eastAsia="宋体" w:cs="Times New Roman"/>
          <w:color w:val="000000"/>
          <w:szCs w:val="24"/>
        </w:rPr>
      </w:pPr>
    </w:p>
    <w:tbl>
      <w:tblPr>
        <w:tblStyle w:val="4"/>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预算</w:t>
            </w:r>
            <w:r>
              <w:rPr>
                <w:rFonts w:hint="eastAsia" w:ascii="宋体" w:hAnsi="宋体" w:eastAsia="宋体" w:cs="宋体"/>
                <w:color w:val="000000"/>
                <w:spacing w:val="2"/>
                <w:sz w:val="21"/>
                <w:szCs w:val="21"/>
                <w:lang w:eastAsia="zh-CN"/>
              </w:rPr>
              <w:t>单位</w:t>
            </w:r>
            <w:r>
              <w:rPr>
                <w:rFonts w:hint="eastAsia" w:ascii="宋体" w:hAnsi="宋体" w:eastAsia="宋体" w:cs="宋体"/>
                <w:color w:val="000000"/>
                <w:spacing w:val="2"/>
                <w:sz w:val="21"/>
                <w:szCs w:val="21"/>
                <w:lang w:val="en-US" w:eastAsia="zh-CN"/>
              </w:rPr>
              <w:t xml:space="preserve"> </w:t>
            </w:r>
            <w:r>
              <w:rPr>
                <w:rFonts w:ascii="宋体" w:hAnsi="宋体" w:eastAsia="宋体" w:cs="宋体"/>
                <w:color w:val="000000"/>
                <w:spacing w:val="2"/>
                <w:sz w:val="21"/>
                <w:szCs w:val="21"/>
              </w:rPr>
              <w:t>名称</w:t>
            </w:r>
          </w:p>
        </w:tc>
        <w:tc>
          <w:tcPr>
            <w:tcW w:w="8751" w:type="dxa"/>
            <w:gridSpan w:val="8"/>
            <w:noWrap w:val="0"/>
            <w:vAlign w:val="top"/>
          </w:tcPr>
          <w:p>
            <w:pPr>
              <w:rPr>
                <w:rFonts w:hint="eastAsia" w:ascii="Arial" w:hAnsi="Calibri" w:eastAsia="宋体" w:cs="Times New Roman"/>
                <w:color w:val="000000"/>
                <w:sz w:val="21"/>
                <w:szCs w:val="24"/>
                <w:lang w:eastAsia="zh-CN"/>
              </w:rPr>
            </w:pPr>
            <w:r>
              <w:rPr>
                <w:rFonts w:hint="eastAsia" w:ascii="Arial" w:hAnsi="Calibri" w:eastAsia="宋体" w:cs="Times New Roman"/>
                <w:color w:val="000000"/>
                <w:sz w:val="21"/>
                <w:szCs w:val="24"/>
                <w:lang w:eastAsia="zh-CN"/>
              </w:rPr>
              <w:t>岳阳楼区医疗保障局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hAnsi="Calibri" w:eastAsia="宋体" w:cs="Times New Roman"/>
                <w:color w:val="000000"/>
                <w:sz w:val="21"/>
                <w:szCs w:val="21"/>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sz w:val="21"/>
                <w:szCs w:val="21"/>
              </w:rPr>
            </w:pPr>
            <w:r>
              <w:rPr>
                <w:rFonts w:ascii="宋体" w:hAnsi="宋体" w:eastAsia="宋体" w:cs="宋体"/>
                <w:color w:val="000000"/>
                <w:spacing w:val="-3"/>
                <w:position w:val="4"/>
                <w:sz w:val="21"/>
                <w:szCs w:val="21"/>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sz w:val="21"/>
                <w:szCs w:val="21"/>
              </w:rPr>
            </w:pPr>
            <w:r>
              <w:rPr>
                <w:rFonts w:ascii="宋体" w:hAnsi="宋体" w:eastAsia="宋体" w:cs="宋体"/>
                <w:color w:val="000000"/>
                <w:spacing w:val="-3"/>
                <w:sz w:val="21"/>
                <w:szCs w:val="21"/>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sz w:val="21"/>
                <w:szCs w:val="21"/>
              </w:rPr>
            </w:pPr>
            <w:r>
              <w:rPr>
                <w:rFonts w:ascii="宋体" w:hAnsi="宋体" w:eastAsia="宋体" w:cs="宋体"/>
                <w:color w:val="000000"/>
                <w:spacing w:val="11"/>
                <w:sz w:val="21"/>
                <w:szCs w:val="21"/>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hAnsi="Calibri" w:eastAsia="宋体" w:cs="Times New Roman"/>
                <w:color w:val="000000"/>
                <w:spacing w:val="0"/>
                <w:sz w:val="20"/>
                <w:szCs w:val="24"/>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val="en-US" w:eastAsia="zh-CN"/>
              </w:rPr>
              <w:t>1000.48</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val="en-US" w:eastAsia="zh-CN"/>
              </w:rPr>
              <w:t>1904.89</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val="en-US" w:eastAsia="zh-CN"/>
              </w:rPr>
              <w:t>1904.89</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spacing w:val="0"/>
                <w:sz w:val="20"/>
                <w:szCs w:val="20"/>
              </w:rPr>
            </w:pPr>
            <w:r>
              <w:rPr>
                <w:rFonts w:ascii="宋体" w:hAnsi="宋体" w:eastAsia="宋体" w:cs="宋体"/>
                <w:color w:val="000000"/>
                <w:spacing w:val="0"/>
                <w:position w:val="-3"/>
                <w:sz w:val="20"/>
                <w:szCs w:val="20"/>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val="en-US" w:eastAsia="zh-CN"/>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spacing w:val="0"/>
                <w:sz w:val="21"/>
                <w:szCs w:val="21"/>
                <w:lang w:val="en-US" w:eastAsia="zh-CN"/>
              </w:rPr>
            </w:pPr>
            <w:r>
              <w:rPr>
                <w:rFonts w:ascii="宋体" w:hAnsi="宋体" w:eastAsia="宋体" w:cs="宋体"/>
                <w:color w:val="000000"/>
                <w:spacing w:val="0"/>
                <w:sz w:val="21"/>
                <w:szCs w:val="21"/>
              </w:rPr>
              <w:t xml:space="preserve">其中： </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一般公共预算：</w:t>
            </w:r>
            <w:r>
              <w:rPr>
                <w:rFonts w:hint="eastAsia" w:ascii="宋体" w:hAnsi="宋体" w:eastAsia="宋体" w:cs="宋体"/>
                <w:color w:val="000000"/>
                <w:spacing w:val="0"/>
                <w:sz w:val="21"/>
                <w:szCs w:val="21"/>
                <w:lang w:val="en-US" w:eastAsia="zh-CN"/>
              </w:rPr>
              <w:t>1000.48</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spacing w:val="0"/>
                <w:sz w:val="21"/>
                <w:szCs w:val="21"/>
                <w:lang w:val="en-US" w:eastAsia="zh-CN"/>
              </w:rPr>
            </w:pPr>
            <w:r>
              <w:rPr>
                <w:rFonts w:ascii="宋体" w:hAnsi="宋体" w:eastAsia="宋体" w:cs="宋体"/>
                <w:color w:val="000000"/>
                <w:spacing w:val="0"/>
                <w:sz w:val="21"/>
                <w:szCs w:val="21"/>
              </w:rPr>
              <w:t>其中：基本支出：</w:t>
            </w:r>
            <w:r>
              <w:rPr>
                <w:rFonts w:hint="eastAsia" w:ascii="宋体" w:hAnsi="宋体" w:eastAsia="宋体" w:cs="宋体"/>
                <w:color w:val="000000"/>
                <w:spacing w:val="0"/>
                <w:sz w:val="21"/>
                <w:szCs w:val="21"/>
                <w:lang w:val="en-US" w:eastAsia="zh-CN"/>
              </w:rPr>
              <w:t>1672.91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spacing w:val="0"/>
                <w:sz w:val="21"/>
                <w:szCs w:val="21"/>
                <w:lang w:val="en-US" w:eastAsia="zh-CN"/>
              </w:rPr>
            </w:pPr>
            <w:r>
              <w:rPr>
                <w:rFonts w:ascii="宋体" w:hAnsi="宋体" w:eastAsia="宋体" w:cs="宋体"/>
                <w:color w:val="000000"/>
                <w:spacing w:val="0"/>
                <w:sz w:val="21"/>
                <w:szCs w:val="21"/>
              </w:rPr>
              <w:t>项目支出：</w:t>
            </w:r>
            <w:r>
              <w:rPr>
                <w:rFonts w:hint="eastAsia" w:ascii="宋体" w:hAnsi="宋体" w:eastAsia="宋体" w:cs="宋体"/>
                <w:color w:val="000000"/>
                <w:spacing w:val="0"/>
                <w:sz w:val="21"/>
                <w:szCs w:val="21"/>
                <w:lang w:val="en-US" w:eastAsia="zh-CN"/>
              </w:rPr>
              <w:t>231.98</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sz w:val="21"/>
                <w:szCs w:val="21"/>
              </w:rPr>
            </w:pPr>
            <w:r>
              <w:rPr>
                <w:rFonts w:ascii="宋体" w:hAnsi="宋体" w:eastAsia="宋体" w:cs="宋体"/>
                <w:color w:val="000000"/>
                <w:spacing w:val="7"/>
                <w:sz w:val="21"/>
                <w:szCs w:val="21"/>
              </w:rPr>
              <w:t>年度总体</w:t>
            </w:r>
            <w:r>
              <w:rPr>
                <w:rFonts w:ascii="宋体" w:hAnsi="宋体" w:eastAsia="宋体" w:cs="宋体"/>
                <w:color w:val="000000"/>
                <w:spacing w:val="1"/>
                <w:sz w:val="21"/>
                <w:szCs w:val="21"/>
              </w:rPr>
              <w:t xml:space="preserve"> </w:t>
            </w:r>
            <w:r>
              <w:rPr>
                <w:rFonts w:ascii="宋体" w:hAnsi="宋体" w:eastAsia="宋体" w:cs="宋体"/>
                <w:color w:val="000000"/>
                <w:spacing w:val="-19"/>
                <w:sz w:val="21"/>
                <w:szCs w:val="21"/>
              </w:rPr>
              <w:t>目</w:t>
            </w:r>
            <w:r>
              <w:rPr>
                <w:rFonts w:ascii="宋体" w:hAnsi="宋体" w:eastAsia="宋体" w:cs="宋体"/>
                <w:color w:val="000000"/>
                <w:spacing w:val="-35"/>
                <w:sz w:val="21"/>
                <w:szCs w:val="21"/>
              </w:rPr>
              <w:t xml:space="preserve"> </w:t>
            </w:r>
            <w:r>
              <w:rPr>
                <w:rFonts w:ascii="宋体" w:hAnsi="宋体" w:eastAsia="宋体" w:cs="宋体"/>
                <w:color w:val="000000"/>
                <w:spacing w:val="-19"/>
                <w:sz w:val="21"/>
                <w:szCs w:val="21"/>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hAnsi="Calibri" w:eastAsia="宋体" w:cs="Times New Roman"/>
                <w:color w:val="000000"/>
                <w:sz w:val="21"/>
                <w:szCs w:val="21"/>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eastAsia="zh-CN"/>
              </w:rPr>
              <w:t>城乡居民参保率达</w:t>
            </w:r>
            <w:r>
              <w:rPr>
                <w:rFonts w:hint="eastAsia" w:ascii="Arial" w:hAnsi="Calibri" w:eastAsia="宋体" w:cs="Times New Roman"/>
                <w:color w:val="000000"/>
                <w:spacing w:val="0"/>
                <w:sz w:val="20"/>
                <w:szCs w:val="24"/>
                <w:lang w:val="en-US" w:eastAsia="zh-CN"/>
              </w:rPr>
              <w:t>95%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pacing w:val="0"/>
                <w:sz w:val="20"/>
                <w:szCs w:val="24"/>
                <w:lang w:val="en-US" w:eastAsia="zh-CN"/>
              </w:rPr>
            </w:pPr>
            <w:r>
              <w:rPr>
                <w:rFonts w:hint="eastAsia" w:ascii="Arial" w:hAnsi="Calibri" w:eastAsia="宋体" w:cs="Times New Roman"/>
                <w:color w:val="000000"/>
                <w:spacing w:val="0"/>
                <w:sz w:val="20"/>
                <w:szCs w:val="24"/>
                <w:lang w:eastAsia="zh-CN"/>
              </w:rPr>
              <w:t>城乡居民参保率达到了</w:t>
            </w:r>
            <w:r>
              <w:rPr>
                <w:rFonts w:hint="eastAsia" w:ascii="Arial" w:hAnsi="Calibri" w:eastAsia="宋体" w:cs="Times New Roman"/>
                <w:color w:val="000000"/>
                <w:spacing w:val="0"/>
                <w:sz w:val="20"/>
                <w:szCs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hAnsi="Calibri" w:eastAsia="宋体" w:cs="Times New Roman"/>
                <w:color w:val="000000"/>
                <w:sz w:val="21"/>
                <w:szCs w:val="21"/>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sz w:val="21"/>
                <w:szCs w:val="21"/>
              </w:rPr>
            </w:pPr>
            <w:r>
              <w:rPr>
                <w:rFonts w:ascii="宋体" w:hAnsi="宋体" w:eastAsia="宋体" w:cs="宋体"/>
                <w:color w:val="000000"/>
                <w:sz w:val="21"/>
                <w:szCs w:val="21"/>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hAnsi="Calibri" w:eastAsia="宋体" w:cs="Times New Roman"/>
                <w:color w:val="000000"/>
                <w:sz w:val="21"/>
                <w:szCs w:val="24"/>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hAnsi="Calibri" w:eastAsia="宋体" w:cs="Times New Roman"/>
                <w:color w:val="000000"/>
                <w:sz w:val="21"/>
                <w:szCs w:val="24"/>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hAnsi="Calibri" w:eastAsia="宋体" w:cs="Times New Roman"/>
                <w:color w:val="000000"/>
                <w:sz w:val="21"/>
                <w:szCs w:val="24"/>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hAnsi="Calibri" w:eastAsia="宋体" w:cs="Times New Roman"/>
                <w:color w:val="000000"/>
                <w:sz w:val="21"/>
                <w:szCs w:val="24"/>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sz w:val="21"/>
                <w:szCs w:val="21"/>
              </w:rPr>
            </w:pPr>
            <w:r>
              <w:rPr>
                <w:rFonts w:ascii="宋体" w:hAnsi="宋体" w:eastAsia="宋体" w:cs="宋体"/>
                <w:color w:val="000000"/>
                <w:spacing w:val="-2"/>
                <w:position w:val="20"/>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9"/>
                <w:sz w:val="21"/>
                <w:szCs w:val="21"/>
              </w:rPr>
              <w:t>(</w:t>
            </w:r>
            <w:r>
              <w:rPr>
                <w:rFonts w:hint="eastAsia" w:ascii="宋体" w:hAnsi="宋体" w:eastAsia="宋体" w:cs="宋体"/>
                <w:color w:val="000000"/>
                <w:spacing w:val="9"/>
                <w:sz w:val="21"/>
                <w:szCs w:val="21"/>
                <w:lang w:val="en-US" w:eastAsia="zh-CN"/>
              </w:rPr>
              <w:t>90</w:t>
            </w:r>
            <w:r>
              <w:rPr>
                <w:rFonts w:ascii="宋体" w:hAnsi="宋体" w:eastAsia="宋体" w:cs="宋体"/>
                <w:color w:val="000000"/>
                <w:spacing w:val="9"/>
                <w:sz w:val="21"/>
                <w:szCs w:val="21"/>
              </w:rPr>
              <w:t>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eastAsia="zh-CN"/>
              </w:rPr>
              <w:t>城乡居民参保率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20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hAnsi="Calibri" w:eastAsia="宋体" w:cs="Times New Roman"/>
                <w:color w:val="000000"/>
                <w:sz w:val="2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质量指标</w:t>
            </w:r>
          </w:p>
        </w:tc>
        <w:tc>
          <w:tcPr>
            <w:tcW w:w="1269" w:type="dxa"/>
            <w:noWrap w:val="0"/>
            <w:vAlign w:val="center"/>
          </w:tcPr>
          <w:p>
            <w:pPr>
              <w:widowControl/>
              <w:autoSpaceDE w:val="0"/>
              <w:autoSpaceDN w:val="0"/>
              <w:spacing w:before="59" w:after="0" w:line="240" w:lineRule="auto"/>
              <w:ind w:left="65" w:right="0" w:firstLine="0"/>
              <w:jc w:val="left"/>
              <w:rPr>
                <w:rFonts w:ascii="Cambria" w:hAnsi="Cambria" w:eastAsia="Cambria" w:cs="Times New Roman"/>
                <w:kern w:val="0"/>
                <w:sz w:val="20"/>
                <w:szCs w:val="20"/>
                <w:lang w:eastAsia="en-US"/>
              </w:rPr>
            </w:pPr>
            <w:r>
              <w:rPr>
                <w:rFonts w:ascii="宋体" w:hAnsi="宋体" w:eastAsia="宋体" w:cs="宋体"/>
                <w:color w:val="000000"/>
                <w:spacing w:val="-2"/>
                <w:kern w:val="0"/>
                <w:sz w:val="20"/>
                <w:szCs w:val="20"/>
                <w:lang w:eastAsia="en-US"/>
              </w:rPr>
              <w:t>城</w:t>
            </w:r>
            <w:r>
              <w:rPr>
                <w:rFonts w:ascii="宋体" w:hAnsi="宋体" w:eastAsia="宋体" w:cs="宋体"/>
                <w:color w:val="000000"/>
                <w:spacing w:val="-1"/>
                <w:kern w:val="0"/>
                <w:sz w:val="20"/>
                <w:szCs w:val="20"/>
                <w:lang w:eastAsia="en-US"/>
              </w:rPr>
              <w:t>乡居民参保各项财政</w:t>
            </w:r>
          </w:p>
          <w:p>
            <w:pPr>
              <w:widowControl/>
              <w:spacing w:before="0" w:after="0" w:line="98" w:lineRule="exact"/>
              <w:ind w:left="0" w:right="0"/>
              <w:jc w:val="left"/>
              <w:rPr>
                <w:rFonts w:ascii="Cambria" w:hAnsi="Cambria" w:eastAsia="Cambria" w:cs="Times New Roman"/>
                <w:kern w:val="0"/>
                <w:sz w:val="20"/>
                <w:szCs w:val="20"/>
                <w:lang w:eastAsia="en-US"/>
              </w:rPr>
            </w:pP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hAnsi="Calibri" w:eastAsia="宋体" w:cs="Times New Roman"/>
                <w:color w:val="000000"/>
                <w:sz w:val="20"/>
                <w:szCs w:val="24"/>
              </w:rPr>
            </w:pPr>
            <w:r>
              <w:rPr>
                <w:rFonts w:ascii="宋体" w:hAnsi="宋体" w:eastAsia="宋体" w:cs="宋体"/>
                <w:color w:val="000000"/>
                <w:spacing w:val="-3"/>
                <w:kern w:val="0"/>
                <w:sz w:val="20"/>
                <w:szCs w:val="20"/>
                <w:lang w:eastAsia="en-US"/>
              </w:rPr>
              <w:t>补助及</w:t>
            </w:r>
            <w:r>
              <w:rPr>
                <w:rFonts w:ascii="宋体" w:hAnsi="宋体" w:eastAsia="宋体" w:cs="宋体"/>
                <w:color w:val="000000"/>
                <w:spacing w:val="-1"/>
                <w:kern w:val="0"/>
                <w:sz w:val="20"/>
                <w:szCs w:val="20"/>
                <w:lang w:eastAsia="en-US"/>
              </w:rPr>
              <w:t>时性</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hAnsi="Calibri" w:eastAsia="宋体" w:cs="Times New Roman"/>
                <w:color w:val="000000"/>
                <w:sz w:val="2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hAnsi="Calibri" w:eastAsia="宋体" w:cs="Times New Roman"/>
                <w:color w:val="000000"/>
                <w:sz w:val="20"/>
                <w:szCs w:val="24"/>
              </w:rPr>
            </w:pPr>
            <w:r>
              <w:rPr>
                <w:rFonts w:ascii="宋体" w:hAnsi="宋体" w:eastAsia="宋体" w:cs="宋体"/>
                <w:color w:val="000000"/>
                <w:spacing w:val="-3"/>
                <w:sz w:val="20"/>
                <w:szCs w:val="20"/>
              </w:rPr>
              <w:t>资金到</w:t>
            </w:r>
            <w:r>
              <w:rPr>
                <w:rFonts w:ascii="宋体" w:hAnsi="宋体" w:eastAsia="宋体" w:cs="宋体"/>
                <w:color w:val="000000"/>
                <w:spacing w:val="-1"/>
                <w:sz w:val="20"/>
                <w:szCs w:val="20"/>
              </w:rPr>
              <w:t>位时效</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hAnsi="Calibri" w:eastAsia="宋体" w:cs="Times New Roman"/>
                <w:color w:val="000000"/>
                <w:sz w:val="2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成本指标</w:t>
            </w:r>
          </w:p>
        </w:tc>
        <w:tc>
          <w:tcPr>
            <w:tcW w:w="1269" w:type="dxa"/>
            <w:noWrap w:val="0"/>
            <w:vAlign w:val="center"/>
          </w:tcPr>
          <w:p>
            <w:pPr>
              <w:autoSpaceDN w:val="0"/>
              <w:spacing w:line="320" w:lineRule="exact"/>
              <w:jc w:val="left"/>
              <w:textAlignment w:val="center"/>
              <w:rPr>
                <w:rFonts w:ascii="Arial" w:hAnsi="Calibri" w:eastAsia="宋体" w:cs="Times New Roman"/>
                <w:color w:val="000000"/>
                <w:sz w:val="21"/>
                <w:szCs w:val="21"/>
              </w:rPr>
            </w:pPr>
            <w:r>
              <w:rPr>
                <w:rFonts w:hint="eastAsia" w:ascii="仿宋_GB2312" w:hAnsi="仿宋_GB2312" w:eastAsia="仿宋_GB2312" w:cs="仿宋_GB2312"/>
                <w:color w:val="000000"/>
                <w:sz w:val="21"/>
                <w:szCs w:val="21"/>
                <w:lang w:eastAsia="zh-CN"/>
              </w:rPr>
              <w:t>人员经费</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666.56</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722.6</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11</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人员退休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269" w:type="dxa"/>
            <w:noWrap w:val="0"/>
            <w:vAlign w:val="center"/>
          </w:tcPr>
          <w:p>
            <w:pPr>
              <w:autoSpaceDN w:val="0"/>
              <w:spacing w:line="320" w:lineRule="exact"/>
              <w:jc w:val="left"/>
              <w:textAlignment w:val="center"/>
              <w:rPr>
                <w:rFonts w:ascii="Arial" w:hAnsi="Calibri" w:eastAsia="宋体" w:cs="Times New Roman"/>
                <w:color w:val="000000"/>
                <w:sz w:val="21"/>
                <w:szCs w:val="21"/>
              </w:rPr>
            </w:pPr>
            <w:r>
              <w:rPr>
                <w:rFonts w:hint="eastAsia" w:ascii="仿宋_GB2312" w:hAnsi="仿宋_GB2312" w:eastAsia="仿宋_GB2312" w:cs="仿宋_GB2312"/>
                <w:color w:val="000000"/>
                <w:sz w:val="21"/>
                <w:szCs w:val="21"/>
                <w:lang w:eastAsia="zh-CN"/>
              </w:rPr>
              <w:t>日常公用经费</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116.92</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950.31</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hAnsi="Calibri" w:eastAsia="宋体" w:cs="Times New Roman"/>
                <w:color w:val="000000"/>
                <w:sz w:val="20"/>
                <w:szCs w:val="24"/>
                <w:lang w:eastAsia="zh-CN"/>
              </w:rPr>
            </w:pPr>
            <w:r>
              <w:rPr>
                <w:rFonts w:hint="eastAsia" w:ascii="Arial" w:hAnsi="Calibri" w:eastAsia="宋体" w:cs="Times New Roman"/>
                <w:color w:val="000000"/>
                <w:sz w:val="20"/>
                <w:szCs w:val="24"/>
                <w:lang w:eastAsia="zh-CN"/>
              </w:rPr>
              <w:t>包括中途财政拨来各项补充资金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269" w:type="dxa"/>
            <w:noWrap w:val="0"/>
            <w:vAlign w:val="center"/>
          </w:tcPr>
          <w:p>
            <w:pPr>
              <w:autoSpaceDN w:val="0"/>
              <w:spacing w:line="320" w:lineRule="exact"/>
              <w:jc w:val="left"/>
              <w:textAlignment w:val="center"/>
              <w:rPr>
                <w:rFonts w:ascii="Arial" w:hAnsi="Calibri" w:eastAsia="宋体" w:cs="Times New Roman"/>
                <w:color w:val="000000"/>
                <w:sz w:val="21"/>
                <w:szCs w:val="21"/>
              </w:rPr>
            </w:pPr>
            <w:r>
              <w:rPr>
                <w:rFonts w:hint="eastAsia" w:ascii="仿宋_GB2312" w:hAnsi="仿宋_GB2312" w:eastAsia="仿宋_GB2312" w:cs="仿宋_GB2312"/>
                <w:color w:val="000000"/>
                <w:sz w:val="21"/>
                <w:szCs w:val="21"/>
                <w:lang w:val="en-US" w:eastAsia="zh-CN"/>
              </w:rPr>
              <w:t>项目经费</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217</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231.98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eastAsia="zh-CN"/>
              </w:rPr>
            </w:pPr>
            <w:r>
              <w:rPr>
                <w:rFonts w:hint="eastAsia" w:ascii="Arial" w:hAnsi="Calibri" w:eastAsia="宋体" w:cs="Times New Roman"/>
                <w:color w:val="000000"/>
                <w:sz w:val="20"/>
                <w:szCs w:val="24"/>
                <w:lang w:eastAsia="zh-CN"/>
              </w:rPr>
              <w:t>中途财政补充资金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3"/>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3"/>
                <w:sz w:val="21"/>
                <w:szCs w:val="21"/>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hAnsi="Calibri" w:eastAsia="宋体" w:cs="Times New Roman"/>
                <w:color w:val="000000"/>
                <w:sz w:val="20"/>
                <w:szCs w:val="24"/>
                <w:lang w:eastAsia="zh-CN"/>
              </w:rPr>
            </w:pPr>
            <w:r>
              <w:rPr>
                <w:rFonts w:hint="eastAsia" w:ascii="仿宋_GB2312" w:hAnsi="仿宋_GB2312" w:eastAsia="仿宋_GB2312" w:cs="仿宋_GB2312"/>
                <w:color w:val="000000"/>
                <w:sz w:val="24"/>
                <w:szCs w:val="24"/>
                <w:lang w:eastAsia="zh-CN"/>
              </w:rPr>
              <w:t>医保政策满意度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hAnsi="Calibri" w:eastAsia="宋体" w:cs="Times New Roman"/>
                <w:color w:val="000000"/>
                <w:sz w:val="20"/>
                <w:szCs w:val="24"/>
              </w:rPr>
            </w:pPr>
            <w:r>
              <w:rPr>
                <w:rFonts w:hint="eastAsia" w:ascii="Arial" w:hAnsi="Calibri" w:eastAsia="宋体" w:cs="Times New Roman"/>
                <w:color w:val="000000"/>
                <w:sz w:val="20"/>
                <w:szCs w:val="24"/>
                <w:lang w:val="en-US" w:eastAsia="zh-CN"/>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30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hAnsi="Calibri" w:eastAsia="宋体" w:cs="Times New Roman"/>
                <w:color w:val="000000"/>
                <w:sz w:val="20"/>
                <w:szCs w:val="24"/>
                <w:lang w:val="en-US" w:eastAsia="zh-CN"/>
              </w:rPr>
            </w:pPr>
            <w:r>
              <w:rPr>
                <w:rFonts w:hint="eastAsia" w:ascii="Arial" w:hAnsi="Calibri" w:eastAsia="宋体" w:cs="Times New Roman"/>
                <w:color w:val="000000"/>
                <w:sz w:val="20"/>
                <w:szCs w:val="24"/>
                <w:lang w:val="en-US" w:eastAsia="zh-CN"/>
              </w:rPr>
              <w:t>29</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hAnsi="Calibri" w:eastAsia="宋体" w:cs="Times New Roman"/>
                <w:color w:val="000000"/>
                <w:sz w:val="2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hAnsi="Calibri" w:eastAsia="宋体" w:cs="Times New Roman"/>
                <w:color w:val="000000"/>
                <w:sz w:val="21"/>
                <w:szCs w:val="24"/>
                <w:lang w:eastAsia="zh-CN"/>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hAnsi="Calibri" w:eastAsia="宋体" w:cs="Times New Roman"/>
                <w:color w:val="000000"/>
                <w:sz w:val="21"/>
                <w:szCs w:val="24"/>
                <w:lang w:eastAsia="zh-CN"/>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hAnsi="Calibri" w:eastAsia="宋体" w:cs="Times New Roman"/>
                <w:color w:val="000000"/>
                <w:sz w:val="21"/>
                <w:szCs w:val="24"/>
                <w:lang w:eastAsia="zh-CN"/>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Calibri" w:eastAsia="宋体" w:cs="Times New Roman"/>
                <w:color w:val="000000"/>
                <w:sz w:val="21"/>
                <w:szCs w:val="24"/>
                <w:lang w:val="en-US" w:eastAsia="zh-CN"/>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Calibri" w:eastAsia="宋体" w:cs="Times New Roman"/>
                <w:color w:val="000000"/>
                <w:sz w:val="21"/>
                <w:szCs w:val="24"/>
                <w:lang w:val="en-US" w:eastAsia="zh-CN"/>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hAnsi="Calibri" w:eastAsia="宋体" w:cs="Times New Roman"/>
                <w:color w:val="000000"/>
                <w:sz w:val="21"/>
                <w:szCs w:val="24"/>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4"/>
                <w:sz w:val="21"/>
                <w:szCs w:val="21"/>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3"/>
                <w:sz w:val="21"/>
                <w:szCs w:val="21"/>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9"/>
                <w:sz w:val="21"/>
                <w:szCs w:val="21"/>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2"/>
                <w:sz w:val="21"/>
                <w:szCs w:val="21"/>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3"/>
                <w:sz w:val="21"/>
                <w:szCs w:val="21"/>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sz w:val="21"/>
                <w:szCs w:val="21"/>
              </w:rPr>
            </w:pPr>
            <w:r>
              <w:rPr>
                <w:rFonts w:ascii="宋体" w:hAnsi="宋体" w:eastAsia="宋体" w:cs="宋体"/>
                <w:color w:val="000000"/>
                <w:sz w:val="21"/>
                <w:szCs w:val="21"/>
              </w:rPr>
              <w:t>标</w:t>
            </w:r>
          </w:p>
        </w:tc>
        <w:tc>
          <w:tcPr>
            <w:tcW w:w="1269" w:type="dxa"/>
            <w:noWrap w:val="0"/>
            <w:vAlign w:val="center"/>
          </w:tcPr>
          <w:p>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相关部门和参保对象满意度</w:t>
            </w:r>
          </w:p>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Calibri" w:eastAsia="宋体" w:cs="Times New Roman"/>
                <w:color w:val="000000"/>
                <w:sz w:val="21"/>
                <w:szCs w:val="24"/>
              </w:rPr>
            </w:pPr>
            <w:r>
              <w:rPr>
                <w:rFonts w:hint="eastAsia" w:ascii="Arial" w:hAnsi="Calibri" w:eastAsia="宋体" w:cs="Times New Roman"/>
                <w:color w:val="000000"/>
                <w:sz w:val="20"/>
                <w:szCs w:val="24"/>
                <w:lang w:val="en-US" w:eastAsia="zh-CN"/>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Calibri" w:eastAsia="宋体" w:cs="Times New Roman"/>
                <w:color w:val="000000"/>
                <w:sz w:val="21"/>
                <w:szCs w:val="24"/>
              </w:rPr>
            </w:pPr>
            <w:r>
              <w:rPr>
                <w:rFonts w:hint="eastAsia" w:ascii="Arial" w:hAnsi="Calibri" w:eastAsia="宋体" w:cs="Times New Roman"/>
                <w:color w:val="000000"/>
                <w:sz w:val="20"/>
                <w:szCs w:val="24"/>
                <w:lang w:val="en-US" w:eastAsia="zh-CN"/>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Calibri" w:eastAsia="宋体" w:cs="Times New Roman"/>
                <w:color w:val="000000"/>
                <w:sz w:val="21"/>
                <w:szCs w:val="24"/>
                <w:lang w:val="en-US" w:eastAsia="zh-CN"/>
              </w:rPr>
            </w:pPr>
            <w:r>
              <w:rPr>
                <w:rFonts w:hint="eastAsia" w:ascii="Arial" w:hAnsi="Calibri" w:eastAsia="宋体" w:cs="Times New Roman"/>
                <w:color w:val="000000"/>
                <w:sz w:val="21"/>
                <w:szCs w:val="24"/>
                <w:lang w:val="en-US" w:eastAsia="zh-CN"/>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Calibri" w:eastAsia="宋体" w:cs="Times New Roman"/>
                <w:color w:val="000000"/>
                <w:sz w:val="21"/>
                <w:szCs w:val="24"/>
                <w:lang w:val="en-US" w:eastAsia="zh-CN"/>
              </w:rPr>
            </w:pPr>
            <w:r>
              <w:rPr>
                <w:rFonts w:hint="eastAsia" w:ascii="Arial" w:hAnsi="Calibri" w:eastAsia="宋体" w:cs="Times New Roman"/>
                <w:color w:val="000000"/>
                <w:sz w:val="21"/>
                <w:szCs w:val="24"/>
                <w:lang w:val="en-US" w:eastAsia="zh-CN"/>
              </w:rPr>
              <w:t>9</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rFonts w:ascii="Calibri" w:hAnsi="Calibri" w:eastAsia="宋体" w:cs="Times New Roman"/>
                <w:color w:val="000000"/>
                <w:szCs w:val="24"/>
              </w:rPr>
            </w:pPr>
            <w:r>
              <w:rPr>
                <w:rFonts w:ascii="Calibri" w:hAnsi="Calibri" w:eastAsia="宋体" w:cs="Times New Roman"/>
                <w:color w:val="000000"/>
                <w:szCs w:val="24"/>
              </w:rPr>
              <w:drawing>
                <wp:inline distT="0" distB="0" distL="114300" distR="114300">
                  <wp:extent cx="297815" cy="158750"/>
                  <wp:effectExtent l="0" t="0" r="6350" b="9525"/>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sz w:val="21"/>
                <w:szCs w:val="21"/>
              </w:rPr>
            </w:pPr>
            <w:r>
              <w:rPr>
                <w:rFonts w:ascii="宋体" w:hAnsi="宋体" w:eastAsia="宋体" w:cs="宋体"/>
                <w:color w:val="000000"/>
                <w:spacing w:val="-6"/>
                <w:sz w:val="21"/>
                <w:szCs w:val="21"/>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Calibri" w:eastAsia="宋体" w:cs="Times New Roman"/>
                <w:color w:val="000000"/>
                <w:sz w:val="21"/>
                <w:szCs w:val="24"/>
                <w:lang w:val="en-US" w:eastAsia="zh-CN"/>
              </w:rPr>
            </w:pPr>
            <w:r>
              <w:rPr>
                <w:rFonts w:hint="eastAsia" w:ascii="Arial" w:hAnsi="Calibri" w:eastAsia="宋体" w:cs="Times New Roman"/>
                <w:color w:val="000000"/>
                <w:sz w:val="21"/>
                <w:szCs w:val="24"/>
                <w:lang w:val="en-US" w:eastAsia="zh-CN"/>
              </w:rPr>
              <w:t>88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hAnsi="Calibri" w:eastAsia="宋体" w:cs="Times New Roman"/>
                <w:color w:val="000000"/>
                <w:sz w:val="21"/>
                <w:szCs w:val="24"/>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spacing w:val="-22"/>
          <w:position w:val="-1"/>
          <w:sz w:val="22"/>
          <w:szCs w:val="22"/>
          <w:lang w:val="en-US" w:eastAsia="zh-CN"/>
        </w:rPr>
      </w:pPr>
      <w:r>
        <w:rPr>
          <w:rFonts w:ascii="仿宋" w:hAnsi="仿宋" w:eastAsia="仿宋" w:cs="仿宋"/>
          <w:color w:val="000000"/>
          <w:spacing w:val="-22"/>
          <w:sz w:val="22"/>
          <w:szCs w:val="22"/>
        </w:rPr>
        <w:t>填表人：</w:t>
      </w:r>
      <w:r>
        <w:rPr>
          <w:rFonts w:ascii="仿宋" w:hAnsi="仿宋" w:eastAsia="仿宋" w:cs="仿宋"/>
          <w:color w:val="000000"/>
          <w:spacing w:val="9"/>
          <w:sz w:val="22"/>
          <w:szCs w:val="22"/>
        </w:rPr>
        <w:t xml:space="preserve">    </w:t>
      </w:r>
      <w:r>
        <w:rPr>
          <w:rFonts w:hint="eastAsia" w:ascii="仿宋" w:hAnsi="仿宋" w:eastAsia="仿宋" w:cs="仿宋"/>
          <w:color w:val="000000"/>
          <w:spacing w:val="9"/>
          <w:sz w:val="22"/>
          <w:szCs w:val="22"/>
          <w:lang w:eastAsia="zh-CN"/>
        </w:rPr>
        <w:t>童璇</w:t>
      </w:r>
      <w:r>
        <w:rPr>
          <w:rFonts w:ascii="仿宋" w:hAnsi="仿宋" w:eastAsia="仿宋" w:cs="仿宋"/>
          <w:color w:val="000000"/>
          <w:spacing w:val="3"/>
          <w:sz w:val="22"/>
          <w:szCs w:val="22"/>
        </w:rPr>
        <w:t xml:space="preserve">        </w:t>
      </w:r>
      <w:r>
        <w:rPr>
          <w:rFonts w:ascii="仿宋" w:hAnsi="仿宋" w:eastAsia="仿宋" w:cs="仿宋"/>
          <w:color w:val="000000"/>
          <w:spacing w:val="-22"/>
          <w:sz w:val="22"/>
          <w:szCs w:val="22"/>
        </w:rPr>
        <w:t>联系电话：</w:t>
      </w:r>
      <w:r>
        <w:rPr>
          <w:rFonts w:hint="eastAsia" w:ascii="仿宋" w:hAnsi="仿宋" w:eastAsia="仿宋" w:cs="仿宋"/>
          <w:color w:val="000000"/>
          <w:spacing w:val="-22"/>
          <w:sz w:val="22"/>
          <w:szCs w:val="22"/>
          <w:lang w:val="en-US" w:eastAsia="zh-CN"/>
        </w:rPr>
        <w:t>13873029299</w:t>
      </w:r>
      <w:r>
        <w:rPr>
          <w:rFonts w:ascii="仿宋" w:hAnsi="仿宋" w:eastAsia="仿宋" w:cs="仿宋"/>
          <w:color w:val="000000"/>
          <w:spacing w:val="2"/>
          <w:sz w:val="22"/>
          <w:szCs w:val="22"/>
        </w:rPr>
        <w:t xml:space="preserve">             </w:t>
      </w:r>
      <w:r>
        <w:rPr>
          <w:rFonts w:ascii="仿宋" w:hAnsi="仿宋" w:eastAsia="仿宋" w:cs="仿宋"/>
          <w:color w:val="000000"/>
          <w:spacing w:val="-22"/>
          <w:position w:val="-1"/>
          <w:sz w:val="22"/>
          <w:szCs w:val="22"/>
        </w:rPr>
        <w:t>单位负责人签字：</w:t>
      </w:r>
      <w:r>
        <w:rPr>
          <w:rFonts w:hint="eastAsia" w:ascii="仿宋" w:hAnsi="仿宋" w:eastAsia="仿宋" w:cs="仿宋"/>
          <w:color w:val="000000"/>
          <w:spacing w:val="-22"/>
          <w:position w:val="-1"/>
          <w:sz w:val="22"/>
          <w:szCs w:val="22"/>
          <w:lang w:val="en-US" w:eastAsia="zh-CN"/>
        </w:rPr>
        <w:t xml:space="preserve">           </w:t>
      </w:r>
      <w:r>
        <w:rPr>
          <w:rFonts w:ascii="仿宋" w:hAnsi="仿宋" w:eastAsia="仿宋" w:cs="仿宋"/>
          <w:color w:val="000000"/>
          <w:spacing w:val="9"/>
          <w:sz w:val="22"/>
          <w:szCs w:val="22"/>
        </w:rPr>
        <w:t xml:space="preserve"> </w:t>
      </w:r>
      <w:r>
        <w:rPr>
          <w:rFonts w:ascii="仿宋" w:hAnsi="仿宋" w:eastAsia="仿宋" w:cs="仿宋"/>
          <w:color w:val="000000"/>
          <w:spacing w:val="-22"/>
          <w:sz w:val="22"/>
          <w:szCs w:val="22"/>
        </w:rPr>
        <w:t>填报日期：</w:t>
      </w:r>
      <w:r>
        <w:rPr>
          <w:rFonts w:ascii="仿宋" w:hAnsi="仿宋" w:eastAsia="仿宋" w:cs="仿宋"/>
          <w:color w:val="000000"/>
          <w:spacing w:val="3"/>
          <w:sz w:val="22"/>
          <w:szCs w:val="22"/>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spacing w:val="0"/>
          <w:position w:val="0"/>
          <w:sz w:val="22"/>
          <w:szCs w:val="22"/>
          <w:lang w:val="en-US" w:eastAsia="zh-CN"/>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spacing w:val="0"/>
          <w:position w:val="0"/>
          <w:sz w:val="22"/>
          <w:szCs w:val="2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default" w:ascii="黑体" w:hAnsi="黑体" w:eastAsia="黑体" w:cs="黑体"/>
          <w:b w:val="0"/>
          <w:bCs w:val="0"/>
          <w:color w:val="000000"/>
          <w:spacing w:val="10"/>
          <w:sz w:val="32"/>
          <w:szCs w:val="32"/>
          <w:lang w:val="en-US" w:eastAsia="zh-CN"/>
        </w:rPr>
        <w:t>附件</w:t>
      </w:r>
      <w:r>
        <w:rPr>
          <w:rFonts w:hint="eastAsia" w:ascii="黑体" w:hAnsi="黑体" w:eastAsia="黑体" w:cs="黑体"/>
          <w:b w:val="0"/>
          <w:bCs w:val="0"/>
          <w:color w:val="000000"/>
          <w:spacing w:val="10"/>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 xml:space="preserve">       2022年度岳阳楼区</w:t>
      </w:r>
      <w:r>
        <w:rPr>
          <w:rFonts w:hint="eastAsia" w:ascii="方正小标宋简体" w:hAnsi="方正小标宋简体" w:eastAsia="方正小标宋简体" w:cs="方正小标宋简体"/>
          <w:b w:val="0"/>
          <w:bCs w:val="0"/>
          <w:color w:val="000000"/>
          <w:spacing w:val="2"/>
          <w:sz w:val="44"/>
          <w:szCs w:val="44"/>
          <w:lang w:val="en-US" w:eastAsia="zh-CN"/>
        </w:rPr>
        <w:t>医疗保障局</w:t>
      </w:r>
      <w:r>
        <w:rPr>
          <w:rFonts w:hint="eastAsia" w:ascii="方正小标宋简体" w:hAnsi="方正小标宋简体" w:eastAsia="方正小标宋简体" w:cs="方正小标宋简体"/>
          <w:color w:val="000000"/>
          <w:spacing w:val="0"/>
          <w:position w:val="0"/>
          <w:sz w:val="44"/>
          <w:szCs w:val="44"/>
          <w:lang w:val="en-US" w:eastAsia="zh-CN"/>
        </w:rPr>
        <w:t xml:space="preserve">整体        </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支出绩效自评报告</w:t>
      </w:r>
    </w:p>
    <w:p>
      <w:pPr>
        <w:widowControl w:val="0"/>
        <w:spacing w:before="120" w:after="200" w:line="276" w:lineRule="auto"/>
        <w:jc w:val="both"/>
        <w:rPr>
          <w:rFonts w:hint="eastAsia" w:ascii="方正小标宋简体" w:hAnsi="方正小标宋简体" w:eastAsia="方正小标宋简体" w:cs="方正小标宋简体"/>
          <w:color w:val="000000"/>
          <w:spacing w:val="0"/>
          <w:kern w:val="2"/>
          <w:position w:val="0"/>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spacing w:val="0"/>
          <w:position w:val="0"/>
          <w:sz w:val="36"/>
          <w:szCs w:val="36"/>
          <w:lang w:val="en-US" w:eastAsia="zh-CN"/>
        </w:rPr>
      </w:pPr>
      <w:r>
        <w:rPr>
          <w:rFonts w:hint="eastAsia" w:ascii="楷体_GB2312" w:hAnsi="楷体_GB2312" w:eastAsia="楷体_GB2312" w:cs="楷体_GB2312"/>
          <w:color w:val="000000"/>
          <w:spacing w:val="0"/>
          <w:position w:val="0"/>
          <w:sz w:val="36"/>
          <w:szCs w:val="36"/>
          <w:lang w:val="en-US" w:eastAsia="zh-CN"/>
        </w:rPr>
        <w:t>部门名称：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spacing w:val="0"/>
          <w:position w:val="0"/>
          <w:sz w:val="36"/>
          <w:szCs w:val="36"/>
          <w:lang w:val="en-US" w:eastAsia="zh-CN"/>
        </w:rPr>
      </w:pPr>
      <w:r>
        <w:rPr>
          <w:rFonts w:hint="eastAsia" w:ascii="楷体_GB2312" w:hAnsi="楷体_GB2312" w:eastAsia="楷体_GB2312" w:cs="楷体_GB2312"/>
          <w:color w:val="000000"/>
          <w:spacing w:val="0"/>
          <w:position w:val="0"/>
          <w:sz w:val="36"/>
          <w:szCs w:val="36"/>
          <w:lang w:val="en-US" w:eastAsia="zh-CN"/>
        </w:rPr>
        <w:t>2023年6月14日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spacing w:val="0"/>
          <w:position w:val="0"/>
          <w:sz w:val="22"/>
          <w:szCs w:val="22"/>
          <w:lang w:val="en-US" w:eastAsia="zh-CN"/>
        </w:rPr>
      </w:pPr>
    </w:p>
    <w:p>
      <w:pPr>
        <w:rPr>
          <w:rFonts w:hint="eastAsia" w:ascii="方正小标宋简体" w:hAnsi="方正小标宋简体" w:eastAsia="方正小标宋简体" w:cs="方正小标宋简体"/>
          <w:color w:val="000000"/>
          <w:spacing w:val="0"/>
          <w:position w:val="0"/>
          <w:sz w:val="44"/>
          <w:szCs w:val="44"/>
          <w:lang w:val="en-US" w:eastAsia="zh-CN"/>
        </w:rPr>
      </w:pPr>
    </w:p>
    <w:p>
      <w:pPr>
        <w:widowControl w:val="0"/>
        <w:spacing w:before="120" w:after="200" w:line="276" w:lineRule="auto"/>
        <w:jc w:val="both"/>
        <w:rPr>
          <w:rFonts w:hint="eastAsia" w:ascii="方正小标宋简体" w:hAnsi="方正小标宋简体" w:eastAsia="方正小标宋简体" w:cs="方正小标宋简体"/>
          <w:color w:val="000000"/>
          <w:spacing w:val="0"/>
          <w:kern w:val="2"/>
          <w:position w:val="0"/>
          <w:sz w:val="44"/>
          <w:szCs w:val="44"/>
          <w:lang w:val="en-US" w:eastAsia="zh-CN" w:bidi="ar-SA"/>
        </w:rPr>
      </w:pPr>
    </w:p>
    <w:p>
      <w:pPr>
        <w:rPr>
          <w:rFonts w:hint="eastAsia" w:ascii="方正小标宋简体" w:hAnsi="方正小标宋简体" w:eastAsia="方正小标宋简体" w:cs="方正小标宋简体"/>
          <w:color w:val="000000"/>
          <w:spacing w:val="0"/>
          <w:position w:val="0"/>
          <w:sz w:val="44"/>
          <w:szCs w:val="44"/>
          <w:lang w:val="en-US" w:eastAsia="zh-CN"/>
        </w:rPr>
      </w:pPr>
    </w:p>
    <w:p>
      <w:pPr>
        <w:widowControl w:val="0"/>
        <w:spacing w:before="120" w:after="200" w:line="276" w:lineRule="auto"/>
        <w:jc w:val="both"/>
        <w:rPr>
          <w:rFonts w:hint="eastAsia" w:ascii="方正小标宋简体" w:hAnsi="方正小标宋简体" w:eastAsia="方正小标宋简体" w:cs="方正小标宋简体"/>
          <w:color w:val="000000"/>
          <w:spacing w:val="0"/>
          <w:kern w:val="2"/>
          <w:position w:val="0"/>
          <w:sz w:val="44"/>
          <w:szCs w:val="44"/>
          <w:lang w:val="en-US" w:eastAsia="zh-CN" w:bidi="ar-SA"/>
        </w:rPr>
      </w:pPr>
    </w:p>
    <w:p>
      <w:pPr>
        <w:rPr>
          <w:rFonts w:hint="eastAsia" w:ascii="方正小标宋简体" w:hAnsi="方正小标宋简体" w:eastAsia="方正小标宋简体" w:cs="方正小标宋简体"/>
          <w:color w:val="000000"/>
          <w:spacing w:val="0"/>
          <w:position w:val="0"/>
          <w:sz w:val="44"/>
          <w:szCs w:val="44"/>
          <w:lang w:val="en-US" w:eastAsia="zh-CN"/>
        </w:rPr>
      </w:pPr>
    </w:p>
    <w:p>
      <w:pPr>
        <w:widowControl w:val="0"/>
        <w:spacing w:before="120" w:after="200" w:line="276" w:lineRule="auto"/>
        <w:jc w:val="both"/>
        <w:rPr>
          <w:rFonts w:hint="eastAsia" w:ascii="方正小标宋简体" w:hAnsi="方正小标宋简体" w:eastAsia="方正小标宋简体" w:cs="方正小标宋简体"/>
          <w:color w:val="000000"/>
          <w:spacing w:val="0"/>
          <w:kern w:val="2"/>
          <w:position w:val="0"/>
          <w:sz w:val="44"/>
          <w:szCs w:val="44"/>
          <w:lang w:val="en-US" w:eastAsia="zh-CN" w:bidi="ar-SA"/>
        </w:rPr>
      </w:pPr>
    </w:p>
    <w:p>
      <w:pPr>
        <w:rPr>
          <w:rFonts w:hint="eastAsia" w:ascii="方正小标宋简体" w:hAnsi="方正小标宋简体" w:eastAsia="方正小标宋简体" w:cs="方正小标宋简体"/>
          <w:color w:val="000000"/>
          <w:spacing w:val="0"/>
          <w:position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仿宋" w:hAnsi="仿宋" w:eastAsia="仿宋" w:cs="仿宋"/>
          <w:color w:val="000000"/>
          <w:spacing w:val="0"/>
          <w:position w:val="0"/>
          <w:sz w:val="30"/>
          <w:szCs w:val="30"/>
          <w:lang w:val="en-US" w:eastAsia="zh-CN"/>
        </w:rPr>
      </w:pPr>
      <w:r>
        <w:rPr>
          <w:rFonts w:hint="eastAsia" w:ascii="方正小标宋简体" w:hAnsi="方正小标宋简体" w:eastAsia="方正小标宋简体" w:cs="方正小标宋简体"/>
          <w:b/>
          <w:bCs/>
          <w:color w:val="000000"/>
          <w:spacing w:val="0"/>
          <w:position w:val="0"/>
          <w:sz w:val="36"/>
          <w:szCs w:val="36"/>
          <w:lang w:val="en-US" w:eastAsia="zh-CN"/>
        </w:rPr>
        <w:t xml:space="preserve"> </w:t>
      </w:r>
      <w:r>
        <w:rPr>
          <w:rFonts w:hint="eastAsia" w:ascii="仿宋" w:hAnsi="仿宋" w:eastAsia="仿宋" w:cs="仿宋"/>
          <w:b/>
          <w:bCs/>
          <w:color w:val="000000"/>
          <w:spacing w:val="0"/>
          <w:position w:val="0"/>
          <w:sz w:val="36"/>
          <w:szCs w:val="36"/>
          <w:lang w:val="en-US" w:eastAsia="zh-CN"/>
        </w:rPr>
        <w:t>2022年度岳阳楼区</w:t>
      </w:r>
      <w:r>
        <w:rPr>
          <w:rFonts w:hint="eastAsia" w:ascii="仿宋" w:hAnsi="仿宋" w:eastAsia="仿宋" w:cs="仿宋"/>
          <w:b/>
          <w:bCs/>
          <w:color w:val="000000"/>
          <w:spacing w:val="2"/>
          <w:sz w:val="36"/>
          <w:szCs w:val="36"/>
          <w:lang w:val="en-US" w:eastAsia="zh-CN"/>
        </w:rPr>
        <w:t>医疗保障局</w:t>
      </w:r>
      <w:r>
        <w:rPr>
          <w:rFonts w:hint="eastAsia" w:ascii="仿宋" w:hAnsi="仿宋" w:eastAsia="仿宋" w:cs="仿宋"/>
          <w:b/>
          <w:bCs/>
          <w:color w:val="000000"/>
          <w:spacing w:val="0"/>
          <w:position w:val="0"/>
          <w:sz w:val="36"/>
          <w:szCs w:val="36"/>
          <w:lang w:val="en-US" w:eastAsia="zh-CN"/>
        </w:rPr>
        <w:t>整体支出绩效自评报告</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kern w:val="2"/>
          <w:position w:val="0"/>
          <w:sz w:val="32"/>
          <w:szCs w:val="32"/>
          <w:lang w:val="en-US" w:eastAsia="zh-CN" w:bidi="ar-SA"/>
        </w:rPr>
        <w:t>一、</w:t>
      </w:r>
      <w:r>
        <w:rPr>
          <w:rFonts w:hint="eastAsia" w:ascii="黑体" w:hAnsi="黑体" w:eastAsia="黑体" w:cs="黑体"/>
          <w:color w:val="000000"/>
          <w:spacing w:val="0"/>
          <w:position w:val="0"/>
          <w:sz w:val="32"/>
          <w:szCs w:val="32"/>
          <w:lang w:val="en-US" w:eastAsia="zh-CN"/>
        </w:rPr>
        <w:t>单位基本情况</w:t>
      </w:r>
    </w:p>
    <w:p>
      <w:pPr>
        <w:numPr>
          <w:ilvl w:val="0"/>
          <w:numId w:val="0"/>
        </w:numPr>
        <w:rPr>
          <w:rFonts w:hint="eastAsia" w:ascii="仿宋" w:hAnsi="仿宋" w:eastAsia="仿宋" w:cs="仿宋"/>
          <w:sz w:val="24"/>
          <w:szCs w:val="24"/>
          <w:lang w:val="en-US" w:eastAsia="zh-CN"/>
        </w:rPr>
      </w:pPr>
      <w:r>
        <w:rPr>
          <w:rFonts w:hint="eastAsia" w:ascii="仿宋" w:hAnsi="仿宋" w:eastAsia="仿宋" w:cs="仿宋"/>
          <w:sz w:val="24"/>
          <w:szCs w:val="24"/>
          <w:lang w:eastAsia="zh-CN"/>
        </w:rPr>
        <w:t>我局于</w:t>
      </w:r>
      <w:r>
        <w:rPr>
          <w:rFonts w:hint="eastAsia" w:ascii="仿宋" w:hAnsi="仿宋" w:eastAsia="仿宋" w:cs="仿宋"/>
          <w:sz w:val="24"/>
          <w:szCs w:val="24"/>
          <w:lang w:val="en-US" w:eastAsia="zh-CN"/>
        </w:rPr>
        <w:t>2019年4月正式挂牌成立，到2022年12月底正式在编人员47人，退休人员10人，劳务派遣人员14名。我局主要负责全岳阳楼区企、事业单位、城乡居民的医疗保险相关业务。</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spacing w:val="0"/>
          <w:position w:val="0"/>
          <w:sz w:val="32"/>
          <w:szCs w:val="32"/>
          <w:lang w:val="en-US" w:eastAsia="zh-CN"/>
        </w:rPr>
      </w:pPr>
      <w:r>
        <w:rPr>
          <w:rFonts w:hint="eastAsia" w:ascii="楷体_GB2312" w:hAnsi="楷体_GB2312" w:eastAsia="楷体_GB2312" w:cs="楷体_GB2312"/>
          <w:b/>
          <w:bCs/>
          <w:color w:val="000000"/>
          <w:spacing w:val="0"/>
          <w:position w:val="0"/>
          <w:sz w:val="32"/>
          <w:szCs w:val="32"/>
          <w:lang w:val="en-US" w:eastAsia="zh-CN"/>
        </w:rPr>
        <w:t>(一)基本支出情况</w:t>
      </w:r>
    </w:p>
    <w:p>
      <w:pPr>
        <w:numPr>
          <w:ilvl w:val="0"/>
          <w:numId w:val="0"/>
        </w:numPr>
        <w:ind w:left="0" w:leftChars="0" w:firstLine="0" w:firstLineChars="0"/>
        <w:rPr>
          <w:rFonts w:hint="eastAsia" w:ascii="仿宋" w:hAnsi="仿宋" w:eastAsia="仿宋" w:cs="仿宋"/>
          <w:sz w:val="24"/>
          <w:szCs w:val="24"/>
          <w:lang w:val="en-US" w:eastAsia="zh-CN"/>
        </w:rPr>
      </w:pPr>
      <w:r>
        <w:rPr>
          <w:rFonts w:hint="eastAsia" w:ascii="仿宋" w:hAnsi="仿宋" w:eastAsia="仿宋" w:cs="仿宋"/>
          <w:kern w:val="2"/>
          <w:sz w:val="24"/>
          <w:szCs w:val="24"/>
          <w:lang w:val="en-US" w:eastAsia="zh-CN" w:bidi="ar-SA"/>
        </w:rPr>
        <w:t>（一）</w:t>
      </w:r>
      <w:r>
        <w:rPr>
          <w:rFonts w:hint="eastAsia" w:ascii="仿宋" w:hAnsi="仿宋" w:eastAsia="仿宋" w:cs="仿宋"/>
          <w:sz w:val="24"/>
          <w:szCs w:val="24"/>
          <w:lang w:val="en-US" w:eastAsia="zh-CN"/>
        </w:rPr>
        <w:t xml:space="preserve"> 基本支出1672.91万元，其中人员支645.59万元（其中包括基本工资205.56万元，津贴补贴59.78万元，奖金141.44万元，绩效工资121.41万元，养老保险49.27万元，医疗保险25.4万元，其它社会保障缴费5.43万元，住房公积金37.3万元）；商品和服务支出939.67万元（其中包括办公费15.17万元、印刷费26.56万元、水费0.5万元、电费3万元、邮电费0.71万元、维护费10.44万元、租赁费0.11万元、培训费0.06万元、专用材料费0.22万元、劳务费62.43万元、委托费23.48万元、工会经费30.33万元、其他交通费34.77万元、其他商品服务支出731.9万元）；对个人和家庭的补助77万元（其中包括退休费44.39万元、抚恤金9.17万元、其他对个人和家庭的补助23.44万元）；资本性支出10.64万元（其中包括办公设备3.46万元、专用设备7.18万元） </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楷体_GB2312" w:hAnsi="楷体_GB2312" w:eastAsia="楷体_GB2312" w:cs="楷体_GB2312"/>
          <w:b/>
          <w:bCs/>
          <w:color w:val="000000"/>
          <w:spacing w:val="0"/>
          <w:position w:val="0"/>
          <w:sz w:val="32"/>
          <w:szCs w:val="32"/>
          <w:lang w:val="en-US" w:eastAsia="zh-CN"/>
        </w:rPr>
      </w:pPr>
      <w:r>
        <w:rPr>
          <w:rFonts w:hint="eastAsia" w:ascii="楷体_GB2312" w:hAnsi="楷体_GB2312" w:eastAsia="楷体_GB2312" w:cs="楷体_GB2312"/>
          <w:b/>
          <w:bCs/>
          <w:color w:val="000000"/>
          <w:spacing w:val="0"/>
          <w:position w:val="0"/>
          <w:sz w:val="32"/>
          <w:szCs w:val="32"/>
          <w:lang w:val="en-US" w:eastAsia="zh-CN"/>
        </w:rPr>
        <w:t>(二）项目支出情况</w:t>
      </w:r>
    </w:p>
    <w:p>
      <w:pPr>
        <w:numPr>
          <w:ilvl w:val="0"/>
          <w:numId w:val="0"/>
        </w:numPr>
        <w:ind w:left="0" w:leftChars="0"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项目支出231.98万元，其中包括业务工作经费201.98万元，网络维护费30万元。所有项目支出均严格按财务制度审核后支出，并制定相关制度，有专人审核。</w:t>
      </w:r>
    </w:p>
    <w:p>
      <w:pPr>
        <w:keepNext w:val="0"/>
        <w:keepLines w:val="0"/>
        <w:pageBreakBefore w:val="0"/>
        <w:widowControl w:val="0"/>
        <w:numPr>
          <w:ilvl w:val="0"/>
          <w:numId w:val="0"/>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spacing w:val="0"/>
          <w:position w:val="0"/>
          <w:sz w:val="24"/>
          <w:szCs w:val="24"/>
          <w:lang w:val="en-US" w:eastAsia="zh-CN"/>
        </w:rPr>
      </w:pPr>
      <w:r>
        <w:rPr>
          <w:rFonts w:hint="eastAsia" w:ascii="仿宋" w:hAnsi="仿宋" w:eastAsia="仿宋" w:cs="仿宋"/>
          <w:color w:val="000000"/>
          <w:spacing w:val="0"/>
          <w:position w:val="0"/>
          <w:sz w:val="24"/>
          <w:szCs w:val="24"/>
          <w:lang w:val="en-US" w:eastAsia="zh-CN"/>
        </w:rPr>
        <w:t>我单位无政府性基金预算支出。</w:t>
      </w: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spacing w:val="0"/>
          <w:position w:val="0"/>
          <w:sz w:val="32"/>
          <w:szCs w:val="32"/>
          <w:lang w:val="en-US" w:eastAsia="zh-CN"/>
        </w:rPr>
      </w:pPr>
      <w:r>
        <w:rPr>
          <w:rFonts w:hint="eastAsia" w:ascii="仿宋" w:hAnsi="仿宋" w:eastAsia="仿宋" w:cs="仿宋"/>
          <w:color w:val="000000"/>
          <w:spacing w:val="0"/>
          <w:position w:val="0"/>
          <w:sz w:val="24"/>
          <w:szCs w:val="24"/>
          <w:lang w:val="en-US" w:eastAsia="zh-CN"/>
        </w:rPr>
        <w:t>我单位无国有资本经营预算支出</w:t>
      </w:r>
      <w:r>
        <w:rPr>
          <w:rFonts w:hint="eastAsia" w:ascii="黑体" w:hAnsi="黑体" w:eastAsia="黑体" w:cs="黑体"/>
          <w:color w:val="000000"/>
          <w:spacing w:val="0"/>
          <w:position w:val="0"/>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无</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六、部门整体支出绩效情况</w:t>
      </w:r>
    </w:p>
    <w:p>
      <w:pPr>
        <w:widowControl w:val="0"/>
        <w:wordWrap/>
        <w:adjustRightInd/>
        <w:snapToGrid/>
        <w:spacing w:line="580" w:lineRule="exact"/>
        <w:ind w:left="-105" w:leftChars="-50" w:right="-105" w:rightChars="-50" w:firstLine="480" w:firstLineChars="200"/>
        <w:jc w:val="both"/>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b w:val="0"/>
          <w:bCs w:val="0"/>
          <w:color w:val="000000"/>
          <w:kern w:val="2"/>
          <w:sz w:val="24"/>
          <w:szCs w:val="24"/>
          <w:lang w:val="en-US" w:eastAsia="zh-CN" w:bidi="ar-SA"/>
        </w:rPr>
        <w:t>医保征缴方面：截止至2022年11月，</w:t>
      </w:r>
      <w:r>
        <w:rPr>
          <w:rFonts w:hint="eastAsia" w:ascii="仿宋" w:hAnsi="仿宋" w:eastAsia="仿宋" w:cs="仿宋"/>
          <w:b w:val="0"/>
          <w:bCs w:val="0"/>
          <w:color w:val="auto"/>
          <w:sz w:val="24"/>
          <w:szCs w:val="24"/>
          <w:lang w:val="en-US" w:eastAsia="zh-CN"/>
        </w:rPr>
        <w:t>我区2022年度城乡居民医保缴费人数为</w:t>
      </w:r>
      <w:r>
        <w:rPr>
          <w:rFonts w:hint="eastAsia" w:ascii="仿宋" w:hAnsi="仿宋" w:eastAsia="仿宋" w:cs="仿宋"/>
          <w:i w:val="0"/>
          <w:iCs w:val="0"/>
          <w:caps w:val="0"/>
          <w:color w:val="auto"/>
          <w:spacing w:val="0"/>
          <w:sz w:val="24"/>
          <w:szCs w:val="24"/>
          <w:shd w:val="clear" w:color="auto" w:fill="FFFFFF"/>
          <w:lang w:val="en-US" w:eastAsia="zh-CN"/>
        </w:rPr>
        <w:t>365005</w:t>
      </w:r>
      <w:r>
        <w:rPr>
          <w:rFonts w:hint="eastAsia" w:ascii="仿宋" w:hAnsi="仿宋" w:eastAsia="仿宋" w:cs="仿宋"/>
          <w:b w:val="0"/>
          <w:bCs w:val="0"/>
          <w:color w:val="auto"/>
          <w:sz w:val="24"/>
          <w:szCs w:val="24"/>
          <w:lang w:val="en-US" w:eastAsia="zh-CN"/>
        </w:rPr>
        <w:t>人，职工医保参保人数为</w:t>
      </w:r>
      <w:r>
        <w:rPr>
          <w:rFonts w:hint="eastAsia" w:ascii="仿宋" w:hAnsi="仿宋" w:eastAsia="仿宋" w:cs="仿宋"/>
          <w:i w:val="0"/>
          <w:iCs w:val="0"/>
          <w:caps w:val="0"/>
          <w:color w:val="auto"/>
          <w:spacing w:val="0"/>
          <w:sz w:val="24"/>
          <w:szCs w:val="24"/>
          <w:shd w:val="clear" w:color="auto" w:fill="FFFFFF"/>
          <w:lang w:val="en-US" w:eastAsia="zh-CN"/>
        </w:rPr>
        <w:t>38600</w:t>
      </w:r>
      <w:r>
        <w:rPr>
          <w:rFonts w:hint="eastAsia" w:ascii="仿宋" w:hAnsi="仿宋" w:eastAsia="仿宋" w:cs="仿宋"/>
          <w:b w:val="0"/>
          <w:bCs w:val="0"/>
          <w:color w:val="auto"/>
          <w:sz w:val="24"/>
          <w:szCs w:val="24"/>
          <w:lang w:val="en-US" w:eastAsia="zh-CN"/>
        </w:rPr>
        <w:t>人，参保人数共计403605人。2023年度城乡居民医保缴费人数为248079人。</w:t>
      </w:r>
    </w:p>
    <w:p>
      <w:pPr>
        <w:widowControl w:val="0"/>
        <w:numPr>
          <w:ilvl w:val="0"/>
          <w:numId w:val="0"/>
        </w:numPr>
        <w:wordWrap/>
        <w:adjustRightInd/>
        <w:snapToGrid/>
        <w:spacing w:line="580" w:lineRule="exact"/>
        <w:ind w:left="-105" w:leftChars="-50" w:right="-105" w:rightChars="-50" w:firstLine="480" w:firstLineChars="200"/>
        <w:jc w:val="both"/>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医保基金支出方面：截至2022年12月底（预估），城镇职工基本医疗保险统筹收入9500.02万元，个人账户收入4324.87万元；基本医疗保险支出4245.38万元，个人账户支出5012.97万元；公务员收入81.96万元，支出280.48万元；大病互助收入601.98万元，大病费支出340.65万元；统筹累计结余15674.86万元，个人账户累计结余4051.47万元，公务员累计结余158.93万元，大病累计结余735.63万元。城乡居民医疗保险收入27779.17万元(含2021年收入1.52亿)，支出18566.38万元，累计结余15379.52万元。</w:t>
      </w:r>
    </w:p>
    <w:p>
      <w:pPr>
        <w:widowControl w:val="0"/>
        <w:numPr>
          <w:ilvl w:val="0"/>
          <w:numId w:val="0"/>
        </w:numPr>
        <w:wordWrap/>
        <w:adjustRightInd/>
        <w:snapToGrid/>
        <w:spacing w:line="580" w:lineRule="exact"/>
        <w:ind w:left="-105" w:leftChars="-50" w:right="-105" w:rightChars="-50" w:firstLine="480" w:firstLineChars="200"/>
        <w:jc w:val="both"/>
        <w:textAlignment w:val="auto"/>
        <w:outlineLvl w:val="9"/>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待遇享受方面：1.住院结算。住院结算共44114人次，住院总费用34352.17万元，统筹支付总费用15922.32万元。其中职工住院结算6004人次，住院总费用5667.9万元，统筹支付3546.33万元；居民住院结算38110人次，住院总费用28684.27万元，统筹支付总费用12375.99万元。2.生育保险。截至11月6日底，异地生育住院36人次，基金支付22.8万元；职工生育津贴申请257人次，基金支付523.55万元。3.异地联网结算。截至11月6日底，异地就医备案审核5121人次，其中，跨省异地备案协调审核1615人次。4.居民大病二次追补。截至11月6日底，就医人数3572人次，追补金额2048.66万元。5.中心报账。截至9月底，居民异地就医中心报销1601人次，总费用2672.93万元，基金支付658.44万元；职工异地就医中心报销334人次，总费用344.64万元，基金支付170.59万元；职工生育门诊335人次，总费用53.18万元，基金支付26.44万元。6.居民普通门诊。城乡居民普通门诊待遇享受223178人次，总费用2136.5万元，基金支出1224.12万元；有零售药店结算1-10月份共结算6111批次，共计费用3254.75万元。7.特殊门诊。新增职工特殊医疗门诊病人267人，新增居民特门1029人。职工特门结算17086人次，统筹支680.22万元，今年居民特门结算39400人次，统筹支付1531.98万元。8.“两病”专项保障。“两病”专项保障。“两病”工作是2022年的重点工作之一，为完成所有纳入目标管理的“两病”患者全部享受待遇的目标，我局积极与卫健部门对接，对卫健部门纳入规范化管理的两病人员进行系统匹配，根据匹配结果定点发放至相关辖区指导督促待遇享受。全区纳入规范化管理的高血压患者713人，糖尿病患者1378人。两病门诊中，高血压门诊就诊16340人次，5418人，总费用218.97万元，统筹支付136.73万元；糖尿病门诊就诊18780人次，3823人，总费用332.27万元，统筹支付205.01万元。</w:t>
      </w:r>
    </w:p>
    <w:p>
      <w:pPr>
        <w:widowControl w:val="0"/>
        <w:numPr>
          <w:ilvl w:val="0"/>
          <w:numId w:val="0"/>
        </w:numPr>
        <w:wordWrap/>
        <w:adjustRightInd/>
        <w:snapToGrid/>
        <w:spacing w:line="580" w:lineRule="exact"/>
        <w:ind w:left="-105" w:leftChars="-50" w:right="-105" w:rightChars="-50" w:firstLine="480" w:firstLineChars="200"/>
        <w:jc w:val="both"/>
        <w:textAlignment w:val="auto"/>
        <w:outlineLvl w:val="9"/>
        <w:rPr>
          <w:rFonts w:hint="eastAsia" w:ascii="仿宋" w:hAnsi="仿宋" w:eastAsia="仿宋" w:cs="仿宋"/>
          <w:b w:val="0"/>
          <w:bCs w:val="0"/>
          <w:color w:val="000000"/>
          <w:sz w:val="24"/>
          <w:szCs w:val="24"/>
        </w:rPr>
      </w:pPr>
      <w:r>
        <w:rPr>
          <w:rFonts w:hint="eastAsia" w:ascii="仿宋" w:hAnsi="仿宋" w:eastAsia="仿宋" w:cs="仿宋"/>
          <w:b w:val="0"/>
          <w:bCs w:val="0"/>
          <w:color w:val="000000"/>
          <w:sz w:val="24"/>
          <w:szCs w:val="24"/>
        </w:rPr>
        <w:t>药品、医用耗材计划采购工作</w:t>
      </w:r>
      <w:r>
        <w:rPr>
          <w:rFonts w:hint="eastAsia" w:ascii="仿宋" w:hAnsi="仿宋" w:eastAsia="仿宋" w:cs="仿宋"/>
          <w:b w:val="0"/>
          <w:bCs w:val="0"/>
          <w:color w:val="000000"/>
          <w:sz w:val="24"/>
          <w:szCs w:val="24"/>
          <w:lang w:eastAsia="zh-CN"/>
        </w:rPr>
        <w:t>方面：</w:t>
      </w:r>
      <w:r>
        <w:rPr>
          <w:rFonts w:hint="eastAsia" w:ascii="仿宋" w:hAnsi="仿宋" w:eastAsia="仿宋" w:cs="仿宋"/>
          <w:b w:val="0"/>
          <w:bCs w:val="0"/>
          <w:color w:val="000000"/>
          <w:sz w:val="24"/>
          <w:szCs w:val="24"/>
        </w:rPr>
        <w:t>组织对我区23家公立医疗机构开展关于第七批国家组织药品集采、五市首批药品第二个采购年度集采、中成药联盟集采、广东联盟43个通用名药品集采等十四个批次的中选药品、高值医用耗材、低值医用耗材的集中带量采购工作；认真开展国家组织的第二批集采药品的医保资金结余留用结算工作；负责全力推进我辖区内定点医疗机构开展我市DRG/DIP支付方式改革工作；负责督促、组织、协调我辖区内公立医疗机构贯彻落实我市医疗服务价格动态调整监测评估工作；组织我局事务中心与全区68家协议医疗结构参加省医保局组织的“医药服务管理政策培训月”线上培训工作，组织我辖区内23家公立医疗机构参加省局开展的关于“胰岛素专项培训会议”培训工作，组织我局医疗保障事务中心及辖区内二级以上医疗机构参加了市医保局开展的“关于DIP支付方式改革病种分组专项培训会议”培训工作。</w:t>
      </w:r>
    </w:p>
    <w:p>
      <w:pPr>
        <w:widowControl w:val="0"/>
        <w:numPr>
          <w:ilvl w:val="0"/>
          <w:numId w:val="0"/>
        </w:numPr>
        <w:wordWrap/>
        <w:adjustRightInd/>
        <w:snapToGrid/>
        <w:spacing w:line="580" w:lineRule="exact"/>
        <w:ind w:left="-105" w:leftChars="-50" w:right="-105" w:rightChars="-50" w:firstLine="480" w:firstLineChars="200"/>
        <w:jc w:val="both"/>
        <w:textAlignment w:val="auto"/>
        <w:outlineLvl w:val="9"/>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医疗救助工作方面：医疗救助工作。为确保医疗救助政策落实到位、审批程序规范、上报数据准确，我局将市医保统一制定的医疗救助申请流程，申请表格及时下发乡、街道办事处，同时协调区民政、乡村振兴、退役军人事务管理部门做好申请医疗救助人员类别认定工作，严格规范医疗救助对象的分类和资格认定。截至2022年10月底，有效保障特殊人员参保13218人，共计参保资金267.53万元；门诊医疗救助1418人次，发放救助资金44.01万元；住院医疗救助2668人次，发放救助资金567.6万元。监测对象和脱贫户，兜底保障25人，金额74715.17元。2022年7月15日，出台了岳楼委振[2022]2号文件，关于中共岳阳市岳阳楼区委实施乡村振兴战略领导小组关于印发《岳阳楼区2022年度巩固拓展脱贫攻坚成果同乡村振兴有效衔接医疗保障帮扶方案》的通知。2022年9月22日下午，岳阳楼区医疗救助工作培训会于楼区政府召开。会议组织学习了医疗救助相关政策文件，明确了各部门在医疗救助工作流程中职责，并进行了医疗救助业务知识培训。</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七、存在的问题及原因分析</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spacing w:val="0"/>
          <w:position w:val="0"/>
          <w:sz w:val="24"/>
          <w:szCs w:val="24"/>
          <w:lang w:val="en-US" w:eastAsia="zh-CN"/>
        </w:rPr>
      </w:pPr>
      <w:r>
        <w:rPr>
          <w:rFonts w:hint="eastAsia" w:ascii="仿宋" w:hAnsi="仿宋" w:eastAsia="仿宋" w:cs="仿宋"/>
          <w:color w:val="000000"/>
          <w:spacing w:val="0"/>
          <w:position w:val="0"/>
          <w:sz w:val="24"/>
          <w:szCs w:val="24"/>
          <w:lang w:val="en-US" w:eastAsia="zh-CN"/>
        </w:rPr>
        <w:t>1、人员编制配置严重不足。全局核定编制为32名（局机关核定行政编制5名，事务中心核定编制10名，稽核中心核定编制17名），实有编制47名，超编及混编混岗情况严重。我局自2019年设立以来，干部人数只减未增，先后有6人调出，2人退休，1人改非，1人死亡。由于编制严重不足，干部职级晋升和人员招录、调入严重受限。</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spacing w:val="0"/>
          <w:position w:val="0"/>
          <w:sz w:val="24"/>
          <w:szCs w:val="24"/>
          <w:lang w:val="en-US" w:eastAsia="zh-CN"/>
        </w:rPr>
      </w:pPr>
      <w:r>
        <w:rPr>
          <w:rFonts w:hint="eastAsia" w:ascii="仿宋" w:hAnsi="仿宋" w:eastAsia="仿宋" w:cs="仿宋"/>
          <w:color w:val="000000"/>
          <w:spacing w:val="0"/>
          <w:position w:val="0"/>
          <w:sz w:val="24"/>
          <w:szCs w:val="24"/>
          <w:lang w:val="en-US" w:eastAsia="zh-CN"/>
        </w:rPr>
        <w:t>2、干部队伍年龄结构老化。47名在编人员，30岁以下仅1人，46岁以上有20人，年龄结构老化，干事活力严重不够。接下来5年内，将有10名干部陆续退休，后备干部人才储备不足，干部队伍结构出现周期性老化循环、“青黄不接”断档现象，容易导致干部工作总是处于被动应付状态，难以跟上医疗保障事业发展步伐。</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spacing w:val="0"/>
          <w:position w:val="0"/>
          <w:sz w:val="24"/>
          <w:szCs w:val="24"/>
          <w:lang w:val="en-US" w:eastAsia="zh-CN"/>
        </w:rPr>
      </w:pPr>
      <w:r>
        <w:rPr>
          <w:rFonts w:hint="eastAsia" w:ascii="仿宋" w:hAnsi="仿宋" w:eastAsia="仿宋" w:cs="仿宋"/>
          <w:color w:val="000000"/>
          <w:spacing w:val="0"/>
          <w:position w:val="0"/>
          <w:sz w:val="24"/>
          <w:szCs w:val="24"/>
          <w:lang w:val="en-US" w:eastAsia="zh-CN"/>
        </w:rPr>
        <w:t>3、医学专业人才缺乏。开展医保工作所需要的专业技术人才中，通过系统学习、正规院校毕业的人才缺乏，高学历人才缺乏，本科生占比不高，中坚技术骨干缺乏，部分大龄干部知识结构老化，又因身体、年龄因素学习能力下降。</w:t>
      </w: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下一步改进措施</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spacing w:val="0"/>
          <w:position w:val="0"/>
          <w:sz w:val="24"/>
          <w:szCs w:val="24"/>
          <w:lang w:val="en-US" w:eastAsia="zh-CN"/>
        </w:rPr>
      </w:pPr>
      <w:r>
        <w:rPr>
          <w:rFonts w:hint="eastAsia" w:ascii="仿宋" w:hAnsi="仿宋" w:eastAsia="仿宋" w:cs="仿宋"/>
          <w:color w:val="000000"/>
          <w:spacing w:val="0"/>
          <w:position w:val="0"/>
          <w:sz w:val="24"/>
          <w:szCs w:val="24"/>
          <w:lang w:val="en-US" w:eastAsia="zh-CN"/>
        </w:rPr>
        <w:t>当前存在机构设置不完善、人员力量薄弱等现实困难，需要邀请编办到我局开展调研以解决人员力量严重不足的问题。</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pPr>
        <w:spacing w:before="169" w:line="776" w:lineRule="exact"/>
        <w:ind w:left="372"/>
        <w:rPr>
          <w:rFonts w:hint="eastAsia" w:ascii="宋体" w:hAnsi="宋体" w:eastAsia="宋体" w:cs="宋体"/>
          <w:b/>
          <w:bCs/>
          <w:color w:val="000000"/>
          <w:spacing w:val="19"/>
          <w:position w:val="17"/>
          <w:sz w:val="36"/>
          <w:szCs w:val="36"/>
          <w:lang w:eastAsia="zh-CN"/>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2022年度项目支出绩效自评表</w:t>
      </w:r>
    </w:p>
    <w:tbl>
      <w:tblPr>
        <w:tblStyle w:val="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网络维护费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岳阳楼区医疗保障局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仿宋" w:hAnsi="仿宋" w:eastAsia="仿宋" w:cs="仿宋"/>
                <w:color w:val="000000"/>
                <w:spacing w:val="0"/>
                <w:sz w:val="21"/>
                <w:szCs w:val="21"/>
              </w:rPr>
            </w:pPr>
            <w:r>
              <w:rPr>
                <w:rFonts w:hint="eastAsia" w:ascii="仿宋" w:hAnsi="仿宋" w:eastAsia="仿宋" w:cs="仿宋"/>
                <w:b w:val="0"/>
                <w:bCs/>
                <w:sz w:val="21"/>
                <w:szCs w:val="21"/>
                <w:lang w:eastAsia="zh-CN"/>
              </w:rPr>
              <w:t>高速安全保证单位网络运行畅通</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仿宋" w:hAnsi="仿宋" w:eastAsia="仿宋" w:cs="仿宋"/>
                <w:color w:val="000000"/>
                <w:spacing w:val="0"/>
                <w:sz w:val="21"/>
                <w:szCs w:val="21"/>
              </w:rPr>
            </w:pPr>
            <w:r>
              <w:rPr>
                <w:rFonts w:hint="eastAsia" w:ascii="仿宋" w:hAnsi="仿宋" w:eastAsia="仿宋" w:cs="仿宋"/>
                <w:b w:val="0"/>
                <w:bCs/>
                <w:sz w:val="21"/>
                <w:szCs w:val="21"/>
                <w:lang w:val="en-US" w:eastAsia="zh-CN"/>
              </w:rPr>
              <w:t>未发生网络故障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故障次数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故障次数≤</w:t>
            </w:r>
            <w:r>
              <w:rPr>
                <w:rFonts w:hint="eastAsia" w:ascii="Arial" w:hAnsi="Calibri" w:eastAsia="宋体" w:cs="Times New Roman"/>
                <w:color w:val="000000"/>
                <w:spacing w:val="0"/>
                <w:sz w:val="21"/>
                <w:szCs w:val="21"/>
                <w:lang w:val="en-US" w:eastAsia="zh-CN"/>
              </w:rPr>
              <w:t>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无故障</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信息系统维护及时</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及时解决数据升级问题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及时解决数据升级问题</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1年</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1年</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1年</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网络维护经费</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网络安全运行</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eastAsia="zh-CN"/>
              </w:rPr>
              <w:t>故障次数≤</w:t>
            </w:r>
            <w:r>
              <w:rPr>
                <w:rFonts w:hint="eastAsia" w:ascii="Arial" w:hAnsi="Calibri" w:eastAsia="宋体" w:cs="Times New Roman"/>
                <w:color w:val="000000"/>
                <w:spacing w:val="0"/>
                <w:sz w:val="21"/>
                <w:szCs w:val="21"/>
                <w:lang w:val="en-US" w:eastAsia="zh-CN"/>
              </w:rPr>
              <w:t>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无</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让群众满意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满意度≥95%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稳步提升医保服务能力</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网络服务稳定</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稳定</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群众满意度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99%</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pPr>
        <w:spacing w:before="75" w:line="230" w:lineRule="auto"/>
        <w:rPr>
          <w:rFonts w:hint="eastAsia" w:ascii="仿宋" w:hAnsi="仿宋" w:eastAsia="仿宋" w:cs="仿宋"/>
          <w:color w:val="000000"/>
          <w:spacing w:val="4"/>
          <w:sz w:val="23"/>
          <w:szCs w:val="23"/>
          <w:lang w:val="en-US" w:eastAsia="zh-CN"/>
        </w:rPr>
      </w:pPr>
      <w:r>
        <w:rPr>
          <w:rFonts w:ascii="仿宋" w:hAnsi="仿宋" w:eastAsia="仿宋" w:cs="仿宋"/>
          <w:color w:val="000000"/>
          <w:spacing w:val="-26"/>
          <w:sz w:val="23"/>
          <w:szCs w:val="23"/>
        </w:rPr>
        <w:t>填表人：</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eastAsia="zh-CN"/>
        </w:rPr>
        <w:t>童璇</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13873029299</w:t>
      </w:r>
      <w:r>
        <w:rPr>
          <w:rFonts w:ascii="仿宋" w:hAnsi="仿宋" w:eastAsia="仿宋" w:cs="仿宋"/>
          <w:color w:val="000000"/>
          <w:spacing w:val="3"/>
          <w:sz w:val="23"/>
          <w:szCs w:val="23"/>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26"/>
          <w:sz w:val="23"/>
          <w:szCs w:val="23"/>
        </w:rPr>
        <w:t>填报日期：</w:t>
      </w:r>
      <w:r>
        <w:rPr>
          <w:rFonts w:ascii="仿宋" w:hAnsi="仿宋" w:eastAsia="仿宋" w:cs="仿宋"/>
          <w:color w:val="000000"/>
          <w:spacing w:val="4"/>
          <w:sz w:val="23"/>
          <w:szCs w:val="23"/>
        </w:rPr>
        <w:t xml:space="preserve"> </w:t>
      </w:r>
      <w:r>
        <w:rPr>
          <w:rFonts w:hint="eastAsia" w:ascii="仿宋" w:hAnsi="仿宋" w:eastAsia="仿宋" w:cs="仿宋"/>
          <w:color w:val="000000"/>
          <w:spacing w:val="4"/>
          <w:sz w:val="23"/>
          <w:szCs w:val="23"/>
          <w:lang w:val="en-US" w:eastAsia="zh-CN"/>
        </w:rPr>
        <w:t>2023年6月14日</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2022年度项目支出绩效自评表</w:t>
      </w:r>
    </w:p>
    <w:tbl>
      <w:tblPr>
        <w:tblStyle w:val="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岳阳楼区医疗保障局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187</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201.98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201.98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187</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201.98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201.98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仿宋" w:hAnsi="仿宋" w:eastAsia="仿宋" w:cs="仿宋"/>
                <w:color w:val="000000"/>
                <w:spacing w:val="0"/>
                <w:sz w:val="21"/>
                <w:szCs w:val="21"/>
                <w:lang w:val="en-US" w:eastAsia="zh-CN"/>
              </w:rPr>
            </w:pPr>
            <w:r>
              <w:rPr>
                <w:rFonts w:hint="eastAsia" w:ascii="仿宋" w:hAnsi="仿宋" w:eastAsia="仿宋" w:cs="仿宋"/>
                <w:color w:val="000000"/>
                <w:spacing w:val="0"/>
                <w:sz w:val="21"/>
                <w:szCs w:val="21"/>
                <w:lang w:val="en-US" w:eastAsia="zh-CN"/>
              </w:rPr>
              <w:t>居民医保参保率≥95%</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仿宋" w:hAnsi="仿宋" w:eastAsia="仿宋" w:cs="仿宋"/>
                <w:color w:val="000000"/>
                <w:spacing w:val="0"/>
                <w:sz w:val="21"/>
                <w:szCs w:val="21"/>
                <w:lang w:val="en-US"/>
              </w:rPr>
            </w:pPr>
            <w:r>
              <w:rPr>
                <w:rFonts w:hint="eastAsia" w:ascii="仿宋" w:hAnsi="仿宋" w:eastAsia="仿宋" w:cs="仿宋"/>
                <w:b w:val="0"/>
                <w:bCs/>
                <w:sz w:val="21"/>
                <w:szCs w:val="21"/>
                <w:lang w:val="en-US" w:eastAsia="zh-CN"/>
              </w:rPr>
              <w:t>居民医保参保率95%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居民医保参保率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5"/>
                <w:szCs w:val="15"/>
              </w:rPr>
            </w:pPr>
            <w:r>
              <w:rPr>
                <w:rFonts w:hint="eastAsia" w:ascii="仿宋" w:hAnsi="仿宋" w:eastAsia="仿宋" w:cs="仿宋"/>
                <w:color w:val="000000"/>
                <w:spacing w:val="0"/>
                <w:sz w:val="15"/>
                <w:szCs w:val="15"/>
                <w:lang w:val="en-US" w:eastAsia="zh-CN"/>
              </w:rPr>
              <w: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城乡居民参保各项财政补助及时性</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各项补助及时到位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r>
              <w:rPr>
                <w:rFonts w:hint="eastAsia" w:ascii="Arial" w:hAnsi="Calibri" w:eastAsia="宋体" w:cs="Times New Roman"/>
                <w:color w:val="000000"/>
                <w:spacing w:val="0"/>
                <w:sz w:val="15"/>
                <w:szCs w:val="15"/>
                <w:lang w:eastAsia="zh-CN"/>
              </w:rPr>
              <w:t>各项补助及时到位</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资金到位时效</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各项补助及时到位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15"/>
                <w:szCs w:val="15"/>
              </w:rPr>
            </w:pPr>
            <w:r>
              <w:rPr>
                <w:rFonts w:hint="eastAsia" w:ascii="Arial" w:hAnsi="Calibri" w:eastAsia="宋体" w:cs="Times New Roman"/>
                <w:color w:val="000000"/>
                <w:spacing w:val="0"/>
                <w:sz w:val="15"/>
                <w:szCs w:val="15"/>
                <w:lang w:eastAsia="zh-CN"/>
              </w:rPr>
              <w:t>各项补助及时到位</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业务工作经费</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187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201.98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both"/>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财务处理原因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效益指标</w:t>
            </w:r>
            <w:r>
              <w:rPr>
                <w:rFonts w:ascii="宋体" w:hAnsi="宋体" w:eastAsia="宋体" w:cs="宋体"/>
                <w:color w:val="000000"/>
                <w:spacing w:val="0"/>
                <w:sz w:val="21"/>
                <w:szCs w:val="21"/>
              </w:rPr>
              <w:t>(</w:t>
            </w:r>
            <w:r>
              <w:rPr>
                <w:rFonts w:hint="eastAsia" w:ascii="宋体" w:hAnsi="宋体" w:eastAsia="宋体" w:cs="宋体"/>
                <w:color w:val="000000"/>
                <w:spacing w:val="0"/>
                <w:sz w:val="21"/>
                <w:szCs w:val="21"/>
                <w:lang w:val="en-US" w:eastAsia="zh-CN"/>
              </w:rPr>
              <w:t>30</w:t>
            </w:r>
            <w:r>
              <w:rPr>
                <w:rFonts w:ascii="宋体" w:hAnsi="宋体" w:eastAsia="宋体" w:cs="宋体"/>
                <w:color w:val="000000"/>
                <w:spacing w:val="0"/>
                <w:sz w:val="21"/>
                <w:szCs w:val="21"/>
              </w:rPr>
              <w:t>分)</w:t>
            </w:r>
          </w:p>
        </w:tc>
        <w:tc>
          <w:tcPr>
            <w:tcW w:w="1080" w:type="dxa"/>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城乡居民参保率提高</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仿宋" w:hAnsi="仿宋" w:eastAsia="仿宋" w:cs="仿宋"/>
                <w:color w:val="000000"/>
                <w:spacing w:val="0"/>
                <w:sz w:val="15"/>
                <w:szCs w:val="15"/>
                <w:lang w:val="en-US" w:eastAsia="zh-CN"/>
              </w:rPr>
              <w: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spacing w:val="0"/>
                <w:sz w:val="21"/>
                <w:szCs w:val="21"/>
                <w:lang w:eastAsia="zh-CN"/>
              </w:rPr>
            </w:pPr>
            <w:r>
              <w:rPr>
                <w:rFonts w:hint="eastAsia" w:ascii="宋体" w:hAnsi="宋体" w:eastAsia="宋体" w:cs="宋体"/>
                <w:color w:val="000000"/>
                <w:spacing w:val="0"/>
                <w:sz w:val="21"/>
                <w:szCs w:val="21"/>
                <w:lang w:eastAsia="zh-CN"/>
              </w:rPr>
              <w:t>经济效益</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全力推进我区DRG/DIP支付方式 改革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r>
              <w:rPr>
                <w:rFonts w:hint="eastAsia" w:ascii="Arial" w:hAnsi="Calibri" w:eastAsia="宋体" w:cs="Times New Roman"/>
                <w:color w:val="000000"/>
                <w:spacing w:val="0"/>
                <w:sz w:val="15"/>
                <w:szCs w:val="15"/>
              </w:rPr>
              <w:t>组织医疗机构线上培训</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15"/>
                <w:szCs w:val="15"/>
              </w:rPr>
            </w:pPr>
            <w:r>
              <w:rPr>
                <w:rFonts w:hint="eastAsia" w:ascii="Arial" w:hAnsi="Calibri" w:eastAsia="宋体" w:cs="Times New Roman"/>
                <w:color w:val="000000"/>
                <w:spacing w:val="0"/>
                <w:sz w:val="15"/>
                <w:szCs w:val="15"/>
              </w:rPr>
              <w:t>组织了我区内23家机构参加培训</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spacing w:val="0"/>
                <w:sz w:val="21"/>
                <w:szCs w:val="21"/>
                <w:lang w:eastAsia="zh-CN"/>
              </w:rPr>
            </w:pPr>
            <w:r>
              <w:rPr>
                <w:rFonts w:hint="eastAsia" w:ascii="宋体" w:hAnsi="宋体" w:eastAsia="宋体" w:cs="宋体"/>
                <w:color w:val="000000"/>
                <w:spacing w:val="0"/>
                <w:sz w:val="21"/>
                <w:szCs w:val="21"/>
                <w:lang w:eastAsia="zh-CN"/>
              </w:rPr>
              <w:t>可持续 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多维宣传医保</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rPr>
            </w:pPr>
            <w:r>
              <w:rPr>
                <w:rFonts w:hint="eastAsia" w:ascii="Arial" w:hAnsi="Calibri" w:eastAsia="宋体" w:cs="Times New Roman"/>
                <w:color w:val="000000"/>
                <w:spacing w:val="0"/>
                <w:sz w:val="15"/>
                <w:szCs w:val="15"/>
              </w:rPr>
              <w:t>提高群众对医保政策的知晓度</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各类宣传到位</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4</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spacing w:val="0"/>
                <w:sz w:val="21"/>
                <w:szCs w:val="21"/>
                <w:lang w:eastAsia="zh-CN"/>
              </w:rPr>
            </w:pPr>
            <w:r>
              <w:rPr>
                <w:rFonts w:hint="eastAsia" w:ascii="宋体" w:hAnsi="宋体" w:eastAsia="宋体" w:cs="宋体"/>
                <w:color w:val="000000"/>
                <w:spacing w:val="0"/>
                <w:sz w:val="21"/>
                <w:szCs w:val="21"/>
                <w:lang w:eastAsia="zh-CN"/>
              </w:rPr>
              <w:t>生态效益</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医保基金使用安全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rPr>
            </w:pPr>
            <w:r>
              <w:rPr>
                <w:rFonts w:hint="eastAsia" w:ascii="Arial" w:hAnsi="Calibri" w:eastAsia="宋体" w:cs="Times New Roman"/>
                <w:color w:val="000000"/>
                <w:spacing w:val="0"/>
                <w:sz w:val="15"/>
                <w:szCs w:val="15"/>
              </w:rPr>
              <w:t>无基金安全事故</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无</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15"/>
                <w:szCs w:val="15"/>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15"/>
                <w:szCs w:val="15"/>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15"/>
                <w:szCs w:val="15"/>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15"/>
                <w:szCs w:val="15"/>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15"/>
                <w:szCs w:val="15"/>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15"/>
                <w:szCs w:val="15"/>
                <w:lang w:eastAsia="zh-CN"/>
              </w:rPr>
            </w:pPr>
            <w:r>
              <w:rPr>
                <w:rFonts w:hint="eastAsia" w:ascii="Arial" w:hAnsi="Calibri" w:eastAsia="宋体" w:cs="Times New Roman"/>
                <w:color w:val="000000"/>
                <w:spacing w:val="0"/>
                <w:sz w:val="15"/>
                <w:szCs w:val="15"/>
                <w:lang w:eastAsia="zh-CN"/>
              </w:rPr>
              <w:t>群众满意度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99%</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15"/>
                <w:szCs w:val="15"/>
                <w:lang w:val="en-US" w:eastAsia="zh-CN"/>
              </w:rPr>
            </w:pPr>
            <w:r>
              <w:rPr>
                <w:rFonts w:hint="eastAsia" w:ascii="Arial" w:hAnsi="Calibri" w:eastAsia="宋体" w:cs="Times New Roman"/>
                <w:color w:val="000000"/>
                <w:spacing w:val="0"/>
                <w:sz w:val="15"/>
                <w:szCs w:val="15"/>
                <w:lang w:val="en-US" w:eastAsia="zh-CN"/>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15"/>
                <w:szCs w:val="15"/>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15"/>
                <w:szCs w:val="15"/>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15"/>
                <w:szCs w:val="15"/>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15"/>
                <w:szCs w:val="15"/>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15"/>
                <w:szCs w:val="15"/>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pPr>
        <w:spacing w:line="252" w:lineRule="auto"/>
        <w:rPr>
          <w:rFonts w:ascii="Arial" w:hAnsi="Calibri" w:eastAsia="宋体" w:cs="Times New Roman"/>
          <w:color w:val="000000"/>
          <w:sz w:val="21"/>
          <w:szCs w:val="24"/>
        </w:rPr>
      </w:pPr>
    </w:p>
    <w:p>
      <w:pPr>
        <w:keepNext w:val="0"/>
        <w:keepLines w:val="0"/>
        <w:pageBreakBefore w:val="0"/>
        <w:widowControl w:val="0"/>
        <w:kinsoku/>
        <w:wordWrap/>
        <w:overflowPunct/>
        <w:topLinePunct w:val="0"/>
        <w:autoSpaceDE/>
        <w:autoSpaceDN/>
        <w:bidi w:val="0"/>
        <w:adjustRightInd/>
        <w:snapToGrid/>
        <w:ind w:firstLine="356"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ascii="仿宋" w:hAnsi="仿宋" w:eastAsia="仿宋" w:cs="仿宋"/>
          <w:color w:val="000000"/>
          <w:spacing w:val="-26"/>
          <w:sz w:val="23"/>
          <w:szCs w:val="23"/>
        </w:rPr>
        <w:t>填表人：</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eastAsia="zh-CN"/>
        </w:rPr>
        <w:t>童璇</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13873029299</w:t>
      </w:r>
      <w:r>
        <w:rPr>
          <w:rFonts w:ascii="仿宋" w:hAnsi="仿宋" w:eastAsia="仿宋" w:cs="仿宋"/>
          <w:color w:val="000000"/>
          <w:spacing w:val="3"/>
          <w:sz w:val="23"/>
          <w:szCs w:val="23"/>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26"/>
          <w:sz w:val="23"/>
          <w:szCs w:val="23"/>
        </w:rPr>
        <w:t>填报日期：</w:t>
      </w:r>
      <w:r>
        <w:rPr>
          <w:rFonts w:ascii="仿宋" w:hAnsi="仿宋" w:eastAsia="仿宋" w:cs="仿宋"/>
          <w:color w:val="000000"/>
          <w:spacing w:val="4"/>
          <w:sz w:val="23"/>
          <w:szCs w:val="23"/>
        </w:rPr>
        <w:t xml:space="preserve"> </w:t>
      </w:r>
      <w:r>
        <w:rPr>
          <w:rFonts w:hint="eastAsia" w:ascii="仿宋" w:hAnsi="仿宋" w:eastAsia="仿宋" w:cs="仿宋"/>
          <w:color w:val="000000"/>
          <w:spacing w:val="4"/>
          <w:sz w:val="23"/>
          <w:szCs w:val="23"/>
          <w:lang w:val="en-US" w:eastAsia="zh-CN"/>
        </w:rPr>
        <w:t>2023年6月14日</w:t>
      </w:r>
    </w:p>
    <w:p>
      <w:pPr>
        <w:spacing w:line="600" w:lineRule="exact"/>
        <w:jc w:val="center"/>
        <w:rPr>
          <w:rFonts w:ascii="仿宋" w:hAnsi="仿宋" w:eastAsia="仿宋" w:cs="Times New Roman"/>
          <w:b/>
          <w:bCs/>
          <w:sz w:val="32"/>
          <w:szCs w:val="32"/>
        </w:rPr>
      </w:pPr>
    </w:p>
    <w:p/>
    <w:p/>
    <w:p/>
    <w:p/>
    <w:p/>
    <w:p/>
    <w:p/>
    <w:p/>
    <w:p/>
    <w:p/>
    <w:p>
      <w:pPr>
        <w:keepNext w:val="0"/>
        <w:keepLines w:val="0"/>
        <w:pageBreakBefore w:val="0"/>
        <w:widowControl w:val="0"/>
        <w:kinsoku/>
        <w:wordWrap/>
        <w:overflowPunct/>
        <w:topLinePunct w:val="0"/>
        <w:autoSpaceDE/>
        <w:autoSpaceDN/>
        <w:bidi w:val="0"/>
        <w:adjustRightInd/>
        <w:snapToGrid/>
        <w:spacing w:line="240" w:lineRule="auto"/>
        <w:ind w:firstLine="680" w:firstLineChars="200"/>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附件5</w:t>
      </w:r>
    </w:p>
    <w:p>
      <w:pPr>
        <w:ind w:firstLine="1440" w:firstLineChars="400"/>
        <w:jc w:val="both"/>
        <w:rPr>
          <w:rFonts w:hint="eastAsia" w:ascii="Calibri" w:hAnsi="Calibri" w:eastAsia="方正小标宋简体" w:cs="Times New Roman"/>
          <w:sz w:val="36"/>
          <w:szCs w:val="36"/>
          <w:lang w:eastAsia="zh-CN"/>
        </w:rPr>
      </w:pPr>
    </w:p>
    <w:p>
      <w:pPr>
        <w:ind w:firstLine="1440" w:firstLineChars="400"/>
        <w:jc w:val="both"/>
        <w:rPr>
          <w:rFonts w:ascii="Calibri" w:hAnsi="Calibri" w:eastAsia="方正小标宋简体" w:cs="Times New Roman"/>
          <w:spacing w:val="-6"/>
          <w:sz w:val="36"/>
          <w:szCs w:val="36"/>
        </w:rPr>
      </w:pPr>
      <w:r>
        <w:rPr>
          <w:rFonts w:hint="eastAsia" w:ascii="Calibri" w:hAnsi="Calibri" w:eastAsia="方正小标宋简体" w:cs="Times New Roman"/>
          <w:sz w:val="36"/>
          <w:szCs w:val="36"/>
          <w:lang w:eastAsia="zh-CN"/>
        </w:rPr>
        <w:t>区级</w:t>
      </w:r>
      <w:r>
        <w:rPr>
          <w:rFonts w:ascii="Calibri" w:hAnsi="Calibri" w:eastAsia="方正小标宋简体" w:cs="Times New Roman"/>
          <w:sz w:val="36"/>
          <w:szCs w:val="36"/>
        </w:rPr>
        <w:t>预算</w:t>
      </w:r>
      <w:r>
        <w:rPr>
          <w:rFonts w:hint="eastAsia" w:ascii="Calibri" w:hAnsi="Calibri" w:eastAsia="方正小标宋简体" w:cs="Times New Roman"/>
          <w:sz w:val="36"/>
          <w:szCs w:val="36"/>
          <w:lang w:eastAsia="zh-CN"/>
        </w:rPr>
        <w:t>单位</w:t>
      </w:r>
      <w:r>
        <w:rPr>
          <w:rFonts w:ascii="Calibri" w:hAnsi="Calibri" w:eastAsia="方正小标宋简体" w:cs="Times New Roman"/>
          <w:spacing w:val="-6"/>
          <w:sz w:val="36"/>
          <w:szCs w:val="36"/>
        </w:rPr>
        <w:t>绩效自评工作考核评分表</w:t>
      </w:r>
    </w:p>
    <w:tbl>
      <w:tblPr>
        <w:tblStyle w:val="2"/>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ascii="Calibri" w:hAnsi="Calibri" w:eastAsia="黑体" w:cs="Times New Roman"/>
                <w:szCs w:val="21"/>
              </w:rPr>
            </w:pPr>
            <w:r>
              <w:rPr>
                <w:rFonts w:ascii="Calibri" w:hAnsi="Calibri" w:eastAsia="黑体" w:cs="Times New Roman"/>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ascii="Calibri" w:hAnsi="Calibri" w:eastAsia="黑体" w:cs="Times New Roman"/>
                <w:szCs w:val="21"/>
              </w:rPr>
            </w:pPr>
            <w:r>
              <w:rPr>
                <w:rFonts w:ascii="Calibri" w:hAnsi="Calibri" w:eastAsia="黑体" w:cs="Times New Roman"/>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ascii="Calibri" w:hAnsi="Calibri" w:eastAsia="黑体" w:cs="Times New Roman"/>
                <w:szCs w:val="21"/>
              </w:rPr>
            </w:pPr>
            <w:r>
              <w:rPr>
                <w:rFonts w:ascii="Calibri" w:hAnsi="Calibri" w:eastAsia="黑体" w:cs="Times New Roman"/>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ascii="Calibri" w:hAnsi="Calibri" w:eastAsia="黑体" w:cs="Times New Roman"/>
                <w:szCs w:val="21"/>
              </w:rPr>
            </w:pPr>
            <w:r>
              <w:rPr>
                <w:rFonts w:ascii="Calibri" w:hAnsi="Calibri" w:eastAsia="黑体" w:cs="Times New Roman"/>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hAnsi="宋体" w:eastAsia="宋体" w:cs="宋体"/>
                <w:szCs w:val="21"/>
              </w:rPr>
            </w:pPr>
            <w:r>
              <w:rPr>
                <w:rFonts w:hint="eastAsia" w:ascii="宋体" w:hAnsi="宋体" w:eastAsia="宋体" w:cs="宋体"/>
                <w:szCs w:val="21"/>
              </w:rPr>
              <w:t>实施评价</w:t>
            </w:r>
          </w:p>
          <w:p>
            <w:pPr>
              <w:spacing w:line="320" w:lineRule="exact"/>
              <w:jc w:val="center"/>
              <w:rPr>
                <w:rFonts w:hint="eastAsia" w:ascii="宋体" w:hAnsi="宋体" w:eastAsia="宋体" w:cs="宋体"/>
                <w:szCs w:val="21"/>
              </w:rPr>
            </w:pPr>
          </w:p>
          <w:p>
            <w:pPr>
              <w:spacing w:line="320" w:lineRule="exact"/>
              <w:jc w:val="center"/>
              <w:rPr>
                <w:rFonts w:hint="eastAsia" w:ascii="宋体" w:hAnsi="宋体" w:eastAsia="宋体" w:cs="宋体"/>
                <w:szCs w:val="21"/>
              </w:rPr>
            </w:pPr>
            <w:r>
              <w:rPr>
                <w:rFonts w:hint="eastAsia" w:ascii="宋体" w:hAnsi="宋体" w:eastAsia="宋体" w:cs="宋体"/>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单位自查</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宋体" w:hAnsi="宋体" w:eastAsia="宋体" w:cs="宋体"/>
                <w:sz w:val="21"/>
                <w:szCs w:val="21"/>
              </w:rPr>
            </w:pPr>
            <w:r>
              <w:rPr>
                <w:rFonts w:hint="eastAsia" w:ascii="宋体" w:hAnsi="宋体" w:eastAsia="宋体" w:cs="宋体"/>
                <w:sz w:val="21"/>
                <w:szCs w:val="21"/>
                <w:lang w:eastAsia="zh-CN"/>
              </w:rPr>
              <w:t>区</w:t>
            </w:r>
            <w:r>
              <w:rPr>
                <w:rFonts w:hint="eastAsia" w:ascii="宋体" w:hAnsi="宋体" w:eastAsia="宋体" w:cs="宋体"/>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宋体" w:hAnsi="宋体" w:eastAsia="宋体" w:cs="宋体"/>
                <w:szCs w:val="21"/>
                <w:lang w:val="en-US" w:eastAsia="zh-CN"/>
              </w:rPr>
            </w:pPr>
            <w:r>
              <w:rPr>
                <w:rFonts w:hint="eastAsia" w:ascii="宋体" w:hAnsi="宋体" w:eastAsia="宋体" w:cs="宋体"/>
                <w:szCs w:val="21"/>
              </w:rPr>
              <w:t>　</w:t>
            </w:r>
            <w:r>
              <w:rPr>
                <w:rFonts w:hint="eastAsia" w:ascii="宋体" w:hAnsi="宋体" w:eastAsia="宋体" w:cs="宋体"/>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eastAsia="宋体" w:cs="宋体"/>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提交报告</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按时向</w:t>
            </w:r>
            <w:r>
              <w:rPr>
                <w:rFonts w:hint="eastAsia" w:ascii="宋体" w:hAnsi="宋体" w:eastAsia="宋体" w:cs="宋体"/>
                <w:sz w:val="21"/>
                <w:szCs w:val="21"/>
                <w:lang w:eastAsia="zh-CN"/>
              </w:rPr>
              <w:t>区</w:t>
            </w:r>
            <w:r>
              <w:rPr>
                <w:rFonts w:hint="eastAsia" w:ascii="宋体" w:hAnsi="宋体" w:eastAsia="宋体" w:cs="宋体"/>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宋体" w:hAnsi="宋体" w:eastAsia="宋体" w:cs="宋体"/>
                <w:szCs w:val="21"/>
                <w:lang w:val="en-US" w:eastAsia="zh-CN"/>
              </w:rPr>
            </w:pPr>
            <w:r>
              <w:rPr>
                <w:rFonts w:hint="eastAsia" w:ascii="宋体" w:hAnsi="宋体" w:eastAsia="宋体" w:cs="宋体"/>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rPr>
              <w:t>自评报告</w:t>
            </w:r>
          </w:p>
          <w:p>
            <w:pPr>
              <w:spacing w:line="240" w:lineRule="exact"/>
              <w:jc w:val="center"/>
              <w:rPr>
                <w:rFonts w:hint="eastAsia" w:ascii="宋体" w:hAnsi="宋体" w:eastAsia="宋体" w:cs="宋体"/>
                <w:szCs w:val="21"/>
              </w:rPr>
            </w:pPr>
          </w:p>
          <w:p>
            <w:pPr>
              <w:spacing w:line="240" w:lineRule="exact"/>
              <w:jc w:val="center"/>
              <w:rPr>
                <w:rFonts w:hint="eastAsia" w:ascii="宋体" w:hAnsi="宋体" w:eastAsia="宋体" w:cs="宋体"/>
                <w:szCs w:val="21"/>
              </w:rPr>
            </w:pPr>
            <w:r>
              <w:rPr>
                <w:rFonts w:hint="eastAsia" w:ascii="宋体" w:hAnsi="宋体" w:eastAsia="宋体" w:cs="宋体"/>
                <w:szCs w:val="21"/>
                <w:lang w:val="en-US" w:eastAsia="zh-CN"/>
              </w:rPr>
              <w:t>70</w:t>
            </w:r>
            <w:r>
              <w:rPr>
                <w:rFonts w:hint="eastAsia" w:ascii="宋体" w:hAnsi="宋体" w:eastAsia="宋体" w:cs="宋体"/>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自评报告</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的完整性</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1.绩效自评报告正文部分内容齐全的，得8分；否则每少一个部分扣2分，最多扣8分。</w:t>
            </w:r>
          </w:p>
          <w:p>
            <w:pPr>
              <w:spacing w:line="2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lang w:val="en-US" w:eastAsia="zh-CN"/>
              </w:rPr>
              <w:t>15</w:t>
            </w:r>
            <w:r>
              <w:rPr>
                <w:rFonts w:hint="eastAsia" w:ascii="宋体" w:hAnsi="宋体" w:eastAsia="宋体" w:cs="宋体"/>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eastAsia="宋体" w:cs="宋体"/>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绩效自评表</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20</w:t>
            </w:r>
            <w:r>
              <w:rPr>
                <w:rFonts w:hint="eastAsia" w:ascii="宋体" w:hAnsi="宋体" w:eastAsia="宋体" w:cs="宋体"/>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1.部门整体支出和项目支出绩效指标反映产出、效益、服务对象满意度方面的指标和预算执行率的权重符合</w:t>
            </w:r>
            <w:r>
              <w:rPr>
                <w:rFonts w:hint="eastAsia" w:ascii="宋体" w:hAnsi="宋体" w:eastAsia="宋体" w:cs="宋体"/>
                <w:sz w:val="21"/>
                <w:szCs w:val="21"/>
                <w:lang w:eastAsia="zh-CN"/>
              </w:rPr>
              <w:t>《</w:t>
            </w:r>
            <w:r>
              <w:rPr>
                <w:rFonts w:hint="eastAsia" w:ascii="宋体" w:hAnsi="宋体" w:eastAsia="宋体" w:cs="宋体"/>
                <w:sz w:val="21"/>
                <w:szCs w:val="21"/>
              </w:rPr>
              <w:t>岳阳市市级预算部门绩效自评操作规程</w:t>
            </w:r>
            <w:r>
              <w:rPr>
                <w:rFonts w:hint="eastAsia" w:ascii="宋体" w:hAnsi="宋体" w:eastAsia="宋体" w:cs="宋体"/>
                <w:sz w:val="21"/>
                <w:szCs w:val="21"/>
                <w:lang w:eastAsia="zh-CN"/>
              </w:rPr>
              <w:t>》</w:t>
            </w:r>
            <w:r>
              <w:rPr>
                <w:rFonts w:hint="eastAsia" w:ascii="宋体" w:hAnsi="宋体" w:eastAsia="宋体" w:cs="宋体"/>
                <w:sz w:val="21"/>
                <w:szCs w:val="21"/>
              </w:rPr>
              <w:t>的，得</w:t>
            </w:r>
            <w:r>
              <w:rPr>
                <w:rFonts w:hint="eastAsia" w:ascii="宋体" w:hAnsi="宋体" w:eastAsia="宋体" w:cs="宋体"/>
                <w:sz w:val="21"/>
                <w:szCs w:val="21"/>
                <w:lang w:val="en-US" w:eastAsia="zh-CN"/>
              </w:rPr>
              <w:t>5</w:t>
            </w:r>
            <w:r>
              <w:rPr>
                <w:rFonts w:hint="eastAsia" w:ascii="宋体" w:hAnsi="宋体" w:eastAsia="宋体" w:cs="宋体"/>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2.部门整体支出和项目支出绩效指标全部细化到三级指标的，得</w:t>
            </w:r>
            <w:r>
              <w:rPr>
                <w:rFonts w:hint="eastAsia" w:ascii="宋体" w:hAnsi="宋体" w:eastAsia="宋体" w:cs="宋体"/>
                <w:sz w:val="21"/>
                <w:szCs w:val="21"/>
                <w:lang w:val="en-US" w:eastAsia="zh-CN"/>
              </w:rPr>
              <w:t>5</w:t>
            </w:r>
            <w:r>
              <w:rPr>
                <w:rFonts w:hint="eastAsia" w:ascii="宋体" w:hAnsi="宋体" w:eastAsia="宋体" w:cs="宋体"/>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lang w:val="en-US" w:eastAsia="zh-CN"/>
              </w:rPr>
              <w:t>18</w:t>
            </w:r>
            <w:r>
              <w:rPr>
                <w:rFonts w:hint="eastAsia" w:ascii="宋体" w:hAnsi="宋体" w:eastAsia="宋体" w:cs="宋体"/>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eastAsia="宋体" w:cs="宋体"/>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绩效评价</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报告反映</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问题情况</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20</w:t>
            </w:r>
            <w:r>
              <w:rPr>
                <w:rFonts w:hint="eastAsia" w:ascii="宋体" w:hAnsi="宋体" w:eastAsia="宋体" w:cs="宋体"/>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宋体" w:hAnsi="宋体" w:eastAsia="宋体" w:cs="宋体"/>
                <w:sz w:val="21"/>
                <w:szCs w:val="21"/>
              </w:rPr>
            </w:pPr>
            <w:r>
              <w:rPr>
                <w:rFonts w:hint="eastAsia" w:ascii="宋体" w:hAnsi="宋体" w:eastAsia="宋体" w:cs="宋体"/>
                <w:spacing w:val="10"/>
                <w:sz w:val="21"/>
                <w:szCs w:val="21"/>
              </w:rPr>
              <w:t>从预算和预算绩效管理，部门履职效能，资金分</w:t>
            </w:r>
            <w:r>
              <w:rPr>
                <w:rFonts w:hint="eastAsia" w:ascii="宋体" w:hAnsi="宋体" w:eastAsia="宋体" w:cs="宋体"/>
                <w:spacing w:val="9"/>
                <w:sz w:val="21"/>
                <w:szCs w:val="21"/>
              </w:rPr>
              <w:t>配、使用和管理，资产和财务管理，政府</w:t>
            </w:r>
            <w:r>
              <w:rPr>
                <w:rFonts w:hint="eastAsia" w:ascii="宋体" w:hAnsi="宋体" w:eastAsia="宋体" w:cs="宋体"/>
                <w:sz w:val="21"/>
                <w:szCs w:val="21"/>
              </w:rPr>
              <w:t xml:space="preserve">  </w:t>
            </w:r>
            <w:r>
              <w:rPr>
                <w:rFonts w:hint="eastAsia" w:ascii="宋体" w:hAnsi="宋体" w:eastAsia="宋体" w:cs="宋体"/>
                <w:spacing w:val="7"/>
                <w:sz w:val="21"/>
                <w:szCs w:val="21"/>
              </w:rPr>
              <w:t>采购等方面归纳问题、分析原因全面的，得20分；反映问题、分析原因较</w:t>
            </w:r>
            <w:r>
              <w:rPr>
                <w:rFonts w:hint="eastAsia" w:ascii="宋体" w:hAnsi="宋体" w:eastAsia="宋体" w:cs="宋体"/>
                <w:spacing w:val="6"/>
                <w:sz w:val="21"/>
                <w:szCs w:val="21"/>
              </w:rPr>
              <w:t>全面的，得16—</w:t>
            </w:r>
            <w:r>
              <w:rPr>
                <w:rFonts w:hint="eastAsia" w:ascii="宋体" w:hAnsi="宋体" w:eastAsia="宋体" w:cs="宋体"/>
                <w:spacing w:val="-73"/>
                <w:sz w:val="21"/>
                <w:szCs w:val="21"/>
              </w:rPr>
              <w:t xml:space="preserve"> </w:t>
            </w:r>
            <w:r>
              <w:rPr>
                <w:rFonts w:hint="eastAsia" w:ascii="宋体" w:hAnsi="宋体" w:eastAsia="宋体" w:cs="宋体"/>
                <w:spacing w:val="6"/>
                <w:sz w:val="21"/>
                <w:szCs w:val="21"/>
              </w:rPr>
              <w:t>18</w:t>
            </w:r>
            <w:r>
              <w:rPr>
                <w:rFonts w:hint="eastAsia" w:ascii="宋体" w:hAnsi="宋体" w:eastAsia="宋体" w:cs="宋体"/>
                <w:sz w:val="21"/>
                <w:szCs w:val="21"/>
              </w:rPr>
              <w:t xml:space="preserve"> </w:t>
            </w:r>
            <w:r>
              <w:rPr>
                <w:rFonts w:hint="eastAsia" w:ascii="宋体" w:hAnsi="宋体" w:eastAsia="宋体" w:cs="宋体"/>
                <w:spacing w:val="12"/>
                <w:sz w:val="21"/>
                <w:szCs w:val="21"/>
              </w:rPr>
              <w:t>分；反映问题、分析原因不全面的，得13—</w:t>
            </w:r>
            <w:r>
              <w:rPr>
                <w:rFonts w:hint="eastAsia" w:ascii="宋体" w:hAnsi="宋体" w:eastAsia="宋体" w:cs="宋体"/>
                <w:spacing w:val="-68"/>
                <w:sz w:val="21"/>
                <w:szCs w:val="21"/>
              </w:rPr>
              <w:t xml:space="preserve"> </w:t>
            </w:r>
            <w:r>
              <w:rPr>
                <w:rFonts w:hint="eastAsia" w:ascii="宋体" w:hAnsi="宋体" w:eastAsia="宋体" w:cs="宋体"/>
                <w:spacing w:val="12"/>
                <w:sz w:val="21"/>
                <w:szCs w:val="21"/>
              </w:rPr>
              <w:t>15分；问题未归纳</w:t>
            </w:r>
            <w:r>
              <w:rPr>
                <w:rFonts w:hint="eastAsia" w:ascii="宋体" w:hAnsi="宋体" w:eastAsia="宋体" w:cs="宋体"/>
                <w:spacing w:val="11"/>
                <w:sz w:val="21"/>
                <w:szCs w:val="21"/>
              </w:rPr>
              <w:t>且过于简单的，得10—</w:t>
            </w:r>
            <w:r>
              <w:rPr>
                <w:rFonts w:hint="eastAsia" w:ascii="宋体" w:hAnsi="宋体" w:eastAsia="宋体" w:cs="宋体"/>
                <w:spacing w:val="-68"/>
                <w:sz w:val="21"/>
                <w:szCs w:val="21"/>
              </w:rPr>
              <w:t xml:space="preserve"> </w:t>
            </w:r>
            <w:r>
              <w:rPr>
                <w:rFonts w:hint="eastAsia" w:ascii="宋体" w:hAnsi="宋体" w:eastAsia="宋体" w:cs="宋体"/>
                <w:spacing w:val="11"/>
                <w:sz w:val="21"/>
                <w:szCs w:val="21"/>
              </w:rPr>
              <w:t>12</w:t>
            </w:r>
            <w:r>
              <w:rPr>
                <w:rFonts w:hint="eastAsia" w:ascii="宋体" w:hAnsi="宋体" w:eastAsia="宋体" w:cs="宋体"/>
                <w:sz w:val="21"/>
                <w:szCs w:val="21"/>
              </w:rPr>
              <w:t xml:space="preserve">  </w:t>
            </w:r>
            <w:r>
              <w:rPr>
                <w:rFonts w:hint="eastAsia" w:ascii="宋体" w:hAnsi="宋体" w:eastAsia="宋体" w:cs="宋体"/>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lang w:val="en-US" w:eastAsia="zh-CN"/>
              </w:rPr>
              <w:t>18</w:t>
            </w:r>
            <w:r>
              <w:rPr>
                <w:rFonts w:hint="eastAsia" w:ascii="宋体" w:hAnsi="宋体" w:eastAsia="宋体" w:cs="宋体"/>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eastAsia="宋体" w:cs="宋体"/>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针对问题</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提出可行性建议的情况</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宋体" w:hAnsi="宋体" w:eastAsia="宋体" w:cs="宋体"/>
                <w:sz w:val="21"/>
                <w:szCs w:val="21"/>
              </w:rPr>
            </w:pPr>
            <w:r>
              <w:rPr>
                <w:rFonts w:hint="eastAsia" w:ascii="宋体" w:hAnsi="宋体" w:eastAsia="宋体" w:cs="宋体"/>
                <w:spacing w:val="3"/>
                <w:sz w:val="21"/>
                <w:szCs w:val="21"/>
              </w:rPr>
              <w:t>建议与问题对应且全面的得15分，建议比较全面的得12—</w:t>
            </w:r>
            <w:r>
              <w:rPr>
                <w:rFonts w:hint="eastAsia" w:ascii="宋体" w:hAnsi="宋体" w:eastAsia="宋体" w:cs="宋体"/>
                <w:spacing w:val="-55"/>
                <w:sz w:val="21"/>
                <w:szCs w:val="21"/>
              </w:rPr>
              <w:t xml:space="preserve"> </w:t>
            </w:r>
            <w:r>
              <w:rPr>
                <w:rFonts w:hint="eastAsia" w:ascii="宋体" w:hAnsi="宋体" w:eastAsia="宋体" w:cs="宋体"/>
                <w:spacing w:val="3"/>
                <w:sz w:val="21"/>
                <w:szCs w:val="21"/>
              </w:rPr>
              <w:t>14分，建议不全面的得9—</w:t>
            </w:r>
            <w:r>
              <w:rPr>
                <w:rFonts w:hint="eastAsia" w:ascii="宋体" w:hAnsi="宋体" w:eastAsia="宋体" w:cs="宋体"/>
                <w:spacing w:val="-72"/>
                <w:sz w:val="21"/>
                <w:szCs w:val="21"/>
              </w:rPr>
              <w:t xml:space="preserve"> </w:t>
            </w:r>
            <w:r>
              <w:rPr>
                <w:rFonts w:hint="eastAsia" w:ascii="宋体" w:hAnsi="宋体" w:eastAsia="宋体" w:cs="宋体"/>
                <w:spacing w:val="3"/>
                <w:sz w:val="21"/>
                <w:szCs w:val="21"/>
              </w:rPr>
              <w:t>11</w:t>
            </w:r>
            <w:r>
              <w:rPr>
                <w:rFonts w:hint="eastAsia" w:ascii="宋体" w:hAnsi="宋体" w:eastAsia="宋体" w:cs="宋体"/>
                <w:sz w:val="21"/>
                <w:szCs w:val="21"/>
              </w:rPr>
              <w:t xml:space="preserve">   </w:t>
            </w:r>
            <w:r>
              <w:rPr>
                <w:rFonts w:hint="eastAsia" w:ascii="宋体" w:hAnsi="宋体" w:eastAsia="宋体" w:cs="宋体"/>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lang w:val="en-US" w:eastAsia="zh-CN"/>
              </w:rPr>
              <w:t>12</w:t>
            </w:r>
            <w:r>
              <w:rPr>
                <w:rFonts w:hint="eastAsia" w:ascii="宋体" w:hAnsi="宋体" w:eastAsia="宋体" w:cs="宋体"/>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宋体" w:hAnsi="宋体" w:eastAsia="宋体" w:cs="宋体"/>
                <w:szCs w:val="21"/>
              </w:rPr>
            </w:pPr>
            <w:r>
              <w:rPr>
                <w:rFonts w:hint="eastAsia" w:ascii="宋体" w:hAnsi="宋体" w:eastAsia="宋体" w:cs="宋体"/>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宋体" w:hAnsi="宋体" w:eastAsia="宋体" w:cs="宋体"/>
                <w:szCs w:val="21"/>
                <w:lang w:val="en-US" w:eastAsia="zh-CN"/>
              </w:rPr>
            </w:pPr>
            <w:r>
              <w:rPr>
                <w:rFonts w:hint="eastAsia" w:ascii="宋体" w:hAnsi="宋体" w:eastAsia="宋体" w:cs="宋体"/>
                <w:szCs w:val="21"/>
                <w:lang w:val="en-US" w:eastAsia="zh-CN"/>
              </w:rPr>
              <w:t>93</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p>
    <w:p/>
    <w:sectPr>
      <w:footerReference r:id="rId4" w:type="default"/>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600000000000000"/>
    <w:charset w:val="86"/>
    <w:family w:val="auto"/>
    <w:pitch w:val="default"/>
    <w:sig w:usb0="00000000" w:usb1="00000000" w:usb2="00000012" w:usb3="00000000" w:csb0="00160001" w:csb1="12030000"/>
  </w:font>
  <w:font w:name="Cambria">
    <w:panose1 w:val="02040503050406030204"/>
    <w:charset w:val="86"/>
    <w:family w:val="auto"/>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hAnsi="Calibri" w:eastAsia="宋体" w:cs="Times New Roman"/>
        <w:sz w:val="2"/>
        <w:szCs w:val="24"/>
      </w:rPr>
    </w:pPr>
    <w:r>
      <w:rPr>
        <w:rFonts w:ascii="Calibri" w:hAnsi="Calibri" w:eastAsia="宋体" w:cs="Times New Roman"/>
        <w:sz w:val="2"/>
        <w:szCs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widowControl w:val="0"/>
                            <w:tabs>
                              <w:tab w:val="center" w:pos="4153"/>
                              <w:tab w:val="right" w:pos="8306"/>
                            </w:tabs>
                            <w:snapToGrid w:val="0"/>
                            <w:jc w:val="left"/>
                            <w:rPr>
                              <w:rFonts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7</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widowControl w:val="0"/>
                      <w:tabs>
                        <w:tab w:val="center" w:pos="4153"/>
                        <w:tab w:val="right" w:pos="8306"/>
                      </w:tabs>
                      <w:snapToGrid w:val="0"/>
                      <w:jc w:val="left"/>
                      <w:rPr>
                        <w:rFonts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7</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hAnsi="Calibri" w:eastAsia="宋体" w:cs="Times New Roman"/>
        <w:sz w:val="2"/>
        <w:szCs w:val="24"/>
      </w:rPr>
    </w:pPr>
    <w:r>
      <w:rPr>
        <w:rFonts w:ascii="Calibri" w:hAnsi="Calibri" w:eastAsia="宋体" w:cs="Times New Roman"/>
        <w:sz w:val="2"/>
        <w:szCs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widowControl w:val="0"/>
                            <w:tabs>
                              <w:tab w:val="center" w:pos="4153"/>
                              <w:tab w:val="right" w:pos="8306"/>
                            </w:tabs>
                            <w:snapToGrid w:val="0"/>
                            <w:jc w:val="left"/>
                            <w:rPr>
                              <w:rFonts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7</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widowControl w:val="0"/>
                      <w:tabs>
                        <w:tab w:val="center" w:pos="4153"/>
                        <w:tab w:val="right" w:pos="8306"/>
                      </w:tabs>
                      <w:snapToGrid w:val="0"/>
                      <w:jc w:val="left"/>
                      <w:rPr>
                        <w:rFonts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7</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0A977"/>
    <w:multiLevelType w:val="singleLevel"/>
    <w:tmpl w:val="B0B0A977"/>
    <w:lvl w:ilvl="0" w:tentative="0">
      <w:start w:val="8"/>
      <w:numFmt w:val="chineseCounting"/>
      <w:suff w:val="nothing"/>
      <w:lvlText w:val="%1、"/>
      <w:lvlJc w:val="left"/>
      <w:rPr>
        <w:rFonts w:hint="eastAsia"/>
      </w:rPr>
    </w:lvl>
  </w:abstractNum>
  <w:abstractNum w:abstractNumId="1">
    <w:nsid w:val="6301A9A3"/>
    <w:multiLevelType w:val="singleLevel"/>
    <w:tmpl w:val="6301A9A3"/>
    <w:lvl w:ilvl="0" w:tentative="0">
      <w:start w:val="4"/>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2N2NlOTc1YmE3NTQ3NTIyNjA3NWVkOWU3MjQ3MzIifQ=="/>
  </w:docVars>
  <w:rsids>
    <w:rsidRoot w:val="5BE837D3"/>
    <w:rsid w:val="08FE6D4F"/>
    <w:rsid w:val="136E4A2A"/>
    <w:rsid w:val="356A64FA"/>
    <w:rsid w:val="4C43761B"/>
    <w:rsid w:val="51F14911"/>
    <w:rsid w:val="5B9A0176"/>
    <w:rsid w:val="5BE837D3"/>
    <w:rsid w:val="74101E49"/>
    <w:rsid w:val="774662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customStyle="1" w:styleId="4">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39</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2024-05-23T08:52:00Z</dcterms:created>
  <dc:creator>Administrator</dc:creator>
  <cp:lastModifiedBy>Administrator</cp:lastModifiedBy>
  <dcterms:modified xsi:type="dcterms:W3CDTF">2024-05-31T03:10:28Z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BE5A27BBB0E5432ABD2931E87AFA892A_13</vt:lpwstr>
  </property>
</Properties>
</file>