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B6074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</w:t>
      </w:r>
    </w:p>
    <w:p w14:paraId="24FDC51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right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整体支出绩效评价基础数据表</w:t>
      </w:r>
    </w:p>
    <w:p w14:paraId="13B400BA">
      <w:pPr>
        <w:spacing w:line="115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669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850"/>
        <w:gridCol w:w="825"/>
        <w:gridCol w:w="990"/>
        <w:gridCol w:w="1140"/>
        <w:gridCol w:w="1185"/>
        <w:gridCol w:w="810"/>
        <w:gridCol w:w="869"/>
      </w:tblGrid>
      <w:tr w14:paraId="6C7B33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3850" w:type="dxa"/>
            <w:tcBorders>
              <w:bottom w:val="nil"/>
            </w:tcBorders>
            <w:noWrap w:val="0"/>
            <w:vAlign w:val="center"/>
          </w:tcPr>
          <w:p w14:paraId="70BA2EA6">
            <w:pPr>
              <w:spacing w:before="33" w:line="198" w:lineRule="auto"/>
              <w:ind w:right="118" w:rightChars="0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13A14581">
            <w:pPr>
              <w:spacing w:before="103" w:line="219" w:lineRule="auto"/>
              <w:ind w:left="708"/>
              <w:rPr>
                <w:rFonts w:hint="default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岳阳楼区市场监督管理局</w:t>
            </w:r>
          </w:p>
        </w:tc>
      </w:tr>
      <w:tr w14:paraId="2E1AC84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5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top"/>
          </w:tcPr>
          <w:p w14:paraId="2412C964">
            <w:pPr>
              <w:spacing w:before="262" w:line="219" w:lineRule="auto"/>
              <w:ind w:left="575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财政供养人员情况(人)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877910A">
            <w:pPr>
              <w:spacing w:before="10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编制数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223216FF">
            <w:pPr>
              <w:spacing w:before="83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2022年实际在职人数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60AF348C">
            <w:pPr>
              <w:spacing w:before="103" w:line="219" w:lineRule="auto"/>
              <w:ind w:left="708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控制率</w:t>
            </w:r>
          </w:p>
        </w:tc>
      </w:tr>
      <w:tr w14:paraId="1A8A977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29683FDC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top"/>
          </w:tcPr>
          <w:p w14:paraId="54C1801E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301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40C1D1D0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280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705BE726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93.02%</w:t>
            </w:r>
          </w:p>
        </w:tc>
      </w:tr>
      <w:tr w14:paraId="04340A9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850" w:type="dxa"/>
            <w:noWrap w:val="0"/>
            <w:vAlign w:val="top"/>
          </w:tcPr>
          <w:p w14:paraId="6D4C4E25">
            <w:pPr>
              <w:spacing w:before="140" w:line="202" w:lineRule="auto"/>
              <w:ind w:left="6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经费控制情况(万元)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3995EF47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2021年决算数</w:t>
            </w:r>
          </w:p>
        </w:tc>
        <w:tc>
          <w:tcPr>
            <w:tcW w:w="2325" w:type="dxa"/>
            <w:gridSpan w:val="2"/>
            <w:noWrap w:val="0"/>
            <w:vAlign w:val="top"/>
          </w:tcPr>
          <w:p w14:paraId="34239629">
            <w:pPr>
              <w:spacing w:before="119"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2022年预算数</w:t>
            </w:r>
          </w:p>
        </w:tc>
        <w:tc>
          <w:tcPr>
            <w:tcW w:w="1679" w:type="dxa"/>
            <w:gridSpan w:val="2"/>
            <w:noWrap w:val="0"/>
            <w:vAlign w:val="top"/>
          </w:tcPr>
          <w:p w14:paraId="3898C321">
            <w:pPr>
              <w:spacing w:before="76" w:line="219" w:lineRule="auto"/>
              <w:jc w:val="center"/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b w:val="0"/>
                <w:bCs w:val="0"/>
                <w:color w:val="000000" w:themeColor="text1"/>
                <w:spacing w:val="-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2022年决算数</w:t>
            </w:r>
          </w:p>
        </w:tc>
      </w:tr>
      <w:tr w14:paraId="7E7C79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53331340">
            <w:pPr>
              <w:spacing w:before="141" w:line="202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三公经费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02BFFEA3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19.03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70E50EF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65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786DC3CD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137.59</w:t>
            </w:r>
          </w:p>
        </w:tc>
      </w:tr>
      <w:tr w14:paraId="278070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5BA987BD">
            <w:pPr>
              <w:spacing w:before="149" w:line="193" w:lineRule="auto"/>
              <w:ind w:left="4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1、公务用车购置和维护经费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507362F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16.44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39DC035E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63.00</w:t>
            </w:r>
            <w:bookmarkStart w:id="0" w:name="_GoBack"/>
            <w:bookmarkEnd w:id="0"/>
          </w:p>
        </w:tc>
        <w:tc>
          <w:tcPr>
            <w:tcW w:w="1679" w:type="dxa"/>
            <w:gridSpan w:val="2"/>
            <w:noWrap w:val="0"/>
            <w:vAlign w:val="center"/>
          </w:tcPr>
          <w:p w14:paraId="38C730E3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137.11</w:t>
            </w:r>
          </w:p>
        </w:tc>
      </w:tr>
      <w:tr w14:paraId="421CCBD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2475819A">
            <w:pPr>
              <w:spacing w:before="81" w:line="219" w:lineRule="auto"/>
              <w:ind w:left="8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其中：公车购置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78389DA6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0B20D07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0D341914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90.41</w:t>
            </w:r>
          </w:p>
        </w:tc>
      </w:tr>
      <w:tr w14:paraId="4B5E24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3F5E5DCF">
            <w:pPr>
              <w:spacing w:before="91" w:line="219" w:lineRule="auto"/>
              <w:ind w:left="14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公车运行维护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63E65FEC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16.44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1158138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63.00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2AEF2CDE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46.70</w:t>
            </w:r>
          </w:p>
        </w:tc>
      </w:tr>
      <w:tr w14:paraId="7E59D8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9" w:hRule="atLeast"/>
        </w:trPr>
        <w:tc>
          <w:tcPr>
            <w:tcW w:w="3850" w:type="dxa"/>
            <w:noWrap w:val="0"/>
            <w:vAlign w:val="top"/>
          </w:tcPr>
          <w:p w14:paraId="45834368">
            <w:pPr>
              <w:spacing w:before="81" w:line="22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2、出国经费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6757464B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256D60C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6BC631E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054028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06187BF5">
            <w:pPr>
              <w:spacing w:before="82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3、公务接待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7DE4D71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2.59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076198CD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58841FD0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0.48</w:t>
            </w:r>
          </w:p>
        </w:tc>
      </w:tr>
      <w:tr w14:paraId="6A42B0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40BC5504">
            <w:pPr>
              <w:spacing w:before="143" w:line="200" w:lineRule="auto"/>
              <w:ind w:left="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9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497A107C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07F9F764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4FEE740B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C9E4D6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03D178A1">
            <w:pPr>
              <w:spacing w:before="133" w:line="200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1、业务工作经费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7847C657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 w:eastAsiaTheme="minorEastAsia"/>
                <w:sz w:val="24"/>
                <w:szCs w:val="24"/>
              </w:rPr>
              <w:t>1</w:t>
            </w:r>
            <w:r>
              <w:rPr>
                <w:rFonts w:hint="eastAsia" w:asciiTheme="minorEastAsia" w:hAnsiTheme="minorEastAsia" w:eastAsiaTheme="minorEastAsia"/>
                <w:sz w:val="24"/>
                <w:szCs w:val="24"/>
                <w:lang w:val="en-US" w:eastAsia="zh-CN"/>
              </w:rPr>
              <w:t>289.48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3267E51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674.00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558D77C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1204.48</w:t>
            </w:r>
          </w:p>
        </w:tc>
      </w:tr>
      <w:tr w14:paraId="7AD3BE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0" w:hRule="atLeast"/>
        </w:trPr>
        <w:tc>
          <w:tcPr>
            <w:tcW w:w="3850" w:type="dxa"/>
            <w:noWrap w:val="0"/>
            <w:vAlign w:val="top"/>
          </w:tcPr>
          <w:p w14:paraId="30EDD21E">
            <w:pPr>
              <w:spacing w:before="143" w:line="20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2、运行维护经费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026F9DC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3C2F60E1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6A9B6541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A14FE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3AC3E2DF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......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47EA0B69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68654366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269BBEB4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5B5268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21642D07">
            <w:pPr>
              <w:spacing w:before="93" w:line="219" w:lineRule="auto"/>
              <w:ind w:firstLine="488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3、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:lang w:eastAsia="zh-CN"/>
                <w14:textFill>
                  <w14:solidFill>
                    <w14:schemeClr w14:val="tx1"/>
                  </w14:solidFill>
                </w14:textFill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级专项资金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(一个专项一行)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7F826D05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15AD7A0F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0A7D3C3A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BB100F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754F4A8E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815" w:type="dxa"/>
            <w:gridSpan w:val="2"/>
            <w:noWrap w:val="0"/>
            <w:vAlign w:val="center"/>
          </w:tcPr>
          <w:p w14:paraId="40433EAD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1407AFE8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55CFA030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157D67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27A9535E">
            <w:pPr>
              <w:spacing w:before="85" w:line="220" w:lineRule="auto"/>
              <w:ind w:firstLine="492" w:firstLineChars="200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4、上级转移支付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(一个专项一行</w:t>
            </w: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）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3F42270C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center"/>
          </w:tcPr>
          <w:p w14:paraId="51302908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center"/>
          </w:tcPr>
          <w:p w14:paraId="786D70AE">
            <w:pPr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5808A93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06D953FF">
            <w:pPr>
              <w:spacing w:before="85" w:line="220" w:lineRule="auto"/>
              <w:ind w:left="9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公用经费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0F564A9C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518.40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32733346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1955.73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0F18CEFF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731.61</w:t>
            </w:r>
          </w:p>
        </w:tc>
      </w:tr>
      <w:tr w14:paraId="62D23D0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1555F927">
            <w:pPr>
              <w:spacing w:before="85" w:line="219" w:lineRule="auto"/>
              <w:ind w:left="38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其中：办公经费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05BB277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14B62B45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241.06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0F4FF2B6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76.16</w:t>
            </w:r>
          </w:p>
        </w:tc>
      </w:tr>
      <w:tr w14:paraId="3D3F32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4988CCFD">
            <w:pPr>
              <w:spacing w:before="135" w:line="198" w:lineRule="auto"/>
              <w:ind w:left="1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水费、电费、差旅费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3854378A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16C68816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38.99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68751EF6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34.75</w:t>
            </w:r>
          </w:p>
        </w:tc>
      </w:tr>
      <w:tr w14:paraId="4F797E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9" w:hRule="atLeast"/>
        </w:trPr>
        <w:tc>
          <w:tcPr>
            <w:tcW w:w="3850" w:type="dxa"/>
            <w:noWrap w:val="0"/>
            <w:vAlign w:val="top"/>
          </w:tcPr>
          <w:p w14:paraId="0BACE563">
            <w:pPr>
              <w:spacing w:before="144" w:line="198" w:lineRule="auto"/>
              <w:ind w:left="112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会议费、培训费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18D83F01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0.00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030DD764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31.62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2BF32729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2.02</w:t>
            </w:r>
          </w:p>
        </w:tc>
      </w:tr>
      <w:tr w14:paraId="7228DF2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noWrap w:val="0"/>
            <w:vAlign w:val="top"/>
          </w:tcPr>
          <w:p w14:paraId="33E27CAB">
            <w:pPr>
              <w:spacing w:before="145" w:line="189" w:lineRule="auto"/>
              <w:ind w:left="10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政府采购金额</w:t>
            </w:r>
          </w:p>
        </w:tc>
        <w:tc>
          <w:tcPr>
            <w:tcW w:w="1815" w:type="dxa"/>
            <w:gridSpan w:val="2"/>
            <w:noWrap w:val="0"/>
            <w:vAlign w:val="center"/>
          </w:tcPr>
          <w:p w14:paraId="3605FA78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506</w:t>
            </w:r>
          </w:p>
        </w:tc>
        <w:tc>
          <w:tcPr>
            <w:tcW w:w="2325" w:type="dxa"/>
            <w:gridSpan w:val="2"/>
            <w:noWrap w:val="0"/>
            <w:vAlign w:val="center"/>
          </w:tcPr>
          <w:p w14:paraId="4FE7D96B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700</w:t>
            </w:r>
          </w:p>
        </w:tc>
        <w:tc>
          <w:tcPr>
            <w:tcW w:w="1679" w:type="dxa"/>
            <w:gridSpan w:val="2"/>
            <w:noWrap w:val="0"/>
            <w:vAlign w:val="center"/>
          </w:tcPr>
          <w:p w14:paraId="08FFB462">
            <w:pPr>
              <w:jc w:val="center"/>
              <w:rPr>
                <w:rFonts w:hint="default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682</w:t>
            </w:r>
          </w:p>
        </w:tc>
      </w:tr>
      <w:tr w14:paraId="5100FDA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0" w:hRule="atLeast"/>
        </w:trPr>
        <w:tc>
          <w:tcPr>
            <w:tcW w:w="3850" w:type="dxa"/>
            <w:noWrap w:val="0"/>
            <w:vAlign w:val="top"/>
          </w:tcPr>
          <w:p w14:paraId="085E3920">
            <w:pPr>
              <w:spacing w:before="145" w:line="198" w:lineRule="auto"/>
              <w:ind w:left="114"/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部门基本支出预算调整</w:t>
            </w:r>
          </w:p>
        </w:tc>
        <w:tc>
          <w:tcPr>
            <w:tcW w:w="1815" w:type="dxa"/>
            <w:gridSpan w:val="2"/>
            <w:noWrap w:val="0"/>
            <w:vAlign w:val="top"/>
          </w:tcPr>
          <w:p w14:paraId="15D28B36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325" w:type="dxa"/>
            <w:gridSpan w:val="2"/>
            <w:noWrap w:val="0"/>
            <w:vAlign w:val="top"/>
          </w:tcPr>
          <w:p w14:paraId="4CA2CDFF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679" w:type="dxa"/>
            <w:gridSpan w:val="2"/>
            <w:noWrap w:val="0"/>
            <w:vAlign w:val="top"/>
          </w:tcPr>
          <w:p w14:paraId="52DD3807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F1F73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59" w:hRule="atLeast"/>
        </w:trPr>
        <w:tc>
          <w:tcPr>
            <w:tcW w:w="3850" w:type="dxa"/>
            <w:vMerge w:val="restart"/>
            <w:tcBorders>
              <w:bottom w:val="nil"/>
            </w:tcBorders>
            <w:noWrap w:val="0"/>
            <w:vAlign w:val="center"/>
          </w:tcPr>
          <w:p w14:paraId="05254711">
            <w:pPr>
              <w:spacing w:before="65" w:line="390" w:lineRule="exact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1"/>
                <w:position w:val="14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楼堂馆所控制情况</w:t>
            </w:r>
          </w:p>
          <w:p w14:paraId="5D5D6817">
            <w:pPr>
              <w:spacing w:line="219" w:lineRule="auto"/>
              <w:jc w:val="center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3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(2022年完工项目)</w:t>
            </w:r>
          </w:p>
        </w:tc>
        <w:tc>
          <w:tcPr>
            <w:tcW w:w="825" w:type="dxa"/>
            <w:noWrap w:val="0"/>
            <w:vAlign w:val="center"/>
          </w:tcPr>
          <w:p w14:paraId="564F50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批复规模</w:t>
            </w:r>
          </w:p>
          <w:p w14:paraId="07DFF6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(m²)</w:t>
            </w:r>
          </w:p>
        </w:tc>
        <w:tc>
          <w:tcPr>
            <w:tcW w:w="990" w:type="dxa"/>
            <w:noWrap w:val="0"/>
            <w:vAlign w:val="center"/>
          </w:tcPr>
          <w:p w14:paraId="2F433F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实际规</w:t>
            </w:r>
          </w:p>
          <w:p w14:paraId="1102F6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模(m²)</w:t>
            </w:r>
          </w:p>
        </w:tc>
        <w:tc>
          <w:tcPr>
            <w:tcW w:w="1140" w:type="dxa"/>
            <w:noWrap w:val="0"/>
            <w:vAlign w:val="center"/>
          </w:tcPr>
          <w:p w14:paraId="21786E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规模控制率</w:t>
            </w:r>
          </w:p>
        </w:tc>
        <w:tc>
          <w:tcPr>
            <w:tcW w:w="1185" w:type="dxa"/>
            <w:noWrap w:val="0"/>
            <w:vAlign w:val="center"/>
          </w:tcPr>
          <w:p w14:paraId="0DB6BF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预算投资</w:t>
            </w:r>
          </w:p>
          <w:p w14:paraId="4BA960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10" w:type="dxa"/>
            <w:noWrap w:val="0"/>
            <w:vAlign w:val="center"/>
          </w:tcPr>
          <w:p w14:paraId="022AC6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647E2C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</w:t>
            </w:r>
          </w:p>
          <w:p w14:paraId="66D4A1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869" w:type="dxa"/>
            <w:noWrap w:val="0"/>
            <w:vAlign w:val="center"/>
          </w:tcPr>
          <w:p w14:paraId="040C03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投资概</w:t>
            </w:r>
          </w:p>
          <w:p w14:paraId="18F741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算控制</w:t>
            </w:r>
          </w:p>
          <w:p w14:paraId="1B2CEBF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firstLine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0"/>
                <w:positio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率</w:t>
            </w:r>
          </w:p>
        </w:tc>
      </w:tr>
      <w:tr w14:paraId="3D8D71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50" w:hRule="atLeast"/>
        </w:trPr>
        <w:tc>
          <w:tcPr>
            <w:tcW w:w="3850" w:type="dxa"/>
            <w:vMerge w:val="continue"/>
            <w:tcBorders>
              <w:top w:val="nil"/>
            </w:tcBorders>
            <w:noWrap w:val="0"/>
            <w:vAlign w:val="top"/>
          </w:tcPr>
          <w:p w14:paraId="43902720">
            <w:pPr>
              <w:jc w:val="left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25" w:type="dxa"/>
            <w:noWrap w:val="0"/>
            <w:vAlign w:val="top"/>
          </w:tcPr>
          <w:p w14:paraId="71AD377D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90" w:type="dxa"/>
            <w:noWrap w:val="0"/>
            <w:vAlign w:val="top"/>
          </w:tcPr>
          <w:p w14:paraId="31191B8D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top"/>
          </w:tcPr>
          <w:p w14:paraId="099F4C75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85" w:type="dxa"/>
            <w:noWrap w:val="0"/>
            <w:vAlign w:val="top"/>
          </w:tcPr>
          <w:p w14:paraId="23F002C0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10" w:type="dxa"/>
            <w:noWrap w:val="0"/>
            <w:vAlign w:val="top"/>
          </w:tcPr>
          <w:p w14:paraId="65F4461F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69" w:type="dxa"/>
            <w:noWrap w:val="0"/>
            <w:vAlign w:val="top"/>
          </w:tcPr>
          <w:p w14:paraId="625BF767">
            <w:pPr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639678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69" w:hRule="atLeast"/>
        </w:trPr>
        <w:tc>
          <w:tcPr>
            <w:tcW w:w="3850" w:type="dxa"/>
            <w:noWrap w:val="0"/>
            <w:vAlign w:val="top"/>
          </w:tcPr>
          <w:p w14:paraId="5C1DE1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1"/>
                <w:sz w:val="24"/>
                <w:szCs w:val="24"/>
                <w14:textFill>
                  <w14:solidFill>
                    <w14:schemeClr w14:val="tx1"/>
                  </w14:solidFill>
                </w14:textFill>
              </w:rPr>
              <w:t>厉行节约保障措施</w:t>
            </w:r>
          </w:p>
        </w:tc>
        <w:tc>
          <w:tcPr>
            <w:tcW w:w="5819" w:type="dxa"/>
            <w:gridSpan w:val="6"/>
            <w:noWrap w:val="0"/>
            <w:vAlign w:val="top"/>
          </w:tcPr>
          <w:p w14:paraId="127B20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ind w:left="0"/>
              <w:jc w:val="center"/>
              <w:textAlignment w:val="auto"/>
              <w:rPr>
                <w:rFonts w:hint="eastAsia" w:asciiTheme="majorEastAsia" w:hAnsiTheme="majorEastAsia" w:eastAsiaTheme="majorEastAsia" w:cstheme="majorEastAsia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 w14:paraId="196C54E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10" w:lineRule="exact"/>
        <w:ind w:left="0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说明：“项目支出”需要填报基本支出以外的所有项目支出情况，“公用经费”填报基本支出中的一般商品和服务支出。</w:t>
      </w:r>
    </w:p>
    <w:p w14:paraId="6119E51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填表人：         联系电话：            单位负责人签字：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hint="eastAsia" w:asciiTheme="majorEastAsia" w:hAnsiTheme="majorEastAsia" w:eastAsiaTheme="majorEastAsia" w:cstheme="majorEastAsia"/>
          <w:color w:val="000000" w:themeColor="text1"/>
          <w:spacing w:val="0"/>
          <w:position w:val="0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</w:p>
    <w:p w14:paraId="3632C9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1134" w:right="1417" w:bottom="1134" w:left="1134" w:header="851" w:footer="992" w:gutter="0"/>
          <w:pgNumType w:fmt="decimal"/>
          <w:cols w:space="0" w:num="1"/>
          <w:rtlGutter w:val="0"/>
          <w:docGrid w:type="lines" w:linePitch="312" w:charSpace="0"/>
        </w:sectPr>
      </w:pPr>
    </w:p>
    <w:p w14:paraId="3BC1BAB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</w:t>
      </w:r>
    </w:p>
    <w:p w14:paraId="2EBE165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eastAsia="zh-CN"/>
          <w14:textFill>
            <w14:solidFill>
              <w14:schemeClr w14:val="tx1"/>
            </w14:solidFill>
          </w14:textFill>
        </w:rPr>
        <w:t>预算单位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14:textFill>
            <w14:solidFill>
              <w14:schemeClr w14:val="tx1"/>
            </w14:solidFill>
          </w14:textFill>
        </w:rPr>
        <w:t>整体支出绩效自评表</w:t>
      </w:r>
    </w:p>
    <w:p w14:paraId="5CA8F45C">
      <w:pPr>
        <w:spacing w:line="168" w:lineRule="exact"/>
        <w:rPr>
          <w:color w:val="000000" w:themeColor="text1"/>
          <w14:textFill>
            <w14:solidFill>
              <w14:schemeClr w14:val="tx1"/>
            </w14:solidFill>
          </w14:textFill>
        </w:rPr>
      </w:pPr>
    </w:p>
    <w:tbl>
      <w:tblPr>
        <w:tblStyle w:val="8"/>
        <w:tblW w:w="9835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84"/>
        <w:gridCol w:w="1079"/>
        <w:gridCol w:w="1029"/>
        <w:gridCol w:w="1269"/>
        <w:gridCol w:w="1126"/>
        <w:gridCol w:w="193"/>
        <w:gridCol w:w="1259"/>
        <w:gridCol w:w="719"/>
        <w:gridCol w:w="802"/>
        <w:gridCol w:w="1275"/>
      </w:tblGrid>
      <w:tr w14:paraId="271B37A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</w:trPr>
        <w:tc>
          <w:tcPr>
            <w:tcW w:w="1084" w:type="dxa"/>
            <w:noWrap w:val="0"/>
            <w:vAlign w:val="top"/>
          </w:tcPr>
          <w:p w14:paraId="5EBDD1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8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单位</w:t>
            </w:r>
            <w:r>
              <w:rPr>
                <w:rFonts w:hint="eastAsia" w:ascii="宋体" w:hAnsi="宋体" w:eastAsia="宋体" w:cs="宋体"/>
                <w:color w:val="000000" w:themeColor="text1"/>
                <w:spacing w:val="2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751" w:type="dxa"/>
            <w:gridSpan w:val="9"/>
            <w:noWrap w:val="0"/>
            <w:vAlign w:val="top"/>
          </w:tcPr>
          <w:p w14:paraId="27AF878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ajorEastAsia" w:hAnsiTheme="majorEastAsia" w:eastAsiaTheme="majorEastAsia" w:cstheme="majorEastAsia"/>
                <w:color w:val="000000" w:themeColor="text1"/>
                <w:spacing w:val="-2"/>
                <w:sz w:val="20"/>
                <w:szCs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岳阳楼区市场监督管理局</w:t>
            </w:r>
          </w:p>
        </w:tc>
      </w:tr>
      <w:tr w14:paraId="575A4D8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3387D0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18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BA99D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年度预</w:t>
            </w:r>
          </w:p>
          <w:p w14:paraId="5BAD3F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算申请</w:t>
            </w:r>
          </w:p>
          <w:p w14:paraId="183F97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1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08" w:type="dxa"/>
            <w:gridSpan w:val="2"/>
            <w:noWrap w:val="0"/>
            <w:vAlign w:val="center"/>
          </w:tcPr>
          <w:p w14:paraId="16B301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5305C6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年初预算数</w:t>
            </w:r>
          </w:p>
        </w:tc>
        <w:tc>
          <w:tcPr>
            <w:tcW w:w="1126" w:type="dxa"/>
            <w:noWrap w:val="0"/>
            <w:vAlign w:val="center"/>
          </w:tcPr>
          <w:p w14:paraId="6F9EAD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全年预算数</w:t>
            </w:r>
          </w:p>
        </w:tc>
        <w:tc>
          <w:tcPr>
            <w:tcW w:w="1452" w:type="dxa"/>
            <w:gridSpan w:val="2"/>
            <w:noWrap w:val="0"/>
            <w:vAlign w:val="center"/>
          </w:tcPr>
          <w:p w14:paraId="77EDBD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全年执行数</w:t>
            </w:r>
          </w:p>
        </w:tc>
        <w:tc>
          <w:tcPr>
            <w:tcW w:w="719" w:type="dxa"/>
            <w:noWrap w:val="0"/>
            <w:vAlign w:val="center"/>
          </w:tcPr>
          <w:p w14:paraId="4CAC61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 w14:paraId="082E2E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275" w:type="dxa"/>
            <w:noWrap w:val="0"/>
            <w:vAlign w:val="center"/>
          </w:tcPr>
          <w:p w14:paraId="03459C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4FA1F6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92F9F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08" w:type="dxa"/>
            <w:gridSpan w:val="2"/>
            <w:noWrap w:val="0"/>
            <w:vAlign w:val="center"/>
          </w:tcPr>
          <w:p w14:paraId="2704C4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69" w:type="dxa"/>
            <w:noWrap w:val="0"/>
            <w:vAlign w:val="center"/>
          </w:tcPr>
          <w:p w14:paraId="6032DB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5553.77</w:t>
            </w:r>
          </w:p>
        </w:tc>
        <w:tc>
          <w:tcPr>
            <w:tcW w:w="1126" w:type="dxa"/>
            <w:noWrap w:val="0"/>
            <w:vAlign w:val="center"/>
          </w:tcPr>
          <w:p w14:paraId="25C092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6763.25</w:t>
            </w:r>
          </w:p>
        </w:tc>
        <w:tc>
          <w:tcPr>
            <w:tcW w:w="1452" w:type="dxa"/>
            <w:gridSpan w:val="2"/>
            <w:noWrap w:val="0"/>
            <w:vAlign w:val="center"/>
          </w:tcPr>
          <w:p w14:paraId="1186B3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6763.25</w:t>
            </w:r>
          </w:p>
        </w:tc>
        <w:tc>
          <w:tcPr>
            <w:tcW w:w="719" w:type="dxa"/>
            <w:noWrap w:val="0"/>
            <w:vAlign w:val="center"/>
          </w:tcPr>
          <w:p w14:paraId="18C1C4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47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3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37ACF3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75" w:type="dxa"/>
            <w:noWrap w:val="0"/>
            <w:vAlign w:val="center"/>
          </w:tcPr>
          <w:p w14:paraId="10682D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 w14:paraId="688B26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47328E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03" w:type="dxa"/>
            <w:gridSpan w:val="4"/>
            <w:noWrap w:val="0"/>
            <w:vAlign w:val="center"/>
          </w:tcPr>
          <w:p w14:paraId="0E86F8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按收入性质分：</w:t>
            </w:r>
          </w:p>
        </w:tc>
        <w:tc>
          <w:tcPr>
            <w:tcW w:w="4248" w:type="dxa"/>
            <w:gridSpan w:val="5"/>
            <w:noWrap w:val="0"/>
            <w:vAlign w:val="center"/>
          </w:tcPr>
          <w:p w14:paraId="7D7AB1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按支出性质分：</w:t>
            </w:r>
          </w:p>
        </w:tc>
      </w:tr>
      <w:tr w14:paraId="098BC97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660755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03" w:type="dxa"/>
            <w:gridSpan w:val="4"/>
            <w:noWrap w:val="0"/>
            <w:vAlign w:val="center"/>
          </w:tcPr>
          <w:p w14:paraId="6D9AF1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3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其中： 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一般公共预算：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6478.6</w:t>
            </w:r>
          </w:p>
        </w:tc>
        <w:tc>
          <w:tcPr>
            <w:tcW w:w="4248" w:type="dxa"/>
            <w:gridSpan w:val="5"/>
            <w:noWrap w:val="0"/>
            <w:vAlign w:val="center"/>
          </w:tcPr>
          <w:p w14:paraId="5C9997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4" w:lineRule="auto"/>
              <w:ind w:left="0" w:firstLine="210" w:firstLineChars="1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其中：基本支出：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5558.77</w:t>
            </w:r>
          </w:p>
        </w:tc>
      </w:tr>
      <w:tr w14:paraId="0B94B2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5FC4A0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03" w:type="dxa"/>
            <w:gridSpan w:val="4"/>
            <w:noWrap w:val="0"/>
            <w:vAlign w:val="center"/>
          </w:tcPr>
          <w:p w14:paraId="55F535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政府性基金拨款：</w:t>
            </w:r>
          </w:p>
        </w:tc>
        <w:tc>
          <w:tcPr>
            <w:tcW w:w="4248" w:type="dxa"/>
            <w:gridSpan w:val="5"/>
            <w:noWrap w:val="0"/>
            <w:vAlign w:val="center"/>
          </w:tcPr>
          <w:p w14:paraId="4163C7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firstLine="840" w:firstLineChars="4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1204.48</w:t>
            </w:r>
          </w:p>
        </w:tc>
      </w:tr>
      <w:tr w14:paraId="45C1A21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vAlign w:val="top"/>
          </w:tcPr>
          <w:p w14:paraId="3E6D95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03" w:type="dxa"/>
            <w:gridSpan w:val="4"/>
            <w:noWrap w:val="0"/>
            <w:vAlign w:val="center"/>
          </w:tcPr>
          <w:p w14:paraId="171832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纳入专户管理的非税收入拨款：</w:t>
            </w:r>
          </w:p>
        </w:tc>
        <w:tc>
          <w:tcPr>
            <w:tcW w:w="4248" w:type="dxa"/>
            <w:gridSpan w:val="5"/>
            <w:noWrap w:val="0"/>
            <w:vAlign w:val="center"/>
          </w:tcPr>
          <w:p w14:paraId="63AD61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4F6949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0CB0CB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03" w:type="dxa"/>
            <w:gridSpan w:val="4"/>
            <w:noWrap w:val="0"/>
            <w:vAlign w:val="center"/>
          </w:tcPr>
          <w:p w14:paraId="43C353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2" w:lineRule="auto"/>
              <w:ind w:left="0" w:firstLine="1050" w:firstLineChars="500"/>
              <w:jc w:val="left"/>
              <w:textAlignment w:val="auto"/>
              <w:rPr>
                <w:rFonts w:hint="default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其他资金：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284.65</w:t>
            </w:r>
          </w:p>
        </w:tc>
        <w:tc>
          <w:tcPr>
            <w:tcW w:w="4248" w:type="dxa"/>
            <w:gridSpan w:val="5"/>
            <w:noWrap w:val="0"/>
            <w:vAlign w:val="center"/>
          </w:tcPr>
          <w:p w14:paraId="36500D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6C687B9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vAlign w:val="top"/>
          </w:tcPr>
          <w:p w14:paraId="0E1497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7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  <w:r>
              <w:rPr>
                <w:rFonts w:ascii="宋体" w:hAnsi="宋体" w:eastAsia="宋体" w:cs="宋体"/>
                <w:color w:val="000000" w:themeColor="text1"/>
                <w:spacing w:val="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</w:t>
            </w:r>
            <w:r>
              <w:rPr>
                <w:rFonts w:ascii="宋体" w:hAnsi="宋体" w:eastAsia="宋体" w:cs="宋体"/>
                <w:color w:val="000000" w:themeColor="text1"/>
                <w:spacing w:val="-35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-1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4503" w:type="dxa"/>
            <w:gridSpan w:val="4"/>
            <w:noWrap w:val="0"/>
            <w:vAlign w:val="center"/>
          </w:tcPr>
          <w:p w14:paraId="091BAC8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4248" w:type="dxa"/>
            <w:gridSpan w:val="5"/>
            <w:noWrap w:val="0"/>
            <w:vAlign w:val="center"/>
          </w:tcPr>
          <w:p w14:paraId="659EE3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3A6AC6C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</w:tcBorders>
            <w:noWrap w:val="0"/>
            <w:vAlign w:val="top"/>
          </w:tcPr>
          <w:p w14:paraId="4EF5F0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03" w:type="dxa"/>
            <w:gridSpan w:val="4"/>
            <w:noWrap w:val="0"/>
            <w:vAlign w:val="center"/>
          </w:tcPr>
          <w:p w14:paraId="1CF744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0AFBFD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07F48D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4CF570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6E1B2A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2E8A2D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2FD626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00" w:lineRule="exact"/>
              <w:ind w:left="31680" w:hanging="720" w:hangingChars="300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任务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疫情防控责任全面落实。立足常态化防控要求，在单位自身管理、进口冷链食品“人、物、环境同防”、药店“哨点”作用等方面，进一步加强监管和督查力度。</w:t>
            </w:r>
          </w:p>
          <w:p w14:paraId="2D4781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00" w:lineRule="exact"/>
              <w:ind w:left="31680" w:hanging="720" w:hangingChars="300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任务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文明城市建设有效落实。对标对表市场监管领域文明城市建设迎检工作任务，全力落实各项工作举措，确保迎检不丢分、得高分。</w:t>
            </w:r>
          </w:p>
          <w:p w14:paraId="71998E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 w:val="0"/>
              <w:bidi w:val="0"/>
              <w:adjustRightInd/>
              <w:snapToGrid/>
              <w:spacing w:line="300" w:lineRule="exact"/>
              <w:ind w:left="31680" w:hanging="720" w:hangingChars="300"/>
              <w:jc w:val="left"/>
              <w:textAlignment w:val="center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任务</w:t>
            </w:r>
            <w:r>
              <w:rPr>
                <w:rFonts w:ascii="仿宋_GB2312" w:hAnsi="仿宋_GB2312" w:eastAsia="仿宋_GB2312" w:cs="仿宋_GB2312"/>
                <w:color w:val="000000"/>
                <w:sz w:val="24"/>
                <w:szCs w:val="24"/>
              </w:rPr>
              <w:t>3</w:t>
            </w:r>
            <w:r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  <w:t>：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环境保护职责高效落实。围绕从中央到地方的环保工作要求，按职责制定专门实施方案，组织开展专项整治，配合落实市场监管领域环保工作任务。</w:t>
            </w:r>
          </w:p>
          <w:p w14:paraId="212E1D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720" w:hanging="720" w:hangingChars="300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任务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4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：自建房隐患排查快速落实。高度重视，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全力配合抓好市场监管领域自建房安全整治。</w:t>
            </w:r>
          </w:p>
          <w:p w14:paraId="64C20C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960" w:hanging="960" w:hangingChars="400"/>
              <w:jc w:val="left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任务5：食品药品加大监管力度，无重大食品安全事故发生</w:t>
            </w:r>
          </w:p>
          <w:p w14:paraId="1E7D24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960" w:hanging="960" w:hangingChars="400"/>
              <w:jc w:val="left"/>
              <w:textAlignment w:val="auto"/>
              <w:rPr>
                <w:rFonts w:hint="default" w:ascii="仿宋_GB2312" w:hAns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lang w:val="en-US" w:eastAsia="zh-CN"/>
              </w:rPr>
              <w:t>任务6：加强特种设备等安全监管，无重大安全生产事故</w:t>
            </w:r>
          </w:p>
          <w:p w14:paraId="0E67DD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250AF8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31D13D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0635A9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73B61C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253EC3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0ABF41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016689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341014C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14C266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56A89E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3DA7F0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0FDB7F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405CE0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74C86E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6E9C85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26B6CA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6157B4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4CE4EB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53DE33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72F80F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711325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05626F3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60BF31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51BF5D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66DFBF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773351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656ED2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554E71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2F904D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5426CDB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755F6F3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23DFF0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  <w:p w14:paraId="00D3155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248" w:type="dxa"/>
            <w:gridSpan w:val="5"/>
            <w:noWrap w:val="0"/>
            <w:vAlign w:val="center"/>
          </w:tcPr>
          <w:p w14:paraId="63E8A999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00" w:lineRule="exact"/>
              <w:ind w:firstLine="480" w:firstLineChars="200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疫情防控责任全面落实。全年共开展进口冷链食品核酸检测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1.3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万批次，外环境核酸检测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万批次，进口冷链从业人员核酸检测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4.5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万人次。特别是在海泰冷链食品集中舱监管环节，共检测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211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批次，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37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万余件，其中检测出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18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例异常，均得到快速处置，有效阻断了疫情传播。共入户监督检查药店疫情防控工作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2100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家次、开展暗访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35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次，责令落实疫情防控措施严重不到位的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27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家药店停业整顿，督促录入四类药购买信息超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45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万条，核实报告发热、红黄码、高风险接触等异常情况信息约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1450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条次。</w:t>
            </w:r>
          </w:p>
          <w:p w14:paraId="743627E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00" w:lineRule="exact"/>
              <w:ind w:firstLine="480" w:firstLineChars="200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文明城市建设有效落实。先后投入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30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多万元，制作万余份安全信息公示牌、文明餐桌宣传牌、核心价值观宣传牌等宣传资料进行免费发放张贴。持续开展“文明餐桌行动”，倡导文明用餐，推广“公勺公筷”使用，全年共打造了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18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个文明餐饮单位、文明食堂、公勺公筷示范单位。坚持开展文明劝导，环境保护职责高效落实。全年共检查农产品集中交易市场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5449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个次、水产经营户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1321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户次、检查商场和超市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14868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家次。全年共组织经营环节销售的洗涤用品抽检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批次，入户监督检查洗车门店、餐饮单位、洗衣店等洗涤用品使用量较大的门店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8160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户，督促排除经营隐患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处。依照工作职责，全年检查大中型超市、农集贸市场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120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余家，对超标准使用塑料制品的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个经营单位责令限期改正。</w:t>
            </w:r>
          </w:p>
          <w:p w14:paraId="6206D7D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00" w:lineRule="exact"/>
              <w:ind w:firstLine="480" w:firstLineChars="200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自建房隐患排查快速落实。积极配合相关部门，对全区既有经营性自建房用作经营的场所证明、证照办理情况进行全面排查，全面核对经营性自建房的场所证明合规性，共计登录经营性自建房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 xml:space="preserve">3711 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户。对排查出的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96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户无证照自建房经营自建房逐一帮促整改，对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36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家符合条件的指导办理证照，劝导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 xml:space="preserve"> 11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家更改经营场所，对存在重大安全隐患的经营性自建房封停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9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家、劝停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40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家。</w:t>
            </w:r>
          </w:p>
          <w:p w14:paraId="300860AD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00" w:lineRule="exact"/>
              <w:ind w:firstLine="480" w:firstLineChars="200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筑牢食品安全屏障。开展了“年关守护（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2022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）”、食品安全“护老”“护苗”、化妆品“线上净网线下清源”等多个专项整治行动，期间入户监督检查食品生产经营门店超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万家次，督促落实问题整改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200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余个。有序开展监督抽检，全年完成抽样送检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1580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批次、现场快检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1380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批次，完成抽检不合格食品处置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57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个。</w:t>
            </w:r>
          </w:p>
          <w:p w14:paraId="40C9AFDB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00" w:lineRule="exact"/>
              <w:ind w:firstLine="480" w:firstLineChars="200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药品安全监管有方。。全年共完成药品抽样检测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50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批次、检查门店超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2500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家次，督促立行立改风险隐患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110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余处，对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95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处违规问题责令限期整改，对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37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起违法行为立案查处。另外，还按责落实了药械化不良反应监测，全年共上报药品不良反应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449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例、医疗器械不良事件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77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例、化妆品不良反应监测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39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例、药物滥用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200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例。</w:t>
            </w:r>
          </w:p>
          <w:p w14:paraId="3532FC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bidi w:val="0"/>
              <w:adjustRightInd/>
              <w:snapToGrid/>
              <w:spacing w:line="300" w:lineRule="exact"/>
              <w:rPr>
                <w:rFonts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 xml:space="preserve">    7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、特种设备安全监管有成全市率先引进气瓶安全信息化管理系统，推广应用液化石油气瓶“气瓶二维码”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+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区域气瓶变色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+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智能角阀的管理模式，切实保障居民用气安全。积极探索既有住房加装电梯管理模式，成功解决加装电梯维保混、乱、杂现状。</w:t>
            </w:r>
          </w:p>
          <w:p w14:paraId="643672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48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8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、重点工业产品安全监管有力。重点产品及道路交通顽瘴痼疾开展专项整治，期间共完成抽样送检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100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批次，落实抽检不合格产品处置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7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起，组织巡查企业、门店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150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家，督促问题整改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13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个、收缴“三无”产品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37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个、改拼装电动自行车</w:t>
            </w:r>
            <w:r>
              <w:rPr>
                <w:rFonts w:ascii="仿宋_GB2312" w:hAnsi="仿宋_GB2312" w:eastAsia="仿宋_GB2312" w:cs="仿宋_GB2312"/>
                <w:sz w:val="24"/>
                <w:szCs w:val="24"/>
              </w:rPr>
              <w:t>2</w:t>
            </w:r>
            <w:r>
              <w:rPr>
                <w:rFonts w:hint="eastAsia" w:ascii="仿宋_GB2312" w:hAnsi="仿宋_GB2312" w:eastAsia="仿宋_GB2312" w:cs="仿宋_GB2312"/>
                <w:sz w:val="24"/>
                <w:szCs w:val="24"/>
              </w:rPr>
              <w:t>台。</w:t>
            </w:r>
          </w:p>
          <w:p w14:paraId="7EE8C3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firstLine="480"/>
              <w:jc w:val="center"/>
              <w:textAlignment w:val="auto"/>
              <w:rPr>
                <w:rFonts w:hint="eastAsia" w:ascii="仿宋_GB2312" w:hAnsi="仿宋_GB2312" w:eastAsia="仿宋_GB2312" w:cs="仿宋_GB2312"/>
                <w:sz w:val="24"/>
                <w:szCs w:val="24"/>
              </w:rPr>
            </w:pPr>
          </w:p>
        </w:tc>
      </w:tr>
      <w:tr w14:paraId="2910E28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9" w:hRule="atLeast"/>
        </w:trPr>
        <w:tc>
          <w:tcPr>
            <w:tcW w:w="1084" w:type="dxa"/>
            <w:vMerge w:val="restart"/>
            <w:tcBorders>
              <w:bottom w:val="nil"/>
            </w:tcBorders>
            <w:noWrap w:val="0"/>
            <w:textDirection w:val="tbRlV"/>
            <w:vAlign w:val="top"/>
          </w:tcPr>
          <w:p w14:paraId="47DD8D9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7" w:lineRule="auto"/>
              <w:ind w:left="0" w:right="0" w:firstLine="0"/>
              <w:jc w:val="center"/>
              <w:textAlignment w:val="auto"/>
              <w:rPr>
                <w:rFonts w:ascii="Arial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D388C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 w:firstLine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绩效指标</w:t>
            </w:r>
          </w:p>
        </w:tc>
        <w:tc>
          <w:tcPr>
            <w:tcW w:w="1079" w:type="dxa"/>
            <w:noWrap w:val="0"/>
            <w:vAlign w:val="center"/>
          </w:tcPr>
          <w:p w14:paraId="0F1BB0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29" w:type="dxa"/>
            <w:noWrap w:val="0"/>
            <w:vAlign w:val="center"/>
          </w:tcPr>
          <w:p w14:paraId="1B4C44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69" w:type="dxa"/>
            <w:noWrap w:val="0"/>
            <w:vAlign w:val="center"/>
          </w:tcPr>
          <w:p w14:paraId="795172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319" w:type="dxa"/>
            <w:gridSpan w:val="2"/>
            <w:noWrap w:val="0"/>
            <w:vAlign w:val="center"/>
          </w:tcPr>
          <w:p w14:paraId="7FE8BA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年度指标值</w:t>
            </w:r>
          </w:p>
        </w:tc>
        <w:tc>
          <w:tcPr>
            <w:tcW w:w="1259" w:type="dxa"/>
            <w:noWrap w:val="0"/>
            <w:vAlign w:val="center"/>
          </w:tcPr>
          <w:p w14:paraId="581FB3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实际完成值</w:t>
            </w:r>
          </w:p>
        </w:tc>
        <w:tc>
          <w:tcPr>
            <w:tcW w:w="719" w:type="dxa"/>
            <w:noWrap w:val="0"/>
            <w:vAlign w:val="center"/>
          </w:tcPr>
          <w:p w14:paraId="0BC9DC0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802" w:type="dxa"/>
            <w:noWrap w:val="0"/>
            <w:vAlign w:val="center"/>
          </w:tcPr>
          <w:p w14:paraId="15F403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275" w:type="dxa"/>
            <w:noWrap w:val="0"/>
            <w:vAlign w:val="center"/>
          </w:tcPr>
          <w:p w14:paraId="212C828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1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</w:t>
            </w:r>
          </w:p>
          <w:p w14:paraId="31D533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9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及改进措施</w:t>
            </w:r>
          </w:p>
        </w:tc>
      </w:tr>
      <w:tr w14:paraId="73FD05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80668F3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1845A0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56F18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9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2A3D4A4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3174D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7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6A97A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8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position w:val="2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2E2EDF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313F4B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69" w:type="dxa"/>
            <w:noWrap w:val="0"/>
            <w:vAlign w:val="center"/>
          </w:tcPr>
          <w:p w14:paraId="44D607D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sz w:val="24"/>
              </w:rPr>
              <w:t>食品抽检</w:t>
            </w:r>
          </w:p>
        </w:tc>
        <w:tc>
          <w:tcPr>
            <w:tcW w:w="1319" w:type="dxa"/>
            <w:gridSpan w:val="2"/>
            <w:noWrap w:val="0"/>
            <w:vAlign w:val="center"/>
          </w:tcPr>
          <w:p w14:paraId="5AD957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1500批次</w:t>
            </w:r>
          </w:p>
        </w:tc>
        <w:tc>
          <w:tcPr>
            <w:tcW w:w="1259" w:type="dxa"/>
            <w:noWrap w:val="0"/>
            <w:vAlign w:val="center"/>
          </w:tcPr>
          <w:p w14:paraId="4BEB12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1580</w:t>
            </w:r>
          </w:p>
        </w:tc>
        <w:tc>
          <w:tcPr>
            <w:tcW w:w="719" w:type="dxa"/>
            <w:noWrap w:val="0"/>
            <w:vAlign w:val="center"/>
          </w:tcPr>
          <w:p w14:paraId="4D63D9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795A44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1275" w:type="dxa"/>
            <w:noWrap w:val="0"/>
            <w:vAlign w:val="center"/>
          </w:tcPr>
          <w:p w14:paraId="154750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 w14:paraId="42BEA95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38BAD73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00DA7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FA5613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355DFC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sz w:val="24"/>
              </w:rPr>
              <w:t>食品现场快检</w:t>
            </w:r>
          </w:p>
        </w:tc>
        <w:tc>
          <w:tcPr>
            <w:tcW w:w="1319" w:type="dxa"/>
            <w:gridSpan w:val="2"/>
            <w:noWrap w:val="0"/>
            <w:vAlign w:val="center"/>
          </w:tcPr>
          <w:p w14:paraId="417F6F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sz w:val="24"/>
              </w:rPr>
              <w:t>13</w:t>
            </w:r>
            <w:r>
              <w:rPr>
                <w:rFonts w:hint="eastAsia" w:eastAsia="仿宋_GB2312"/>
                <w:sz w:val="24"/>
                <w:lang w:val="en-US" w:eastAsia="zh-CN"/>
              </w:rPr>
              <w:t>00</w:t>
            </w:r>
            <w:r>
              <w:rPr>
                <w:rFonts w:hint="eastAsia" w:eastAsia="仿宋_GB2312"/>
                <w:sz w:val="24"/>
              </w:rPr>
              <w:t>批次</w:t>
            </w:r>
          </w:p>
        </w:tc>
        <w:tc>
          <w:tcPr>
            <w:tcW w:w="1259" w:type="dxa"/>
            <w:noWrap w:val="0"/>
            <w:vAlign w:val="center"/>
          </w:tcPr>
          <w:p w14:paraId="256939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1380</w:t>
            </w:r>
          </w:p>
        </w:tc>
        <w:tc>
          <w:tcPr>
            <w:tcW w:w="719" w:type="dxa"/>
            <w:noWrap w:val="0"/>
            <w:vAlign w:val="center"/>
          </w:tcPr>
          <w:p w14:paraId="776527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54CA802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17F4F0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auto"/>
                <w:sz w:val="21"/>
                <w:lang w:val="en-US" w:eastAsia="zh-CN"/>
              </w:rPr>
            </w:pPr>
          </w:p>
        </w:tc>
      </w:tr>
      <w:tr w14:paraId="2C4E738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2ECFA3A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A36BA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231706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3E7269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sz w:val="24"/>
              </w:rPr>
              <w:t>巡查药品门店</w:t>
            </w:r>
          </w:p>
        </w:tc>
        <w:tc>
          <w:tcPr>
            <w:tcW w:w="1319" w:type="dxa"/>
            <w:gridSpan w:val="2"/>
            <w:noWrap w:val="0"/>
            <w:vAlign w:val="center"/>
          </w:tcPr>
          <w:p w14:paraId="2D8ADA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eastAsia="仿宋_GB2312"/>
                <w:sz w:val="24"/>
              </w:rPr>
              <w:t>2500</w:t>
            </w:r>
            <w:r>
              <w:rPr>
                <w:rFonts w:hint="eastAsia" w:eastAsia="仿宋_GB2312"/>
                <w:sz w:val="24"/>
              </w:rPr>
              <w:t>家次</w:t>
            </w:r>
          </w:p>
        </w:tc>
        <w:tc>
          <w:tcPr>
            <w:tcW w:w="1259" w:type="dxa"/>
            <w:noWrap w:val="0"/>
            <w:vAlign w:val="center"/>
          </w:tcPr>
          <w:p w14:paraId="2B5BDB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2500</w:t>
            </w:r>
          </w:p>
        </w:tc>
        <w:tc>
          <w:tcPr>
            <w:tcW w:w="719" w:type="dxa"/>
            <w:noWrap w:val="0"/>
            <w:vAlign w:val="center"/>
          </w:tcPr>
          <w:p w14:paraId="5AE951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7D530F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33F41E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 w14:paraId="2FEC152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BB1CCF1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0A0D1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624E39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69" w:type="dxa"/>
            <w:noWrap w:val="0"/>
            <w:vAlign w:val="center"/>
          </w:tcPr>
          <w:p w14:paraId="6BA097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sz w:val="24"/>
              </w:rPr>
              <w:t>抽检结果完成</w:t>
            </w:r>
          </w:p>
        </w:tc>
        <w:tc>
          <w:tcPr>
            <w:tcW w:w="1319" w:type="dxa"/>
            <w:gridSpan w:val="2"/>
            <w:noWrap w:val="0"/>
            <w:vAlign w:val="center"/>
          </w:tcPr>
          <w:p w14:paraId="5A67CB2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 w14:paraId="1EA8D3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247E49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802" w:type="dxa"/>
            <w:noWrap w:val="0"/>
            <w:vAlign w:val="center"/>
          </w:tcPr>
          <w:p w14:paraId="2F97278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275" w:type="dxa"/>
            <w:noWrap w:val="0"/>
            <w:vAlign w:val="center"/>
          </w:tcPr>
          <w:p w14:paraId="161CA9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auto"/>
                <w:sz w:val="20"/>
                <w:lang w:val="en-US" w:eastAsia="zh-CN"/>
              </w:rPr>
            </w:pPr>
          </w:p>
        </w:tc>
      </w:tr>
      <w:tr w14:paraId="3392304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C4D763A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84554C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DE6D2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489C81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333333"/>
                <w:sz w:val="24"/>
                <w:szCs w:val="24"/>
              </w:rPr>
              <w:t>发生影响恶劣的重大执法违法违规事件</w:t>
            </w:r>
          </w:p>
        </w:tc>
        <w:tc>
          <w:tcPr>
            <w:tcW w:w="1319" w:type="dxa"/>
            <w:gridSpan w:val="2"/>
            <w:noWrap w:val="0"/>
            <w:vAlign w:val="center"/>
          </w:tcPr>
          <w:p w14:paraId="7D271A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59" w:type="dxa"/>
            <w:noWrap w:val="0"/>
            <w:vAlign w:val="center"/>
          </w:tcPr>
          <w:p w14:paraId="013585C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719" w:type="dxa"/>
            <w:noWrap w:val="0"/>
            <w:vAlign w:val="center"/>
          </w:tcPr>
          <w:p w14:paraId="58973C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3809C2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292175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auto"/>
                <w:sz w:val="21"/>
                <w:lang w:val="en-US" w:eastAsia="zh-CN"/>
              </w:rPr>
            </w:pPr>
          </w:p>
        </w:tc>
      </w:tr>
      <w:tr w14:paraId="24AB9F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2D1BAA1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B9F22B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64BE00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1D6D29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19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sz w:val="24"/>
              </w:rPr>
              <w:t>特种设备定期检验率</w:t>
            </w:r>
          </w:p>
        </w:tc>
        <w:tc>
          <w:tcPr>
            <w:tcW w:w="1319" w:type="dxa"/>
            <w:gridSpan w:val="2"/>
            <w:noWrap w:val="0"/>
            <w:vAlign w:val="center"/>
          </w:tcPr>
          <w:p w14:paraId="09E62B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259" w:type="dxa"/>
            <w:noWrap w:val="0"/>
            <w:vAlign w:val="center"/>
          </w:tcPr>
          <w:p w14:paraId="5983238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719" w:type="dxa"/>
            <w:noWrap w:val="0"/>
            <w:vAlign w:val="center"/>
          </w:tcPr>
          <w:p w14:paraId="192742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802" w:type="dxa"/>
            <w:noWrap w:val="0"/>
            <w:vAlign w:val="center"/>
          </w:tcPr>
          <w:p w14:paraId="7D7551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19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5" w:type="dxa"/>
            <w:noWrap w:val="0"/>
            <w:vAlign w:val="center"/>
          </w:tcPr>
          <w:p w14:paraId="76CCD42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/>
              <w:jc w:val="center"/>
              <w:textAlignment w:val="auto"/>
              <w:rPr>
                <w:rFonts w:ascii="Arial"/>
                <w:color w:val="auto"/>
                <w:sz w:val="19"/>
              </w:rPr>
            </w:pPr>
          </w:p>
        </w:tc>
      </w:tr>
      <w:tr w14:paraId="1DD86C5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EBA1BCB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35125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6BA501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69" w:type="dxa"/>
            <w:noWrap w:val="0"/>
            <w:vAlign w:val="center"/>
          </w:tcPr>
          <w:p w14:paraId="140BE6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抽样按季度完成</w:t>
            </w:r>
          </w:p>
        </w:tc>
        <w:tc>
          <w:tcPr>
            <w:tcW w:w="1319" w:type="dxa"/>
            <w:gridSpan w:val="2"/>
            <w:noWrap w:val="0"/>
            <w:vAlign w:val="center"/>
          </w:tcPr>
          <w:p w14:paraId="5481C4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4"/>
              </w:rPr>
              <w:t>与时间匹配</w:t>
            </w:r>
          </w:p>
        </w:tc>
        <w:tc>
          <w:tcPr>
            <w:tcW w:w="1259" w:type="dxa"/>
            <w:noWrap w:val="0"/>
            <w:vAlign w:val="center"/>
          </w:tcPr>
          <w:p w14:paraId="7032A29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4"/>
              </w:rPr>
              <w:t>与时间匹配</w:t>
            </w:r>
          </w:p>
        </w:tc>
        <w:tc>
          <w:tcPr>
            <w:tcW w:w="719" w:type="dxa"/>
            <w:noWrap w:val="0"/>
            <w:vAlign w:val="center"/>
          </w:tcPr>
          <w:p w14:paraId="5E341B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49845A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0BB9D9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auto"/>
                <w:sz w:val="20"/>
                <w:lang w:val="en-US" w:eastAsia="zh-CN"/>
              </w:rPr>
            </w:pPr>
          </w:p>
        </w:tc>
      </w:tr>
      <w:tr w14:paraId="617CDA9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000D9F4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445AB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E3BFE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7DBFF84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eastAsia="仿宋_GB2312"/>
                <w:sz w:val="24"/>
              </w:rPr>
              <w:t>检验于</w:t>
            </w:r>
            <w:r>
              <w:rPr>
                <w:rFonts w:eastAsia="仿宋_GB2312"/>
                <w:sz w:val="24"/>
              </w:rPr>
              <w:t>11</w:t>
            </w:r>
            <w:r>
              <w:rPr>
                <w:rFonts w:hint="eastAsia" w:eastAsia="仿宋_GB2312"/>
                <w:sz w:val="24"/>
              </w:rPr>
              <w:t>月</w:t>
            </w:r>
            <w:r>
              <w:rPr>
                <w:rFonts w:eastAsia="仿宋_GB2312"/>
                <w:sz w:val="24"/>
              </w:rPr>
              <w:t>30</w:t>
            </w:r>
            <w:r>
              <w:rPr>
                <w:rFonts w:hint="eastAsia" w:eastAsia="仿宋_GB2312"/>
                <w:sz w:val="24"/>
              </w:rPr>
              <w:t>日前</w:t>
            </w:r>
          </w:p>
        </w:tc>
        <w:tc>
          <w:tcPr>
            <w:tcW w:w="1319" w:type="dxa"/>
            <w:gridSpan w:val="2"/>
            <w:noWrap w:val="0"/>
            <w:vAlign w:val="center"/>
          </w:tcPr>
          <w:p w14:paraId="50DDCC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4"/>
              </w:rPr>
              <w:t>与时间匹配</w:t>
            </w:r>
          </w:p>
        </w:tc>
        <w:tc>
          <w:tcPr>
            <w:tcW w:w="1259" w:type="dxa"/>
            <w:noWrap w:val="0"/>
            <w:vAlign w:val="center"/>
          </w:tcPr>
          <w:p w14:paraId="7A6C0BB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bCs/>
                <w:color w:val="000000"/>
                <w:sz w:val="24"/>
              </w:rPr>
              <w:t>与时间匹配</w:t>
            </w:r>
          </w:p>
        </w:tc>
        <w:tc>
          <w:tcPr>
            <w:tcW w:w="719" w:type="dxa"/>
            <w:noWrap w:val="0"/>
            <w:vAlign w:val="center"/>
          </w:tcPr>
          <w:p w14:paraId="1B994F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0DA115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02CEDA8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</w:tr>
      <w:tr w14:paraId="5F1E87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FF8FC44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F1D64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7AC5F2D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69" w:type="dxa"/>
            <w:noWrap w:val="0"/>
            <w:vAlign w:val="center"/>
          </w:tcPr>
          <w:p w14:paraId="427ADC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gridSpan w:val="2"/>
            <w:noWrap w:val="0"/>
            <w:vAlign w:val="center"/>
          </w:tcPr>
          <w:p w14:paraId="5BE72D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 w14:paraId="090FA8A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 w14:paraId="10E389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 w14:paraId="627A16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 w14:paraId="56B096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auto"/>
                <w:sz w:val="20"/>
                <w:lang w:val="en-US" w:eastAsia="zh-CN"/>
              </w:rPr>
            </w:pPr>
            <w:r>
              <w:rPr>
                <w:rFonts w:hint="eastAsia" w:ascii="Arial"/>
                <w:color w:val="auto"/>
                <w:sz w:val="20"/>
                <w:lang w:val="en-US" w:eastAsia="zh-CN"/>
              </w:rPr>
              <w:t>10</w:t>
            </w:r>
          </w:p>
        </w:tc>
      </w:tr>
      <w:tr w14:paraId="01F6665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EDF9D14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noWrap w:val="0"/>
            <w:vAlign w:val="center"/>
          </w:tcPr>
          <w:p w14:paraId="5D66D2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093593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243E16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gridSpan w:val="2"/>
            <w:noWrap w:val="0"/>
            <w:vAlign w:val="center"/>
          </w:tcPr>
          <w:p w14:paraId="1A76D2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 w14:paraId="438011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 w14:paraId="7DE95D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 w14:paraId="2606B7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 w14:paraId="4B0B74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 w14:paraId="6CC2944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BAFDA04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1ED641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0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CCE49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78BA1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5CDAE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auto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1D0EF0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1" w:lineRule="exact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1B9678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2DF3AD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23AB0D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6E5E56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为消费者挽回经济损失</w:t>
            </w:r>
          </w:p>
        </w:tc>
        <w:tc>
          <w:tcPr>
            <w:tcW w:w="1319" w:type="dxa"/>
            <w:gridSpan w:val="2"/>
            <w:noWrap w:val="0"/>
            <w:vAlign w:val="center"/>
          </w:tcPr>
          <w:p w14:paraId="041982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≥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万元</w:t>
            </w:r>
          </w:p>
        </w:tc>
        <w:tc>
          <w:tcPr>
            <w:tcW w:w="1259" w:type="dxa"/>
            <w:noWrap w:val="0"/>
            <w:vAlign w:val="center"/>
          </w:tcPr>
          <w:p w14:paraId="04390F9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25万元</w:t>
            </w:r>
          </w:p>
        </w:tc>
        <w:tc>
          <w:tcPr>
            <w:tcW w:w="719" w:type="dxa"/>
            <w:noWrap w:val="0"/>
            <w:vAlign w:val="center"/>
          </w:tcPr>
          <w:p w14:paraId="7E3251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3515DB8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42BCA2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 w14:paraId="5F18E69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5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2B5EF5E0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E5CE7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25041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77BB12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全年新登记各类市场主体户数</w:t>
            </w:r>
          </w:p>
        </w:tc>
        <w:tc>
          <w:tcPr>
            <w:tcW w:w="1319" w:type="dxa"/>
            <w:gridSpan w:val="2"/>
            <w:noWrap w:val="0"/>
            <w:vAlign w:val="center"/>
          </w:tcPr>
          <w:p w14:paraId="0BF3498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≥1</w:t>
            </w: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000户</w:t>
            </w:r>
          </w:p>
        </w:tc>
        <w:tc>
          <w:tcPr>
            <w:tcW w:w="1259" w:type="dxa"/>
            <w:noWrap w:val="0"/>
            <w:vAlign w:val="center"/>
          </w:tcPr>
          <w:p w14:paraId="7A72D31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14329</w:t>
            </w:r>
          </w:p>
        </w:tc>
        <w:tc>
          <w:tcPr>
            <w:tcW w:w="719" w:type="dxa"/>
            <w:noWrap w:val="0"/>
            <w:vAlign w:val="center"/>
          </w:tcPr>
          <w:p w14:paraId="5625C2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615FDB9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6EB557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auto"/>
                <w:sz w:val="21"/>
                <w:lang w:val="en-US" w:eastAsia="zh-CN"/>
              </w:rPr>
            </w:pPr>
            <w:r>
              <w:rPr>
                <w:rFonts w:hint="eastAsia" w:ascii="Arial"/>
                <w:color w:val="auto"/>
                <w:sz w:val="21"/>
                <w:lang w:val="en-US" w:eastAsia="zh-CN"/>
              </w:rPr>
              <w:t>因有市场主体培育计划，因此比预计的高</w:t>
            </w:r>
          </w:p>
        </w:tc>
      </w:tr>
      <w:tr w14:paraId="731BAD0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2B9A3C9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E2BEA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43C95F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40AE46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gridSpan w:val="2"/>
            <w:noWrap w:val="0"/>
            <w:vAlign w:val="center"/>
          </w:tcPr>
          <w:p w14:paraId="3F406B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 w14:paraId="6E19E35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 w14:paraId="5B9E30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 w14:paraId="279A96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 w14:paraId="2C3F23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 w14:paraId="5B5E0D8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0788ED2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641B9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273282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1277AC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215A24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虚假违法广告线索处置率</w:t>
            </w:r>
          </w:p>
        </w:tc>
        <w:tc>
          <w:tcPr>
            <w:tcW w:w="1319" w:type="dxa"/>
            <w:gridSpan w:val="2"/>
            <w:noWrap w:val="0"/>
            <w:vAlign w:val="center"/>
          </w:tcPr>
          <w:p w14:paraId="046DC1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≥95%</w:t>
            </w:r>
          </w:p>
        </w:tc>
        <w:tc>
          <w:tcPr>
            <w:tcW w:w="1259" w:type="dxa"/>
            <w:noWrap w:val="0"/>
            <w:vAlign w:val="center"/>
          </w:tcPr>
          <w:p w14:paraId="460E73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≥95%</w:t>
            </w:r>
          </w:p>
        </w:tc>
        <w:tc>
          <w:tcPr>
            <w:tcW w:w="719" w:type="dxa"/>
            <w:noWrap w:val="0"/>
            <w:vAlign w:val="center"/>
          </w:tcPr>
          <w:p w14:paraId="5644DF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09CE77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69FE6C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 w14:paraId="52D1CE3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1A49D4C6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D0F2F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ACA03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68B542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群众识别、抵制假冒伪劣产品的意识</w:t>
            </w:r>
          </w:p>
        </w:tc>
        <w:tc>
          <w:tcPr>
            <w:tcW w:w="1319" w:type="dxa"/>
            <w:gridSpan w:val="2"/>
            <w:noWrap w:val="0"/>
            <w:vAlign w:val="center"/>
          </w:tcPr>
          <w:p w14:paraId="781CCE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不断加强</w:t>
            </w:r>
          </w:p>
        </w:tc>
        <w:tc>
          <w:tcPr>
            <w:tcW w:w="1259" w:type="dxa"/>
            <w:noWrap w:val="0"/>
            <w:vAlign w:val="center"/>
          </w:tcPr>
          <w:p w14:paraId="14969B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不断加强</w:t>
            </w:r>
          </w:p>
        </w:tc>
        <w:tc>
          <w:tcPr>
            <w:tcW w:w="719" w:type="dxa"/>
            <w:noWrap w:val="0"/>
            <w:vAlign w:val="center"/>
          </w:tcPr>
          <w:p w14:paraId="2CDEC0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45A185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18A3A9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 w14:paraId="6DBED71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3DA4E757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46D99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0E3B0C1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73E9AD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gridSpan w:val="2"/>
            <w:noWrap w:val="0"/>
            <w:vAlign w:val="center"/>
          </w:tcPr>
          <w:p w14:paraId="11DC9B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 w14:paraId="0A4DCD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 w14:paraId="0C42C3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 w14:paraId="4D62FE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 w14:paraId="01094B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 w14:paraId="7EB199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69DDAEA2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3AEFB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tcBorders>
              <w:bottom w:val="nil"/>
            </w:tcBorders>
            <w:noWrap w:val="0"/>
            <w:vAlign w:val="center"/>
          </w:tcPr>
          <w:p w14:paraId="03FCB8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5DDE5B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69" w:type="dxa"/>
            <w:noWrap w:val="0"/>
            <w:vAlign w:val="center"/>
          </w:tcPr>
          <w:p w14:paraId="534ED3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gridSpan w:val="2"/>
            <w:noWrap w:val="0"/>
            <w:vAlign w:val="center"/>
          </w:tcPr>
          <w:p w14:paraId="0B7CC8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 w14:paraId="4FA4D7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 w14:paraId="7E7FE8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 w14:paraId="2DA1AE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 w:hAnsiTheme="minorHAnsi" w:eastAsiaTheme="minorEastAsia" w:cstheme="minorBidi"/>
                <w:color w:val="000000" w:themeColor="text1"/>
                <w:kern w:val="2"/>
                <w:sz w:val="20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 w14:paraId="6C1190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/>
              <w:jc w:val="center"/>
              <w:textAlignment w:val="auto"/>
              <w:rPr>
                <w:rFonts w:ascii="Arial"/>
                <w:color w:val="auto"/>
                <w:sz w:val="20"/>
              </w:rPr>
            </w:pPr>
          </w:p>
        </w:tc>
      </w:tr>
      <w:tr w14:paraId="62C349C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0FA174C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3B8E3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4C33F02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3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可持续影</w:t>
            </w:r>
          </w:p>
          <w:p w14:paraId="7F9B39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响指标</w:t>
            </w:r>
          </w:p>
        </w:tc>
        <w:tc>
          <w:tcPr>
            <w:tcW w:w="1269" w:type="dxa"/>
            <w:noWrap w:val="0"/>
            <w:vAlign w:val="center"/>
          </w:tcPr>
          <w:p w14:paraId="7CFC895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  <w:t>市场监管能力和水平</w:t>
            </w:r>
          </w:p>
        </w:tc>
        <w:tc>
          <w:tcPr>
            <w:tcW w:w="1319" w:type="dxa"/>
            <w:gridSpan w:val="2"/>
            <w:noWrap w:val="0"/>
            <w:vAlign w:val="center"/>
          </w:tcPr>
          <w:p w14:paraId="6646171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持续提高</w:t>
            </w:r>
          </w:p>
        </w:tc>
        <w:tc>
          <w:tcPr>
            <w:tcW w:w="1259" w:type="dxa"/>
            <w:noWrap w:val="0"/>
            <w:vAlign w:val="center"/>
          </w:tcPr>
          <w:p w14:paraId="1AF45F8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持续提高</w:t>
            </w:r>
          </w:p>
        </w:tc>
        <w:tc>
          <w:tcPr>
            <w:tcW w:w="719" w:type="dxa"/>
            <w:noWrap w:val="0"/>
            <w:vAlign w:val="center"/>
          </w:tcPr>
          <w:p w14:paraId="242928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3DAD64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17C19C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</w:tr>
      <w:tr w14:paraId="1CC9545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7862F8F5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B3127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B94C5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084960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持续营造公平竞争的营商环境。</w:t>
            </w:r>
          </w:p>
        </w:tc>
        <w:tc>
          <w:tcPr>
            <w:tcW w:w="1319" w:type="dxa"/>
            <w:gridSpan w:val="2"/>
            <w:noWrap w:val="0"/>
            <w:vAlign w:val="center"/>
          </w:tcPr>
          <w:p w14:paraId="4AAA809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持续提升</w:t>
            </w:r>
          </w:p>
        </w:tc>
        <w:tc>
          <w:tcPr>
            <w:tcW w:w="1259" w:type="dxa"/>
            <w:noWrap w:val="0"/>
            <w:vAlign w:val="center"/>
          </w:tcPr>
          <w:p w14:paraId="686334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持续提升</w:t>
            </w:r>
          </w:p>
        </w:tc>
        <w:tc>
          <w:tcPr>
            <w:tcW w:w="719" w:type="dxa"/>
            <w:noWrap w:val="0"/>
            <w:vAlign w:val="center"/>
          </w:tcPr>
          <w:p w14:paraId="084857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802" w:type="dxa"/>
            <w:noWrap w:val="0"/>
            <w:vAlign w:val="center"/>
          </w:tcPr>
          <w:p w14:paraId="6707DC4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lef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000000" w:themeColor="text1"/>
                <w:kern w:val="2"/>
                <w:sz w:val="21"/>
                <w:szCs w:val="24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275" w:type="dxa"/>
            <w:noWrap w:val="0"/>
            <w:vAlign w:val="center"/>
          </w:tcPr>
          <w:p w14:paraId="4D5FA31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</w:tr>
      <w:tr w14:paraId="29417D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03C5139E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</w:tcBorders>
            <w:noWrap w:val="0"/>
            <w:vAlign w:val="center"/>
          </w:tcPr>
          <w:p w14:paraId="0158FF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</w:tcBorders>
            <w:noWrap w:val="0"/>
            <w:vAlign w:val="center"/>
          </w:tcPr>
          <w:p w14:paraId="102FC16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5A6CE7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gridSpan w:val="2"/>
            <w:noWrap w:val="0"/>
            <w:vAlign w:val="center"/>
          </w:tcPr>
          <w:p w14:paraId="453D95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 w14:paraId="1B8F5D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 w14:paraId="0924AE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 w14:paraId="29B5D97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 w14:paraId="63E05F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</w:tr>
      <w:tr w14:paraId="528EC5E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9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50A93923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restart"/>
            <w:tcBorders>
              <w:bottom w:val="nil"/>
            </w:tcBorders>
            <w:noWrap w:val="0"/>
            <w:vAlign w:val="center"/>
          </w:tcPr>
          <w:p w14:paraId="5C183E0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3F04E7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79CF6B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9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29" w:type="dxa"/>
            <w:vMerge w:val="restart"/>
            <w:tcBorders>
              <w:bottom w:val="nil"/>
            </w:tcBorders>
            <w:noWrap w:val="0"/>
            <w:vAlign w:val="center"/>
          </w:tcPr>
          <w:p w14:paraId="75A9543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52D702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3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满意度指</w:t>
            </w:r>
          </w:p>
          <w:p w14:paraId="5DBC34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269" w:type="dxa"/>
            <w:noWrap w:val="0"/>
            <w:vAlign w:val="center"/>
          </w:tcPr>
          <w:p w14:paraId="5D6A07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sz w:val="24"/>
              </w:rPr>
              <w:t>消费者对消费环境满意度</w:t>
            </w:r>
          </w:p>
        </w:tc>
        <w:tc>
          <w:tcPr>
            <w:tcW w:w="1319" w:type="dxa"/>
            <w:gridSpan w:val="2"/>
            <w:noWrap w:val="0"/>
            <w:vAlign w:val="center"/>
          </w:tcPr>
          <w:p w14:paraId="0E7D3D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1259" w:type="dxa"/>
            <w:noWrap w:val="0"/>
            <w:vAlign w:val="center"/>
          </w:tcPr>
          <w:p w14:paraId="57E17A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90%</w:t>
            </w:r>
          </w:p>
        </w:tc>
        <w:tc>
          <w:tcPr>
            <w:tcW w:w="719" w:type="dxa"/>
            <w:noWrap w:val="0"/>
            <w:vAlign w:val="center"/>
          </w:tcPr>
          <w:p w14:paraId="77D7A02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802" w:type="dxa"/>
            <w:noWrap w:val="0"/>
            <w:vAlign w:val="center"/>
          </w:tcPr>
          <w:p w14:paraId="5F1185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275" w:type="dxa"/>
            <w:noWrap w:val="0"/>
            <w:vAlign w:val="center"/>
          </w:tcPr>
          <w:p w14:paraId="76799F9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auto"/>
                <w:sz w:val="21"/>
              </w:rPr>
            </w:pPr>
          </w:p>
        </w:tc>
      </w:tr>
      <w:tr w14:paraId="6629A5F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70" w:hRule="atLeast"/>
        </w:trPr>
        <w:tc>
          <w:tcPr>
            <w:tcW w:w="1084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top"/>
          </w:tcPr>
          <w:p w14:paraId="4AB9D32D">
            <w:pPr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7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0459F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29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8C59C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69" w:type="dxa"/>
            <w:noWrap w:val="0"/>
            <w:vAlign w:val="center"/>
          </w:tcPr>
          <w:p w14:paraId="290E7C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19" w:type="dxa"/>
            <w:gridSpan w:val="2"/>
            <w:noWrap w:val="0"/>
            <w:vAlign w:val="center"/>
          </w:tcPr>
          <w:p w14:paraId="30702E0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59" w:type="dxa"/>
            <w:noWrap w:val="0"/>
            <w:vAlign w:val="center"/>
          </w:tcPr>
          <w:p w14:paraId="09322B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19" w:type="dxa"/>
            <w:noWrap w:val="0"/>
            <w:vAlign w:val="center"/>
          </w:tcPr>
          <w:p w14:paraId="2C7593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802" w:type="dxa"/>
            <w:noWrap w:val="0"/>
            <w:vAlign w:val="center"/>
          </w:tcPr>
          <w:p w14:paraId="66D0597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000000" w:themeColor="text1"/>
                <w:sz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75" w:type="dxa"/>
            <w:noWrap w:val="0"/>
            <w:vAlign w:val="center"/>
          </w:tcPr>
          <w:p w14:paraId="3EEE7A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FF0000"/>
                <w:sz w:val="21"/>
              </w:rPr>
            </w:pPr>
          </w:p>
        </w:tc>
      </w:tr>
      <w:tr w14:paraId="30891E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7039" w:type="dxa"/>
            <w:gridSpan w:val="7"/>
            <w:noWrap w:val="0"/>
            <w:vAlign w:val="center"/>
          </w:tcPr>
          <w:p w14:paraId="259253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1" w:lineRule="exact"/>
              <w:ind w:left="0" w:firstLine="3274"/>
              <w:jc w:val="center"/>
              <w:textAlignment w:val="auto"/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color w:val="000000" w:themeColor="text1"/>
                <w14:textFill>
                  <w14:solidFill>
                    <w14:schemeClr w14:val="tx1"/>
                  </w14:solidFill>
                </w14:textFill>
              </w:rPr>
              <w:drawing>
                <wp:inline distT="0" distB="0" distL="114300" distR="114300">
                  <wp:extent cx="297815" cy="158750"/>
                  <wp:effectExtent l="0" t="0" r="6985" b="13335"/>
                  <wp:docPr id="1" name="图片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815" cy="158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19" w:type="dxa"/>
            <w:noWrap w:val="0"/>
            <w:vAlign w:val="center"/>
          </w:tcPr>
          <w:p w14:paraId="09F225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0" w:lineRule="auto"/>
              <w:ind w:lef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-6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802" w:type="dxa"/>
            <w:noWrap w:val="0"/>
            <w:vAlign w:val="center"/>
          </w:tcPr>
          <w:p w14:paraId="4CA40B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</w:t>
            </w:r>
          </w:p>
        </w:tc>
        <w:tc>
          <w:tcPr>
            <w:tcW w:w="1275" w:type="dxa"/>
            <w:noWrap w:val="0"/>
            <w:vAlign w:val="center"/>
          </w:tcPr>
          <w:p w14:paraId="02F15E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/>
              <w:jc w:val="center"/>
              <w:textAlignment w:val="auto"/>
              <w:rPr>
                <w:rFonts w:ascii="Arial"/>
                <w:color w:val="FF0000"/>
                <w:sz w:val="21"/>
              </w:rPr>
            </w:pPr>
          </w:p>
        </w:tc>
      </w:tr>
    </w:tbl>
    <w:p w14:paraId="3AFEA21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   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     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2"/>
          <w:sz w:val="22"/>
          <w:szCs w:val="22"/>
          <w14:textFill>
            <w14:solidFill>
              <w14:schemeClr w14:val="tx1"/>
            </w14:solidFill>
          </w14:textFill>
        </w:rPr>
        <w:t xml:space="preserve">             </w:t>
      </w:r>
      <w:r>
        <w:rPr>
          <w:rFonts w:ascii="仿宋" w:hAnsi="仿宋" w:eastAsia="仿宋" w:cs="仿宋"/>
          <w:color w:val="000000" w:themeColor="text1"/>
          <w:spacing w:val="-22"/>
          <w:position w:val="-1"/>
          <w:sz w:val="22"/>
          <w:szCs w:val="22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2"/>
          <w:position w:val="-1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                    </w:t>
      </w:r>
      <w:r>
        <w:rPr>
          <w:rFonts w:ascii="仿宋" w:hAnsi="仿宋" w:eastAsia="仿宋" w:cs="仿宋"/>
          <w:color w:val="000000" w:themeColor="text1"/>
          <w:spacing w:val="9"/>
          <w:sz w:val="22"/>
          <w:szCs w:val="22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2"/>
          <w:sz w:val="22"/>
          <w:szCs w:val="22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3"/>
          <w:sz w:val="22"/>
          <w:szCs w:val="22"/>
          <w14:textFill>
            <w14:solidFill>
              <w14:schemeClr w14:val="tx1"/>
            </w14:solidFill>
          </w14:textFill>
        </w:rPr>
        <w:t xml:space="preserve">  </w:t>
      </w:r>
    </w:p>
    <w:p w14:paraId="35F2416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 </w:t>
      </w:r>
    </w:p>
    <w:p w14:paraId="1A5DF4E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21AA01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DD644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38ADBC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  <w:t xml:space="preserve"> </w:t>
      </w:r>
      <w:r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</w:p>
    <w:p w14:paraId="54D2E1D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2"/>
          <w:szCs w:val="42"/>
          <w:lang w:val="en-US" w:eastAsia="zh-CN"/>
          <w14:textFill>
            <w14:solidFill>
              <w14:schemeClr w14:val="tx1"/>
            </w14:solidFill>
          </w14:textFill>
        </w:rPr>
      </w:pPr>
    </w:p>
    <w:p w14:paraId="732DC7E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楼区市场监管局</w:t>
      </w: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</w:t>
      </w:r>
    </w:p>
    <w:p w14:paraId="488989D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firstLine="0" w:firstLineChars="0"/>
        <w:jc w:val="center"/>
        <w:textAlignment w:val="auto"/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default" w:ascii="方正小标宋简体" w:hAnsi="方正小标宋简体" w:eastAsia="方正小标宋简体" w:cs="方正小标宋简体"/>
          <w:b w:val="0"/>
          <w:bCs w:val="0"/>
          <w:color w:val="000000" w:themeColor="text1"/>
          <w:spacing w:val="2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绩效自评报告</w:t>
      </w:r>
    </w:p>
    <w:p w14:paraId="16D1B77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2FC19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120B4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090AA1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F8BAC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EE37D6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43188D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F3E882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5B56A9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302C31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F16307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E82F65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3A5961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AEB70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22C12F4">
      <w:pPr>
        <w:pStyle w:val="2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D09E48A">
      <w:pPr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A0F8DB1">
      <w:pPr>
        <w:pStyle w:val="2"/>
        <w:rPr>
          <w:rFonts w:hint="default"/>
          <w:lang w:val="en-US" w:eastAsia="zh-CN"/>
        </w:rPr>
      </w:pPr>
    </w:p>
    <w:p w14:paraId="47AAD5C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92DC5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97F79A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6B4202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74627D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1CD7EA3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1519D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F1FDF3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9992C3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2563E8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5B529E9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A0ADAE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4AB9CC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部门(单位)名称：   ( 盖 章 )</w:t>
      </w:r>
    </w:p>
    <w:p w14:paraId="23B0B30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center"/>
        <w:textAlignment w:val="auto"/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color w:val="000000" w:themeColor="text1"/>
          <w:spacing w:val="0"/>
          <w:position w:val="0"/>
          <w:sz w:val="36"/>
          <w:szCs w:val="36"/>
          <w:lang w:val="en-US" w:eastAsia="zh-CN"/>
          <w14:textFill>
            <w14:solidFill>
              <w14:schemeClr w14:val="tx1"/>
            </w14:solidFill>
          </w14:textFill>
        </w:rPr>
        <w:t>年  月  日</w:t>
      </w:r>
    </w:p>
    <w:p w14:paraId="3D2049B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2022年度岳阳楼区市场监管局</w:t>
      </w:r>
    </w:p>
    <w:p w14:paraId="2B16C0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单位整体支出绩效自评报告</w:t>
      </w:r>
    </w:p>
    <w:p w14:paraId="4B01E4A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076EA8C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/>
        <w:jc w:val="left"/>
        <w:textAlignment w:val="auto"/>
        <w:rPr>
          <w:rFonts w:hint="default" w:ascii="仿宋" w:hAnsi="仿宋" w:eastAsia="仿宋" w:cs="仿宋"/>
          <w:color w:val="000000" w:themeColor="text1"/>
          <w:spacing w:val="0"/>
          <w:position w:val="0"/>
          <w:sz w:val="22"/>
          <w:szCs w:val="22"/>
          <w:lang w:val="en-US" w:eastAsia="zh-CN"/>
          <w14:textFill>
            <w14:solidFill>
              <w14:schemeClr w14:val="tx1"/>
            </w14:solidFill>
          </w14:textFill>
        </w:rPr>
      </w:pPr>
    </w:p>
    <w:p w14:paraId="3D35E97A"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单位基本情况</w:t>
      </w:r>
    </w:p>
    <w:p w14:paraId="3FD651B8">
      <w:pPr>
        <w:widowControl/>
        <w:spacing w:line="600" w:lineRule="exact"/>
        <w:ind w:firstLine="562" w:firstLineChars="200"/>
        <w:rPr>
          <w:rFonts w:hint="eastAsia" w:ascii="仿宋" w:hAnsi="仿宋" w:eastAsia="仿宋" w:cs="仿宋"/>
          <w:b/>
          <w:bCs/>
          <w:kern w:val="0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kern w:val="0"/>
          <w:sz w:val="28"/>
          <w:szCs w:val="28"/>
        </w:rPr>
        <w:t>（一）职能职责</w:t>
      </w:r>
    </w:p>
    <w:p w14:paraId="15BF4A48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1、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负责市场综合监督管理。贯彻执行国家、省、市有关市场监督管理的法律法规和方针政策，起草市场监督管理有关规范性文件，拟订并组织实施有关政策、措施。组织实施质量强区战略、食品药品安全战略、标准化战略和知识产权战略，拟订并组织实施有关规划，规范和维护市场秩序，营造诚实守信、公平竞争的市场环境。</w:t>
      </w:r>
    </w:p>
    <w:p w14:paraId="0E3F7EB2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2、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负责市场主体统一登记注册。指导全区各类企业、农民专业合作社和从事经营活动的单位、个体工商户等市场主体的登记注册以及食品、药品（含中药、民族药，下同）、医疗器械、化妆品、计量、特种设备等行政审批工作，扶持个体、民营经济发展。</w:t>
      </w:r>
    </w:p>
    <w:p w14:paraId="2A7F5EB6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3、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负责市场主体信息公示和共享机制建设。依法公示和共享有关信息，加强信用监管，推动市场主体信用体系建设。</w:t>
      </w:r>
    </w:p>
    <w:p w14:paraId="325ADD6B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4、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负责组织和实施市场监管综合行政执法工作。贯彻落实中央和省、市关于市场监管综合行政执法改革相关文件精神，负责推进全区市场监管综合行政执法改革工作。负责本级市场监管综合行政执法队伍整合和建设。根据法律法规规定，负责和组织查处相关违法案件。统筹推进竞争政策实施，组织实施公平竞争审查制度。</w:t>
      </w:r>
    </w:p>
    <w:p w14:paraId="3937AF52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5、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负责监督管理市场秩序。依法监督管理市场交易、网络商品交易及有关服务行为。组织查处价格收费违法违规、不正当竞争、违法直销、传销、侵犯商标专利知识产权和制售假冒伪劣行为。规范商品交易市场、农贸市场交易秩序。指导广告业发展，监督管理广告活动。查处无照生产经营和相关无证生产经营行为。指导消费维权工作和消费环境建设。负责处理与市场监督管理相关的举报投诉。依法保护经营者、消费者合法权益。</w:t>
      </w:r>
    </w:p>
    <w:p w14:paraId="71C494CF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6、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负责宏观质量管理。拟订并实施质量发展的制度措施。组织推进区域品牌建设，统筹质量基础设施建设与应用，会同有关部门组织实施重大工程设备质量监理制度，按规定权限组织质量事故调查，落实缺陷产品召回制度，监督管理产品防伪工作。</w:t>
      </w:r>
    </w:p>
    <w:p w14:paraId="0C8FF05C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7、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负责产品质量安全监督管理。组织实施全区产品质量安全风险监控、监督抽查工作。组织实施质量分级制度、质量安全追溯制度。组织实施工业产品生产许可管理。</w:t>
      </w:r>
    </w:p>
    <w:p w14:paraId="1CC60ACC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8、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负责特种设备安全监督管理。综合管理特种设备安全监察、监督工作，监督检查高耗能特种设备节能标准和锅炉环境保护标准的执行情况。</w:t>
      </w:r>
    </w:p>
    <w:p w14:paraId="793BCAB1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9、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负责食品安全监督管理综合协调。组织制定、实施食品安全重大政策。负责食品安全应急体系建设，组织实施重大食品安全事件应急处置和调查处理工作。建立落实食品安全重要信息直报制度。负责食品安全信息发布。承担区食品安全委员会日常工作。</w:t>
      </w:r>
    </w:p>
    <w:p w14:paraId="170DD8B3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10、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负责食品安全监督管理。建立实施覆盖食品生产、流通、消费全过程的监督检查制度和隐患排查治理机制，防范区域性、系统性食品安全风险。推行建立食品生产经营者主体责任落实机制，健全食品安全追溯体系。组织开展食品安全监督抽检、风险监测、核查处置和风险预警、风险交流工作。负责特殊食品监督管理工作。负责食品安全应急体系建设，按规定权限组织指导食品安全事件应急处置和调查处理工作。</w:t>
      </w:r>
    </w:p>
    <w:p w14:paraId="390FEA19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11、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负责统一管理计量工作。推行法定计量单位，贯彻实施国家计量制度。管理计量器具及量值传递和比对工作。规范、监督商品量和市场计量行为。</w:t>
      </w:r>
    </w:p>
    <w:p w14:paraId="4AC25475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12、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负责统一管理标准化工作。组织制定并实施全区标准化战略和规划，组织实施标准，依法对标准的制定、实施进行监督。推行采用国际标准。</w:t>
      </w:r>
    </w:p>
    <w:p w14:paraId="065624D4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13、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负责统一管理全区检验检测工作。规范检验检测市场，完善检验检测体系；对检验检测机构开展年度检查，指导检验检测机构加强能力建设。</w:t>
      </w:r>
    </w:p>
    <w:p w14:paraId="4C932E2F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14、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负责统一管理、监督和综合协调认证认可工作。组织实施国家统一的认证认可和合格评定监督管理制度。</w:t>
      </w:r>
    </w:p>
    <w:p w14:paraId="4B367501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15、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负责知识产权监督管理。拟定并组织实施知识产权创造、保护和运用的政策、规划，建设完善知识产权保护体系、公共服务体系，实施商标执法，促进知识产权创造和运用。</w:t>
      </w:r>
    </w:p>
    <w:p w14:paraId="55033C4B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16、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负责药品、医疗器械和化妆品安全监督管理。监督实施国家和地方药品、医疗器械和化妆品的标准、技术规范和分类管理制度。组织实施国家鼓励药品、医疗器械、化妆品新技术新产品管理和服务政策。负责开展药品零售和使用、医疗器械经营和使用、化妆品经营环节的日常监管。组织开展麻醉药品、精神药品、毒性药品、放射性药品、药源性兴奋剂、药品类易制毒化学品相关经营环节和使用环节监督管理工作。推进专业化、职业化检查员队伍建设。</w:t>
      </w:r>
    </w:p>
    <w:p w14:paraId="264638CB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17、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实施药品、医疗器械和化妆品上市后风险管理。开展药品、化妆品不良反应和医疗器械不良事件监测、评价、处置工作。开展药品、医疗器械和化妆品质量抽查检验，监督实施产品召回制度。依法承担药品、医疗器械和化妆品安全应急管理工作。推进全区药品、医疗器械、化妆品安全信用体系建设。配合有关部门督促药品、医疗器械、化妆品行业生产经营单位做好安全生产工作。</w:t>
      </w:r>
    </w:p>
    <w:p w14:paraId="4AC35DC1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highlight w:val="none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18、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负责市场监督管理科技和信息化建设、新闻宣传、交流与合作。</w:t>
      </w:r>
    </w:p>
    <w:p w14:paraId="335F4DE6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19、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负责本单位、本系统的信访维稳和安全生产工作；完成区委、区人民政府交办的其他任务。</w:t>
      </w:r>
    </w:p>
    <w:p w14:paraId="552F6C88">
      <w:pPr>
        <w:widowControl/>
        <w:spacing w:line="600" w:lineRule="exact"/>
        <w:ind w:firstLine="562" w:firstLineChars="200"/>
        <w:rPr>
          <w:rFonts w:hint="eastAsia" w:ascii="仿宋" w:hAnsi="仿宋" w:eastAsia="仿宋" w:cs="仿宋"/>
          <w:b/>
          <w:bCs/>
          <w:kern w:val="0"/>
          <w:sz w:val="28"/>
          <w:szCs w:val="28"/>
        </w:rPr>
      </w:pPr>
      <w:r>
        <w:rPr>
          <w:rFonts w:hint="eastAsia" w:ascii="仿宋" w:hAnsi="仿宋" w:eastAsia="仿宋" w:cs="仿宋"/>
          <w:b/>
          <w:bCs/>
          <w:kern w:val="0"/>
          <w:sz w:val="28"/>
          <w:szCs w:val="28"/>
        </w:rPr>
        <w:t>（二）机构设置</w:t>
      </w:r>
    </w:p>
    <w:p w14:paraId="040B2337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eastAsia="zh-CN"/>
        </w:rPr>
        <w:t>岳阳市岳阳楼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区市场监管局</w:t>
      </w:r>
      <w:r>
        <w:rPr>
          <w:rFonts w:hint="eastAsia" w:ascii="仿宋" w:hAnsi="仿宋" w:eastAsia="仿宋" w:cs="仿宋"/>
          <w:kern w:val="0"/>
          <w:sz w:val="28"/>
          <w:szCs w:val="28"/>
        </w:rPr>
        <w:t>核定行政编制132名，机关后勤服务事业编制12名。设局长1名，副局长4名，专职执法副局长1名，总工程师1名</w:t>
      </w:r>
      <w:r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t>，</w:t>
      </w:r>
      <w:r>
        <w:rPr>
          <w:rFonts w:hint="eastAsia" w:ascii="仿宋" w:hAnsi="仿宋" w:eastAsia="仿宋" w:cs="仿宋"/>
          <w:kern w:val="0"/>
          <w:sz w:val="28"/>
          <w:szCs w:val="28"/>
        </w:rPr>
        <w:t>核定全额拨款事业编制157名（含执法专项编制56名），为副科级法机构，设大队长1名，副大队长4名（正股级）。</w:t>
      </w:r>
    </w:p>
    <w:p w14:paraId="48772C89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eastAsia="zh-CN"/>
        </w:rPr>
        <w:t>岳阳市岳阳楼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区市场监管局设立16个市场监督管理所（副科级），分别为：东茅岭市场监管所、五里牌市场监管所、站前路市场监管所、三眼桥市场监管所、王家河市场监管所、奇家岭市场监管所、金鹗山市场监管所、岳阳楼市场监管所、望岳路市场监管所、吕仙亭市场监管所、洛王市场监管所、枫桥湖市场监管所、洞庭市场监管所、郭镇市场监管所、城陵矶市场监管所、梅溪市场监管所，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综合行政执法大队（副科级），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</w:rPr>
        <w:t>各市场监管所核定所长1名（副科级），副</w:t>
      </w: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所长共40名（正股级）。</w:t>
      </w:r>
    </w:p>
    <w:p w14:paraId="1C30B5D3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1个执法大队：综合行政执法大队；2个社团组织：岳阳市岳阳楼区消费者委员会、岳阳市岳阳楼区个体劳动者私营企业协会。</w:t>
      </w:r>
    </w:p>
    <w:p w14:paraId="36531D5B">
      <w:pPr>
        <w:widowControl/>
        <w:spacing w:line="600" w:lineRule="exact"/>
        <w:ind w:firstLine="560" w:firstLineChars="200"/>
        <w:rPr>
          <w:rFonts w:hint="eastAsia" w:ascii="仿宋" w:hAnsi="仿宋" w:eastAsia="仿宋" w:cs="仿宋"/>
          <w:kern w:val="0"/>
          <w:sz w:val="28"/>
          <w:szCs w:val="28"/>
          <w:lang w:eastAsia="zh-CN"/>
        </w:rPr>
      </w:pPr>
      <w:r>
        <w:rPr>
          <w:rFonts w:hint="eastAsia" w:ascii="仿宋" w:hAnsi="仿宋" w:eastAsia="仿宋" w:cs="仿宋"/>
          <w:kern w:val="0"/>
          <w:sz w:val="28"/>
          <w:szCs w:val="28"/>
          <w:highlight w:val="none"/>
          <w:lang w:val="en-US" w:eastAsia="zh-CN"/>
        </w:rPr>
        <w:t>机关设置22个股室：1、办公室2、政工人事股3、财务股4、政策法规股5、信用监督管理股6、登记注册股7、网络市场监督管理股8、科技</w:t>
      </w:r>
      <w:r>
        <w:rPr>
          <w:rFonts w:hint="eastAsia" w:ascii="仿宋" w:hAnsi="仿宋" w:eastAsia="仿宋" w:cs="仿宋"/>
          <w:kern w:val="0"/>
          <w:sz w:val="28"/>
          <w:szCs w:val="28"/>
        </w:rPr>
        <w:t>信息化股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9、</w:t>
      </w:r>
      <w:r>
        <w:rPr>
          <w:rFonts w:hint="eastAsia" w:ascii="仿宋" w:hAnsi="仿宋" w:eastAsia="仿宋" w:cs="仿宋"/>
          <w:kern w:val="0"/>
          <w:sz w:val="28"/>
          <w:szCs w:val="28"/>
        </w:rPr>
        <w:t>广告监督管理股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10、</w:t>
      </w:r>
      <w:r>
        <w:rPr>
          <w:rFonts w:hint="eastAsia" w:ascii="仿宋" w:hAnsi="仿宋" w:eastAsia="仿宋" w:cs="仿宋"/>
          <w:kern w:val="0"/>
          <w:sz w:val="28"/>
          <w:szCs w:val="28"/>
        </w:rPr>
        <w:t>反不正当竞争和价格监督检查股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11、</w:t>
      </w:r>
      <w:r>
        <w:rPr>
          <w:rFonts w:hint="eastAsia" w:ascii="仿宋" w:hAnsi="仿宋" w:eastAsia="仿宋" w:cs="仿宋"/>
          <w:kern w:val="0"/>
          <w:sz w:val="28"/>
          <w:szCs w:val="28"/>
        </w:rPr>
        <w:t>质量标准及计量综合监督管理股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12、</w:t>
      </w:r>
      <w:r>
        <w:rPr>
          <w:rFonts w:hint="eastAsia" w:ascii="仿宋" w:hAnsi="仿宋" w:eastAsia="仿宋" w:cs="仿宋"/>
          <w:kern w:val="0"/>
          <w:sz w:val="28"/>
          <w:szCs w:val="28"/>
        </w:rPr>
        <w:t>食品安全综合协调办公室（区食品安全委员会办公室）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13、</w:t>
      </w:r>
      <w:r>
        <w:rPr>
          <w:rFonts w:hint="eastAsia" w:ascii="仿宋" w:hAnsi="仿宋" w:eastAsia="仿宋" w:cs="仿宋"/>
          <w:kern w:val="0"/>
          <w:sz w:val="28"/>
          <w:szCs w:val="28"/>
        </w:rPr>
        <w:t>食品生产安全监督管理股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14、</w:t>
      </w:r>
      <w:r>
        <w:rPr>
          <w:rFonts w:hint="eastAsia" w:ascii="仿宋" w:hAnsi="仿宋" w:eastAsia="仿宋" w:cs="仿宋"/>
          <w:kern w:val="0"/>
          <w:sz w:val="28"/>
          <w:szCs w:val="28"/>
        </w:rPr>
        <w:t>食品经营安全监督管理股（酒类产销管理办公室）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15、</w:t>
      </w:r>
      <w:r>
        <w:rPr>
          <w:rFonts w:hint="eastAsia" w:ascii="仿宋" w:hAnsi="仿宋" w:eastAsia="仿宋" w:cs="仿宋"/>
          <w:kern w:val="0"/>
          <w:sz w:val="28"/>
          <w:szCs w:val="28"/>
        </w:rPr>
        <w:t>特殊食品和化妆品安全监督管理股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16、</w:t>
      </w:r>
      <w:r>
        <w:rPr>
          <w:rFonts w:hint="eastAsia" w:ascii="仿宋" w:hAnsi="仿宋" w:eastAsia="仿宋" w:cs="仿宋"/>
          <w:kern w:val="0"/>
          <w:sz w:val="28"/>
          <w:szCs w:val="28"/>
        </w:rPr>
        <w:t>餐饮食品安全监督管理股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17、</w:t>
      </w:r>
      <w:r>
        <w:rPr>
          <w:rFonts w:hint="eastAsia" w:ascii="仿宋" w:hAnsi="仿宋" w:eastAsia="仿宋" w:cs="仿宋"/>
          <w:kern w:val="0"/>
          <w:sz w:val="28"/>
          <w:szCs w:val="28"/>
        </w:rPr>
        <w:t>药品及医疗器械监督管理股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18、</w:t>
      </w:r>
      <w:r>
        <w:rPr>
          <w:rFonts w:hint="eastAsia" w:ascii="仿宋" w:hAnsi="仿宋" w:eastAsia="仿宋" w:cs="仿宋"/>
          <w:kern w:val="0"/>
          <w:sz w:val="28"/>
          <w:szCs w:val="28"/>
        </w:rPr>
        <w:t>特种设备安全监察股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19、</w:t>
      </w:r>
      <w:r>
        <w:rPr>
          <w:rFonts w:hint="eastAsia" w:ascii="仿宋" w:hAnsi="仿宋" w:eastAsia="仿宋" w:cs="仿宋"/>
          <w:kern w:val="0"/>
          <w:sz w:val="28"/>
          <w:szCs w:val="28"/>
        </w:rPr>
        <w:t>知识产权保护股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20、</w:t>
      </w:r>
      <w:r>
        <w:rPr>
          <w:rFonts w:hint="eastAsia" w:ascii="仿宋" w:hAnsi="仿宋" w:eastAsia="仿宋" w:cs="仿宋"/>
          <w:kern w:val="0"/>
          <w:sz w:val="28"/>
          <w:szCs w:val="28"/>
        </w:rPr>
        <w:t>消费者权益保护股（12315投诉举报指挥中心、岳阳楼区消费者权益保护协会办公室）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21、</w:t>
      </w:r>
      <w:r>
        <w:rPr>
          <w:rFonts w:hint="eastAsia" w:ascii="仿宋" w:hAnsi="仿宋" w:eastAsia="仿宋" w:cs="仿宋"/>
          <w:kern w:val="0"/>
          <w:sz w:val="28"/>
          <w:szCs w:val="28"/>
        </w:rPr>
        <w:t>岳阳楼区非公党建办公室（岳阳楼区个体私营经济发展服务中心、岳阳楼区个体劳动者私营企业协会办公室）</w:t>
      </w:r>
      <w:r>
        <w:rPr>
          <w:rFonts w:hint="eastAsia" w:ascii="仿宋" w:hAnsi="仿宋" w:eastAsia="仿宋" w:cs="仿宋"/>
          <w:kern w:val="0"/>
          <w:sz w:val="28"/>
          <w:szCs w:val="28"/>
          <w:lang w:val="en-US" w:eastAsia="zh-CN"/>
        </w:rPr>
        <w:t>22、</w:t>
      </w:r>
      <w:r>
        <w:rPr>
          <w:rFonts w:hint="eastAsia" w:ascii="仿宋" w:hAnsi="仿宋" w:eastAsia="仿宋" w:cs="仿宋"/>
          <w:kern w:val="0"/>
          <w:sz w:val="28"/>
          <w:szCs w:val="28"/>
        </w:rPr>
        <w:t>督查室</w:t>
      </w:r>
      <w:r>
        <w:rPr>
          <w:rFonts w:hint="eastAsia" w:ascii="仿宋" w:hAnsi="仿宋" w:eastAsia="仿宋" w:cs="仿宋"/>
          <w:kern w:val="0"/>
          <w:sz w:val="28"/>
          <w:szCs w:val="28"/>
          <w:lang w:eastAsia="zh-CN"/>
        </w:rPr>
        <w:t>。</w:t>
      </w:r>
    </w:p>
    <w:p w14:paraId="1FC83B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二、一般公共预算支出情况</w:t>
      </w:r>
    </w:p>
    <w:p w14:paraId="654F4E0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(一)基本支出情况</w:t>
      </w:r>
    </w:p>
    <w:p w14:paraId="1E67F9BD">
      <w:pPr>
        <w:numPr>
          <w:ilvl w:val="0"/>
          <w:numId w:val="0"/>
        </w:numPr>
        <w:spacing w:line="560" w:lineRule="exact"/>
        <w:ind w:firstLine="560" w:firstLineChars="200"/>
        <w:rPr>
          <w:rFonts w:hint="eastAsia" w:ascii="仿宋_GB2312" w:hAnsi="仿宋_GB2312" w:eastAsia="仿宋_GB2312" w:cs="仿宋_GB2312"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</w:rPr>
        <w:t>2022年度财政拨款基本支出5274.1万元，其中：人员经费4542.5万元，占基本支出的86.12%,主要包括基本工资、津贴补贴、奖金、社保、公积金等；公用经费731.61万元，占基本支出的13.87%，主要包括办公费、印刷费、水电费、邮电费、物业管理费、维修费、公务接待费、工会经费、福利费公务用车运行维护费、其他交通费用等。</w:t>
      </w:r>
    </w:p>
    <w:p w14:paraId="7BD92BA4"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="0" w:firstLine="643" w:firstLineChars="200"/>
        <w:jc w:val="left"/>
        <w:textAlignment w:val="auto"/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楷体_GB2312" w:hAnsi="楷体_GB2312" w:eastAsia="楷体_GB2312" w:cs="楷体_GB2312"/>
          <w:b/>
          <w:bCs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项目支出情况</w:t>
      </w:r>
    </w:p>
    <w:p w14:paraId="2FC54571">
      <w:pPr>
        <w:spacing w:line="560" w:lineRule="exact"/>
        <w:ind w:firstLine="560" w:firstLineChars="200"/>
        <w:rPr>
          <w:rFonts w:ascii="仿宋_GB2312" w:hAnsi="仿宋_GB2312" w:eastAsia="仿宋_GB2312" w:cs="仿宋_GB2312"/>
          <w:bCs/>
          <w:sz w:val="28"/>
          <w:szCs w:val="28"/>
        </w:rPr>
      </w:pPr>
      <w:r>
        <w:rPr>
          <w:rFonts w:ascii="仿宋_GB2312" w:hAnsi="仿宋_GB2312" w:eastAsia="仿宋_GB2312" w:cs="仿宋_GB2312"/>
          <w:bCs/>
          <w:sz w:val="28"/>
          <w:szCs w:val="28"/>
        </w:rPr>
        <w:t>1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、专项资金安排落实、总投入等情况分析</w:t>
      </w:r>
    </w:p>
    <w:p w14:paraId="64B973F9">
      <w:pPr>
        <w:spacing w:line="560" w:lineRule="exact"/>
        <w:ind w:firstLine="560" w:firstLineChars="200"/>
        <w:rPr>
          <w:rFonts w:ascii="仿宋_GB2312" w:hAnsi="仿宋_GB2312" w:eastAsia="仿宋_GB2312" w:cs="仿宋_GB2312"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</w:rPr>
        <w:t>本年度预算安排项目资金</w:t>
      </w:r>
      <w:r>
        <w:rPr>
          <w:rFonts w:ascii="仿宋_GB2312" w:hAnsi="仿宋_GB2312" w:eastAsia="仿宋_GB2312" w:cs="仿宋_GB2312"/>
          <w:bCs/>
          <w:sz w:val="28"/>
          <w:szCs w:val="28"/>
        </w:rPr>
        <w:t>674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万元，使用内容为：消费维权、商事制度改革、抽检费、食品经营监管、药械监管、优化营商环境、知识产权保护及网络监管等市场主体管理</w:t>
      </w:r>
      <w:r>
        <w:rPr>
          <w:rFonts w:ascii="仿宋_GB2312" w:hAnsi="仿宋_GB2312" w:eastAsia="仿宋_GB2312" w:cs="仿宋_GB2312"/>
          <w:bCs/>
          <w:sz w:val="28"/>
          <w:szCs w:val="28"/>
        </w:rPr>
        <w:t>674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万元。</w:t>
      </w:r>
    </w:p>
    <w:p w14:paraId="3F389610">
      <w:pPr>
        <w:numPr>
          <w:ilvl w:val="0"/>
          <w:numId w:val="4"/>
        </w:numPr>
        <w:spacing w:line="560" w:lineRule="exact"/>
        <w:ind w:firstLine="560" w:firstLineChars="200"/>
        <w:rPr>
          <w:rFonts w:ascii="仿宋_GB2312" w:hAnsi="仿宋_GB2312" w:eastAsia="仿宋_GB2312" w:cs="仿宋_GB2312"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</w:rPr>
        <w:t>专项资金实际使用情况分析</w:t>
      </w:r>
    </w:p>
    <w:p w14:paraId="4AE89F5A">
      <w:pPr>
        <w:spacing w:line="560" w:lineRule="exact"/>
        <w:ind w:firstLine="560" w:firstLineChars="200"/>
        <w:rPr>
          <w:rFonts w:ascii="仿宋_GB2312" w:hAnsi="仿宋_GB2312" w:eastAsia="仿宋_GB2312" w:cs="仿宋_GB2312"/>
          <w:bCs/>
          <w:sz w:val="28"/>
          <w:szCs w:val="28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</w:rPr>
        <w:t>本年度实际投入专项资金</w:t>
      </w:r>
      <w:r>
        <w:rPr>
          <w:rFonts w:ascii="仿宋_GB2312" w:hAnsi="仿宋_GB2312" w:eastAsia="仿宋_GB2312" w:cs="仿宋_GB2312"/>
          <w:bCs/>
          <w:sz w:val="28"/>
          <w:szCs w:val="28"/>
        </w:rPr>
        <w:t>1204.5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万元，多出</w:t>
      </w:r>
      <w:r>
        <w:rPr>
          <w:rFonts w:ascii="仿宋_GB2312" w:hAnsi="仿宋_GB2312" w:eastAsia="仿宋_GB2312" w:cs="仿宋_GB2312"/>
          <w:bCs/>
          <w:sz w:val="28"/>
          <w:szCs w:val="28"/>
        </w:rPr>
        <w:t>530.5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万元，主要原因是省、市级用于食品安全、特种设备监管等专项资金的使用，年初未安排预算，年中追加的外环境核酸检测专项资金的使用。</w:t>
      </w:r>
    </w:p>
    <w:p w14:paraId="4E7140A5">
      <w:pPr>
        <w:spacing w:line="560" w:lineRule="exact"/>
        <w:ind w:firstLine="560" w:firstLineChars="200"/>
        <w:rPr>
          <w:rFonts w:ascii="仿宋_GB2312" w:hAnsi="仿宋_GB2312" w:eastAsia="仿宋_GB2312" w:cs="仿宋_GB2312"/>
          <w:bCs/>
          <w:sz w:val="28"/>
          <w:szCs w:val="28"/>
        </w:rPr>
      </w:pPr>
      <w:r>
        <w:rPr>
          <w:rFonts w:ascii="仿宋_GB2312" w:hAnsi="仿宋_GB2312" w:eastAsia="仿宋_GB2312" w:cs="仿宋_GB2312"/>
          <w:bCs/>
          <w:sz w:val="28"/>
          <w:szCs w:val="28"/>
        </w:rPr>
        <w:t>3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、专项资金管理情况分析</w:t>
      </w:r>
    </w:p>
    <w:p w14:paraId="6B70CF28">
      <w:pPr>
        <w:widowControl/>
        <w:ind w:firstLine="560" w:firstLineChars="200"/>
        <w:jc w:val="left"/>
        <w:rPr>
          <w:rFonts w:ascii="sans-serif" w:hAnsi="sans-serif" w:cs="sans-serif"/>
          <w:sz w:val="24"/>
          <w:szCs w:val="24"/>
        </w:rPr>
      </w:pPr>
      <w:r>
        <w:rPr>
          <w:rFonts w:hint="eastAsia" w:ascii="仿宋_GB2312" w:hAnsi="仿宋_GB2312" w:eastAsia="仿宋_GB2312" w:cs="仿宋_GB2312"/>
          <w:bCs/>
          <w:sz w:val="28"/>
          <w:szCs w:val="28"/>
        </w:rPr>
        <w:t>我局专项资金来源包括年初预算安排、及省市级财政追加，专项资金使用遵循专款专用、统筹兼顾、突出重点、追踪问效的原则</w:t>
      </w:r>
      <w:r>
        <w:rPr>
          <w:rFonts w:ascii="仿宋_GB2312" w:hAnsi="仿宋_GB2312" w:eastAsia="仿宋_GB2312" w:cs="仿宋_GB2312"/>
          <w:bCs/>
          <w:sz w:val="28"/>
          <w:szCs w:val="28"/>
        </w:rPr>
        <w:t>,</w:t>
      </w:r>
      <w:r>
        <w:rPr>
          <w:rFonts w:hint="eastAsia" w:ascii="仿宋_GB2312" w:hAnsi="仿宋_GB2312" w:eastAsia="仿宋_GB2312" w:cs="仿宋_GB2312"/>
          <w:bCs/>
          <w:sz w:val="28"/>
          <w:szCs w:val="28"/>
        </w:rPr>
        <w:t>首先是根据专项资金用途对各专项资金的使用作安排和责任分解，拨付时需提供经审核后的资金使用申请和计划，资金使用后跟踪监控及问效，资金使用效果是下年度资金安排的重要依据。</w:t>
      </w:r>
    </w:p>
    <w:p w14:paraId="20A73A4B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三、政府性基金预算支出情况</w:t>
      </w:r>
    </w:p>
    <w:p w14:paraId="67966023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200" w:line="400" w:lineRule="exact"/>
        <w:jc w:val="both"/>
        <w:textAlignment w:val="auto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lang w:val="en-US" w:eastAsia="zh-CN"/>
        </w:rPr>
        <w:t xml:space="preserve">  </w:t>
      </w:r>
      <w:r>
        <w:rPr>
          <w:rFonts w:hint="eastAsia"/>
          <w:sz w:val="28"/>
          <w:szCs w:val="28"/>
          <w:lang w:val="en-US" w:eastAsia="zh-CN"/>
        </w:rPr>
        <w:t xml:space="preserve">  无政府性基金预算支出。</w:t>
      </w:r>
    </w:p>
    <w:p w14:paraId="68F929D2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四、国有资本经营预算支出情况</w:t>
      </w:r>
    </w:p>
    <w:p w14:paraId="1CFBECA0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200" w:line="400" w:lineRule="exact"/>
        <w:jc w:val="both"/>
        <w:textAlignment w:val="auto"/>
        <w:rPr>
          <w:rFonts w:hint="default"/>
          <w:lang w:val="en-US" w:eastAsia="zh-CN"/>
        </w:rPr>
      </w:pPr>
      <w:r>
        <w:rPr>
          <w:rFonts w:hint="eastAsia"/>
          <w:lang w:val="en-US" w:eastAsia="zh-CN"/>
        </w:rPr>
        <w:t xml:space="preserve">  </w:t>
      </w:r>
      <w:r>
        <w:rPr>
          <w:rFonts w:hint="eastAsia"/>
          <w:sz w:val="28"/>
          <w:szCs w:val="28"/>
          <w:lang w:val="en-US" w:eastAsia="zh-CN"/>
        </w:rPr>
        <w:t xml:space="preserve">  无国有资本经营预算支出</w:t>
      </w:r>
    </w:p>
    <w:p w14:paraId="0636073E"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社会保险基金预算支出情况</w:t>
      </w:r>
    </w:p>
    <w:p w14:paraId="29F5D730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="120" w:after="200" w:line="400" w:lineRule="exact"/>
        <w:jc w:val="both"/>
        <w:textAlignment w:val="auto"/>
        <w:rPr>
          <w:rFonts w:hint="default"/>
          <w:sz w:val="28"/>
          <w:szCs w:val="28"/>
          <w:lang w:val="en-US" w:eastAsia="zh-CN"/>
        </w:rPr>
      </w:pPr>
      <w:r>
        <w:rPr>
          <w:rFonts w:hint="eastAsia"/>
          <w:lang w:val="en-US" w:eastAsia="zh-CN"/>
        </w:rPr>
        <w:t xml:space="preserve"> </w:t>
      </w:r>
      <w:r>
        <w:rPr>
          <w:rFonts w:hint="eastAsia"/>
          <w:sz w:val="28"/>
          <w:szCs w:val="28"/>
          <w:lang w:val="en-US" w:eastAsia="zh-CN"/>
        </w:rPr>
        <w:t xml:space="preserve">    无社会保险基金预算支出</w:t>
      </w:r>
    </w:p>
    <w:p w14:paraId="1AB305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六、部门整体支出绩效情况</w:t>
      </w:r>
    </w:p>
    <w:p w14:paraId="6A7D337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2022年，在区委、区政府的坚强领导及市局的具体指示下，我局明确职责、聚焦重点，全力以赴开展市场监管工作，打造公平的市场环境，持续优化营商环境，不断为地方经济高质量发展“添砖加瓦”，工作取得了明显成效。</w:t>
      </w:r>
    </w:p>
    <w:p w14:paraId="5756F8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目前，全区共有各类市场主体8万余户，共有餐饮服务经营单位8314户，食品生产企业54家，食品流通经营企业6436家，保健食品经营单位774家，婴幼儿配方乳粉经营单位204家，药品和医疗器械经营单位1184家，负责监管的还有在用电梯、压力容器、锅炉、起重机械等特种设备4577台。我局做出的主要成效如下：</w:t>
      </w:r>
    </w:p>
    <w:p w14:paraId="1C41068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.牵头推动市场主体倍增工程。围绕具体任务、责任分工，主动争取领导重视、推动政策出台，促进市场主体高质量发展。一是争取高位推动。2022年，区委常委会、政府常务会共3次专题研究市场主体倍增工程，区政府成立了区长为组长的工作专班，将市场主体倍增工程纳入全区“六联六包”和“核心引领区和首善之区建设”目标考核，严格落实牵头部门和街道（乡）责任，形成了“政府抓总、部门抓细、分工抓实”的工作格局。二是强化政策带动。积极强化政策引领，全力推动区级层面出台《关于优化营商环境促进市场主体高质量发展的意见》《促进区域经济发展扶植奖励办法》《推行市场主体歇业制度的通知》等系列文件。下半年市场主体倍增工程重心转移后，又主动争取区政府制定《岳阳楼区支持“个转企”若干措施》，为企业登记全生命周期、全阶梯激励、全要素保障提供政策支持。三是推进部门联动。及时建立联席会议机制，全年共召开推进会、调度会、讲评会8次，推动了部门和街道（乡）之间高频互动、工作联动，有力促进了责任落实。</w:t>
      </w:r>
    </w:p>
    <w:p w14:paraId="2ED8E3C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2. 持续深化商事登记制度改革。坚持贯彻商改工作政策要求，降低准入门槛，创新改革举措，落实全程监管，助推商改取得实效。一是持续降低准入门槛。严格执行“双告知”“负面清单”制度，推进“证照分离”、企业开办110、场地申报承诺制改革，放宽住所登记条件，营造更宽松准入环境。二是探索创新改革举措。结合区情实际，坚持创新探索登记领域放权路径。深入推进公司登记“局所联办”、个体执照“全区通办”、审批服务“跨省通办”等创新措施。在2月份发出岳阳首张跨省通办营业执照后，又陆续与湖北、江西等省10多个市、县签订合作协议，进一步延伸登记服务范畴。三是落实事中事后监管。注重准入与监管的统筹配套完善，坚持“双随机、一公开”监管模式，抓好事中事后监管。全年出动随机抽取检查人员1430人次，共抽查市场主体1222户。</w:t>
      </w:r>
    </w:p>
    <w:p w14:paraId="6F99A796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3. 积极推动“质量强区”战略落实。坚持工作标准，逐一落实“质量强区”工作要点，持续优化质量监管环境、质量基础设施、质量发展状况、质量文化氛围。一是加强工作指导力度。先后全程参与指导企业益海嘉里（岳阳）粮油工业有限公司申报“市长质量奖”；指导嘉伯富邦-天伦国际物业申报服务业标准化试点项目，实现了全区服务标准化试点零突破。二是推动实施标准化工作。执行企业产品和服务标准自我声明公开和监督制度。全年共督促107家企业的196个产品标准在“企业标准信息公共服务平台”上进行自我声明公开。三是强化知识产权服务工作。目前，全区共有有效发明281个，专利申请493个，万人有效发明专利拥有量4.269件，同比增长33.8%。同时，依托知识产权综合服务站，开展2022年“知识产权服务万里行”活动，期间走访辖区内企业18家，大专院校2家，为企业提供商标注册申请咨询32次。</w:t>
      </w:r>
    </w:p>
    <w:p w14:paraId="4C95765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4. 发挥政策效能支持企业发展。精准施策、靶向发力，着力助推企业发展。一是强化信用监管。坚持移出与列入并重，帮助企业信用修复。全年共移出异常名录企业110家，协助企业协调省局移出公示异常企业2家。另外，还指导完成企业年报1.2万户、个体年报2.5万户、农专年报41户。二是推行执法改革。推行包容审慎监管和柔性执法改革，对轻微违法者坚持教育、说服、劝导优先，同时设置合理的“纠错期”，给予违法行为合理的自我纠错机会，设置必要的“过渡期”。在今年已查办的115起违法案件中，其中就有从轻行政处罚31起，减轻行政处罚48起。另外，还对轻微违法的53起案件“首违不罚”。三是助企纾困解难。帮助企业开源节流，为企业筹措发展资金提供渠道。力促“银企合作”，为2家小微企业融资近100万元；打造股权质押等多元化融资平台，完成股权出质登记的出质数额500万元，被担保债权数额5500万元；提供“留抵退税”政策辅导，优化减税降费办事流程，全年办理留抵退税5.32亿元。另外，通过开办“一站式”服务窗口，免费为2299家新办企业刻章8277枚，为企业节约费用47万余元。</w:t>
      </w:r>
    </w:p>
    <w:p w14:paraId="0DA7B9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七、存在的问题及原因分析</w:t>
      </w:r>
    </w:p>
    <w:p w14:paraId="2FC8FFA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1、项目推进速度存在不及时，项目资金用款进度偏慢。</w:t>
      </w:r>
    </w:p>
    <w:p w14:paraId="756582E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2、固定资产管理不够规范，处置程序有待加强。</w:t>
      </w:r>
    </w:p>
    <w:p w14:paraId="5F358B6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八、下一步改进措施</w:t>
      </w:r>
    </w:p>
    <w:p w14:paraId="2772168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针对上述存在的问题及我局整体支出管理工作的需要，拟实施的改进措施如下：</w:t>
      </w:r>
    </w:p>
    <w:p w14:paraId="52E9A1D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1、细化预算编制工作，认真做好预算的编制。</w:t>
      </w:r>
    </w:p>
    <w:p w14:paraId="0CB0782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加强预算管理意识，严格按照预算编制的相关制度和要求，公用经费根据单位的年度工作重点和项目专项工作规划，本着“勤俭节约、保障运转”的原则进行预算的编制。在预算编制时首先需满足固定性的、相对刚性的费用支出项目，尽量压缩变动性的、有控制空间的费用项目，进一步提高预算编制的科学性、合理性、严谨性和可控性。</w:t>
      </w:r>
    </w:p>
    <w:p w14:paraId="1A4A285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2、加强固定资产管理，提高固定资产利用率。</w:t>
      </w:r>
    </w:p>
    <w:p w14:paraId="0AF5B25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3、严格项目支出管理，细化分解项目到月，确保按时按质完成绩效目标。</w:t>
      </w:r>
    </w:p>
    <w:p w14:paraId="20FDD2E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九、部门整体支出绩效自评结果拟应用和公开情况</w:t>
      </w:r>
    </w:p>
    <w:p w14:paraId="111952A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其他需要说明的情况</w:t>
      </w:r>
    </w:p>
    <w:p w14:paraId="05C4850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报告需要以下附件：</w:t>
      </w:r>
    </w:p>
    <w:p w14:paraId="646A23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1、部门整体支出绩效评价基础数据表</w:t>
      </w:r>
    </w:p>
    <w:p w14:paraId="67618A1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2、部门整体支出绩效自评表</w:t>
      </w:r>
    </w:p>
    <w:p w14:paraId="697A8B0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3、项目支出绩效自评表(一个一级项目支出一张表)</w:t>
      </w:r>
    </w:p>
    <w:p w14:paraId="7BB1FC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4、政府性基金预算支出情况表</w:t>
      </w:r>
    </w:p>
    <w:p w14:paraId="6E04A6B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5、国有资本经营预算支出情况表</w:t>
      </w:r>
    </w:p>
    <w:p w14:paraId="0F20604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left="0"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6、社会保险基金预算支出情况表</w:t>
      </w:r>
    </w:p>
    <w:p w14:paraId="3FD734F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default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附件4</w:t>
      </w:r>
    </w:p>
    <w:p w14:paraId="4E871A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ind w:left="0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方正小标宋简体" w:eastAsia="方正小标宋简体" w:cs="方正小标宋简体"/>
          <w:color w:val="000000" w:themeColor="text1"/>
          <w:spacing w:val="0"/>
          <w:position w:val="0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2022年度项目支出绩效自评表</w:t>
      </w:r>
    </w:p>
    <w:tbl>
      <w:tblPr>
        <w:tblStyle w:val="8"/>
        <w:tblW w:w="9580" w:type="dxa"/>
        <w:tblInd w:w="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75"/>
        <w:gridCol w:w="1080"/>
        <w:gridCol w:w="1080"/>
        <w:gridCol w:w="1229"/>
        <w:gridCol w:w="1131"/>
        <w:gridCol w:w="1140"/>
        <w:gridCol w:w="685"/>
        <w:gridCol w:w="795"/>
        <w:gridCol w:w="1365"/>
      </w:tblGrid>
      <w:tr w14:paraId="2D69169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6" w:hRule="atLeast"/>
        </w:trPr>
        <w:tc>
          <w:tcPr>
            <w:tcW w:w="1075" w:type="dxa"/>
            <w:noWrap w:val="0"/>
            <w:vAlign w:val="center"/>
          </w:tcPr>
          <w:p w14:paraId="58BE62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项目支出</w:t>
            </w:r>
          </w:p>
          <w:p w14:paraId="451948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6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8505" w:type="dxa"/>
            <w:gridSpan w:val="8"/>
            <w:noWrap w:val="0"/>
            <w:vAlign w:val="center"/>
          </w:tcPr>
          <w:p w14:paraId="1A7B93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市场监管专项</w:t>
            </w:r>
          </w:p>
        </w:tc>
      </w:tr>
      <w:tr w14:paraId="1D42B1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6" w:hRule="atLeast"/>
        </w:trPr>
        <w:tc>
          <w:tcPr>
            <w:tcW w:w="1075" w:type="dxa"/>
            <w:noWrap w:val="0"/>
            <w:vAlign w:val="center"/>
          </w:tcPr>
          <w:p w14:paraId="4EFD39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2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主管部门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6AE117E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F4DA1B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实施单位</w:t>
            </w:r>
          </w:p>
        </w:tc>
        <w:tc>
          <w:tcPr>
            <w:tcW w:w="2845" w:type="dxa"/>
            <w:gridSpan w:val="3"/>
            <w:noWrap w:val="0"/>
            <w:vAlign w:val="center"/>
          </w:tcPr>
          <w:p w14:paraId="39C38F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楼区市场监督管理局</w:t>
            </w:r>
          </w:p>
        </w:tc>
      </w:tr>
      <w:tr w14:paraId="07D5E7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1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083E54B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4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50654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5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49B2BF6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项目资金</w:t>
            </w:r>
          </w:p>
          <w:p w14:paraId="7D3EEC1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(万元)</w:t>
            </w:r>
          </w:p>
        </w:tc>
        <w:tc>
          <w:tcPr>
            <w:tcW w:w="2160" w:type="dxa"/>
            <w:gridSpan w:val="2"/>
            <w:noWrap w:val="0"/>
            <w:vAlign w:val="center"/>
          </w:tcPr>
          <w:p w14:paraId="7B9F69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27209E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年初</w:t>
            </w:r>
          </w:p>
          <w:p w14:paraId="06D7490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31" w:type="dxa"/>
            <w:noWrap w:val="0"/>
            <w:vAlign w:val="center"/>
          </w:tcPr>
          <w:p w14:paraId="48CF7A3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088FA46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预算数</w:t>
            </w:r>
          </w:p>
        </w:tc>
        <w:tc>
          <w:tcPr>
            <w:tcW w:w="1140" w:type="dxa"/>
            <w:noWrap w:val="0"/>
            <w:vAlign w:val="center"/>
          </w:tcPr>
          <w:p w14:paraId="409F0A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全年</w:t>
            </w:r>
          </w:p>
          <w:p w14:paraId="40F002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执行数</w:t>
            </w:r>
          </w:p>
        </w:tc>
        <w:tc>
          <w:tcPr>
            <w:tcW w:w="685" w:type="dxa"/>
            <w:noWrap w:val="0"/>
            <w:vAlign w:val="center"/>
          </w:tcPr>
          <w:p w14:paraId="24521C0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62A05B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执行率</w:t>
            </w:r>
          </w:p>
        </w:tc>
        <w:tc>
          <w:tcPr>
            <w:tcW w:w="1365" w:type="dxa"/>
            <w:noWrap w:val="0"/>
            <w:vAlign w:val="center"/>
          </w:tcPr>
          <w:p w14:paraId="429EDA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</w:tr>
      <w:tr w14:paraId="51F8FAD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1AC15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26D56BF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年度资金总额</w:t>
            </w:r>
          </w:p>
        </w:tc>
        <w:tc>
          <w:tcPr>
            <w:tcW w:w="1229" w:type="dxa"/>
            <w:noWrap w:val="0"/>
            <w:vAlign w:val="center"/>
          </w:tcPr>
          <w:p w14:paraId="20357A6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674</w:t>
            </w:r>
          </w:p>
        </w:tc>
        <w:tc>
          <w:tcPr>
            <w:tcW w:w="1131" w:type="dxa"/>
            <w:noWrap w:val="0"/>
            <w:vAlign w:val="center"/>
          </w:tcPr>
          <w:p w14:paraId="7CE9B0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1204.5</w:t>
            </w:r>
          </w:p>
        </w:tc>
        <w:tc>
          <w:tcPr>
            <w:tcW w:w="1140" w:type="dxa"/>
            <w:noWrap w:val="0"/>
            <w:vAlign w:val="center"/>
          </w:tcPr>
          <w:p w14:paraId="62517D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1204.5</w:t>
            </w:r>
          </w:p>
        </w:tc>
        <w:tc>
          <w:tcPr>
            <w:tcW w:w="685" w:type="dxa"/>
            <w:noWrap w:val="0"/>
            <w:vAlign w:val="center"/>
          </w:tcPr>
          <w:p w14:paraId="5266642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5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-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6A3B1D0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1365" w:type="dxa"/>
            <w:noWrap w:val="0"/>
            <w:vAlign w:val="center"/>
          </w:tcPr>
          <w:p w14:paraId="72CBFC5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</w:t>
            </w:r>
          </w:p>
        </w:tc>
      </w:tr>
      <w:tr w14:paraId="5217F4A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2A46D5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572F4F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其中：当年财政拨款</w:t>
            </w:r>
          </w:p>
        </w:tc>
        <w:tc>
          <w:tcPr>
            <w:tcW w:w="1229" w:type="dxa"/>
            <w:noWrap w:val="0"/>
            <w:vAlign w:val="center"/>
          </w:tcPr>
          <w:p w14:paraId="71C8647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674</w:t>
            </w:r>
          </w:p>
        </w:tc>
        <w:tc>
          <w:tcPr>
            <w:tcW w:w="1131" w:type="dxa"/>
            <w:noWrap w:val="0"/>
            <w:vAlign w:val="center"/>
          </w:tcPr>
          <w:p w14:paraId="6B87AE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674</w:t>
            </w:r>
          </w:p>
        </w:tc>
        <w:tc>
          <w:tcPr>
            <w:tcW w:w="1140" w:type="dxa"/>
            <w:noWrap w:val="0"/>
            <w:vAlign w:val="center"/>
          </w:tcPr>
          <w:p w14:paraId="7169DCA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674</w:t>
            </w:r>
          </w:p>
        </w:tc>
        <w:tc>
          <w:tcPr>
            <w:tcW w:w="685" w:type="dxa"/>
            <w:noWrap w:val="0"/>
            <w:vAlign w:val="center"/>
          </w:tcPr>
          <w:p w14:paraId="2F020E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2183C56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270168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1817C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C9105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27AA99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 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上年结转资金</w:t>
            </w:r>
          </w:p>
        </w:tc>
        <w:tc>
          <w:tcPr>
            <w:tcW w:w="1229" w:type="dxa"/>
            <w:noWrap w:val="0"/>
            <w:vAlign w:val="center"/>
          </w:tcPr>
          <w:p w14:paraId="4D292E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7B235F3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D83DB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5AD42D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6B9E639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0D6000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07CE000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6F16CE3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60" w:type="dxa"/>
            <w:gridSpan w:val="2"/>
            <w:noWrap w:val="0"/>
            <w:vAlign w:val="center"/>
          </w:tcPr>
          <w:p w14:paraId="5A62BF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其他资金</w:t>
            </w:r>
          </w:p>
        </w:tc>
        <w:tc>
          <w:tcPr>
            <w:tcW w:w="1229" w:type="dxa"/>
            <w:noWrap w:val="0"/>
            <w:vAlign w:val="center"/>
          </w:tcPr>
          <w:p w14:paraId="0CFB0EF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3CA504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530.5</w:t>
            </w:r>
          </w:p>
        </w:tc>
        <w:tc>
          <w:tcPr>
            <w:tcW w:w="1140" w:type="dxa"/>
            <w:noWrap w:val="0"/>
            <w:vAlign w:val="center"/>
          </w:tcPr>
          <w:p w14:paraId="7BB7044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530.5</w:t>
            </w:r>
          </w:p>
        </w:tc>
        <w:tc>
          <w:tcPr>
            <w:tcW w:w="685" w:type="dxa"/>
            <w:noWrap w:val="0"/>
            <w:vAlign w:val="center"/>
          </w:tcPr>
          <w:p w14:paraId="5F8BA84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6ACB23E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0D4FB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 w14:paraId="262611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7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vAlign w:val="center"/>
          </w:tcPr>
          <w:p w14:paraId="6832EB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年度总体</w:t>
            </w:r>
          </w:p>
          <w:p w14:paraId="60B1A8B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6" w:lineRule="auto"/>
              <w:ind w:left="0" w:right="0" w:hanging="20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</w:t>
            </w:r>
          </w:p>
        </w:tc>
        <w:tc>
          <w:tcPr>
            <w:tcW w:w="4520" w:type="dxa"/>
            <w:gridSpan w:val="4"/>
            <w:noWrap w:val="0"/>
            <w:vAlign w:val="center"/>
          </w:tcPr>
          <w:p w14:paraId="6FBCF8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预期目标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08E743F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0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实际完成情况</w:t>
            </w:r>
          </w:p>
        </w:tc>
      </w:tr>
      <w:tr w14:paraId="1CF609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5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vAlign w:val="center"/>
          </w:tcPr>
          <w:p w14:paraId="3AB92E3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4520" w:type="dxa"/>
            <w:gridSpan w:val="4"/>
            <w:noWrap w:val="0"/>
            <w:vAlign w:val="center"/>
          </w:tcPr>
          <w:p w14:paraId="0964CF2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目标1∶推进登记制度改革</w:t>
            </w:r>
          </w:p>
          <w:p w14:paraId="7ECF06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目标2∶推进落实企业信用监管，加强网络交易监管</w:t>
            </w:r>
          </w:p>
          <w:p w14:paraId="7252867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目标3∶实施商标品牌战略，强化知识产权保护</w:t>
            </w:r>
          </w:p>
          <w:p w14:paraId="79292C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目标4∶消费维权，优化消费市场环境</w:t>
            </w:r>
          </w:p>
          <w:p w14:paraId="69283C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目标5∶加大监管执法打击力度，推进市场专项整治</w:t>
            </w:r>
          </w:p>
          <w:p w14:paraId="27B781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目标6∶强化食品、药品、医疗器械、化妆品、特种设备安全监管</w:t>
            </w:r>
          </w:p>
          <w:p w14:paraId="0ECEB53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目标7∶强化质量技术监督</w:t>
            </w:r>
          </w:p>
          <w:p w14:paraId="011AA24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left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目标8∶强化各类产品监督抽验</w:t>
            </w:r>
          </w:p>
        </w:tc>
        <w:tc>
          <w:tcPr>
            <w:tcW w:w="3985" w:type="dxa"/>
            <w:gridSpan w:val="4"/>
            <w:noWrap w:val="0"/>
            <w:vAlign w:val="center"/>
          </w:tcPr>
          <w:p w14:paraId="0ED89B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持续优化营商环境，推进“一件事一次办”；深化“多证合一”、“证照分离”改革；全面推行全程电子化登记；落实行政审批事项“三集中三到位”制度，行政审批事项全部进入政务大厅办理；推进电子营业执照应用；做好企业开办指标优化营商环境测评工作；做好全区企业信用信息公示和监管系统建设管理工作,建立经营异常名录和“黑名单”，组织开展违法失信企业名单和“双随机、一公开” 等监管;做好市场主体监督管理信息和公示信息归集、共享、联合惩戒的协调联系工作；拓宽维权路径，坚持接诉即办。对我区食品、药品、医疗器械、保健品、化妆品的质量状况进行技术监控，坚决守住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源发性系统性区域性的重大食品药品安全问题、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群体性的重大食品药品安全事故、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无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恶劣的重大执法违法违规事件，确保公众的饮食用药安全。坚持问题导向，通过抽验达到食品药品问题早发现，违法违规行为早查处，安全风险早防控，全面掌握食品药品质量安全状况，切实提高监管效能和食品药品安全保障水平。</w:t>
            </w:r>
          </w:p>
        </w:tc>
      </w:tr>
      <w:tr w14:paraId="7394BB7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3" w:hRule="atLeast"/>
        </w:trPr>
        <w:tc>
          <w:tcPr>
            <w:tcW w:w="1075" w:type="dxa"/>
            <w:vMerge w:val="restart"/>
            <w:tcBorders>
              <w:bottom w:val="nil"/>
            </w:tcBorders>
            <w:noWrap w:val="0"/>
            <w:textDirection w:val="tbRlV"/>
            <w:vAlign w:val="center"/>
          </w:tcPr>
          <w:p w14:paraId="5A8910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绩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</w:t>
            </w: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标</w:t>
            </w:r>
          </w:p>
        </w:tc>
        <w:tc>
          <w:tcPr>
            <w:tcW w:w="1080" w:type="dxa"/>
            <w:noWrap w:val="0"/>
            <w:vAlign w:val="center"/>
          </w:tcPr>
          <w:p w14:paraId="13BEFB5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一级指标</w:t>
            </w:r>
          </w:p>
        </w:tc>
        <w:tc>
          <w:tcPr>
            <w:tcW w:w="1080" w:type="dxa"/>
            <w:noWrap w:val="0"/>
            <w:vAlign w:val="center"/>
          </w:tcPr>
          <w:p w14:paraId="7417A84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二级指标</w:t>
            </w:r>
          </w:p>
        </w:tc>
        <w:tc>
          <w:tcPr>
            <w:tcW w:w="1229" w:type="dxa"/>
            <w:noWrap w:val="0"/>
            <w:vAlign w:val="center"/>
          </w:tcPr>
          <w:p w14:paraId="7BD169F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三级指标</w:t>
            </w:r>
          </w:p>
        </w:tc>
        <w:tc>
          <w:tcPr>
            <w:tcW w:w="1131" w:type="dxa"/>
            <w:noWrap w:val="0"/>
            <w:vAlign w:val="center"/>
          </w:tcPr>
          <w:p w14:paraId="03E94C8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年度</w:t>
            </w:r>
          </w:p>
          <w:p w14:paraId="06554FA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指标值</w:t>
            </w:r>
          </w:p>
        </w:tc>
        <w:tc>
          <w:tcPr>
            <w:tcW w:w="1140" w:type="dxa"/>
            <w:noWrap w:val="0"/>
            <w:vAlign w:val="center"/>
          </w:tcPr>
          <w:p w14:paraId="4D438A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实际</w:t>
            </w:r>
          </w:p>
          <w:p w14:paraId="6FAF1F2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完成值</w:t>
            </w:r>
          </w:p>
        </w:tc>
        <w:tc>
          <w:tcPr>
            <w:tcW w:w="685" w:type="dxa"/>
            <w:noWrap w:val="0"/>
            <w:vAlign w:val="center"/>
          </w:tcPr>
          <w:p w14:paraId="2530DAC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分值</w:t>
            </w:r>
          </w:p>
        </w:tc>
        <w:tc>
          <w:tcPr>
            <w:tcW w:w="795" w:type="dxa"/>
            <w:noWrap w:val="0"/>
            <w:vAlign w:val="center"/>
          </w:tcPr>
          <w:p w14:paraId="251A24F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得分</w:t>
            </w:r>
          </w:p>
        </w:tc>
        <w:tc>
          <w:tcPr>
            <w:tcW w:w="1365" w:type="dxa"/>
            <w:noWrap w:val="0"/>
            <w:vAlign w:val="center"/>
          </w:tcPr>
          <w:p w14:paraId="10A2F0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偏差原因分析 及改进措施</w:t>
            </w:r>
          </w:p>
        </w:tc>
      </w:tr>
      <w:tr w14:paraId="60EC5A1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CCC4D7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7715FD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6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CA881F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13C6D4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6B111BB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57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5C0D61A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0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2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产出指标</w:t>
            </w:r>
          </w:p>
          <w:p w14:paraId="22A893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(50分)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3B5CD76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数量指标</w:t>
            </w:r>
          </w:p>
        </w:tc>
        <w:tc>
          <w:tcPr>
            <w:tcW w:w="1229" w:type="dxa"/>
            <w:noWrap w:val="0"/>
            <w:vAlign w:val="center"/>
          </w:tcPr>
          <w:p w14:paraId="0885D9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</w:rPr>
              <w:t>开展检查食品类安全企业户数</w:t>
            </w:r>
          </w:p>
        </w:tc>
        <w:tc>
          <w:tcPr>
            <w:tcW w:w="1131" w:type="dxa"/>
            <w:noWrap w:val="0"/>
            <w:vAlign w:val="center"/>
          </w:tcPr>
          <w:p w14:paraId="0BA4B8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≧4000户以上</w:t>
            </w:r>
          </w:p>
        </w:tc>
        <w:tc>
          <w:tcPr>
            <w:tcW w:w="1140" w:type="dxa"/>
            <w:noWrap w:val="0"/>
            <w:vAlign w:val="center"/>
          </w:tcPr>
          <w:p w14:paraId="3984CD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4500户</w:t>
            </w:r>
          </w:p>
        </w:tc>
        <w:tc>
          <w:tcPr>
            <w:tcW w:w="685" w:type="dxa"/>
            <w:noWrap w:val="0"/>
            <w:vAlign w:val="center"/>
          </w:tcPr>
          <w:p w14:paraId="0C0A2E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20536C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center"/>
              <w:textAlignment w:val="auto"/>
              <w:rPr>
                <w:rFonts w:hint="default"/>
                <w:color w:val="auto"/>
                <w:lang w:val="en-US" w:eastAsia="zh-CN"/>
              </w:rPr>
            </w:pPr>
            <w:r>
              <w:rPr>
                <w:rFonts w:hint="eastAsia"/>
                <w:color w:val="auto"/>
                <w:lang w:val="en-US" w:eastAsia="zh-CN"/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20364EB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exact"/>
              <w:ind w:left="0" w:right="0"/>
              <w:jc w:val="both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</w:p>
        </w:tc>
      </w:tr>
      <w:tr w14:paraId="2ED8601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4D1B5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5CE6EA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F57591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31980CF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创建诚信经营放心消费示范店</w:t>
            </w:r>
          </w:p>
        </w:tc>
        <w:tc>
          <w:tcPr>
            <w:tcW w:w="1131" w:type="dxa"/>
            <w:noWrap w:val="0"/>
            <w:vAlign w:val="center"/>
          </w:tcPr>
          <w:p w14:paraId="34E5C6C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≧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0家</w:t>
            </w:r>
          </w:p>
        </w:tc>
        <w:tc>
          <w:tcPr>
            <w:tcW w:w="1140" w:type="dxa"/>
            <w:noWrap w:val="0"/>
            <w:vAlign w:val="center"/>
          </w:tcPr>
          <w:p w14:paraId="4464527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24家</w:t>
            </w:r>
          </w:p>
        </w:tc>
        <w:tc>
          <w:tcPr>
            <w:tcW w:w="685" w:type="dxa"/>
            <w:noWrap w:val="0"/>
            <w:vAlign w:val="center"/>
          </w:tcPr>
          <w:p w14:paraId="20A8E2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7F32073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7A7D01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 w14:paraId="773AC4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9D7FE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8840E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78C9BA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363FED2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开展关于食品药品等质量安全整治行动次数</w:t>
            </w:r>
          </w:p>
        </w:tc>
        <w:tc>
          <w:tcPr>
            <w:tcW w:w="1131" w:type="dxa"/>
            <w:noWrap w:val="0"/>
            <w:vAlign w:val="center"/>
          </w:tcPr>
          <w:p w14:paraId="1B3C736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≧10次</w:t>
            </w:r>
          </w:p>
        </w:tc>
        <w:tc>
          <w:tcPr>
            <w:tcW w:w="1140" w:type="dxa"/>
            <w:noWrap w:val="0"/>
            <w:vAlign w:val="center"/>
          </w:tcPr>
          <w:p w14:paraId="2D6995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12次</w:t>
            </w:r>
          </w:p>
        </w:tc>
        <w:tc>
          <w:tcPr>
            <w:tcW w:w="685" w:type="dxa"/>
            <w:noWrap w:val="0"/>
            <w:vAlign w:val="center"/>
          </w:tcPr>
          <w:p w14:paraId="105CB1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459295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3E6186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 w14:paraId="49BEEF3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280D6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BD76B5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00BD1F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质量指标</w:t>
            </w:r>
          </w:p>
        </w:tc>
        <w:tc>
          <w:tcPr>
            <w:tcW w:w="1229" w:type="dxa"/>
            <w:noWrap w:val="0"/>
            <w:vAlign w:val="center"/>
          </w:tcPr>
          <w:p w14:paraId="0E58559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不合格食品跟踪抽检全覆盖</w:t>
            </w:r>
          </w:p>
        </w:tc>
        <w:tc>
          <w:tcPr>
            <w:tcW w:w="1131" w:type="dxa"/>
            <w:noWrap w:val="0"/>
            <w:vAlign w:val="center"/>
          </w:tcPr>
          <w:p w14:paraId="184C23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 w14:paraId="601119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 w14:paraId="361A170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795" w:type="dxa"/>
            <w:noWrap w:val="0"/>
            <w:vAlign w:val="center"/>
          </w:tcPr>
          <w:p w14:paraId="3C7EA66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3</w:t>
            </w:r>
          </w:p>
        </w:tc>
        <w:tc>
          <w:tcPr>
            <w:tcW w:w="1365" w:type="dxa"/>
            <w:noWrap w:val="0"/>
            <w:vAlign w:val="center"/>
          </w:tcPr>
          <w:p w14:paraId="02874EA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</w:p>
        </w:tc>
      </w:tr>
      <w:tr w14:paraId="5391483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7D181EB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0D981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A1F09A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1797D7F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信息监测覆盖率</w:t>
            </w:r>
          </w:p>
        </w:tc>
        <w:tc>
          <w:tcPr>
            <w:tcW w:w="1131" w:type="dxa"/>
            <w:noWrap w:val="0"/>
            <w:vAlign w:val="center"/>
          </w:tcPr>
          <w:p w14:paraId="7E76CE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 w14:paraId="2A1E1A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 w14:paraId="6EF9D65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795" w:type="dxa"/>
            <w:noWrap w:val="0"/>
            <w:vAlign w:val="center"/>
          </w:tcPr>
          <w:p w14:paraId="7B94512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365" w:type="dxa"/>
            <w:noWrap w:val="0"/>
            <w:vAlign w:val="center"/>
          </w:tcPr>
          <w:p w14:paraId="375391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 w14:paraId="34C559A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773E07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F7D4F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74A272D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7F103A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实现企业设立登记全程电子化率</w:t>
            </w:r>
          </w:p>
        </w:tc>
        <w:tc>
          <w:tcPr>
            <w:tcW w:w="1131" w:type="dxa"/>
            <w:noWrap w:val="0"/>
            <w:vAlign w:val="center"/>
          </w:tcPr>
          <w:p w14:paraId="2D31B0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≥90%</w:t>
            </w:r>
          </w:p>
        </w:tc>
        <w:tc>
          <w:tcPr>
            <w:tcW w:w="1140" w:type="dxa"/>
            <w:noWrap w:val="0"/>
            <w:vAlign w:val="center"/>
          </w:tcPr>
          <w:p w14:paraId="2BA091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Arial" w:hAnsiTheme="minorHAnsi" w:eastAsiaTheme="minorEastAsia" w:cstheme="minorBidi"/>
                <w:color w:val="000000" w:themeColor="text1"/>
                <w:spacing w:val="0"/>
                <w:kern w:val="2"/>
                <w:sz w:val="21"/>
                <w:szCs w:val="21"/>
                <w:lang w:val="en-US" w:eastAsia="zh-CN" w:bidi="ar-SA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≥90%</w:t>
            </w:r>
          </w:p>
        </w:tc>
        <w:tc>
          <w:tcPr>
            <w:tcW w:w="685" w:type="dxa"/>
            <w:noWrap w:val="0"/>
            <w:vAlign w:val="center"/>
          </w:tcPr>
          <w:p w14:paraId="0934916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default" w:ascii="Arial" w:hAnsiTheme="minorHAnsi" w:eastAsiaTheme="minorEastAsia" w:cstheme="minorBidi"/>
                <w:color w:val="auto"/>
                <w:spacing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Arial" w:cstheme="minorBidi"/>
                <w:color w:val="auto"/>
                <w:spacing w:val="0"/>
                <w:kern w:val="2"/>
                <w:sz w:val="21"/>
                <w:szCs w:val="21"/>
                <w:lang w:val="en-US" w:eastAsia="zh-CN" w:bidi="ar-SA"/>
              </w:rPr>
              <w:t>3</w:t>
            </w:r>
          </w:p>
        </w:tc>
        <w:tc>
          <w:tcPr>
            <w:tcW w:w="795" w:type="dxa"/>
            <w:noWrap w:val="0"/>
            <w:vAlign w:val="center"/>
          </w:tcPr>
          <w:p w14:paraId="46FFD1D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leftChars="0" w:right="0" w:rightChars="0"/>
              <w:jc w:val="center"/>
              <w:textAlignment w:val="auto"/>
              <w:rPr>
                <w:rFonts w:hint="eastAsia" w:ascii="Arial" w:hAnsiTheme="minorHAnsi" w:eastAsiaTheme="minorEastAsia" w:cstheme="minorBidi"/>
                <w:color w:val="auto"/>
                <w:spacing w:val="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Arial" w:cstheme="minorBidi"/>
                <w:color w:val="auto"/>
                <w:spacing w:val="0"/>
                <w:kern w:val="2"/>
                <w:sz w:val="21"/>
                <w:szCs w:val="21"/>
                <w:lang w:val="en-US" w:eastAsia="zh-CN" w:bidi="ar-SA"/>
              </w:rPr>
              <w:t>3</w:t>
            </w:r>
          </w:p>
        </w:tc>
        <w:tc>
          <w:tcPr>
            <w:tcW w:w="1365" w:type="dxa"/>
            <w:noWrap w:val="0"/>
            <w:vAlign w:val="center"/>
          </w:tcPr>
          <w:p w14:paraId="75338EE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 w14:paraId="0D12FB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E4CB08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4E0948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54986C4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652344C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立案查处率</w:t>
            </w:r>
          </w:p>
        </w:tc>
        <w:tc>
          <w:tcPr>
            <w:tcW w:w="1131" w:type="dxa"/>
            <w:noWrap w:val="0"/>
            <w:vAlign w:val="center"/>
          </w:tcPr>
          <w:p w14:paraId="32E7FA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100%</w:t>
            </w:r>
          </w:p>
        </w:tc>
        <w:tc>
          <w:tcPr>
            <w:tcW w:w="1140" w:type="dxa"/>
            <w:noWrap w:val="0"/>
            <w:vAlign w:val="center"/>
          </w:tcPr>
          <w:p w14:paraId="62B032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100%</w:t>
            </w:r>
          </w:p>
        </w:tc>
        <w:tc>
          <w:tcPr>
            <w:tcW w:w="685" w:type="dxa"/>
            <w:noWrap w:val="0"/>
            <w:vAlign w:val="center"/>
          </w:tcPr>
          <w:p w14:paraId="428501C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795" w:type="dxa"/>
            <w:noWrap w:val="0"/>
            <w:vAlign w:val="center"/>
          </w:tcPr>
          <w:p w14:paraId="3DD47E3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leftChars="0" w:right="0" w:rightChars="0"/>
              <w:jc w:val="center"/>
              <w:textAlignment w:val="auto"/>
              <w:rPr>
                <w:rFonts w:hint="eastAsia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2</w:t>
            </w:r>
          </w:p>
        </w:tc>
        <w:tc>
          <w:tcPr>
            <w:tcW w:w="1365" w:type="dxa"/>
            <w:noWrap w:val="0"/>
            <w:vAlign w:val="center"/>
          </w:tcPr>
          <w:p w14:paraId="42A6301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 w14:paraId="57E306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1E5C09A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EDF031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04A053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时效指标</w:t>
            </w:r>
          </w:p>
        </w:tc>
        <w:tc>
          <w:tcPr>
            <w:tcW w:w="1229" w:type="dxa"/>
            <w:noWrap w:val="0"/>
            <w:vAlign w:val="center"/>
          </w:tcPr>
          <w:p w14:paraId="2CD42E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进一步缩减企业开办时间</w:t>
            </w:r>
          </w:p>
        </w:tc>
        <w:tc>
          <w:tcPr>
            <w:tcW w:w="1131" w:type="dxa"/>
            <w:noWrap w:val="0"/>
            <w:vAlign w:val="center"/>
          </w:tcPr>
          <w:p w14:paraId="1F0322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3个工作日内</w:t>
            </w:r>
          </w:p>
        </w:tc>
        <w:tc>
          <w:tcPr>
            <w:tcW w:w="1140" w:type="dxa"/>
            <w:noWrap w:val="0"/>
            <w:vAlign w:val="center"/>
          </w:tcPr>
          <w:p w14:paraId="7E9E8A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3个工作日内</w:t>
            </w:r>
          </w:p>
        </w:tc>
        <w:tc>
          <w:tcPr>
            <w:tcW w:w="685" w:type="dxa"/>
            <w:noWrap w:val="0"/>
            <w:vAlign w:val="center"/>
          </w:tcPr>
          <w:p w14:paraId="01BDAF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7D05F8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5F03C2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8</w:t>
            </w:r>
          </w:p>
        </w:tc>
      </w:tr>
      <w:tr w14:paraId="13F19CF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2C573D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01FD3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159B59E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4BBDC5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4924B13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27ED2C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759DE2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auto"/>
                <w:spacing w:val="0"/>
                <w:sz w:val="21"/>
                <w:szCs w:val="21"/>
              </w:rPr>
            </w:pPr>
          </w:p>
        </w:tc>
        <w:tc>
          <w:tcPr>
            <w:tcW w:w="795" w:type="dxa"/>
            <w:noWrap w:val="0"/>
            <w:vAlign w:val="center"/>
          </w:tcPr>
          <w:p w14:paraId="0FA245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auto"/>
                <w:spacing w:val="0"/>
                <w:sz w:val="21"/>
                <w:szCs w:val="21"/>
              </w:rPr>
            </w:pPr>
          </w:p>
        </w:tc>
        <w:tc>
          <w:tcPr>
            <w:tcW w:w="1365" w:type="dxa"/>
            <w:noWrap w:val="0"/>
            <w:vAlign w:val="center"/>
          </w:tcPr>
          <w:p w14:paraId="115217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 w14:paraId="596EC1B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F0085B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1D293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3CDF84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9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成本指标</w:t>
            </w:r>
          </w:p>
        </w:tc>
        <w:tc>
          <w:tcPr>
            <w:tcW w:w="1229" w:type="dxa"/>
            <w:noWrap w:val="0"/>
            <w:vAlign w:val="center"/>
          </w:tcPr>
          <w:p w14:paraId="695172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食品抽检批次成本</w:t>
            </w:r>
          </w:p>
        </w:tc>
        <w:tc>
          <w:tcPr>
            <w:tcW w:w="1131" w:type="dxa"/>
            <w:noWrap w:val="0"/>
            <w:vAlign w:val="center"/>
          </w:tcPr>
          <w:p w14:paraId="6D7507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760</w:t>
            </w:r>
            <w:r>
              <w:rPr>
                <w:rStyle w:val="10"/>
                <w:lang w:val="en-US" w:eastAsia="zh-CN" w:bidi="ar"/>
              </w:rPr>
              <w:t>元</w:t>
            </w:r>
            <w:r>
              <w:rPr>
                <w:rStyle w:val="11"/>
                <w:rFonts w:eastAsia="宋体"/>
                <w:lang w:val="en-US" w:eastAsia="zh-CN" w:bidi="ar"/>
              </w:rPr>
              <w:t>/</w:t>
            </w:r>
            <w:r>
              <w:rPr>
                <w:rStyle w:val="12"/>
                <w:lang w:val="en-US" w:eastAsia="zh-CN" w:bidi="ar"/>
              </w:rPr>
              <w:t>批次</w:t>
            </w:r>
          </w:p>
        </w:tc>
        <w:tc>
          <w:tcPr>
            <w:tcW w:w="1140" w:type="dxa"/>
            <w:noWrap w:val="0"/>
            <w:vAlign w:val="center"/>
          </w:tcPr>
          <w:p w14:paraId="024BBE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760</w:t>
            </w:r>
            <w:r>
              <w:rPr>
                <w:rStyle w:val="10"/>
                <w:lang w:val="en-US" w:eastAsia="zh-CN" w:bidi="ar"/>
              </w:rPr>
              <w:t>元</w:t>
            </w:r>
            <w:r>
              <w:rPr>
                <w:rStyle w:val="11"/>
                <w:rFonts w:eastAsia="宋体"/>
                <w:lang w:val="en-US" w:eastAsia="zh-CN" w:bidi="ar"/>
              </w:rPr>
              <w:t>/</w:t>
            </w:r>
            <w:r>
              <w:rPr>
                <w:rStyle w:val="12"/>
                <w:lang w:val="en-US" w:eastAsia="zh-CN" w:bidi="ar"/>
              </w:rPr>
              <w:t>批次</w:t>
            </w:r>
          </w:p>
        </w:tc>
        <w:tc>
          <w:tcPr>
            <w:tcW w:w="685" w:type="dxa"/>
            <w:noWrap w:val="0"/>
            <w:vAlign w:val="center"/>
          </w:tcPr>
          <w:p w14:paraId="6A8908A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795" w:type="dxa"/>
            <w:noWrap w:val="0"/>
            <w:vAlign w:val="center"/>
          </w:tcPr>
          <w:p w14:paraId="4D7A4C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auto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auto"/>
                <w:spacing w:val="0"/>
                <w:sz w:val="21"/>
                <w:szCs w:val="21"/>
                <w:lang w:val="en-US" w:eastAsia="zh-CN"/>
              </w:rPr>
              <w:t>10</w:t>
            </w:r>
          </w:p>
        </w:tc>
        <w:tc>
          <w:tcPr>
            <w:tcW w:w="1365" w:type="dxa"/>
            <w:noWrap w:val="0"/>
            <w:vAlign w:val="center"/>
          </w:tcPr>
          <w:p w14:paraId="3807605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8</w:t>
            </w:r>
          </w:p>
        </w:tc>
      </w:tr>
      <w:tr w14:paraId="1C9AFA5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27E397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E55A41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BC3706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6764857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0F6666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54B95C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3EE028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6CC91D6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2EF5945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 w14:paraId="035BF0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F8366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21D43DE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321A3C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763927A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1" w:lineRule="auto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  <w:p w14:paraId="06AAE5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9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21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效益指标</w:t>
            </w:r>
          </w:p>
          <w:p w14:paraId="4E2462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(30分)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413666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position w:val="4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经济效</w:t>
            </w:r>
          </w:p>
          <w:p w14:paraId="7C1266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59320C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为消费者挽回经济损失</w:t>
            </w:r>
          </w:p>
        </w:tc>
        <w:tc>
          <w:tcPr>
            <w:tcW w:w="1131" w:type="dxa"/>
            <w:noWrap w:val="0"/>
            <w:vAlign w:val="center"/>
          </w:tcPr>
          <w:p w14:paraId="0591A8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≥</w:t>
            </w: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 w:ascii="Arial"/>
                <w:color w:val="000000" w:themeColor="text1"/>
                <w:sz w:val="20"/>
                <w14:textFill>
                  <w14:solidFill>
                    <w14:schemeClr w14:val="tx1"/>
                  </w14:solidFill>
                </w14:textFill>
              </w:rPr>
              <w:t>万元</w:t>
            </w:r>
          </w:p>
        </w:tc>
        <w:tc>
          <w:tcPr>
            <w:tcW w:w="1140" w:type="dxa"/>
            <w:noWrap w:val="0"/>
            <w:vAlign w:val="center"/>
          </w:tcPr>
          <w:p w14:paraId="7E14337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leftChars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z w:val="20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25万元</w:t>
            </w:r>
          </w:p>
        </w:tc>
        <w:tc>
          <w:tcPr>
            <w:tcW w:w="685" w:type="dxa"/>
            <w:noWrap w:val="0"/>
            <w:vAlign w:val="center"/>
          </w:tcPr>
          <w:p w14:paraId="47610ED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621AB4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3C10792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 w14:paraId="1C5FD2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1584C4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171F943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919626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3914921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7E50E7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67672F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46E06F8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0070B7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65D1072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 w14:paraId="051230B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570278E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0C849A5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0B3A1D7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社会效</w:t>
            </w:r>
          </w:p>
          <w:p w14:paraId="7BEF85C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04B71C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食品安全环境得到加强</w:t>
            </w:r>
          </w:p>
        </w:tc>
        <w:tc>
          <w:tcPr>
            <w:tcW w:w="1131" w:type="dxa"/>
            <w:noWrap w:val="0"/>
            <w:vAlign w:val="center"/>
          </w:tcPr>
          <w:p w14:paraId="6C2A11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逐步加强</w:t>
            </w:r>
          </w:p>
        </w:tc>
        <w:tc>
          <w:tcPr>
            <w:tcW w:w="1140" w:type="dxa"/>
            <w:noWrap w:val="0"/>
            <w:vAlign w:val="center"/>
          </w:tcPr>
          <w:p w14:paraId="507460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逐步加强</w:t>
            </w:r>
          </w:p>
        </w:tc>
        <w:tc>
          <w:tcPr>
            <w:tcW w:w="685" w:type="dxa"/>
            <w:noWrap w:val="0"/>
            <w:vAlign w:val="center"/>
          </w:tcPr>
          <w:p w14:paraId="0EC0AC7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20B26E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73E46FD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 w14:paraId="2E572FD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D54A69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54175B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C79FB9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796676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学校食品安全互联网+监管水平</w:t>
            </w:r>
          </w:p>
        </w:tc>
        <w:tc>
          <w:tcPr>
            <w:tcW w:w="1131" w:type="dxa"/>
            <w:noWrap w:val="0"/>
            <w:vAlign w:val="center"/>
          </w:tcPr>
          <w:p w14:paraId="1FBA73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逐步提高</w:t>
            </w:r>
          </w:p>
        </w:tc>
        <w:tc>
          <w:tcPr>
            <w:tcW w:w="1140" w:type="dxa"/>
            <w:noWrap w:val="0"/>
            <w:vAlign w:val="center"/>
          </w:tcPr>
          <w:p w14:paraId="5D2498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逐步提高</w:t>
            </w:r>
          </w:p>
        </w:tc>
        <w:tc>
          <w:tcPr>
            <w:tcW w:w="685" w:type="dxa"/>
            <w:noWrap w:val="0"/>
            <w:vAlign w:val="center"/>
          </w:tcPr>
          <w:p w14:paraId="44868DF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5BDDAB6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noWrap w:val="0"/>
            <w:vAlign w:val="center"/>
          </w:tcPr>
          <w:p w14:paraId="7385B64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9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 w14:paraId="558E3A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65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3368762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B050A2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1A665FC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16B91B3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提高消费者自我保护、维权意识，改善消费环境</w:t>
            </w:r>
          </w:p>
        </w:tc>
        <w:tc>
          <w:tcPr>
            <w:tcW w:w="1131" w:type="dxa"/>
            <w:noWrap w:val="0"/>
            <w:vAlign w:val="center"/>
          </w:tcPr>
          <w:p w14:paraId="3741A7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不断提高</w:t>
            </w:r>
          </w:p>
        </w:tc>
        <w:tc>
          <w:tcPr>
            <w:tcW w:w="1140" w:type="dxa"/>
            <w:noWrap w:val="0"/>
            <w:vAlign w:val="center"/>
          </w:tcPr>
          <w:p w14:paraId="434019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不断提高</w:t>
            </w:r>
          </w:p>
        </w:tc>
        <w:tc>
          <w:tcPr>
            <w:tcW w:w="685" w:type="dxa"/>
            <w:noWrap w:val="0"/>
            <w:vAlign w:val="center"/>
          </w:tcPr>
          <w:p w14:paraId="508FDCC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4B0C99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 w14:paraId="71A018E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 w14:paraId="1767B13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277E15E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70B5B2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tcBorders>
              <w:bottom w:val="nil"/>
            </w:tcBorders>
            <w:noWrap w:val="0"/>
            <w:vAlign w:val="center"/>
          </w:tcPr>
          <w:p w14:paraId="6CA1919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7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生态效</w:t>
            </w:r>
          </w:p>
          <w:p w14:paraId="777D92D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益指标</w:t>
            </w:r>
          </w:p>
        </w:tc>
        <w:tc>
          <w:tcPr>
            <w:tcW w:w="1229" w:type="dxa"/>
            <w:noWrap w:val="0"/>
            <w:vAlign w:val="center"/>
          </w:tcPr>
          <w:p w14:paraId="232A100C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69F5B9A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0A677CB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27A473A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5DF95D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13B9F1F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 w14:paraId="29BFFA9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20BC70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631B9D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5CCD9B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可持续</w:t>
            </w:r>
          </w:p>
          <w:p w14:paraId="0D250C0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16" w:lineRule="auto"/>
              <w:ind w:left="0" w:right="0" w:hanging="99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影响指标</w:t>
            </w:r>
          </w:p>
        </w:tc>
        <w:tc>
          <w:tcPr>
            <w:tcW w:w="1229" w:type="dxa"/>
            <w:noWrap w:val="0"/>
            <w:vAlign w:val="center"/>
          </w:tcPr>
          <w:p w14:paraId="509AF4A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食品安全质量</w:t>
            </w:r>
          </w:p>
        </w:tc>
        <w:tc>
          <w:tcPr>
            <w:tcW w:w="1131" w:type="dxa"/>
            <w:noWrap w:val="0"/>
            <w:vAlign w:val="center"/>
          </w:tcPr>
          <w:p w14:paraId="5D663E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持续提高</w:t>
            </w:r>
          </w:p>
        </w:tc>
        <w:tc>
          <w:tcPr>
            <w:tcW w:w="1140" w:type="dxa"/>
            <w:noWrap w:val="0"/>
            <w:vAlign w:val="center"/>
          </w:tcPr>
          <w:p w14:paraId="1AECD6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持续提高</w:t>
            </w:r>
          </w:p>
        </w:tc>
        <w:tc>
          <w:tcPr>
            <w:tcW w:w="685" w:type="dxa"/>
            <w:noWrap w:val="0"/>
            <w:vAlign w:val="center"/>
          </w:tcPr>
          <w:p w14:paraId="0C4EFC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1B9943C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365" w:type="dxa"/>
            <w:noWrap w:val="0"/>
            <w:vAlign w:val="center"/>
          </w:tcPr>
          <w:p w14:paraId="00C0488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 w14:paraId="3C5A047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E46674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36E8D65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5351988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52A662E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提升企业注册、变更、注销便利化程度</w:t>
            </w:r>
          </w:p>
        </w:tc>
        <w:tc>
          <w:tcPr>
            <w:tcW w:w="1131" w:type="dxa"/>
            <w:noWrap w:val="0"/>
            <w:vAlign w:val="center"/>
          </w:tcPr>
          <w:p w14:paraId="1F5811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持续提高</w:t>
            </w:r>
          </w:p>
        </w:tc>
        <w:tc>
          <w:tcPr>
            <w:tcW w:w="1140" w:type="dxa"/>
            <w:noWrap w:val="0"/>
            <w:vAlign w:val="center"/>
          </w:tcPr>
          <w:p w14:paraId="0B7F86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持续提高</w:t>
            </w:r>
          </w:p>
        </w:tc>
        <w:tc>
          <w:tcPr>
            <w:tcW w:w="685" w:type="dxa"/>
            <w:noWrap w:val="0"/>
            <w:vAlign w:val="center"/>
          </w:tcPr>
          <w:p w14:paraId="7B1178E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795" w:type="dxa"/>
            <w:noWrap w:val="0"/>
            <w:vAlign w:val="center"/>
          </w:tcPr>
          <w:p w14:paraId="659D4FF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365" w:type="dxa"/>
            <w:noWrap w:val="0"/>
            <w:vAlign w:val="center"/>
          </w:tcPr>
          <w:p w14:paraId="4D59B6D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 w14:paraId="5638905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9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6D0D331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2334080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24A80F4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34039F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基层监管队伍执法和监管能力</w:t>
            </w:r>
          </w:p>
        </w:tc>
        <w:tc>
          <w:tcPr>
            <w:tcW w:w="1131" w:type="dxa"/>
            <w:noWrap w:val="0"/>
            <w:vAlign w:val="center"/>
          </w:tcPr>
          <w:p w14:paraId="67D607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持续提高</w:t>
            </w:r>
          </w:p>
        </w:tc>
        <w:tc>
          <w:tcPr>
            <w:tcW w:w="1140" w:type="dxa"/>
            <w:noWrap w:val="0"/>
            <w:vAlign w:val="center"/>
          </w:tcPr>
          <w:p w14:paraId="579537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持续提高</w:t>
            </w:r>
          </w:p>
        </w:tc>
        <w:tc>
          <w:tcPr>
            <w:tcW w:w="685" w:type="dxa"/>
            <w:noWrap w:val="0"/>
            <w:vAlign w:val="center"/>
          </w:tcPr>
          <w:p w14:paraId="7CC9B61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795" w:type="dxa"/>
            <w:noWrap w:val="0"/>
            <w:vAlign w:val="center"/>
          </w:tcPr>
          <w:p w14:paraId="2FA31CE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365" w:type="dxa"/>
            <w:noWrap w:val="0"/>
            <w:vAlign w:val="center"/>
          </w:tcPr>
          <w:p w14:paraId="24C45F7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2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 w14:paraId="578421E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4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002772C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08C6D32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7238B01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  <w:p w14:paraId="2DBCE213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(10分)</w:t>
            </w:r>
          </w:p>
        </w:tc>
        <w:tc>
          <w:tcPr>
            <w:tcW w:w="1080" w:type="dxa"/>
            <w:vMerge w:val="restart"/>
            <w:tcBorders>
              <w:bottom w:val="nil"/>
            </w:tcBorders>
            <w:noWrap w:val="0"/>
            <w:vAlign w:val="center"/>
          </w:tcPr>
          <w:p w14:paraId="16B3A46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服务对象</w:t>
            </w:r>
          </w:p>
          <w:p w14:paraId="0ABBD18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满意度</w:t>
            </w:r>
          </w:p>
          <w:p w14:paraId="0C332ED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指标</w:t>
            </w:r>
          </w:p>
        </w:tc>
        <w:tc>
          <w:tcPr>
            <w:tcW w:w="1229" w:type="dxa"/>
            <w:noWrap w:val="0"/>
            <w:vAlign w:val="center"/>
          </w:tcPr>
          <w:p w14:paraId="06A2886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社会群众对食品安全的满意度</w:t>
            </w:r>
          </w:p>
        </w:tc>
        <w:tc>
          <w:tcPr>
            <w:tcW w:w="1131" w:type="dxa"/>
            <w:noWrap w:val="0"/>
            <w:vAlign w:val="center"/>
          </w:tcPr>
          <w:p w14:paraId="2E6736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≥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%</w:t>
            </w:r>
          </w:p>
        </w:tc>
        <w:tc>
          <w:tcPr>
            <w:tcW w:w="1140" w:type="dxa"/>
            <w:noWrap w:val="0"/>
            <w:vAlign w:val="center"/>
          </w:tcPr>
          <w:p w14:paraId="5F509E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≥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%</w:t>
            </w:r>
          </w:p>
        </w:tc>
        <w:tc>
          <w:tcPr>
            <w:tcW w:w="685" w:type="dxa"/>
            <w:noWrap w:val="0"/>
            <w:vAlign w:val="center"/>
          </w:tcPr>
          <w:p w14:paraId="19A96DE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4FEA9C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vMerge w:val="restart"/>
            <w:noWrap w:val="0"/>
            <w:vAlign w:val="center"/>
          </w:tcPr>
          <w:p w14:paraId="00CEB55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</w:p>
        </w:tc>
      </w:tr>
      <w:tr w14:paraId="354CDD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236" w:hRule="atLeast"/>
        </w:trPr>
        <w:tc>
          <w:tcPr>
            <w:tcW w:w="1075" w:type="dxa"/>
            <w:vMerge w:val="continue"/>
            <w:tcBorders>
              <w:top w:val="nil"/>
              <w:bottom w:val="nil"/>
            </w:tcBorders>
            <w:noWrap w:val="0"/>
            <w:textDirection w:val="tbRlV"/>
            <w:vAlign w:val="center"/>
          </w:tcPr>
          <w:p w14:paraId="406E7FD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2357BF8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  <w:bottom w:val="nil"/>
            </w:tcBorders>
            <w:noWrap w:val="0"/>
            <w:vAlign w:val="center"/>
          </w:tcPr>
          <w:p w14:paraId="6D1C1B0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2CA617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消费者对权益保护的满意度</w:t>
            </w:r>
          </w:p>
        </w:tc>
        <w:tc>
          <w:tcPr>
            <w:tcW w:w="1131" w:type="dxa"/>
            <w:noWrap w:val="0"/>
            <w:vAlign w:val="center"/>
          </w:tcPr>
          <w:p w14:paraId="7FDB05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≥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%</w:t>
            </w:r>
          </w:p>
        </w:tc>
        <w:tc>
          <w:tcPr>
            <w:tcW w:w="1140" w:type="dxa"/>
            <w:noWrap w:val="0"/>
            <w:vAlign w:val="center"/>
          </w:tcPr>
          <w:p w14:paraId="7DBC1E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≥</w:t>
            </w: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90</w:t>
            </w:r>
            <w:r>
              <w:rPr>
                <w:rFonts w:hint="default" w:ascii="仿宋_GB2312" w:hAnsi="宋体" w:eastAsia="仿宋_GB2312" w:cs="仿宋_GB2312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%</w:t>
            </w:r>
          </w:p>
        </w:tc>
        <w:tc>
          <w:tcPr>
            <w:tcW w:w="685" w:type="dxa"/>
            <w:noWrap w:val="0"/>
            <w:vAlign w:val="center"/>
          </w:tcPr>
          <w:p w14:paraId="09897FE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795" w:type="dxa"/>
            <w:noWrap w:val="0"/>
            <w:vAlign w:val="center"/>
          </w:tcPr>
          <w:p w14:paraId="5A19C439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hint="eastAsia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365" w:type="dxa"/>
            <w:vMerge w:val="continue"/>
            <w:noWrap w:val="0"/>
            <w:vAlign w:val="center"/>
          </w:tcPr>
          <w:p w14:paraId="60F70DF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30" w:lineRule="exact"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 w14:paraId="7F60653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3" w:hRule="atLeast"/>
        </w:trPr>
        <w:tc>
          <w:tcPr>
            <w:tcW w:w="1075" w:type="dxa"/>
            <w:vMerge w:val="continue"/>
            <w:tcBorders>
              <w:top w:val="nil"/>
            </w:tcBorders>
            <w:noWrap w:val="0"/>
            <w:textDirection w:val="tbRlV"/>
            <w:vAlign w:val="center"/>
          </w:tcPr>
          <w:p w14:paraId="13A44FDB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676295A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080" w:type="dxa"/>
            <w:vMerge w:val="continue"/>
            <w:tcBorders>
              <w:top w:val="nil"/>
            </w:tcBorders>
            <w:noWrap w:val="0"/>
            <w:vAlign w:val="center"/>
          </w:tcPr>
          <w:p w14:paraId="07255BC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229" w:type="dxa"/>
            <w:noWrap w:val="0"/>
            <w:vAlign w:val="center"/>
          </w:tcPr>
          <w:p w14:paraId="786A077D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31" w:type="dxa"/>
            <w:noWrap w:val="0"/>
            <w:vAlign w:val="center"/>
          </w:tcPr>
          <w:p w14:paraId="2F246A3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140" w:type="dxa"/>
            <w:noWrap w:val="0"/>
            <w:vAlign w:val="center"/>
          </w:tcPr>
          <w:p w14:paraId="7F7E5394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685" w:type="dxa"/>
            <w:noWrap w:val="0"/>
            <w:vAlign w:val="center"/>
          </w:tcPr>
          <w:p w14:paraId="1A1CDC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95" w:type="dxa"/>
            <w:noWrap w:val="0"/>
            <w:vAlign w:val="center"/>
          </w:tcPr>
          <w:p w14:paraId="49DA2E0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365" w:type="dxa"/>
            <w:noWrap w:val="0"/>
            <w:vAlign w:val="center"/>
          </w:tcPr>
          <w:p w14:paraId="34876A9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ascii="Arial"/>
                <w:color w:val="FF0000"/>
                <w:spacing w:val="0"/>
                <w:sz w:val="21"/>
                <w:szCs w:val="21"/>
              </w:rPr>
            </w:pPr>
          </w:p>
        </w:tc>
      </w:tr>
      <w:tr w14:paraId="1131403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14" w:hRule="atLeast"/>
        </w:trPr>
        <w:tc>
          <w:tcPr>
            <w:tcW w:w="6735" w:type="dxa"/>
            <w:gridSpan w:val="6"/>
            <w:noWrap w:val="0"/>
            <w:vAlign w:val="center"/>
          </w:tcPr>
          <w:p w14:paraId="782401A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60" w:lineRule="exact"/>
              <w:ind w:left="0" w:right="0" w:firstLine="3145"/>
              <w:jc w:val="center"/>
              <w:textAlignment w:val="auto"/>
              <w:rPr>
                <w:rFonts w:hint="eastAsia" w:eastAsiaTheme="minor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/>
                <w:color w:val="000000" w:themeColor="text1"/>
                <w:spacing w:val="0"/>
                <w:sz w:val="2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  <w:t>总分</w:t>
            </w:r>
          </w:p>
        </w:tc>
        <w:tc>
          <w:tcPr>
            <w:tcW w:w="685" w:type="dxa"/>
            <w:noWrap w:val="0"/>
            <w:vAlign w:val="center"/>
          </w:tcPr>
          <w:p w14:paraId="62BC703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161" w:lineRule="auto"/>
              <w:ind w:left="0" w:right="0"/>
              <w:jc w:val="center"/>
              <w:textAlignment w:val="auto"/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eastAsia="宋体" w:cs="宋体"/>
                <w:color w:val="000000" w:themeColor="text1"/>
                <w:spacing w:val="0"/>
                <w:sz w:val="21"/>
                <w:szCs w:val="21"/>
                <w14:textFill>
                  <w14:solidFill>
                    <w14:schemeClr w14:val="tx1"/>
                  </w14:solidFill>
                </w14:textFill>
              </w:rPr>
              <w:t>100</w:t>
            </w:r>
          </w:p>
        </w:tc>
        <w:tc>
          <w:tcPr>
            <w:tcW w:w="795" w:type="dxa"/>
            <w:noWrap w:val="0"/>
            <w:vAlign w:val="center"/>
          </w:tcPr>
          <w:p w14:paraId="0250DB71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Arial"/>
                <w:color w:val="000000" w:themeColor="text1"/>
                <w:spacing w:val="0"/>
                <w:sz w:val="2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98</w:t>
            </w:r>
          </w:p>
        </w:tc>
        <w:tc>
          <w:tcPr>
            <w:tcW w:w="1365" w:type="dxa"/>
            <w:noWrap w:val="0"/>
            <w:vAlign w:val="center"/>
          </w:tcPr>
          <w:p w14:paraId="46FA2ED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ind w:left="0" w:right="0"/>
              <w:jc w:val="center"/>
              <w:textAlignment w:val="auto"/>
              <w:rPr>
                <w:rFonts w:hint="default" w:ascii="Arial" w:eastAsiaTheme="minorEastAsia"/>
                <w:color w:val="FF0000"/>
                <w:spacing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Arial"/>
                <w:color w:val="FF0000"/>
                <w:spacing w:val="0"/>
                <w:sz w:val="21"/>
                <w:szCs w:val="21"/>
                <w:lang w:val="en-US" w:eastAsia="zh-CN"/>
              </w:rPr>
              <w:t>94</w:t>
            </w:r>
          </w:p>
        </w:tc>
      </w:tr>
    </w:tbl>
    <w:p w14:paraId="37B3C1A7">
      <w:pPr>
        <w:spacing w:line="252" w:lineRule="auto"/>
        <w:rPr>
          <w:rFonts w:ascii="Arial"/>
          <w:color w:val="000000" w:themeColor="text1"/>
          <w:sz w:val="21"/>
          <w14:textFill>
            <w14:solidFill>
              <w14:schemeClr w14:val="tx1"/>
            </w14:solidFill>
          </w14:textFill>
        </w:rPr>
      </w:pPr>
    </w:p>
    <w:p w14:paraId="1853559E">
      <w:pPr>
        <w:spacing w:before="75" w:line="230" w:lineRule="auto"/>
        <w:rPr>
          <w:rFonts w:hint="default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sectPr>
          <w:pgSz w:w="11906" w:h="16838"/>
          <w:pgMar w:top="1417" w:right="1417" w:bottom="1417" w:left="1417" w:header="851" w:footer="992" w:gutter="0"/>
          <w:pgNumType w:fmt="decimal"/>
          <w:cols w:space="0" w:num="1"/>
          <w:rtlGutter w:val="0"/>
          <w:docGrid w:type="lines" w:linePitch="312" w:charSpace="0"/>
        </w:sectPr>
      </w:pP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填表人：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 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联系电话：</w:t>
      </w:r>
      <w:r>
        <w:rPr>
          <w:rFonts w:ascii="仿宋" w:hAnsi="仿宋" w:eastAsia="仿宋" w:cs="仿宋"/>
          <w:color w:val="000000" w:themeColor="text1"/>
          <w:spacing w:val="3"/>
          <w:sz w:val="23"/>
          <w:szCs w:val="23"/>
          <w14:textFill>
            <w14:solidFill>
              <w14:schemeClr w14:val="tx1"/>
            </w14:solidFill>
          </w14:textFill>
        </w:rPr>
        <w:t xml:space="preserve">           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单位负责人签字：</w:t>
      </w:r>
      <w:r>
        <w:rPr>
          <w:rFonts w:hint="eastAsia" w:ascii="仿宋" w:hAnsi="仿宋" w:eastAsia="仿宋" w:cs="仿宋"/>
          <w:color w:val="000000" w:themeColor="text1"/>
          <w:spacing w:val="-26"/>
          <w:sz w:val="23"/>
          <w:szCs w:val="23"/>
          <w:lang w:val="en-US" w:eastAsia="zh-CN"/>
          <w14:textFill>
            <w14:solidFill>
              <w14:schemeClr w14:val="tx1"/>
            </w14:solidFill>
          </w14:textFill>
        </w:rPr>
        <w:t xml:space="preserve">                 </w:t>
      </w:r>
      <w:r>
        <w:rPr>
          <w:rFonts w:ascii="仿宋" w:hAnsi="仿宋" w:eastAsia="仿宋" w:cs="仿宋"/>
          <w:color w:val="000000" w:themeColor="text1"/>
          <w:spacing w:val="15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  <w:r>
        <w:rPr>
          <w:rFonts w:ascii="仿宋" w:hAnsi="仿宋" w:eastAsia="仿宋" w:cs="仿宋"/>
          <w:color w:val="000000" w:themeColor="text1"/>
          <w:spacing w:val="-26"/>
          <w:sz w:val="23"/>
          <w:szCs w:val="23"/>
          <w14:textFill>
            <w14:solidFill>
              <w14:schemeClr w14:val="tx1"/>
            </w14:solidFill>
          </w14:textFill>
        </w:rPr>
        <w:t>填报日期：</w:t>
      </w:r>
      <w:r>
        <w:rPr>
          <w:rFonts w:ascii="仿宋" w:hAnsi="仿宋" w:eastAsia="仿宋" w:cs="仿宋"/>
          <w:color w:val="000000" w:themeColor="text1"/>
          <w:spacing w:val="4"/>
          <w:sz w:val="23"/>
          <w:szCs w:val="23"/>
          <w14:textFill>
            <w14:solidFill>
              <w14:schemeClr w14:val="tx1"/>
            </w14:solidFill>
          </w14:textFill>
        </w:rPr>
        <w:t xml:space="preserve"> </w:t>
      </w:r>
    </w:p>
    <w:p w14:paraId="2B85D03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textAlignment w:val="auto"/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b w:val="0"/>
          <w:bCs w:val="0"/>
          <w:color w:val="000000" w:themeColor="text1"/>
          <w:spacing w:val="1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附件5</w:t>
      </w:r>
    </w:p>
    <w:p w14:paraId="24185646">
      <w:pPr>
        <w:ind w:firstLine="1440" w:firstLineChars="400"/>
        <w:jc w:val="both"/>
        <w:rPr>
          <w:rFonts w:eastAsia="方正小标宋简体"/>
          <w:spacing w:val="-6"/>
          <w:sz w:val="36"/>
          <w:szCs w:val="36"/>
        </w:rPr>
      </w:pPr>
      <w:r>
        <w:rPr>
          <w:rFonts w:hint="eastAsia" w:eastAsia="方正小标宋简体"/>
          <w:sz w:val="36"/>
          <w:szCs w:val="36"/>
          <w:lang w:eastAsia="zh-CN"/>
        </w:rPr>
        <w:t>区级</w:t>
      </w:r>
      <w:r>
        <w:rPr>
          <w:rFonts w:eastAsia="方正小标宋简体"/>
          <w:sz w:val="36"/>
          <w:szCs w:val="36"/>
        </w:rPr>
        <w:t>预算</w:t>
      </w:r>
      <w:r>
        <w:rPr>
          <w:rFonts w:hint="eastAsia" w:eastAsia="方正小标宋简体"/>
          <w:sz w:val="36"/>
          <w:szCs w:val="36"/>
          <w:lang w:eastAsia="zh-CN"/>
        </w:rPr>
        <w:t>单位</w:t>
      </w:r>
      <w:r>
        <w:rPr>
          <w:rFonts w:eastAsia="方正小标宋简体"/>
          <w:spacing w:val="-6"/>
          <w:sz w:val="36"/>
          <w:szCs w:val="36"/>
        </w:rPr>
        <w:t>绩效自评工作考核评分表</w:t>
      </w:r>
    </w:p>
    <w:tbl>
      <w:tblPr>
        <w:tblStyle w:val="5"/>
        <w:tblW w:w="9510" w:type="dxa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4"/>
        <w:gridCol w:w="1501"/>
        <w:gridCol w:w="6482"/>
        <w:gridCol w:w="753"/>
      </w:tblGrid>
      <w:tr w14:paraId="0E61D29D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0" w:hRule="atLeast"/>
          <w:tblHeader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00B448C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一级指标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5717B74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二级指标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459D52E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评分标准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05F4ACE">
            <w:pPr>
              <w:spacing w:line="240" w:lineRule="exact"/>
              <w:jc w:val="center"/>
              <w:rPr>
                <w:rFonts w:eastAsia="黑体"/>
                <w:szCs w:val="21"/>
              </w:rPr>
            </w:pPr>
            <w:r>
              <w:rPr>
                <w:rFonts w:eastAsia="黑体"/>
                <w:szCs w:val="21"/>
              </w:rPr>
              <w:t>评分</w:t>
            </w:r>
          </w:p>
        </w:tc>
      </w:tr>
      <w:tr w14:paraId="263F2C2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4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AFBCE0A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实施评价</w:t>
            </w:r>
          </w:p>
          <w:p w14:paraId="02A626B2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2FB84C75">
            <w:pPr>
              <w:spacing w:line="32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30分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30CEDE9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单位自查</w:t>
            </w:r>
          </w:p>
          <w:p w14:paraId="244EDB58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（20分）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6663F93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级预算单位都要开展绩效自查，转移支付项目单位都要开展绩效自查，区级主管部门都要汇总本区域转移支付情况；以上各项每发现一个单位没有做相应工作的，扣1分，最多扣20分。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3ED3E89"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20</w:t>
            </w:r>
          </w:p>
        </w:tc>
      </w:tr>
      <w:tr w14:paraId="18B3825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2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854403D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07DAE8B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提交报告</w:t>
            </w:r>
          </w:p>
          <w:p w14:paraId="7C3F3C6A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（10分）</w:t>
            </w:r>
          </w:p>
        </w:tc>
        <w:tc>
          <w:tcPr>
            <w:tcW w:w="648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14B9935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按时向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区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财政局报送报告的得10分；每推迟一天报送报告的扣1分，最多扣10分。</w:t>
            </w:r>
          </w:p>
        </w:tc>
        <w:tc>
          <w:tcPr>
            <w:tcW w:w="7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29BF526"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10</w:t>
            </w:r>
          </w:p>
        </w:tc>
      </w:tr>
      <w:tr w14:paraId="553D880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8" w:hRule="atLeast"/>
          <w:jc w:val="center"/>
        </w:trPr>
        <w:tc>
          <w:tcPr>
            <w:tcW w:w="77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89EEA2E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自评报告</w:t>
            </w:r>
          </w:p>
          <w:p w14:paraId="28639238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  <w:p w14:paraId="22C4ACB0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70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分</w:t>
            </w: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1D8F1593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自评报告</w:t>
            </w:r>
          </w:p>
          <w:p w14:paraId="289EC4C0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的完整性</w:t>
            </w:r>
          </w:p>
          <w:p w14:paraId="1893E50B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52AB429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1.绩效自评报告正文部分内容齐全的，得8分；否则每少一个部分扣2分，最多扣8分。</w:t>
            </w:r>
          </w:p>
          <w:p w14:paraId="09C4C2C7">
            <w:pPr>
              <w:spacing w:line="240" w:lineRule="exact"/>
              <w:ind w:firstLine="21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2.绩效自评报告附件部分内容齐全的，得7分；否则每少一个部分扣2分，最多扣7分。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3163C586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15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 w14:paraId="74E4EFA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5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978C755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noWrap w:val="0"/>
            <w:vAlign w:val="center"/>
          </w:tcPr>
          <w:p w14:paraId="58753817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绩效自评表</w:t>
            </w:r>
          </w:p>
          <w:p w14:paraId="7876AE7A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CA3F5B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1.部门整体支出和项目支出绩效指标反映产出、效益、服务对象满意度方面的指标和预算执行率的权重符合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《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岳阳市市级预算部门绩效自评操作规程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eastAsia="zh-CN"/>
              </w:rPr>
              <w:t>》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分，否则按比例扣除相应的分数。</w:t>
            </w:r>
          </w:p>
          <w:p w14:paraId="420C3B40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2.部门整体支出和项目支出绩效指标全部细化到三级指标的，得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分；部分细化的，酌情扣分；没有细化的，不得分。</w:t>
            </w:r>
          </w:p>
          <w:p w14:paraId="052D4B5A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spacing w:line="240" w:lineRule="auto"/>
              <w:ind w:firstLine="420" w:firstLineChars="200"/>
              <w:jc w:val="left"/>
              <w:textAlignment w:val="auto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3.部门整体支出和项目支出三级绩效指标内涵明确、具体、可衡量的得5分；突出核心指标，精简实用的得3分；指标与部门整体支出和项目支出密切相关，全面反映产出和效益的得2分；否则每项酌情扣分，最多扣10分。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6645883">
            <w:pPr>
              <w:spacing w:line="240" w:lineRule="exact"/>
              <w:jc w:val="center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18</w:t>
            </w:r>
          </w:p>
        </w:tc>
      </w:tr>
      <w:tr w14:paraId="68B0C037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40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209658B0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871F43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绩效评价</w:t>
            </w:r>
          </w:p>
          <w:p w14:paraId="5131FBD9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报告反映</w:t>
            </w:r>
          </w:p>
          <w:p w14:paraId="4FE3E48D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问题情况</w:t>
            </w:r>
          </w:p>
          <w:p w14:paraId="465258C6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A04A3CC">
            <w:pPr>
              <w:spacing w:line="240" w:lineRule="exact"/>
              <w:ind w:firstLine="230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10"/>
                <w:sz w:val="21"/>
                <w:szCs w:val="21"/>
              </w:rPr>
              <w:t>从预算和预算绩效管理，部门履职效能，资金分</w:t>
            </w:r>
            <w:r>
              <w:rPr>
                <w:rFonts w:hint="eastAsia" w:asciiTheme="majorEastAsia" w:hAnsiTheme="majorEastAsia" w:eastAsiaTheme="majorEastAsia" w:cstheme="majorEastAsia"/>
                <w:spacing w:val="9"/>
                <w:sz w:val="21"/>
                <w:szCs w:val="21"/>
              </w:rPr>
              <w:t>配、使用和管理，资产和财务管理，政府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7"/>
                <w:sz w:val="21"/>
                <w:szCs w:val="21"/>
              </w:rPr>
              <w:t>采购等方面归纳问题、分析原因全面的，得20分；反映问题、分析原因较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全面的，得16—</w:t>
            </w:r>
            <w:r>
              <w:rPr>
                <w:rFonts w:hint="eastAsia" w:asciiTheme="majorEastAsia" w:hAnsiTheme="majorEastAsia" w:eastAsiaTheme="majorEastAsia" w:cstheme="majorEastAsia"/>
                <w:spacing w:val="-73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6"/>
                <w:sz w:val="21"/>
                <w:szCs w:val="21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分；反映问题、分析原因不全面的，得13—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2"/>
                <w:sz w:val="21"/>
                <w:szCs w:val="21"/>
              </w:rPr>
              <w:t>15分；问题未归纳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且过于简单的，得10—</w:t>
            </w:r>
            <w:r>
              <w:rPr>
                <w:rFonts w:hint="eastAsia" w:asciiTheme="majorEastAsia" w:hAnsiTheme="majorEastAsia" w:eastAsiaTheme="majorEastAsia" w:cstheme="majorEastAsia"/>
                <w:spacing w:val="-68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11"/>
                <w:sz w:val="21"/>
                <w:szCs w:val="21"/>
              </w:rPr>
              <w:t>12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</w:t>
            </w:r>
            <w:r>
              <w:rPr>
                <w:rFonts w:hint="eastAsia" w:asciiTheme="majorEastAsia" w:hAnsiTheme="majorEastAsia" w:eastAsiaTheme="majorEastAsia" w:cstheme="majorEastAsia"/>
                <w:spacing w:val="13"/>
                <w:sz w:val="21"/>
                <w:szCs w:val="21"/>
              </w:rPr>
              <w:t>分；只提出资金不足问题的不得分；其他情况酌情扣分，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93CFE17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18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 w14:paraId="54B7B022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3" w:hRule="atLeast"/>
          <w:jc w:val="center"/>
        </w:trPr>
        <w:tc>
          <w:tcPr>
            <w:tcW w:w="77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524A36E5">
            <w:pPr>
              <w:widowControl/>
              <w:jc w:val="left"/>
              <w:rPr>
                <w:rFonts w:hint="eastAsia" w:asciiTheme="majorEastAsia" w:hAnsiTheme="majorEastAsia" w:eastAsiaTheme="majorEastAsia" w:cstheme="majorEastAsia"/>
                <w:szCs w:val="21"/>
              </w:rPr>
            </w:pPr>
          </w:p>
        </w:tc>
        <w:tc>
          <w:tcPr>
            <w:tcW w:w="15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E9C567F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针对问题</w:t>
            </w:r>
          </w:p>
          <w:p w14:paraId="6E917BE0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提出可行性建议的情况</w:t>
            </w:r>
          </w:p>
          <w:p w14:paraId="051EEAA1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（15分）</w:t>
            </w:r>
          </w:p>
        </w:tc>
        <w:tc>
          <w:tcPr>
            <w:tcW w:w="648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6E2393BE">
            <w:pPr>
              <w:spacing w:line="240" w:lineRule="exact"/>
              <w:ind w:firstLine="216" w:firstLineChars="100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建议与问题对应且全面的得15分，建议比较全面的得12—</w:t>
            </w:r>
            <w:r>
              <w:rPr>
                <w:rFonts w:hint="eastAsia" w:asciiTheme="majorEastAsia" w:hAnsiTheme="majorEastAsia" w:eastAsiaTheme="majorEastAsia" w:cstheme="majorEastAsia"/>
                <w:spacing w:val="-55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14分，建议不全面的得9—</w:t>
            </w:r>
            <w:r>
              <w:rPr>
                <w:rFonts w:hint="eastAsia" w:asciiTheme="majorEastAsia" w:hAnsiTheme="majorEastAsia" w:eastAsiaTheme="majorEastAsia" w:cstheme="majorEastAsia"/>
                <w:spacing w:val="-72"/>
                <w:sz w:val="21"/>
                <w:szCs w:val="21"/>
              </w:rPr>
              <w:t xml:space="preserve"> </w:t>
            </w:r>
            <w:r>
              <w:rPr>
                <w:rFonts w:hint="eastAsia" w:asciiTheme="majorEastAsia" w:hAnsiTheme="majorEastAsia" w:eastAsiaTheme="majorEastAsia" w:cstheme="majorEastAsia"/>
                <w:spacing w:val="3"/>
                <w:sz w:val="21"/>
                <w:szCs w:val="21"/>
              </w:rPr>
              <w:t>11</w:t>
            </w: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 xml:space="preserve">   </w:t>
            </w:r>
            <w:r>
              <w:rPr>
                <w:rFonts w:hint="eastAsia" w:asciiTheme="majorEastAsia" w:hAnsiTheme="majorEastAsia" w:eastAsiaTheme="majorEastAsia" w:cstheme="majorEastAsia"/>
                <w:spacing w:val="2"/>
                <w:sz w:val="21"/>
                <w:szCs w:val="21"/>
              </w:rPr>
              <w:t>分，建议过于简单的得6—8分，只提出加大资金投入建议的不得分；其他情况酌情扣分</w:t>
            </w:r>
          </w:p>
        </w:tc>
        <w:tc>
          <w:tcPr>
            <w:tcW w:w="75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463D3B3A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14</w:t>
            </w: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</w:p>
        </w:tc>
      </w:tr>
      <w:tr w14:paraId="37C1D55C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  <w:jc w:val="center"/>
        </w:trPr>
        <w:tc>
          <w:tcPr>
            <w:tcW w:w="77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B617070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合计</w:t>
            </w:r>
          </w:p>
        </w:tc>
        <w:tc>
          <w:tcPr>
            <w:tcW w:w="15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F80D583">
            <w:pPr>
              <w:spacing w:line="240" w:lineRule="exact"/>
              <w:jc w:val="center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  <w:r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  <w:t>100分</w:t>
            </w:r>
          </w:p>
        </w:tc>
        <w:tc>
          <w:tcPr>
            <w:tcW w:w="648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0B8E65C3">
            <w:pPr>
              <w:spacing w:line="240" w:lineRule="exact"/>
              <w:rPr>
                <w:rFonts w:hint="eastAsia" w:asciiTheme="majorEastAsia" w:hAnsiTheme="majorEastAsia" w:eastAsiaTheme="majorEastAsia" w:cstheme="majorEastAsia"/>
                <w:sz w:val="21"/>
                <w:szCs w:val="21"/>
              </w:rPr>
            </w:pPr>
          </w:p>
        </w:tc>
        <w:tc>
          <w:tcPr>
            <w:tcW w:w="75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 w14:paraId="7822B800">
            <w:pPr>
              <w:spacing w:line="240" w:lineRule="exact"/>
              <w:rPr>
                <w:rFonts w:hint="default" w:asciiTheme="majorEastAsia" w:hAnsiTheme="majorEastAsia" w:eastAsiaTheme="majorEastAsia" w:cstheme="majorEastAsia"/>
                <w:szCs w:val="21"/>
                <w:lang w:val="en-US" w:eastAsia="zh-CN"/>
              </w:rPr>
            </w:pPr>
            <w:r>
              <w:rPr>
                <w:rFonts w:hint="eastAsia" w:asciiTheme="majorEastAsia" w:hAnsiTheme="majorEastAsia" w:eastAsiaTheme="majorEastAsia" w:cstheme="majorEastAsia"/>
                <w:szCs w:val="21"/>
              </w:rPr>
              <w:t>　</w:t>
            </w:r>
            <w:r>
              <w:rPr>
                <w:rFonts w:hint="eastAsia" w:asciiTheme="majorEastAsia" w:hAnsiTheme="majorEastAsia" w:eastAsiaTheme="majorEastAsia" w:cstheme="majorEastAsia"/>
                <w:szCs w:val="21"/>
                <w:lang w:val="en-US" w:eastAsia="zh-CN"/>
              </w:rPr>
              <w:t>95</w:t>
            </w:r>
          </w:p>
        </w:tc>
      </w:tr>
    </w:tbl>
    <w:p w14:paraId="763D4DA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jc w:val="left"/>
        <w:textAlignment w:val="auto"/>
        <w:rPr>
          <w:rFonts w:hint="eastAsia" w:ascii="仿宋_GB2312" w:hAnsi="仿宋_GB2312" w:eastAsia="仿宋_GB2312" w:cs="仿宋_GB2312"/>
          <w:color w:val="000000" w:themeColor="text1"/>
          <w:spacing w:val="0"/>
          <w:position w:val="0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</w:pPr>
    </w:p>
    <w:sectPr>
      <w:pgSz w:w="11906" w:h="16838"/>
      <w:pgMar w:top="1701" w:right="1701" w:bottom="1701" w:left="1701" w:header="851" w:footer="992" w:gutter="0"/>
      <w:pgNumType w:fmt="decimal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方正舒体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sans-serif">
    <w:altName w:val="Courier New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168CCF">
    <w:pPr>
      <w:spacing w:line="14" w:lineRule="auto"/>
      <w:rPr>
        <w:rFonts w:ascii="Arial"/>
        <w:sz w:val="2"/>
      </w:rPr>
    </w:pPr>
    <w:r>
      <w:rPr>
        <w:sz w:val="2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23A8B96">
                          <w:pPr>
                            <w:pStyle w:val="3"/>
                          </w:pP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>7</w:t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ajorEastAsia" w:hAnsiTheme="majorEastAsia" w:eastAsiaTheme="majorEastAsia" w:cstheme="majorEastAsia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 w14:paraId="723A8B96">
                    <w:pPr>
                      <w:pStyle w:val="3"/>
                    </w:pP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>7</w:t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ajorEastAsia" w:hAnsiTheme="majorEastAsia" w:eastAsiaTheme="majorEastAsia" w:cstheme="majorEastAsia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B3C140F"/>
    <w:multiLevelType w:val="singleLevel"/>
    <w:tmpl w:val="AB3C140F"/>
    <w:lvl w:ilvl="0" w:tentative="0">
      <w:start w:val="1"/>
      <w:numFmt w:val="decimal"/>
      <w:suff w:val="nothing"/>
      <w:lvlText w:val="%1、"/>
      <w:lvlJc w:val="left"/>
      <w:rPr>
        <w:rFonts w:cs="Times New Roman"/>
      </w:rPr>
    </w:lvl>
  </w:abstractNum>
  <w:abstractNum w:abstractNumId="1">
    <w:nsid w:val="2DB034D4"/>
    <w:multiLevelType w:val="singleLevel"/>
    <w:tmpl w:val="2DB034D4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532A6278"/>
    <w:multiLevelType w:val="singleLevel"/>
    <w:tmpl w:val="532A6278"/>
    <w:lvl w:ilvl="0" w:tentative="0">
      <w:start w:val="2"/>
      <w:numFmt w:val="chineseCounting"/>
      <w:lvlText w:val="(%1)"/>
      <w:lvlJc w:val="left"/>
      <w:pPr>
        <w:tabs>
          <w:tab w:val="left" w:pos="312"/>
        </w:tabs>
      </w:pPr>
      <w:rPr>
        <w:rFonts w:hint="eastAsia"/>
      </w:rPr>
    </w:lvl>
  </w:abstractNum>
  <w:abstractNum w:abstractNumId="3">
    <w:nsid w:val="64FAF798"/>
    <w:multiLevelType w:val="singleLevel"/>
    <w:tmpl w:val="64FAF798"/>
    <w:lvl w:ilvl="0" w:tentative="0">
      <w:start w:val="5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6D2F75CB"/>
    <w:multiLevelType w:val="singleLevel"/>
    <w:tmpl w:val="6D2F75CB"/>
    <w:lvl w:ilvl="0" w:tentative="0">
      <w:start w:val="2"/>
      <w:numFmt w:val="decimal"/>
      <w:suff w:val="nothing"/>
      <w:lvlText w:val="%1、"/>
      <w:lvlJc w:val="left"/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YxOTI0NDY2MDI5NjA3MzY3ZGI1NjA0YjgyNzUyM2UifQ=="/>
  </w:docVars>
  <w:rsids>
    <w:rsidRoot w:val="53FC3987"/>
    <w:rsid w:val="000A3765"/>
    <w:rsid w:val="001D7282"/>
    <w:rsid w:val="0039081D"/>
    <w:rsid w:val="005E6ECB"/>
    <w:rsid w:val="00744EA1"/>
    <w:rsid w:val="009419CA"/>
    <w:rsid w:val="00955854"/>
    <w:rsid w:val="009C7330"/>
    <w:rsid w:val="00A00FBB"/>
    <w:rsid w:val="00BF0721"/>
    <w:rsid w:val="00C03795"/>
    <w:rsid w:val="00CE3756"/>
    <w:rsid w:val="00D27A74"/>
    <w:rsid w:val="00E831C8"/>
    <w:rsid w:val="00EF287A"/>
    <w:rsid w:val="01057CDE"/>
    <w:rsid w:val="010B4A82"/>
    <w:rsid w:val="01192786"/>
    <w:rsid w:val="01201E6A"/>
    <w:rsid w:val="012D57C0"/>
    <w:rsid w:val="01457029"/>
    <w:rsid w:val="014900E3"/>
    <w:rsid w:val="014F5749"/>
    <w:rsid w:val="01521E95"/>
    <w:rsid w:val="01727F7E"/>
    <w:rsid w:val="01764DBE"/>
    <w:rsid w:val="01806F8C"/>
    <w:rsid w:val="0182483A"/>
    <w:rsid w:val="01863406"/>
    <w:rsid w:val="018D011E"/>
    <w:rsid w:val="019614B0"/>
    <w:rsid w:val="019C71AC"/>
    <w:rsid w:val="01BF03AA"/>
    <w:rsid w:val="01C33E74"/>
    <w:rsid w:val="01DF3C26"/>
    <w:rsid w:val="01EE0A2C"/>
    <w:rsid w:val="0200044D"/>
    <w:rsid w:val="020654E4"/>
    <w:rsid w:val="020C72F8"/>
    <w:rsid w:val="02121B7C"/>
    <w:rsid w:val="021813DE"/>
    <w:rsid w:val="021B6B30"/>
    <w:rsid w:val="02363BD8"/>
    <w:rsid w:val="023809F7"/>
    <w:rsid w:val="02431066"/>
    <w:rsid w:val="02595CF1"/>
    <w:rsid w:val="025C47D6"/>
    <w:rsid w:val="0263675C"/>
    <w:rsid w:val="02656E75"/>
    <w:rsid w:val="026E3EB7"/>
    <w:rsid w:val="027431E5"/>
    <w:rsid w:val="02B544DB"/>
    <w:rsid w:val="02CB5D99"/>
    <w:rsid w:val="02F61D91"/>
    <w:rsid w:val="02FC4679"/>
    <w:rsid w:val="02FE5E0A"/>
    <w:rsid w:val="0347190C"/>
    <w:rsid w:val="034760CE"/>
    <w:rsid w:val="03487959"/>
    <w:rsid w:val="03505BE1"/>
    <w:rsid w:val="036D41A2"/>
    <w:rsid w:val="037F229C"/>
    <w:rsid w:val="03911277"/>
    <w:rsid w:val="039335F8"/>
    <w:rsid w:val="039A540B"/>
    <w:rsid w:val="03BD010E"/>
    <w:rsid w:val="03E2685C"/>
    <w:rsid w:val="03E66326"/>
    <w:rsid w:val="03FF6E0F"/>
    <w:rsid w:val="0404259A"/>
    <w:rsid w:val="04051601"/>
    <w:rsid w:val="04150B3B"/>
    <w:rsid w:val="04327F62"/>
    <w:rsid w:val="04344800"/>
    <w:rsid w:val="045F666C"/>
    <w:rsid w:val="0460075C"/>
    <w:rsid w:val="04613BEE"/>
    <w:rsid w:val="0462054D"/>
    <w:rsid w:val="04675C34"/>
    <w:rsid w:val="046C0B29"/>
    <w:rsid w:val="04816E5C"/>
    <w:rsid w:val="048924DD"/>
    <w:rsid w:val="04914D95"/>
    <w:rsid w:val="0495144B"/>
    <w:rsid w:val="04AC07A1"/>
    <w:rsid w:val="04C63115"/>
    <w:rsid w:val="04CF5236"/>
    <w:rsid w:val="04CF5AF0"/>
    <w:rsid w:val="04D24FF1"/>
    <w:rsid w:val="04DE1BAB"/>
    <w:rsid w:val="04E411E4"/>
    <w:rsid w:val="04F37BBA"/>
    <w:rsid w:val="05085366"/>
    <w:rsid w:val="05145F64"/>
    <w:rsid w:val="054037EF"/>
    <w:rsid w:val="05417717"/>
    <w:rsid w:val="054E7FFF"/>
    <w:rsid w:val="05621117"/>
    <w:rsid w:val="058C5045"/>
    <w:rsid w:val="059C7C89"/>
    <w:rsid w:val="05A50C70"/>
    <w:rsid w:val="05B525CA"/>
    <w:rsid w:val="05C4448F"/>
    <w:rsid w:val="05E616EC"/>
    <w:rsid w:val="06146BAF"/>
    <w:rsid w:val="06286BB6"/>
    <w:rsid w:val="06405E9C"/>
    <w:rsid w:val="064D5380"/>
    <w:rsid w:val="064E0F6B"/>
    <w:rsid w:val="06617309"/>
    <w:rsid w:val="06650E6A"/>
    <w:rsid w:val="06854A05"/>
    <w:rsid w:val="068B5259"/>
    <w:rsid w:val="06986D10"/>
    <w:rsid w:val="06A14716"/>
    <w:rsid w:val="06C90184"/>
    <w:rsid w:val="06C9437B"/>
    <w:rsid w:val="06ED564C"/>
    <w:rsid w:val="06F22A7B"/>
    <w:rsid w:val="07023424"/>
    <w:rsid w:val="07043735"/>
    <w:rsid w:val="0725074E"/>
    <w:rsid w:val="07313C60"/>
    <w:rsid w:val="07331F0A"/>
    <w:rsid w:val="076971BD"/>
    <w:rsid w:val="076D43AE"/>
    <w:rsid w:val="077323CA"/>
    <w:rsid w:val="0775145F"/>
    <w:rsid w:val="07967DE0"/>
    <w:rsid w:val="07970994"/>
    <w:rsid w:val="07B913B4"/>
    <w:rsid w:val="07BA1C6A"/>
    <w:rsid w:val="07BD44A3"/>
    <w:rsid w:val="07CE6155"/>
    <w:rsid w:val="07D6028D"/>
    <w:rsid w:val="07E11DA2"/>
    <w:rsid w:val="07E40515"/>
    <w:rsid w:val="07EE6091"/>
    <w:rsid w:val="08017E70"/>
    <w:rsid w:val="0805190B"/>
    <w:rsid w:val="082A5F7E"/>
    <w:rsid w:val="08391F38"/>
    <w:rsid w:val="083A18D9"/>
    <w:rsid w:val="0848472A"/>
    <w:rsid w:val="084D20E7"/>
    <w:rsid w:val="08674899"/>
    <w:rsid w:val="08754155"/>
    <w:rsid w:val="087B77E7"/>
    <w:rsid w:val="087D3D34"/>
    <w:rsid w:val="0889236C"/>
    <w:rsid w:val="088E051E"/>
    <w:rsid w:val="08935A7B"/>
    <w:rsid w:val="08A91E6C"/>
    <w:rsid w:val="08BA1B19"/>
    <w:rsid w:val="08D059DD"/>
    <w:rsid w:val="08DC08E7"/>
    <w:rsid w:val="092D1C9E"/>
    <w:rsid w:val="09377E5E"/>
    <w:rsid w:val="09383E9F"/>
    <w:rsid w:val="0939426E"/>
    <w:rsid w:val="09504F8C"/>
    <w:rsid w:val="09616470"/>
    <w:rsid w:val="096C1F5A"/>
    <w:rsid w:val="096C76C1"/>
    <w:rsid w:val="09906B28"/>
    <w:rsid w:val="09912E95"/>
    <w:rsid w:val="099C1A23"/>
    <w:rsid w:val="09A948AF"/>
    <w:rsid w:val="09AC2A76"/>
    <w:rsid w:val="09B04837"/>
    <w:rsid w:val="09C95891"/>
    <w:rsid w:val="09D8005F"/>
    <w:rsid w:val="0A002E0D"/>
    <w:rsid w:val="0A140987"/>
    <w:rsid w:val="0A241A5C"/>
    <w:rsid w:val="0A2E3566"/>
    <w:rsid w:val="0A393280"/>
    <w:rsid w:val="0A5F2F6C"/>
    <w:rsid w:val="0A670B4E"/>
    <w:rsid w:val="0A851E03"/>
    <w:rsid w:val="0A985A6F"/>
    <w:rsid w:val="0AA808AF"/>
    <w:rsid w:val="0ABD142C"/>
    <w:rsid w:val="0AC644AE"/>
    <w:rsid w:val="0ACB61B4"/>
    <w:rsid w:val="0ACD4157"/>
    <w:rsid w:val="0AE964B0"/>
    <w:rsid w:val="0B163034"/>
    <w:rsid w:val="0B1F5B6D"/>
    <w:rsid w:val="0B2F4AF7"/>
    <w:rsid w:val="0B3312B6"/>
    <w:rsid w:val="0B4064B3"/>
    <w:rsid w:val="0B6E529C"/>
    <w:rsid w:val="0B701D27"/>
    <w:rsid w:val="0B7245CE"/>
    <w:rsid w:val="0B943886"/>
    <w:rsid w:val="0B9C3CD1"/>
    <w:rsid w:val="0BB324D8"/>
    <w:rsid w:val="0BB672C7"/>
    <w:rsid w:val="0BC07BBF"/>
    <w:rsid w:val="0BC429EF"/>
    <w:rsid w:val="0BCE65D1"/>
    <w:rsid w:val="0BD60937"/>
    <w:rsid w:val="0BD912A4"/>
    <w:rsid w:val="0BE135FA"/>
    <w:rsid w:val="0BEE4F6B"/>
    <w:rsid w:val="0C03261E"/>
    <w:rsid w:val="0C0439FA"/>
    <w:rsid w:val="0C0B17DF"/>
    <w:rsid w:val="0C0F382B"/>
    <w:rsid w:val="0C160980"/>
    <w:rsid w:val="0C1B4EF7"/>
    <w:rsid w:val="0C1C297E"/>
    <w:rsid w:val="0C1D4988"/>
    <w:rsid w:val="0C297E69"/>
    <w:rsid w:val="0C55038F"/>
    <w:rsid w:val="0C6B7DF9"/>
    <w:rsid w:val="0C6E2A56"/>
    <w:rsid w:val="0C7A708D"/>
    <w:rsid w:val="0CCA7495"/>
    <w:rsid w:val="0CD16BA2"/>
    <w:rsid w:val="0CD745A0"/>
    <w:rsid w:val="0CDE4E30"/>
    <w:rsid w:val="0D012A51"/>
    <w:rsid w:val="0D094F84"/>
    <w:rsid w:val="0D280615"/>
    <w:rsid w:val="0D2C07EB"/>
    <w:rsid w:val="0D2F57DE"/>
    <w:rsid w:val="0D353632"/>
    <w:rsid w:val="0D392C4E"/>
    <w:rsid w:val="0D482FA9"/>
    <w:rsid w:val="0D4A4299"/>
    <w:rsid w:val="0D5F1E28"/>
    <w:rsid w:val="0D671080"/>
    <w:rsid w:val="0D783B34"/>
    <w:rsid w:val="0D81754C"/>
    <w:rsid w:val="0DBE6AB7"/>
    <w:rsid w:val="0DBF116A"/>
    <w:rsid w:val="0DC00E38"/>
    <w:rsid w:val="0DC8400B"/>
    <w:rsid w:val="0DD34552"/>
    <w:rsid w:val="0DE03EAA"/>
    <w:rsid w:val="0DE12394"/>
    <w:rsid w:val="0DF36262"/>
    <w:rsid w:val="0E1E619E"/>
    <w:rsid w:val="0E267F81"/>
    <w:rsid w:val="0E365DE9"/>
    <w:rsid w:val="0E4822EE"/>
    <w:rsid w:val="0E4E185D"/>
    <w:rsid w:val="0E522FBE"/>
    <w:rsid w:val="0E5D141B"/>
    <w:rsid w:val="0E8648D6"/>
    <w:rsid w:val="0E8C08DC"/>
    <w:rsid w:val="0E8E43C0"/>
    <w:rsid w:val="0E964CBE"/>
    <w:rsid w:val="0EB05323"/>
    <w:rsid w:val="0EBE40CB"/>
    <w:rsid w:val="0EC36A56"/>
    <w:rsid w:val="0EC62499"/>
    <w:rsid w:val="0ECE4E6F"/>
    <w:rsid w:val="0EDA5C56"/>
    <w:rsid w:val="0EFE4287"/>
    <w:rsid w:val="0F0D525E"/>
    <w:rsid w:val="0F2A2A37"/>
    <w:rsid w:val="0F2E6C95"/>
    <w:rsid w:val="0F4675CA"/>
    <w:rsid w:val="0F471A79"/>
    <w:rsid w:val="0F500384"/>
    <w:rsid w:val="0F5B4015"/>
    <w:rsid w:val="0F6071C8"/>
    <w:rsid w:val="0F7B0394"/>
    <w:rsid w:val="0FA00CB6"/>
    <w:rsid w:val="0FA434D3"/>
    <w:rsid w:val="0FB471F7"/>
    <w:rsid w:val="0FC95C51"/>
    <w:rsid w:val="0FC965F5"/>
    <w:rsid w:val="0FCD6B4B"/>
    <w:rsid w:val="0FCF7138"/>
    <w:rsid w:val="0FD35AB6"/>
    <w:rsid w:val="0FE017B9"/>
    <w:rsid w:val="0FE04B17"/>
    <w:rsid w:val="0FEC2891"/>
    <w:rsid w:val="0FF71EB7"/>
    <w:rsid w:val="10225AB2"/>
    <w:rsid w:val="102D74F0"/>
    <w:rsid w:val="103C47DA"/>
    <w:rsid w:val="103D5CB0"/>
    <w:rsid w:val="1043497A"/>
    <w:rsid w:val="104B6B58"/>
    <w:rsid w:val="105552F6"/>
    <w:rsid w:val="108449FF"/>
    <w:rsid w:val="108B34B0"/>
    <w:rsid w:val="109E2943"/>
    <w:rsid w:val="10C8346E"/>
    <w:rsid w:val="10FE6AB1"/>
    <w:rsid w:val="1112624E"/>
    <w:rsid w:val="11153798"/>
    <w:rsid w:val="11297158"/>
    <w:rsid w:val="114B2C9B"/>
    <w:rsid w:val="115D78BB"/>
    <w:rsid w:val="116001E2"/>
    <w:rsid w:val="11793618"/>
    <w:rsid w:val="11813452"/>
    <w:rsid w:val="11913DD4"/>
    <w:rsid w:val="11961E43"/>
    <w:rsid w:val="11987ED2"/>
    <w:rsid w:val="119969A0"/>
    <w:rsid w:val="11A91B68"/>
    <w:rsid w:val="11B76464"/>
    <w:rsid w:val="11BC2DF3"/>
    <w:rsid w:val="11C43676"/>
    <w:rsid w:val="11EA3CA0"/>
    <w:rsid w:val="11F403BB"/>
    <w:rsid w:val="11FA6A1C"/>
    <w:rsid w:val="120B6973"/>
    <w:rsid w:val="12155876"/>
    <w:rsid w:val="12183A1B"/>
    <w:rsid w:val="122A11A6"/>
    <w:rsid w:val="123D1BD2"/>
    <w:rsid w:val="123E6D4D"/>
    <w:rsid w:val="125613C2"/>
    <w:rsid w:val="125D4EF7"/>
    <w:rsid w:val="12637C4E"/>
    <w:rsid w:val="127030C8"/>
    <w:rsid w:val="12B310FA"/>
    <w:rsid w:val="12B7582D"/>
    <w:rsid w:val="12C621E8"/>
    <w:rsid w:val="12CF0716"/>
    <w:rsid w:val="12D95227"/>
    <w:rsid w:val="12E33197"/>
    <w:rsid w:val="12EE1C9C"/>
    <w:rsid w:val="12F863E6"/>
    <w:rsid w:val="13094CA6"/>
    <w:rsid w:val="132156D8"/>
    <w:rsid w:val="132911E2"/>
    <w:rsid w:val="133868AE"/>
    <w:rsid w:val="135133AE"/>
    <w:rsid w:val="13914897"/>
    <w:rsid w:val="13A55CD5"/>
    <w:rsid w:val="13B654E3"/>
    <w:rsid w:val="13B819E6"/>
    <w:rsid w:val="13BC4189"/>
    <w:rsid w:val="13C169EC"/>
    <w:rsid w:val="13CA717D"/>
    <w:rsid w:val="13CE022A"/>
    <w:rsid w:val="13DF25B8"/>
    <w:rsid w:val="13E2403C"/>
    <w:rsid w:val="14047D3B"/>
    <w:rsid w:val="141A00EA"/>
    <w:rsid w:val="143A1FCF"/>
    <w:rsid w:val="14430D66"/>
    <w:rsid w:val="14477E65"/>
    <w:rsid w:val="14710CBF"/>
    <w:rsid w:val="14791934"/>
    <w:rsid w:val="147D213D"/>
    <w:rsid w:val="14A04833"/>
    <w:rsid w:val="14B12779"/>
    <w:rsid w:val="14B37576"/>
    <w:rsid w:val="14F4219E"/>
    <w:rsid w:val="150135C1"/>
    <w:rsid w:val="151C632A"/>
    <w:rsid w:val="152E4EB1"/>
    <w:rsid w:val="153E3566"/>
    <w:rsid w:val="154034C3"/>
    <w:rsid w:val="156B6CDB"/>
    <w:rsid w:val="15726626"/>
    <w:rsid w:val="15820278"/>
    <w:rsid w:val="15914EE6"/>
    <w:rsid w:val="15A42FA4"/>
    <w:rsid w:val="15A6418F"/>
    <w:rsid w:val="15AA091B"/>
    <w:rsid w:val="15BC6BD3"/>
    <w:rsid w:val="15CF095E"/>
    <w:rsid w:val="15DA784E"/>
    <w:rsid w:val="15DB017B"/>
    <w:rsid w:val="15E6370B"/>
    <w:rsid w:val="15E835FB"/>
    <w:rsid w:val="15E84717"/>
    <w:rsid w:val="160F0091"/>
    <w:rsid w:val="16144614"/>
    <w:rsid w:val="163E3AB2"/>
    <w:rsid w:val="165E3F72"/>
    <w:rsid w:val="166D0110"/>
    <w:rsid w:val="167050F1"/>
    <w:rsid w:val="16713DA7"/>
    <w:rsid w:val="16797776"/>
    <w:rsid w:val="16952546"/>
    <w:rsid w:val="16AB3FBF"/>
    <w:rsid w:val="16AC1654"/>
    <w:rsid w:val="16B12C6E"/>
    <w:rsid w:val="16BF0789"/>
    <w:rsid w:val="16CD5BA2"/>
    <w:rsid w:val="16D42F73"/>
    <w:rsid w:val="16DA34D2"/>
    <w:rsid w:val="16DA4E41"/>
    <w:rsid w:val="16F042AC"/>
    <w:rsid w:val="16F626B5"/>
    <w:rsid w:val="16FB005D"/>
    <w:rsid w:val="16FC4F3B"/>
    <w:rsid w:val="171630EB"/>
    <w:rsid w:val="17435DB3"/>
    <w:rsid w:val="174849B3"/>
    <w:rsid w:val="175075E0"/>
    <w:rsid w:val="175D3461"/>
    <w:rsid w:val="175F4C67"/>
    <w:rsid w:val="175F580B"/>
    <w:rsid w:val="17665207"/>
    <w:rsid w:val="17794395"/>
    <w:rsid w:val="178D50A9"/>
    <w:rsid w:val="178F0FE3"/>
    <w:rsid w:val="17B85018"/>
    <w:rsid w:val="17E339CC"/>
    <w:rsid w:val="17F33C57"/>
    <w:rsid w:val="181D4FAC"/>
    <w:rsid w:val="182B38C1"/>
    <w:rsid w:val="18351597"/>
    <w:rsid w:val="18353961"/>
    <w:rsid w:val="18474510"/>
    <w:rsid w:val="184F1D16"/>
    <w:rsid w:val="1852374B"/>
    <w:rsid w:val="185629F1"/>
    <w:rsid w:val="18685D91"/>
    <w:rsid w:val="188F0DAB"/>
    <w:rsid w:val="18905464"/>
    <w:rsid w:val="18910B5C"/>
    <w:rsid w:val="18A62960"/>
    <w:rsid w:val="18BD3DC4"/>
    <w:rsid w:val="18C149F3"/>
    <w:rsid w:val="18D233DB"/>
    <w:rsid w:val="18DC433F"/>
    <w:rsid w:val="18DD0C18"/>
    <w:rsid w:val="18DE4BF6"/>
    <w:rsid w:val="18EC1CA5"/>
    <w:rsid w:val="18F23C9D"/>
    <w:rsid w:val="18F554AB"/>
    <w:rsid w:val="18FE49D5"/>
    <w:rsid w:val="190F3527"/>
    <w:rsid w:val="19100497"/>
    <w:rsid w:val="19183CAC"/>
    <w:rsid w:val="193964B7"/>
    <w:rsid w:val="19521C94"/>
    <w:rsid w:val="195657BB"/>
    <w:rsid w:val="196B19EB"/>
    <w:rsid w:val="19717C66"/>
    <w:rsid w:val="198E7C2B"/>
    <w:rsid w:val="199945D5"/>
    <w:rsid w:val="199B5065"/>
    <w:rsid w:val="19D37D58"/>
    <w:rsid w:val="19DD0438"/>
    <w:rsid w:val="1A0A04E6"/>
    <w:rsid w:val="1A187AC0"/>
    <w:rsid w:val="1A213466"/>
    <w:rsid w:val="1A3F3F76"/>
    <w:rsid w:val="1A4B4BAE"/>
    <w:rsid w:val="1A5F35C0"/>
    <w:rsid w:val="1A8006B2"/>
    <w:rsid w:val="1A8D640E"/>
    <w:rsid w:val="1A974192"/>
    <w:rsid w:val="1ACA62AD"/>
    <w:rsid w:val="1ADA675E"/>
    <w:rsid w:val="1AE11CDA"/>
    <w:rsid w:val="1B113A6D"/>
    <w:rsid w:val="1B144B8D"/>
    <w:rsid w:val="1B17013D"/>
    <w:rsid w:val="1B1B14D3"/>
    <w:rsid w:val="1B1F6AF1"/>
    <w:rsid w:val="1B250DAE"/>
    <w:rsid w:val="1B2A34EB"/>
    <w:rsid w:val="1B2B0F4C"/>
    <w:rsid w:val="1B2D2734"/>
    <w:rsid w:val="1B3860E1"/>
    <w:rsid w:val="1B3F36F6"/>
    <w:rsid w:val="1B422830"/>
    <w:rsid w:val="1B4B369E"/>
    <w:rsid w:val="1B5271D4"/>
    <w:rsid w:val="1B6D7C0D"/>
    <w:rsid w:val="1B84594F"/>
    <w:rsid w:val="1B884364"/>
    <w:rsid w:val="1BA912AB"/>
    <w:rsid w:val="1BC74329"/>
    <w:rsid w:val="1BC90A36"/>
    <w:rsid w:val="1BD0347B"/>
    <w:rsid w:val="1BD40AF3"/>
    <w:rsid w:val="1BD802A4"/>
    <w:rsid w:val="1BDF236A"/>
    <w:rsid w:val="1C0435DD"/>
    <w:rsid w:val="1C044A22"/>
    <w:rsid w:val="1C0500B1"/>
    <w:rsid w:val="1C165874"/>
    <w:rsid w:val="1C1D4C3D"/>
    <w:rsid w:val="1C212C7F"/>
    <w:rsid w:val="1C4C28F3"/>
    <w:rsid w:val="1C71314E"/>
    <w:rsid w:val="1C82672C"/>
    <w:rsid w:val="1C89138D"/>
    <w:rsid w:val="1C8E76D2"/>
    <w:rsid w:val="1C937172"/>
    <w:rsid w:val="1C975C4B"/>
    <w:rsid w:val="1CA27BB1"/>
    <w:rsid w:val="1CAF7DCF"/>
    <w:rsid w:val="1CB07D7A"/>
    <w:rsid w:val="1CDA4D56"/>
    <w:rsid w:val="1CF810AC"/>
    <w:rsid w:val="1D0B3755"/>
    <w:rsid w:val="1D124C24"/>
    <w:rsid w:val="1D2C6C65"/>
    <w:rsid w:val="1D402518"/>
    <w:rsid w:val="1D4E7169"/>
    <w:rsid w:val="1D554265"/>
    <w:rsid w:val="1D69344A"/>
    <w:rsid w:val="1D6B31E8"/>
    <w:rsid w:val="1D6B7F83"/>
    <w:rsid w:val="1D776C3D"/>
    <w:rsid w:val="1D95321A"/>
    <w:rsid w:val="1DB85E5C"/>
    <w:rsid w:val="1DC46662"/>
    <w:rsid w:val="1DCA5E3A"/>
    <w:rsid w:val="1DCF5405"/>
    <w:rsid w:val="1DD75183"/>
    <w:rsid w:val="1DDE2626"/>
    <w:rsid w:val="1DFD7C50"/>
    <w:rsid w:val="1E080AB5"/>
    <w:rsid w:val="1E0E0D58"/>
    <w:rsid w:val="1E2A197B"/>
    <w:rsid w:val="1E35255F"/>
    <w:rsid w:val="1E3C5A5F"/>
    <w:rsid w:val="1E475D36"/>
    <w:rsid w:val="1E4E24A0"/>
    <w:rsid w:val="1E502588"/>
    <w:rsid w:val="1E53413D"/>
    <w:rsid w:val="1E550992"/>
    <w:rsid w:val="1E5A7A32"/>
    <w:rsid w:val="1E671817"/>
    <w:rsid w:val="1E6C25B8"/>
    <w:rsid w:val="1E6C3B44"/>
    <w:rsid w:val="1E7A4122"/>
    <w:rsid w:val="1E8879EE"/>
    <w:rsid w:val="1EB95D76"/>
    <w:rsid w:val="1EC54236"/>
    <w:rsid w:val="1ED464CA"/>
    <w:rsid w:val="1EDA5DF7"/>
    <w:rsid w:val="1EED4A44"/>
    <w:rsid w:val="1EFA39EA"/>
    <w:rsid w:val="1F00206F"/>
    <w:rsid w:val="1F0177DA"/>
    <w:rsid w:val="1F18467A"/>
    <w:rsid w:val="1F232A42"/>
    <w:rsid w:val="1F2645A8"/>
    <w:rsid w:val="1F4B71B8"/>
    <w:rsid w:val="1F4C39A9"/>
    <w:rsid w:val="1F5665AD"/>
    <w:rsid w:val="1F692382"/>
    <w:rsid w:val="1F8815CD"/>
    <w:rsid w:val="1F8D1995"/>
    <w:rsid w:val="1F935BDD"/>
    <w:rsid w:val="1F9730E6"/>
    <w:rsid w:val="1FDE0273"/>
    <w:rsid w:val="1FEF73C9"/>
    <w:rsid w:val="20020491"/>
    <w:rsid w:val="203C7C11"/>
    <w:rsid w:val="20421AEB"/>
    <w:rsid w:val="20471AED"/>
    <w:rsid w:val="20487E48"/>
    <w:rsid w:val="20666EBF"/>
    <w:rsid w:val="206F239E"/>
    <w:rsid w:val="2086258B"/>
    <w:rsid w:val="20A45C99"/>
    <w:rsid w:val="20AD18F5"/>
    <w:rsid w:val="20B77D0F"/>
    <w:rsid w:val="20BB288C"/>
    <w:rsid w:val="20D02DFC"/>
    <w:rsid w:val="20D06EB4"/>
    <w:rsid w:val="20E40557"/>
    <w:rsid w:val="20EF04D3"/>
    <w:rsid w:val="210C69CF"/>
    <w:rsid w:val="21107C1A"/>
    <w:rsid w:val="213018E1"/>
    <w:rsid w:val="21392BC1"/>
    <w:rsid w:val="21431802"/>
    <w:rsid w:val="21463D2C"/>
    <w:rsid w:val="2151198F"/>
    <w:rsid w:val="2172070D"/>
    <w:rsid w:val="217B2C80"/>
    <w:rsid w:val="217D2EA2"/>
    <w:rsid w:val="21851E83"/>
    <w:rsid w:val="21861507"/>
    <w:rsid w:val="219020E3"/>
    <w:rsid w:val="21916EE8"/>
    <w:rsid w:val="219A308D"/>
    <w:rsid w:val="219F5834"/>
    <w:rsid w:val="21A35D48"/>
    <w:rsid w:val="21C12688"/>
    <w:rsid w:val="21CC4855"/>
    <w:rsid w:val="21E233A3"/>
    <w:rsid w:val="21E23F6C"/>
    <w:rsid w:val="21E345FD"/>
    <w:rsid w:val="22171E1E"/>
    <w:rsid w:val="22383B4D"/>
    <w:rsid w:val="22466CD3"/>
    <w:rsid w:val="225D1D49"/>
    <w:rsid w:val="225D33C8"/>
    <w:rsid w:val="226239FE"/>
    <w:rsid w:val="22626562"/>
    <w:rsid w:val="226A76AE"/>
    <w:rsid w:val="22733EB6"/>
    <w:rsid w:val="22906578"/>
    <w:rsid w:val="22973E77"/>
    <w:rsid w:val="22AB58F3"/>
    <w:rsid w:val="22C13FD4"/>
    <w:rsid w:val="22C24771"/>
    <w:rsid w:val="22CB0895"/>
    <w:rsid w:val="231527D7"/>
    <w:rsid w:val="23185AD8"/>
    <w:rsid w:val="23336451"/>
    <w:rsid w:val="23474320"/>
    <w:rsid w:val="23492735"/>
    <w:rsid w:val="235B5F37"/>
    <w:rsid w:val="235C3EA6"/>
    <w:rsid w:val="23604810"/>
    <w:rsid w:val="237A7609"/>
    <w:rsid w:val="23BE4330"/>
    <w:rsid w:val="23BF0A62"/>
    <w:rsid w:val="23C263BB"/>
    <w:rsid w:val="23D04F68"/>
    <w:rsid w:val="23D50A64"/>
    <w:rsid w:val="23FC0268"/>
    <w:rsid w:val="240B4621"/>
    <w:rsid w:val="241061D3"/>
    <w:rsid w:val="24114322"/>
    <w:rsid w:val="24122F3C"/>
    <w:rsid w:val="24181A61"/>
    <w:rsid w:val="241A4D23"/>
    <w:rsid w:val="244328F6"/>
    <w:rsid w:val="245032E9"/>
    <w:rsid w:val="24536196"/>
    <w:rsid w:val="24626203"/>
    <w:rsid w:val="247573F6"/>
    <w:rsid w:val="247A4BE7"/>
    <w:rsid w:val="24806762"/>
    <w:rsid w:val="24814D5C"/>
    <w:rsid w:val="24831C33"/>
    <w:rsid w:val="248601CB"/>
    <w:rsid w:val="24917BA8"/>
    <w:rsid w:val="24981483"/>
    <w:rsid w:val="249B0370"/>
    <w:rsid w:val="24A24AC6"/>
    <w:rsid w:val="24B93055"/>
    <w:rsid w:val="24C252E5"/>
    <w:rsid w:val="24C93BB5"/>
    <w:rsid w:val="24D02E03"/>
    <w:rsid w:val="24F86BC7"/>
    <w:rsid w:val="250F44FD"/>
    <w:rsid w:val="2514288A"/>
    <w:rsid w:val="256609A5"/>
    <w:rsid w:val="25781237"/>
    <w:rsid w:val="257A6914"/>
    <w:rsid w:val="2588530F"/>
    <w:rsid w:val="25963C8A"/>
    <w:rsid w:val="25AB3731"/>
    <w:rsid w:val="25B464A2"/>
    <w:rsid w:val="25BA0209"/>
    <w:rsid w:val="25BB4BF0"/>
    <w:rsid w:val="25E62DA9"/>
    <w:rsid w:val="25F465E7"/>
    <w:rsid w:val="25F6641C"/>
    <w:rsid w:val="25F74FA1"/>
    <w:rsid w:val="25FC3091"/>
    <w:rsid w:val="25FD11FA"/>
    <w:rsid w:val="25FF3210"/>
    <w:rsid w:val="2611098A"/>
    <w:rsid w:val="264221C6"/>
    <w:rsid w:val="265D3370"/>
    <w:rsid w:val="26666555"/>
    <w:rsid w:val="268B7C99"/>
    <w:rsid w:val="268C4A4A"/>
    <w:rsid w:val="269A7501"/>
    <w:rsid w:val="26A3584F"/>
    <w:rsid w:val="26A66B0A"/>
    <w:rsid w:val="26A73989"/>
    <w:rsid w:val="26A86D42"/>
    <w:rsid w:val="26C30557"/>
    <w:rsid w:val="26CB2EBC"/>
    <w:rsid w:val="26CB4B73"/>
    <w:rsid w:val="26E34A7B"/>
    <w:rsid w:val="26E9756C"/>
    <w:rsid w:val="26FA4570"/>
    <w:rsid w:val="27217FF0"/>
    <w:rsid w:val="27242893"/>
    <w:rsid w:val="273612F4"/>
    <w:rsid w:val="27445146"/>
    <w:rsid w:val="277602F5"/>
    <w:rsid w:val="278038CA"/>
    <w:rsid w:val="27C33BB0"/>
    <w:rsid w:val="27C55F98"/>
    <w:rsid w:val="27CC0CD0"/>
    <w:rsid w:val="27D071BC"/>
    <w:rsid w:val="27D4538F"/>
    <w:rsid w:val="27DE15AE"/>
    <w:rsid w:val="27E03A2F"/>
    <w:rsid w:val="280D297A"/>
    <w:rsid w:val="28276A98"/>
    <w:rsid w:val="285710C8"/>
    <w:rsid w:val="285C4BAF"/>
    <w:rsid w:val="285D0F42"/>
    <w:rsid w:val="28703320"/>
    <w:rsid w:val="289539A5"/>
    <w:rsid w:val="289F019A"/>
    <w:rsid w:val="28CC6ED5"/>
    <w:rsid w:val="28F010D9"/>
    <w:rsid w:val="28F05C88"/>
    <w:rsid w:val="29082E70"/>
    <w:rsid w:val="291343EF"/>
    <w:rsid w:val="29166F16"/>
    <w:rsid w:val="294D5371"/>
    <w:rsid w:val="295A5964"/>
    <w:rsid w:val="29626133"/>
    <w:rsid w:val="29702C6A"/>
    <w:rsid w:val="298756CC"/>
    <w:rsid w:val="29A81FA5"/>
    <w:rsid w:val="29AB297C"/>
    <w:rsid w:val="29C535D7"/>
    <w:rsid w:val="29C65905"/>
    <w:rsid w:val="29DA5777"/>
    <w:rsid w:val="29DF2425"/>
    <w:rsid w:val="2A0E6FDD"/>
    <w:rsid w:val="2A142C99"/>
    <w:rsid w:val="2A1E4871"/>
    <w:rsid w:val="2A214539"/>
    <w:rsid w:val="2A367BB2"/>
    <w:rsid w:val="2A3D54FD"/>
    <w:rsid w:val="2A410FE5"/>
    <w:rsid w:val="2A4173A1"/>
    <w:rsid w:val="2A596631"/>
    <w:rsid w:val="2A5A05BF"/>
    <w:rsid w:val="2A5F2983"/>
    <w:rsid w:val="2A601F6F"/>
    <w:rsid w:val="2A7A07C0"/>
    <w:rsid w:val="2A951A6C"/>
    <w:rsid w:val="2AB17620"/>
    <w:rsid w:val="2AB30FEA"/>
    <w:rsid w:val="2AB657B1"/>
    <w:rsid w:val="2AE07913"/>
    <w:rsid w:val="2AEA3FC0"/>
    <w:rsid w:val="2AEA4AC4"/>
    <w:rsid w:val="2B0E64B5"/>
    <w:rsid w:val="2B166BF6"/>
    <w:rsid w:val="2B2B0DE1"/>
    <w:rsid w:val="2B3E1E16"/>
    <w:rsid w:val="2B5D0E3B"/>
    <w:rsid w:val="2B5E2134"/>
    <w:rsid w:val="2B6F3EEE"/>
    <w:rsid w:val="2B70774D"/>
    <w:rsid w:val="2B7D446F"/>
    <w:rsid w:val="2B8D4A3E"/>
    <w:rsid w:val="2BCC1BD6"/>
    <w:rsid w:val="2BDF0CFB"/>
    <w:rsid w:val="2BE234F2"/>
    <w:rsid w:val="2BE33AA6"/>
    <w:rsid w:val="2BE40B44"/>
    <w:rsid w:val="2BEF68A7"/>
    <w:rsid w:val="2BF22DBE"/>
    <w:rsid w:val="2BF73785"/>
    <w:rsid w:val="2C0F30B3"/>
    <w:rsid w:val="2C1235EB"/>
    <w:rsid w:val="2C162BEC"/>
    <w:rsid w:val="2C2F0BC4"/>
    <w:rsid w:val="2C391765"/>
    <w:rsid w:val="2C3D18DD"/>
    <w:rsid w:val="2C3D5EB9"/>
    <w:rsid w:val="2C4C0F0A"/>
    <w:rsid w:val="2C5254C3"/>
    <w:rsid w:val="2C532EF2"/>
    <w:rsid w:val="2C5C500F"/>
    <w:rsid w:val="2C6E3526"/>
    <w:rsid w:val="2C6F1E54"/>
    <w:rsid w:val="2C993631"/>
    <w:rsid w:val="2C9B7E11"/>
    <w:rsid w:val="2CAF1058"/>
    <w:rsid w:val="2CB32C99"/>
    <w:rsid w:val="2CBC36F5"/>
    <w:rsid w:val="2CC907F0"/>
    <w:rsid w:val="2CCC5126"/>
    <w:rsid w:val="2CF756B7"/>
    <w:rsid w:val="2CF9252D"/>
    <w:rsid w:val="2CF97782"/>
    <w:rsid w:val="2D107154"/>
    <w:rsid w:val="2D143281"/>
    <w:rsid w:val="2D1C79F8"/>
    <w:rsid w:val="2D324177"/>
    <w:rsid w:val="2D5A7835"/>
    <w:rsid w:val="2D6578A0"/>
    <w:rsid w:val="2D7343C9"/>
    <w:rsid w:val="2DE44256"/>
    <w:rsid w:val="2DE557EB"/>
    <w:rsid w:val="2E0E6D42"/>
    <w:rsid w:val="2E0F4249"/>
    <w:rsid w:val="2E2F0A58"/>
    <w:rsid w:val="2E447583"/>
    <w:rsid w:val="2E4B4467"/>
    <w:rsid w:val="2E5520B9"/>
    <w:rsid w:val="2E63548C"/>
    <w:rsid w:val="2E640C1C"/>
    <w:rsid w:val="2E6B523D"/>
    <w:rsid w:val="2E7A08F9"/>
    <w:rsid w:val="2E7B33BD"/>
    <w:rsid w:val="2E836803"/>
    <w:rsid w:val="2E8823E3"/>
    <w:rsid w:val="2E96363C"/>
    <w:rsid w:val="2EB86707"/>
    <w:rsid w:val="2EC92184"/>
    <w:rsid w:val="2ECD27F6"/>
    <w:rsid w:val="2F0E1C14"/>
    <w:rsid w:val="2F366FC1"/>
    <w:rsid w:val="2F5034C7"/>
    <w:rsid w:val="2F866106"/>
    <w:rsid w:val="2FA3249D"/>
    <w:rsid w:val="2FC05B92"/>
    <w:rsid w:val="2FDE3BE4"/>
    <w:rsid w:val="2FEC1413"/>
    <w:rsid w:val="2FEF5C51"/>
    <w:rsid w:val="301F1E0F"/>
    <w:rsid w:val="302E6295"/>
    <w:rsid w:val="303329F0"/>
    <w:rsid w:val="303818E5"/>
    <w:rsid w:val="303F1851"/>
    <w:rsid w:val="303F79AD"/>
    <w:rsid w:val="30492212"/>
    <w:rsid w:val="304C3A2B"/>
    <w:rsid w:val="30596318"/>
    <w:rsid w:val="306F339C"/>
    <w:rsid w:val="30762710"/>
    <w:rsid w:val="30814CF1"/>
    <w:rsid w:val="308E4163"/>
    <w:rsid w:val="30C20BA4"/>
    <w:rsid w:val="30C478ED"/>
    <w:rsid w:val="30EC01FB"/>
    <w:rsid w:val="30F54D00"/>
    <w:rsid w:val="31026564"/>
    <w:rsid w:val="310A5122"/>
    <w:rsid w:val="312107CD"/>
    <w:rsid w:val="31210CA8"/>
    <w:rsid w:val="31215285"/>
    <w:rsid w:val="312D0344"/>
    <w:rsid w:val="31346C1B"/>
    <w:rsid w:val="314A407E"/>
    <w:rsid w:val="317038BB"/>
    <w:rsid w:val="317958D0"/>
    <w:rsid w:val="318D218C"/>
    <w:rsid w:val="31964319"/>
    <w:rsid w:val="319A32FE"/>
    <w:rsid w:val="31A53AB7"/>
    <w:rsid w:val="31A801F9"/>
    <w:rsid w:val="31C57FB2"/>
    <w:rsid w:val="31C932E2"/>
    <w:rsid w:val="31F61F62"/>
    <w:rsid w:val="320358D0"/>
    <w:rsid w:val="32052FE4"/>
    <w:rsid w:val="320B77FD"/>
    <w:rsid w:val="321976B1"/>
    <w:rsid w:val="321D6876"/>
    <w:rsid w:val="3220390C"/>
    <w:rsid w:val="322B51BC"/>
    <w:rsid w:val="322F26BF"/>
    <w:rsid w:val="32313F22"/>
    <w:rsid w:val="32643522"/>
    <w:rsid w:val="326470BA"/>
    <w:rsid w:val="32744A8B"/>
    <w:rsid w:val="32753DA5"/>
    <w:rsid w:val="32886DB3"/>
    <w:rsid w:val="32895C45"/>
    <w:rsid w:val="32A43D99"/>
    <w:rsid w:val="32B141E0"/>
    <w:rsid w:val="32B44D2D"/>
    <w:rsid w:val="32C90A49"/>
    <w:rsid w:val="32FA2D7F"/>
    <w:rsid w:val="32FC6C4E"/>
    <w:rsid w:val="33085CC5"/>
    <w:rsid w:val="33262CBA"/>
    <w:rsid w:val="332B323C"/>
    <w:rsid w:val="332E3189"/>
    <w:rsid w:val="335B62EC"/>
    <w:rsid w:val="335E79BA"/>
    <w:rsid w:val="3360061D"/>
    <w:rsid w:val="336549AB"/>
    <w:rsid w:val="33782709"/>
    <w:rsid w:val="3392025F"/>
    <w:rsid w:val="33A8285D"/>
    <w:rsid w:val="33AC1E29"/>
    <w:rsid w:val="33B17041"/>
    <w:rsid w:val="33B202F3"/>
    <w:rsid w:val="33B20F64"/>
    <w:rsid w:val="33EE53FA"/>
    <w:rsid w:val="33FD7485"/>
    <w:rsid w:val="34012F1B"/>
    <w:rsid w:val="34467089"/>
    <w:rsid w:val="34523AB5"/>
    <w:rsid w:val="346B4B47"/>
    <w:rsid w:val="346E4F77"/>
    <w:rsid w:val="34762AAC"/>
    <w:rsid w:val="348402A8"/>
    <w:rsid w:val="34B510BB"/>
    <w:rsid w:val="34BB2714"/>
    <w:rsid w:val="34C25EF7"/>
    <w:rsid w:val="34D20F28"/>
    <w:rsid w:val="34E22DC0"/>
    <w:rsid w:val="350233D4"/>
    <w:rsid w:val="35195F01"/>
    <w:rsid w:val="35313A72"/>
    <w:rsid w:val="35493C91"/>
    <w:rsid w:val="355C0228"/>
    <w:rsid w:val="357800DF"/>
    <w:rsid w:val="358527FB"/>
    <w:rsid w:val="358B5BCF"/>
    <w:rsid w:val="359A77E8"/>
    <w:rsid w:val="35A1790B"/>
    <w:rsid w:val="35A45B99"/>
    <w:rsid w:val="35B01090"/>
    <w:rsid w:val="35DD2073"/>
    <w:rsid w:val="35DF75FB"/>
    <w:rsid w:val="35EB21A5"/>
    <w:rsid w:val="35F52D00"/>
    <w:rsid w:val="35FF153A"/>
    <w:rsid w:val="3606622C"/>
    <w:rsid w:val="36077316"/>
    <w:rsid w:val="3613278E"/>
    <w:rsid w:val="36356D4F"/>
    <w:rsid w:val="36405687"/>
    <w:rsid w:val="36414112"/>
    <w:rsid w:val="365F3D60"/>
    <w:rsid w:val="36645530"/>
    <w:rsid w:val="366F21B4"/>
    <w:rsid w:val="367851C1"/>
    <w:rsid w:val="369510BC"/>
    <w:rsid w:val="36973632"/>
    <w:rsid w:val="36A30194"/>
    <w:rsid w:val="36D21A02"/>
    <w:rsid w:val="37104DEB"/>
    <w:rsid w:val="372D0977"/>
    <w:rsid w:val="37337382"/>
    <w:rsid w:val="374D5647"/>
    <w:rsid w:val="374F42A7"/>
    <w:rsid w:val="37506DBE"/>
    <w:rsid w:val="3759338C"/>
    <w:rsid w:val="37654002"/>
    <w:rsid w:val="378E3E66"/>
    <w:rsid w:val="37C244FC"/>
    <w:rsid w:val="37D95C79"/>
    <w:rsid w:val="37E81F7B"/>
    <w:rsid w:val="38026A1B"/>
    <w:rsid w:val="38197832"/>
    <w:rsid w:val="383903C6"/>
    <w:rsid w:val="383C423B"/>
    <w:rsid w:val="38415136"/>
    <w:rsid w:val="386C1D38"/>
    <w:rsid w:val="387A25A5"/>
    <w:rsid w:val="38963295"/>
    <w:rsid w:val="389D2F53"/>
    <w:rsid w:val="38A945B7"/>
    <w:rsid w:val="38CC2A09"/>
    <w:rsid w:val="38D677A2"/>
    <w:rsid w:val="38D770AE"/>
    <w:rsid w:val="38F70050"/>
    <w:rsid w:val="38FC33FC"/>
    <w:rsid w:val="38FD0E84"/>
    <w:rsid w:val="38FF1B5B"/>
    <w:rsid w:val="390273B1"/>
    <w:rsid w:val="39153767"/>
    <w:rsid w:val="39225CA9"/>
    <w:rsid w:val="3923070B"/>
    <w:rsid w:val="392C49BB"/>
    <w:rsid w:val="39381E2B"/>
    <w:rsid w:val="3942282F"/>
    <w:rsid w:val="3953338B"/>
    <w:rsid w:val="396B7002"/>
    <w:rsid w:val="396C2A15"/>
    <w:rsid w:val="39AC01F9"/>
    <w:rsid w:val="39B73BAC"/>
    <w:rsid w:val="39B7517F"/>
    <w:rsid w:val="39BA3B51"/>
    <w:rsid w:val="39C20795"/>
    <w:rsid w:val="39E90E2B"/>
    <w:rsid w:val="39E94D86"/>
    <w:rsid w:val="39F1638E"/>
    <w:rsid w:val="3A001C79"/>
    <w:rsid w:val="3A1513BA"/>
    <w:rsid w:val="3A2E618D"/>
    <w:rsid w:val="3A4109A1"/>
    <w:rsid w:val="3A742C8C"/>
    <w:rsid w:val="3A7B2702"/>
    <w:rsid w:val="3A896EEE"/>
    <w:rsid w:val="3AAA2893"/>
    <w:rsid w:val="3ABB15C7"/>
    <w:rsid w:val="3AD8279E"/>
    <w:rsid w:val="3AE73EDB"/>
    <w:rsid w:val="3B08641D"/>
    <w:rsid w:val="3B1C7A19"/>
    <w:rsid w:val="3B2B5582"/>
    <w:rsid w:val="3B4234D4"/>
    <w:rsid w:val="3B7622BA"/>
    <w:rsid w:val="3B7C1C88"/>
    <w:rsid w:val="3B8107C8"/>
    <w:rsid w:val="3B8972AA"/>
    <w:rsid w:val="3BA219B8"/>
    <w:rsid w:val="3BA96003"/>
    <w:rsid w:val="3BC61A51"/>
    <w:rsid w:val="3BE14893"/>
    <w:rsid w:val="3BE8265C"/>
    <w:rsid w:val="3BE92A35"/>
    <w:rsid w:val="3BEB460F"/>
    <w:rsid w:val="3BEF1DA2"/>
    <w:rsid w:val="3BF64635"/>
    <w:rsid w:val="3BF956C3"/>
    <w:rsid w:val="3C0E5CDB"/>
    <w:rsid w:val="3C4D3B02"/>
    <w:rsid w:val="3C5B1D89"/>
    <w:rsid w:val="3C85498F"/>
    <w:rsid w:val="3C8946A5"/>
    <w:rsid w:val="3CA372A1"/>
    <w:rsid w:val="3CA600E0"/>
    <w:rsid w:val="3CB765A9"/>
    <w:rsid w:val="3CBA4326"/>
    <w:rsid w:val="3CBC0BE3"/>
    <w:rsid w:val="3CC614DA"/>
    <w:rsid w:val="3CD01DA9"/>
    <w:rsid w:val="3CDA38F5"/>
    <w:rsid w:val="3CDD517D"/>
    <w:rsid w:val="3CE33FC3"/>
    <w:rsid w:val="3CEA3B31"/>
    <w:rsid w:val="3CF9401E"/>
    <w:rsid w:val="3CFC6325"/>
    <w:rsid w:val="3D093C71"/>
    <w:rsid w:val="3D1A22C0"/>
    <w:rsid w:val="3D294B1B"/>
    <w:rsid w:val="3D2B034D"/>
    <w:rsid w:val="3D5A60CA"/>
    <w:rsid w:val="3D9F4364"/>
    <w:rsid w:val="3DA702BF"/>
    <w:rsid w:val="3DB92106"/>
    <w:rsid w:val="3DCF457D"/>
    <w:rsid w:val="3DF169A7"/>
    <w:rsid w:val="3DF2399F"/>
    <w:rsid w:val="3DF40FE4"/>
    <w:rsid w:val="3E0519AD"/>
    <w:rsid w:val="3E4A1D40"/>
    <w:rsid w:val="3E4C287B"/>
    <w:rsid w:val="3E633FD2"/>
    <w:rsid w:val="3E6F32D2"/>
    <w:rsid w:val="3E742C66"/>
    <w:rsid w:val="3E7E19E7"/>
    <w:rsid w:val="3E8572BF"/>
    <w:rsid w:val="3E917B82"/>
    <w:rsid w:val="3E9656A5"/>
    <w:rsid w:val="3E997463"/>
    <w:rsid w:val="3E9F7600"/>
    <w:rsid w:val="3ECD5479"/>
    <w:rsid w:val="3ED62B90"/>
    <w:rsid w:val="3EE34DD3"/>
    <w:rsid w:val="3EF434CC"/>
    <w:rsid w:val="3EFB6FF7"/>
    <w:rsid w:val="3EFF0A75"/>
    <w:rsid w:val="3F1054CE"/>
    <w:rsid w:val="3F2534F3"/>
    <w:rsid w:val="3F3A1B65"/>
    <w:rsid w:val="3F3A5EB9"/>
    <w:rsid w:val="3F522210"/>
    <w:rsid w:val="3F544AF6"/>
    <w:rsid w:val="3F5C361D"/>
    <w:rsid w:val="3F5E64F5"/>
    <w:rsid w:val="3F656E2C"/>
    <w:rsid w:val="3F6D5029"/>
    <w:rsid w:val="3F92376D"/>
    <w:rsid w:val="3F9C1CD6"/>
    <w:rsid w:val="3FB035B9"/>
    <w:rsid w:val="3FC45A80"/>
    <w:rsid w:val="3FDE13B9"/>
    <w:rsid w:val="3FE029F1"/>
    <w:rsid w:val="3FE457AE"/>
    <w:rsid w:val="3FE57701"/>
    <w:rsid w:val="400C4E03"/>
    <w:rsid w:val="40126EBB"/>
    <w:rsid w:val="401A4D54"/>
    <w:rsid w:val="40262C07"/>
    <w:rsid w:val="404209E3"/>
    <w:rsid w:val="40451C67"/>
    <w:rsid w:val="404A1B2B"/>
    <w:rsid w:val="404A601E"/>
    <w:rsid w:val="404C52F4"/>
    <w:rsid w:val="405C0FC1"/>
    <w:rsid w:val="40733CBA"/>
    <w:rsid w:val="407A4DF7"/>
    <w:rsid w:val="40B16CC2"/>
    <w:rsid w:val="40B81BAD"/>
    <w:rsid w:val="40BB2365"/>
    <w:rsid w:val="40D23962"/>
    <w:rsid w:val="40D61BC8"/>
    <w:rsid w:val="40DC4F1D"/>
    <w:rsid w:val="40DF2097"/>
    <w:rsid w:val="40E71ABD"/>
    <w:rsid w:val="413C11C7"/>
    <w:rsid w:val="41447F0E"/>
    <w:rsid w:val="414733E0"/>
    <w:rsid w:val="41566753"/>
    <w:rsid w:val="416A21FA"/>
    <w:rsid w:val="416B09D7"/>
    <w:rsid w:val="417D1E08"/>
    <w:rsid w:val="417D5552"/>
    <w:rsid w:val="4188208C"/>
    <w:rsid w:val="419B51EE"/>
    <w:rsid w:val="41B11897"/>
    <w:rsid w:val="41C57D35"/>
    <w:rsid w:val="41F34606"/>
    <w:rsid w:val="4200399D"/>
    <w:rsid w:val="420E20BD"/>
    <w:rsid w:val="421647B9"/>
    <w:rsid w:val="42263E3B"/>
    <w:rsid w:val="422C70F1"/>
    <w:rsid w:val="423C6CFA"/>
    <w:rsid w:val="42442693"/>
    <w:rsid w:val="428D1B97"/>
    <w:rsid w:val="42B608A5"/>
    <w:rsid w:val="42BC6C8F"/>
    <w:rsid w:val="42C5446D"/>
    <w:rsid w:val="42E94337"/>
    <w:rsid w:val="43031943"/>
    <w:rsid w:val="431327F1"/>
    <w:rsid w:val="43182DB2"/>
    <w:rsid w:val="4368794F"/>
    <w:rsid w:val="436D0FB5"/>
    <w:rsid w:val="437518D1"/>
    <w:rsid w:val="438D1E49"/>
    <w:rsid w:val="43B23B98"/>
    <w:rsid w:val="43C80076"/>
    <w:rsid w:val="43D8550E"/>
    <w:rsid w:val="43DC0C7D"/>
    <w:rsid w:val="43EA69D8"/>
    <w:rsid w:val="44356D2F"/>
    <w:rsid w:val="44390E25"/>
    <w:rsid w:val="44433468"/>
    <w:rsid w:val="44437F9F"/>
    <w:rsid w:val="444F5C68"/>
    <w:rsid w:val="44613E6E"/>
    <w:rsid w:val="446A5324"/>
    <w:rsid w:val="447E7804"/>
    <w:rsid w:val="44943661"/>
    <w:rsid w:val="44A05C5C"/>
    <w:rsid w:val="44AC7417"/>
    <w:rsid w:val="44B16853"/>
    <w:rsid w:val="450D5FAD"/>
    <w:rsid w:val="45172F07"/>
    <w:rsid w:val="451D5184"/>
    <w:rsid w:val="452F3716"/>
    <w:rsid w:val="453C65FD"/>
    <w:rsid w:val="454B256E"/>
    <w:rsid w:val="455D76E4"/>
    <w:rsid w:val="45646F33"/>
    <w:rsid w:val="45671007"/>
    <w:rsid w:val="456C331B"/>
    <w:rsid w:val="45A26739"/>
    <w:rsid w:val="45B07140"/>
    <w:rsid w:val="45C43431"/>
    <w:rsid w:val="45EE3358"/>
    <w:rsid w:val="46066722"/>
    <w:rsid w:val="461976C3"/>
    <w:rsid w:val="461C0664"/>
    <w:rsid w:val="463D42BA"/>
    <w:rsid w:val="46521A41"/>
    <w:rsid w:val="465D50F1"/>
    <w:rsid w:val="46771C91"/>
    <w:rsid w:val="467F06A4"/>
    <w:rsid w:val="4694259D"/>
    <w:rsid w:val="46A64B43"/>
    <w:rsid w:val="46AA5A85"/>
    <w:rsid w:val="46AC6264"/>
    <w:rsid w:val="46C01696"/>
    <w:rsid w:val="46C52BE0"/>
    <w:rsid w:val="46D118AB"/>
    <w:rsid w:val="46F30AEE"/>
    <w:rsid w:val="47123940"/>
    <w:rsid w:val="47204C1C"/>
    <w:rsid w:val="4726595C"/>
    <w:rsid w:val="47600773"/>
    <w:rsid w:val="47661F26"/>
    <w:rsid w:val="476E25F3"/>
    <w:rsid w:val="47783B12"/>
    <w:rsid w:val="477D5156"/>
    <w:rsid w:val="477F2265"/>
    <w:rsid w:val="47890AD6"/>
    <w:rsid w:val="478D2FF6"/>
    <w:rsid w:val="478F6037"/>
    <w:rsid w:val="4798720D"/>
    <w:rsid w:val="47BF7C9C"/>
    <w:rsid w:val="47C2246C"/>
    <w:rsid w:val="47CA5F05"/>
    <w:rsid w:val="47DA1720"/>
    <w:rsid w:val="47E11737"/>
    <w:rsid w:val="47E77D53"/>
    <w:rsid w:val="47EE48C0"/>
    <w:rsid w:val="47F35E3E"/>
    <w:rsid w:val="47FB766F"/>
    <w:rsid w:val="48064E6E"/>
    <w:rsid w:val="4808575C"/>
    <w:rsid w:val="480B439D"/>
    <w:rsid w:val="482F10F4"/>
    <w:rsid w:val="48606A0B"/>
    <w:rsid w:val="486D78BB"/>
    <w:rsid w:val="48915636"/>
    <w:rsid w:val="48985F31"/>
    <w:rsid w:val="48AC6E35"/>
    <w:rsid w:val="48BD43A0"/>
    <w:rsid w:val="48C96968"/>
    <w:rsid w:val="48F84416"/>
    <w:rsid w:val="490874C4"/>
    <w:rsid w:val="491A6A98"/>
    <w:rsid w:val="491D4AAF"/>
    <w:rsid w:val="4926292B"/>
    <w:rsid w:val="49371235"/>
    <w:rsid w:val="494324F6"/>
    <w:rsid w:val="49455D20"/>
    <w:rsid w:val="497B341F"/>
    <w:rsid w:val="49B415EE"/>
    <w:rsid w:val="49B63FD6"/>
    <w:rsid w:val="49BF4D00"/>
    <w:rsid w:val="49D1562B"/>
    <w:rsid w:val="49DE1EF5"/>
    <w:rsid w:val="49E579C4"/>
    <w:rsid w:val="49EA2381"/>
    <w:rsid w:val="49F43753"/>
    <w:rsid w:val="49F54A10"/>
    <w:rsid w:val="49F94CE9"/>
    <w:rsid w:val="49FE0E45"/>
    <w:rsid w:val="4A040938"/>
    <w:rsid w:val="4A11169A"/>
    <w:rsid w:val="4A212635"/>
    <w:rsid w:val="4A2175B6"/>
    <w:rsid w:val="4A4260CB"/>
    <w:rsid w:val="4A611E1A"/>
    <w:rsid w:val="4A7055A6"/>
    <w:rsid w:val="4A9C47ED"/>
    <w:rsid w:val="4AA71D5E"/>
    <w:rsid w:val="4AAA6CA9"/>
    <w:rsid w:val="4AE008D2"/>
    <w:rsid w:val="4B0B3617"/>
    <w:rsid w:val="4B2815DF"/>
    <w:rsid w:val="4B473F5E"/>
    <w:rsid w:val="4B49191E"/>
    <w:rsid w:val="4B507FB2"/>
    <w:rsid w:val="4B647620"/>
    <w:rsid w:val="4B695935"/>
    <w:rsid w:val="4B7A55E6"/>
    <w:rsid w:val="4B82653E"/>
    <w:rsid w:val="4B894031"/>
    <w:rsid w:val="4B8C1A83"/>
    <w:rsid w:val="4B946154"/>
    <w:rsid w:val="4BB12731"/>
    <w:rsid w:val="4BE10A59"/>
    <w:rsid w:val="4BE123D1"/>
    <w:rsid w:val="4C0A534C"/>
    <w:rsid w:val="4C0F01F9"/>
    <w:rsid w:val="4C270B31"/>
    <w:rsid w:val="4C3202E6"/>
    <w:rsid w:val="4C6370A1"/>
    <w:rsid w:val="4C736886"/>
    <w:rsid w:val="4C7F7CEF"/>
    <w:rsid w:val="4C821AA7"/>
    <w:rsid w:val="4CA43125"/>
    <w:rsid w:val="4CAC2A11"/>
    <w:rsid w:val="4CB01CB9"/>
    <w:rsid w:val="4CCD33EA"/>
    <w:rsid w:val="4CCF426B"/>
    <w:rsid w:val="4CFE069C"/>
    <w:rsid w:val="4D033F9C"/>
    <w:rsid w:val="4D055E23"/>
    <w:rsid w:val="4D2433AC"/>
    <w:rsid w:val="4D4A4A28"/>
    <w:rsid w:val="4D5D7D7F"/>
    <w:rsid w:val="4D625C01"/>
    <w:rsid w:val="4D8F350E"/>
    <w:rsid w:val="4D924E46"/>
    <w:rsid w:val="4D9877E4"/>
    <w:rsid w:val="4DBD22E7"/>
    <w:rsid w:val="4DC73507"/>
    <w:rsid w:val="4DDA6A5F"/>
    <w:rsid w:val="4DDB7205"/>
    <w:rsid w:val="4DDF772B"/>
    <w:rsid w:val="4DEB15AD"/>
    <w:rsid w:val="4DF87443"/>
    <w:rsid w:val="4E370600"/>
    <w:rsid w:val="4E435024"/>
    <w:rsid w:val="4E4E7E80"/>
    <w:rsid w:val="4E534A5B"/>
    <w:rsid w:val="4E5C5562"/>
    <w:rsid w:val="4E5F69A8"/>
    <w:rsid w:val="4E655726"/>
    <w:rsid w:val="4E754A02"/>
    <w:rsid w:val="4E95725E"/>
    <w:rsid w:val="4E9A6CF9"/>
    <w:rsid w:val="4EA65FD0"/>
    <w:rsid w:val="4ED33DCB"/>
    <w:rsid w:val="4EE34782"/>
    <w:rsid w:val="4EE63F4F"/>
    <w:rsid w:val="4F007E65"/>
    <w:rsid w:val="4F0A1AF8"/>
    <w:rsid w:val="4F203D73"/>
    <w:rsid w:val="4F27252E"/>
    <w:rsid w:val="4F323E26"/>
    <w:rsid w:val="4F3913E8"/>
    <w:rsid w:val="4F501419"/>
    <w:rsid w:val="4F594DAC"/>
    <w:rsid w:val="4F6C3F07"/>
    <w:rsid w:val="4F830574"/>
    <w:rsid w:val="4F8D5FB6"/>
    <w:rsid w:val="4F9753D7"/>
    <w:rsid w:val="4FA54804"/>
    <w:rsid w:val="4FBF34BA"/>
    <w:rsid w:val="4FCA2B98"/>
    <w:rsid w:val="4FCB218A"/>
    <w:rsid w:val="4FCE7BAE"/>
    <w:rsid w:val="4FFE4A87"/>
    <w:rsid w:val="500344EA"/>
    <w:rsid w:val="500B7B4C"/>
    <w:rsid w:val="503C3296"/>
    <w:rsid w:val="504B0F0D"/>
    <w:rsid w:val="50527689"/>
    <w:rsid w:val="506633AA"/>
    <w:rsid w:val="507237E3"/>
    <w:rsid w:val="50911DB8"/>
    <w:rsid w:val="50943033"/>
    <w:rsid w:val="509D389C"/>
    <w:rsid w:val="50A642FD"/>
    <w:rsid w:val="50AF647F"/>
    <w:rsid w:val="50BB317D"/>
    <w:rsid w:val="50D06E68"/>
    <w:rsid w:val="50D37C72"/>
    <w:rsid w:val="50E466DC"/>
    <w:rsid w:val="50EA1869"/>
    <w:rsid w:val="50FD00F4"/>
    <w:rsid w:val="50FF056E"/>
    <w:rsid w:val="510F2A7F"/>
    <w:rsid w:val="512746EF"/>
    <w:rsid w:val="51283E4C"/>
    <w:rsid w:val="51291D35"/>
    <w:rsid w:val="512B3A7F"/>
    <w:rsid w:val="51414399"/>
    <w:rsid w:val="515D5FD6"/>
    <w:rsid w:val="516A7012"/>
    <w:rsid w:val="51721A38"/>
    <w:rsid w:val="517D016D"/>
    <w:rsid w:val="51A45867"/>
    <w:rsid w:val="51AD7250"/>
    <w:rsid w:val="51CF1465"/>
    <w:rsid w:val="51D1247D"/>
    <w:rsid w:val="51EC4955"/>
    <w:rsid w:val="51F067B7"/>
    <w:rsid w:val="52077D46"/>
    <w:rsid w:val="52187D0D"/>
    <w:rsid w:val="52361B9C"/>
    <w:rsid w:val="52362A26"/>
    <w:rsid w:val="523B0BAD"/>
    <w:rsid w:val="524B7169"/>
    <w:rsid w:val="5250515D"/>
    <w:rsid w:val="526921DD"/>
    <w:rsid w:val="5297132B"/>
    <w:rsid w:val="529F28D8"/>
    <w:rsid w:val="529F6FBB"/>
    <w:rsid w:val="52C076EC"/>
    <w:rsid w:val="52C25708"/>
    <w:rsid w:val="52C315CC"/>
    <w:rsid w:val="52CD10CA"/>
    <w:rsid w:val="52EB6F11"/>
    <w:rsid w:val="52F0249E"/>
    <w:rsid w:val="5353575F"/>
    <w:rsid w:val="535B2E70"/>
    <w:rsid w:val="535C4E8B"/>
    <w:rsid w:val="536278AA"/>
    <w:rsid w:val="53673357"/>
    <w:rsid w:val="53676B5F"/>
    <w:rsid w:val="536E21FF"/>
    <w:rsid w:val="5385006E"/>
    <w:rsid w:val="538A4A6D"/>
    <w:rsid w:val="53B45677"/>
    <w:rsid w:val="53DD2466"/>
    <w:rsid w:val="53E34323"/>
    <w:rsid w:val="53FC3987"/>
    <w:rsid w:val="5427381E"/>
    <w:rsid w:val="543B788E"/>
    <w:rsid w:val="54447CBB"/>
    <w:rsid w:val="545062A7"/>
    <w:rsid w:val="545C3555"/>
    <w:rsid w:val="54617320"/>
    <w:rsid w:val="547A28DC"/>
    <w:rsid w:val="54827775"/>
    <w:rsid w:val="54AC5134"/>
    <w:rsid w:val="54DE6078"/>
    <w:rsid w:val="54E86EBD"/>
    <w:rsid w:val="54F2526E"/>
    <w:rsid w:val="55075D9B"/>
    <w:rsid w:val="55184BBF"/>
    <w:rsid w:val="551874CA"/>
    <w:rsid w:val="551E6A56"/>
    <w:rsid w:val="552006D3"/>
    <w:rsid w:val="55301CB3"/>
    <w:rsid w:val="55327054"/>
    <w:rsid w:val="553A26BA"/>
    <w:rsid w:val="5556054C"/>
    <w:rsid w:val="55862A42"/>
    <w:rsid w:val="55990578"/>
    <w:rsid w:val="55A56891"/>
    <w:rsid w:val="55AC66CB"/>
    <w:rsid w:val="55C33131"/>
    <w:rsid w:val="55CD7903"/>
    <w:rsid w:val="55E172A0"/>
    <w:rsid w:val="55E24605"/>
    <w:rsid w:val="55F81C60"/>
    <w:rsid w:val="55FA0F14"/>
    <w:rsid w:val="56097F90"/>
    <w:rsid w:val="56133E90"/>
    <w:rsid w:val="56474D43"/>
    <w:rsid w:val="564C1D1D"/>
    <w:rsid w:val="565F1E2E"/>
    <w:rsid w:val="56670F45"/>
    <w:rsid w:val="566F1BE2"/>
    <w:rsid w:val="567B004B"/>
    <w:rsid w:val="56825178"/>
    <w:rsid w:val="568F784B"/>
    <w:rsid w:val="569C0124"/>
    <w:rsid w:val="56A17AE8"/>
    <w:rsid w:val="56C9634D"/>
    <w:rsid w:val="56D41BE8"/>
    <w:rsid w:val="56EC7A5D"/>
    <w:rsid w:val="56F4599D"/>
    <w:rsid w:val="570D0322"/>
    <w:rsid w:val="57180ACE"/>
    <w:rsid w:val="571B61B6"/>
    <w:rsid w:val="57213E7D"/>
    <w:rsid w:val="5723561B"/>
    <w:rsid w:val="572362C9"/>
    <w:rsid w:val="572F37C6"/>
    <w:rsid w:val="5736629C"/>
    <w:rsid w:val="57540996"/>
    <w:rsid w:val="57802A35"/>
    <w:rsid w:val="578C3658"/>
    <w:rsid w:val="57B66918"/>
    <w:rsid w:val="57BD6FCE"/>
    <w:rsid w:val="57D214D2"/>
    <w:rsid w:val="57DA1A42"/>
    <w:rsid w:val="58002D08"/>
    <w:rsid w:val="58057728"/>
    <w:rsid w:val="581D1F94"/>
    <w:rsid w:val="582872BA"/>
    <w:rsid w:val="5829318A"/>
    <w:rsid w:val="582D7EE9"/>
    <w:rsid w:val="583343BB"/>
    <w:rsid w:val="583439B3"/>
    <w:rsid w:val="583B5787"/>
    <w:rsid w:val="586759C7"/>
    <w:rsid w:val="58C07CA9"/>
    <w:rsid w:val="58DE5A38"/>
    <w:rsid w:val="58FA7B16"/>
    <w:rsid w:val="58FB22A6"/>
    <w:rsid w:val="59003437"/>
    <w:rsid w:val="59182EE7"/>
    <w:rsid w:val="5921212C"/>
    <w:rsid w:val="59395687"/>
    <w:rsid w:val="596F472F"/>
    <w:rsid w:val="5974345D"/>
    <w:rsid w:val="597534AA"/>
    <w:rsid w:val="59951C91"/>
    <w:rsid w:val="59982867"/>
    <w:rsid w:val="59A11ED6"/>
    <w:rsid w:val="59AB0DFC"/>
    <w:rsid w:val="59B87A9B"/>
    <w:rsid w:val="59C1557F"/>
    <w:rsid w:val="59C8615E"/>
    <w:rsid w:val="59E771C2"/>
    <w:rsid w:val="59E84659"/>
    <w:rsid w:val="59FF2575"/>
    <w:rsid w:val="5A344FB0"/>
    <w:rsid w:val="5A360707"/>
    <w:rsid w:val="5A482568"/>
    <w:rsid w:val="5A5755C9"/>
    <w:rsid w:val="5A5A13C0"/>
    <w:rsid w:val="5A772EA3"/>
    <w:rsid w:val="5A7D29E6"/>
    <w:rsid w:val="5A821401"/>
    <w:rsid w:val="5A8A2B4B"/>
    <w:rsid w:val="5A9F5080"/>
    <w:rsid w:val="5AAB6618"/>
    <w:rsid w:val="5AC52E1B"/>
    <w:rsid w:val="5AE91049"/>
    <w:rsid w:val="5AEF582B"/>
    <w:rsid w:val="5B0B5334"/>
    <w:rsid w:val="5B1B7ACD"/>
    <w:rsid w:val="5B247C71"/>
    <w:rsid w:val="5B2A406A"/>
    <w:rsid w:val="5B2B06FA"/>
    <w:rsid w:val="5B392BD6"/>
    <w:rsid w:val="5B561D67"/>
    <w:rsid w:val="5B774FD6"/>
    <w:rsid w:val="5B814790"/>
    <w:rsid w:val="5B82237F"/>
    <w:rsid w:val="5B824855"/>
    <w:rsid w:val="5B856A19"/>
    <w:rsid w:val="5B88245B"/>
    <w:rsid w:val="5B8A0D7A"/>
    <w:rsid w:val="5B8B0F7C"/>
    <w:rsid w:val="5B9E05AD"/>
    <w:rsid w:val="5BBB1AC4"/>
    <w:rsid w:val="5BE11C63"/>
    <w:rsid w:val="5BF24E07"/>
    <w:rsid w:val="5BFB55EA"/>
    <w:rsid w:val="5C15792E"/>
    <w:rsid w:val="5C1A5869"/>
    <w:rsid w:val="5C2404DB"/>
    <w:rsid w:val="5C290BF2"/>
    <w:rsid w:val="5C4E1E1E"/>
    <w:rsid w:val="5C4F343B"/>
    <w:rsid w:val="5C6A79EB"/>
    <w:rsid w:val="5C912690"/>
    <w:rsid w:val="5C970365"/>
    <w:rsid w:val="5C9F632F"/>
    <w:rsid w:val="5CCB04A2"/>
    <w:rsid w:val="5CCD7E04"/>
    <w:rsid w:val="5CD51F6A"/>
    <w:rsid w:val="5CD6026B"/>
    <w:rsid w:val="5CE319F6"/>
    <w:rsid w:val="5CE42846"/>
    <w:rsid w:val="5CE9406B"/>
    <w:rsid w:val="5D0656E1"/>
    <w:rsid w:val="5D566DF5"/>
    <w:rsid w:val="5D5736EC"/>
    <w:rsid w:val="5D592213"/>
    <w:rsid w:val="5D7067ED"/>
    <w:rsid w:val="5D77660D"/>
    <w:rsid w:val="5D7A7C97"/>
    <w:rsid w:val="5D8A240A"/>
    <w:rsid w:val="5D8A4019"/>
    <w:rsid w:val="5D9907FA"/>
    <w:rsid w:val="5DCD4FAD"/>
    <w:rsid w:val="5DD45E20"/>
    <w:rsid w:val="5DD77F01"/>
    <w:rsid w:val="5DF376B4"/>
    <w:rsid w:val="5DF974C4"/>
    <w:rsid w:val="5E150E16"/>
    <w:rsid w:val="5E156702"/>
    <w:rsid w:val="5E2C3CE8"/>
    <w:rsid w:val="5E480DBB"/>
    <w:rsid w:val="5E532C32"/>
    <w:rsid w:val="5E6B78B9"/>
    <w:rsid w:val="5E72530D"/>
    <w:rsid w:val="5E7B3471"/>
    <w:rsid w:val="5E811840"/>
    <w:rsid w:val="5EAC620C"/>
    <w:rsid w:val="5EB56E43"/>
    <w:rsid w:val="5EDB6E5E"/>
    <w:rsid w:val="5F050603"/>
    <w:rsid w:val="5F0F5BF5"/>
    <w:rsid w:val="5F1070E5"/>
    <w:rsid w:val="5F137093"/>
    <w:rsid w:val="5F475DFB"/>
    <w:rsid w:val="5F4A6912"/>
    <w:rsid w:val="5FA342D5"/>
    <w:rsid w:val="5FA40581"/>
    <w:rsid w:val="5FBF418B"/>
    <w:rsid w:val="5FC03F1C"/>
    <w:rsid w:val="5FC128D4"/>
    <w:rsid w:val="5FC577B3"/>
    <w:rsid w:val="5FFB751D"/>
    <w:rsid w:val="5FFC1DCE"/>
    <w:rsid w:val="602423C7"/>
    <w:rsid w:val="603F2394"/>
    <w:rsid w:val="604407B5"/>
    <w:rsid w:val="60487E62"/>
    <w:rsid w:val="605A5C34"/>
    <w:rsid w:val="60630B92"/>
    <w:rsid w:val="606E4C0D"/>
    <w:rsid w:val="60935B47"/>
    <w:rsid w:val="60C76F62"/>
    <w:rsid w:val="60CE1254"/>
    <w:rsid w:val="60D321CB"/>
    <w:rsid w:val="60D467A9"/>
    <w:rsid w:val="60EA12BA"/>
    <w:rsid w:val="60EB3CE8"/>
    <w:rsid w:val="61034470"/>
    <w:rsid w:val="61041400"/>
    <w:rsid w:val="6108421E"/>
    <w:rsid w:val="610C08D6"/>
    <w:rsid w:val="611504BF"/>
    <w:rsid w:val="61233B56"/>
    <w:rsid w:val="6129287D"/>
    <w:rsid w:val="6132559A"/>
    <w:rsid w:val="61535DEE"/>
    <w:rsid w:val="6166167A"/>
    <w:rsid w:val="617020C2"/>
    <w:rsid w:val="61755B39"/>
    <w:rsid w:val="617A0C46"/>
    <w:rsid w:val="618B1EF3"/>
    <w:rsid w:val="61A33787"/>
    <w:rsid w:val="61A66AB4"/>
    <w:rsid w:val="61BC38FA"/>
    <w:rsid w:val="61BE0E4F"/>
    <w:rsid w:val="61C85E7F"/>
    <w:rsid w:val="61CD78CF"/>
    <w:rsid w:val="61DA14FE"/>
    <w:rsid w:val="61E53D34"/>
    <w:rsid w:val="61E73697"/>
    <w:rsid w:val="61EE3162"/>
    <w:rsid w:val="61F62056"/>
    <w:rsid w:val="620208E6"/>
    <w:rsid w:val="620910F8"/>
    <w:rsid w:val="620E46C5"/>
    <w:rsid w:val="620F37AC"/>
    <w:rsid w:val="621536B2"/>
    <w:rsid w:val="621C707C"/>
    <w:rsid w:val="621E0130"/>
    <w:rsid w:val="62271A32"/>
    <w:rsid w:val="6245212D"/>
    <w:rsid w:val="624B2E9D"/>
    <w:rsid w:val="62504ABA"/>
    <w:rsid w:val="62510C1A"/>
    <w:rsid w:val="62607DE0"/>
    <w:rsid w:val="62757089"/>
    <w:rsid w:val="62AE05DB"/>
    <w:rsid w:val="62B60A29"/>
    <w:rsid w:val="62BA5EE7"/>
    <w:rsid w:val="62F04E93"/>
    <w:rsid w:val="62F14EED"/>
    <w:rsid w:val="62FF3767"/>
    <w:rsid w:val="63074094"/>
    <w:rsid w:val="63256E52"/>
    <w:rsid w:val="6337684E"/>
    <w:rsid w:val="63403C73"/>
    <w:rsid w:val="6351410B"/>
    <w:rsid w:val="635D4427"/>
    <w:rsid w:val="635F082F"/>
    <w:rsid w:val="63710CD7"/>
    <w:rsid w:val="639A0C81"/>
    <w:rsid w:val="63A00543"/>
    <w:rsid w:val="63BE2991"/>
    <w:rsid w:val="63D672A4"/>
    <w:rsid w:val="63E900E8"/>
    <w:rsid w:val="63F105D2"/>
    <w:rsid w:val="64003000"/>
    <w:rsid w:val="64020FD8"/>
    <w:rsid w:val="640B49C1"/>
    <w:rsid w:val="64156CD8"/>
    <w:rsid w:val="64413D22"/>
    <w:rsid w:val="64470699"/>
    <w:rsid w:val="644B6CD5"/>
    <w:rsid w:val="646253D3"/>
    <w:rsid w:val="64627D01"/>
    <w:rsid w:val="6473435B"/>
    <w:rsid w:val="64864D44"/>
    <w:rsid w:val="64A01013"/>
    <w:rsid w:val="64C76164"/>
    <w:rsid w:val="64D3186F"/>
    <w:rsid w:val="64EF2266"/>
    <w:rsid w:val="64F33559"/>
    <w:rsid w:val="64FD2EEA"/>
    <w:rsid w:val="64FF1ABC"/>
    <w:rsid w:val="650E3520"/>
    <w:rsid w:val="654069DE"/>
    <w:rsid w:val="65413B3E"/>
    <w:rsid w:val="654B3E81"/>
    <w:rsid w:val="655555A6"/>
    <w:rsid w:val="655F14F0"/>
    <w:rsid w:val="65660277"/>
    <w:rsid w:val="656E6D13"/>
    <w:rsid w:val="65990AED"/>
    <w:rsid w:val="65A63707"/>
    <w:rsid w:val="65A80F59"/>
    <w:rsid w:val="65AA319F"/>
    <w:rsid w:val="65AC5539"/>
    <w:rsid w:val="65BB595A"/>
    <w:rsid w:val="65F22562"/>
    <w:rsid w:val="65F65692"/>
    <w:rsid w:val="660C7338"/>
    <w:rsid w:val="66407FD5"/>
    <w:rsid w:val="665346CA"/>
    <w:rsid w:val="6661498D"/>
    <w:rsid w:val="666B3926"/>
    <w:rsid w:val="668C5B9C"/>
    <w:rsid w:val="66A421AD"/>
    <w:rsid w:val="66C77BCC"/>
    <w:rsid w:val="66CF58C8"/>
    <w:rsid w:val="66D00FF0"/>
    <w:rsid w:val="66E50A5C"/>
    <w:rsid w:val="66E5305A"/>
    <w:rsid w:val="66FA0A76"/>
    <w:rsid w:val="670314C2"/>
    <w:rsid w:val="670A28DD"/>
    <w:rsid w:val="671F2137"/>
    <w:rsid w:val="67256725"/>
    <w:rsid w:val="672C3BD3"/>
    <w:rsid w:val="67441F0C"/>
    <w:rsid w:val="674465E9"/>
    <w:rsid w:val="67594618"/>
    <w:rsid w:val="675B3954"/>
    <w:rsid w:val="676B6466"/>
    <w:rsid w:val="67954429"/>
    <w:rsid w:val="67C47F84"/>
    <w:rsid w:val="67D85572"/>
    <w:rsid w:val="67DD10E7"/>
    <w:rsid w:val="67E51A4F"/>
    <w:rsid w:val="67E81C89"/>
    <w:rsid w:val="67F16AAB"/>
    <w:rsid w:val="67FC2A34"/>
    <w:rsid w:val="68022928"/>
    <w:rsid w:val="68163291"/>
    <w:rsid w:val="68244FDF"/>
    <w:rsid w:val="682634A6"/>
    <w:rsid w:val="68335612"/>
    <w:rsid w:val="683D75EE"/>
    <w:rsid w:val="683F6341"/>
    <w:rsid w:val="68413BF7"/>
    <w:rsid w:val="684A3899"/>
    <w:rsid w:val="68516552"/>
    <w:rsid w:val="685D249D"/>
    <w:rsid w:val="68600066"/>
    <w:rsid w:val="6861776A"/>
    <w:rsid w:val="687222C2"/>
    <w:rsid w:val="6879445C"/>
    <w:rsid w:val="687A5897"/>
    <w:rsid w:val="687D194E"/>
    <w:rsid w:val="68945561"/>
    <w:rsid w:val="689D6C87"/>
    <w:rsid w:val="68A05E34"/>
    <w:rsid w:val="68A4599C"/>
    <w:rsid w:val="68AD0074"/>
    <w:rsid w:val="68D4182F"/>
    <w:rsid w:val="68DA458B"/>
    <w:rsid w:val="68E565D8"/>
    <w:rsid w:val="68ED4DA7"/>
    <w:rsid w:val="68FC5EBD"/>
    <w:rsid w:val="69122538"/>
    <w:rsid w:val="69194FE8"/>
    <w:rsid w:val="691F4315"/>
    <w:rsid w:val="69544350"/>
    <w:rsid w:val="69703FA0"/>
    <w:rsid w:val="69997B9C"/>
    <w:rsid w:val="69A84304"/>
    <w:rsid w:val="69B379C1"/>
    <w:rsid w:val="69B52A42"/>
    <w:rsid w:val="69B67148"/>
    <w:rsid w:val="69BE4DB3"/>
    <w:rsid w:val="69CF0E91"/>
    <w:rsid w:val="69CF0ED8"/>
    <w:rsid w:val="69D52B56"/>
    <w:rsid w:val="69D54DDD"/>
    <w:rsid w:val="69E028D2"/>
    <w:rsid w:val="69E874BD"/>
    <w:rsid w:val="69F54308"/>
    <w:rsid w:val="6A0A7A54"/>
    <w:rsid w:val="6A2622A1"/>
    <w:rsid w:val="6A35577F"/>
    <w:rsid w:val="6A3A22EA"/>
    <w:rsid w:val="6A3F2D1D"/>
    <w:rsid w:val="6A592054"/>
    <w:rsid w:val="6A777087"/>
    <w:rsid w:val="6A820574"/>
    <w:rsid w:val="6A99048F"/>
    <w:rsid w:val="6AA077DB"/>
    <w:rsid w:val="6AA47C92"/>
    <w:rsid w:val="6AB909BB"/>
    <w:rsid w:val="6ABA0C51"/>
    <w:rsid w:val="6ABD020C"/>
    <w:rsid w:val="6ADD6D64"/>
    <w:rsid w:val="6B0F06C2"/>
    <w:rsid w:val="6B2B6878"/>
    <w:rsid w:val="6B633F4F"/>
    <w:rsid w:val="6B70680D"/>
    <w:rsid w:val="6B816F14"/>
    <w:rsid w:val="6B8A298B"/>
    <w:rsid w:val="6B8A779B"/>
    <w:rsid w:val="6BAD6C20"/>
    <w:rsid w:val="6BB456BB"/>
    <w:rsid w:val="6BB62A44"/>
    <w:rsid w:val="6BD81D0A"/>
    <w:rsid w:val="6BE052CE"/>
    <w:rsid w:val="6BF2692A"/>
    <w:rsid w:val="6BF358A4"/>
    <w:rsid w:val="6C051F4E"/>
    <w:rsid w:val="6C096C12"/>
    <w:rsid w:val="6C1A5960"/>
    <w:rsid w:val="6C417EB8"/>
    <w:rsid w:val="6C613F45"/>
    <w:rsid w:val="6C756221"/>
    <w:rsid w:val="6C7B08BB"/>
    <w:rsid w:val="6C816AF9"/>
    <w:rsid w:val="6C846694"/>
    <w:rsid w:val="6CA841D2"/>
    <w:rsid w:val="6CB10385"/>
    <w:rsid w:val="6CDF0F3A"/>
    <w:rsid w:val="6CE47854"/>
    <w:rsid w:val="6D0D25B8"/>
    <w:rsid w:val="6D490A6B"/>
    <w:rsid w:val="6D582A6D"/>
    <w:rsid w:val="6D604FD1"/>
    <w:rsid w:val="6D635FBA"/>
    <w:rsid w:val="6D6534EB"/>
    <w:rsid w:val="6D6C0EA8"/>
    <w:rsid w:val="6D732F9C"/>
    <w:rsid w:val="6D9239A2"/>
    <w:rsid w:val="6DB664EE"/>
    <w:rsid w:val="6DBC6250"/>
    <w:rsid w:val="6DC64BAC"/>
    <w:rsid w:val="6E037AD7"/>
    <w:rsid w:val="6E056523"/>
    <w:rsid w:val="6E074EC9"/>
    <w:rsid w:val="6E160E52"/>
    <w:rsid w:val="6E2E569B"/>
    <w:rsid w:val="6E4064F1"/>
    <w:rsid w:val="6E4E39FC"/>
    <w:rsid w:val="6E5545BD"/>
    <w:rsid w:val="6E5D1964"/>
    <w:rsid w:val="6E614B19"/>
    <w:rsid w:val="6E616F13"/>
    <w:rsid w:val="6E7369B5"/>
    <w:rsid w:val="6E7B5CAB"/>
    <w:rsid w:val="6EAA56FE"/>
    <w:rsid w:val="6EB37B5B"/>
    <w:rsid w:val="6EBE6FBB"/>
    <w:rsid w:val="6ED70BA2"/>
    <w:rsid w:val="6EDB7671"/>
    <w:rsid w:val="6EF77260"/>
    <w:rsid w:val="6F2302E3"/>
    <w:rsid w:val="6F314C13"/>
    <w:rsid w:val="6F382FA6"/>
    <w:rsid w:val="6F391F60"/>
    <w:rsid w:val="6F694006"/>
    <w:rsid w:val="6F6C5490"/>
    <w:rsid w:val="6F761900"/>
    <w:rsid w:val="6FA71AD5"/>
    <w:rsid w:val="6FAF2607"/>
    <w:rsid w:val="6FD47D24"/>
    <w:rsid w:val="6FE17D06"/>
    <w:rsid w:val="6FF536DD"/>
    <w:rsid w:val="6FFD71B3"/>
    <w:rsid w:val="700D2412"/>
    <w:rsid w:val="70112883"/>
    <w:rsid w:val="70243856"/>
    <w:rsid w:val="703F2471"/>
    <w:rsid w:val="704B4131"/>
    <w:rsid w:val="70531ED5"/>
    <w:rsid w:val="705A528C"/>
    <w:rsid w:val="7068062C"/>
    <w:rsid w:val="707F47B3"/>
    <w:rsid w:val="70954F53"/>
    <w:rsid w:val="70A94A40"/>
    <w:rsid w:val="70D80F32"/>
    <w:rsid w:val="70D97C76"/>
    <w:rsid w:val="70F76E40"/>
    <w:rsid w:val="711337D0"/>
    <w:rsid w:val="713173E8"/>
    <w:rsid w:val="71420658"/>
    <w:rsid w:val="7143472C"/>
    <w:rsid w:val="71440341"/>
    <w:rsid w:val="71531561"/>
    <w:rsid w:val="71597148"/>
    <w:rsid w:val="716D089C"/>
    <w:rsid w:val="71715206"/>
    <w:rsid w:val="71743A1D"/>
    <w:rsid w:val="71774D56"/>
    <w:rsid w:val="71901CEF"/>
    <w:rsid w:val="719438F4"/>
    <w:rsid w:val="719D7F3F"/>
    <w:rsid w:val="71B55DFD"/>
    <w:rsid w:val="71B834E8"/>
    <w:rsid w:val="71D0750E"/>
    <w:rsid w:val="71D803D1"/>
    <w:rsid w:val="71E501C6"/>
    <w:rsid w:val="71F40A44"/>
    <w:rsid w:val="7202163F"/>
    <w:rsid w:val="723B04C8"/>
    <w:rsid w:val="724E6817"/>
    <w:rsid w:val="72600D68"/>
    <w:rsid w:val="72604620"/>
    <w:rsid w:val="726B02C1"/>
    <w:rsid w:val="726D2C67"/>
    <w:rsid w:val="729A0F74"/>
    <w:rsid w:val="72F03574"/>
    <w:rsid w:val="72F77CB6"/>
    <w:rsid w:val="731438BD"/>
    <w:rsid w:val="733155C8"/>
    <w:rsid w:val="73422D3C"/>
    <w:rsid w:val="73625723"/>
    <w:rsid w:val="737007D9"/>
    <w:rsid w:val="738B5B50"/>
    <w:rsid w:val="73AA53A0"/>
    <w:rsid w:val="73B04F6B"/>
    <w:rsid w:val="73D20D1A"/>
    <w:rsid w:val="73E168D2"/>
    <w:rsid w:val="73E873C4"/>
    <w:rsid w:val="73F07AA4"/>
    <w:rsid w:val="74010DBC"/>
    <w:rsid w:val="74054701"/>
    <w:rsid w:val="740D2C3F"/>
    <w:rsid w:val="74135925"/>
    <w:rsid w:val="742827DB"/>
    <w:rsid w:val="742D6CA9"/>
    <w:rsid w:val="742E58A2"/>
    <w:rsid w:val="74525628"/>
    <w:rsid w:val="745F06BF"/>
    <w:rsid w:val="746C713B"/>
    <w:rsid w:val="748D2368"/>
    <w:rsid w:val="749217E0"/>
    <w:rsid w:val="74B22D8C"/>
    <w:rsid w:val="74C26B38"/>
    <w:rsid w:val="74C55FC1"/>
    <w:rsid w:val="74CC7EC1"/>
    <w:rsid w:val="74DA7552"/>
    <w:rsid w:val="74E41FDD"/>
    <w:rsid w:val="74EF6361"/>
    <w:rsid w:val="74F347DF"/>
    <w:rsid w:val="74FA7FE6"/>
    <w:rsid w:val="74FD4A9B"/>
    <w:rsid w:val="751D43A6"/>
    <w:rsid w:val="75453AE1"/>
    <w:rsid w:val="75573AC9"/>
    <w:rsid w:val="75595449"/>
    <w:rsid w:val="758B283A"/>
    <w:rsid w:val="75BD313A"/>
    <w:rsid w:val="75BF6D3D"/>
    <w:rsid w:val="75DC1EF4"/>
    <w:rsid w:val="75E50837"/>
    <w:rsid w:val="75EF5520"/>
    <w:rsid w:val="75F63713"/>
    <w:rsid w:val="76143A54"/>
    <w:rsid w:val="7637074A"/>
    <w:rsid w:val="763B63B0"/>
    <w:rsid w:val="764772A3"/>
    <w:rsid w:val="767B7960"/>
    <w:rsid w:val="769A6195"/>
    <w:rsid w:val="76A44430"/>
    <w:rsid w:val="76A71FBB"/>
    <w:rsid w:val="76AA5D81"/>
    <w:rsid w:val="76AB50DC"/>
    <w:rsid w:val="76BB3C83"/>
    <w:rsid w:val="76C80EC7"/>
    <w:rsid w:val="76F73D47"/>
    <w:rsid w:val="77006E1F"/>
    <w:rsid w:val="77032A24"/>
    <w:rsid w:val="771670C1"/>
    <w:rsid w:val="772C16E9"/>
    <w:rsid w:val="77683E14"/>
    <w:rsid w:val="77734EA5"/>
    <w:rsid w:val="77A06542"/>
    <w:rsid w:val="77A922C9"/>
    <w:rsid w:val="77AC049C"/>
    <w:rsid w:val="77B23714"/>
    <w:rsid w:val="77BB772D"/>
    <w:rsid w:val="77D43FD2"/>
    <w:rsid w:val="77FA155A"/>
    <w:rsid w:val="781137AD"/>
    <w:rsid w:val="781D13FA"/>
    <w:rsid w:val="782817E9"/>
    <w:rsid w:val="78555C26"/>
    <w:rsid w:val="78640057"/>
    <w:rsid w:val="78810787"/>
    <w:rsid w:val="78826969"/>
    <w:rsid w:val="788E3AAC"/>
    <w:rsid w:val="78B515B5"/>
    <w:rsid w:val="78C21620"/>
    <w:rsid w:val="78CE2D76"/>
    <w:rsid w:val="78EE2375"/>
    <w:rsid w:val="78FA244C"/>
    <w:rsid w:val="78FE1B78"/>
    <w:rsid w:val="79024116"/>
    <w:rsid w:val="790B5E4F"/>
    <w:rsid w:val="790D572F"/>
    <w:rsid w:val="79233654"/>
    <w:rsid w:val="79455569"/>
    <w:rsid w:val="79470AE2"/>
    <w:rsid w:val="795123A8"/>
    <w:rsid w:val="79535AC3"/>
    <w:rsid w:val="79620961"/>
    <w:rsid w:val="79987ED2"/>
    <w:rsid w:val="79AE1AE3"/>
    <w:rsid w:val="79AE77FB"/>
    <w:rsid w:val="79B85AA8"/>
    <w:rsid w:val="79C342A8"/>
    <w:rsid w:val="79C34F9F"/>
    <w:rsid w:val="79C81B6A"/>
    <w:rsid w:val="79E83652"/>
    <w:rsid w:val="79EF6059"/>
    <w:rsid w:val="7A074D7D"/>
    <w:rsid w:val="7A1053E1"/>
    <w:rsid w:val="7A17618B"/>
    <w:rsid w:val="7A1E05C7"/>
    <w:rsid w:val="7A3F1ABF"/>
    <w:rsid w:val="7A413A99"/>
    <w:rsid w:val="7A4642A9"/>
    <w:rsid w:val="7A4B6B30"/>
    <w:rsid w:val="7A5D3D51"/>
    <w:rsid w:val="7A5F0CF7"/>
    <w:rsid w:val="7A675EA5"/>
    <w:rsid w:val="7A6B3865"/>
    <w:rsid w:val="7A7041ED"/>
    <w:rsid w:val="7A832390"/>
    <w:rsid w:val="7A92679C"/>
    <w:rsid w:val="7A955810"/>
    <w:rsid w:val="7A985E92"/>
    <w:rsid w:val="7A9C2E47"/>
    <w:rsid w:val="7A9E009C"/>
    <w:rsid w:val="7AC019FF"/>
    <w:rsid w:val="7ACA6FB9"/>
    <w:rsid w:val="7AF46C5F"/>
    <w:rsid w:val="7AF91BCC"/>
    <w:rsid w:val="7B0C5BAE"/>
    <w:rsid w:val="7B2374FE"/>
    <w:rsid w:val="7B34342A"/>
    <w:rsid w:val="7B3873CB"/>
    <w:rsid w:val="7B496993"/>
    <w:rsid w:val="7B783675"/>
    <w:rsid w:val="7B796807"/>
    <w:rsid w:val="7BAC2D3A"/>
    <w:rsid w:val="7BAE3C97"/>
    <w:rsid w:val="7BB16076"/>
    <w:rsid w:val="7BB46DB9"/>
    <w:rsid w:val="7BC02341"/>
    <w:rsid w:val="7BD74454"/>
    <w:rsid w:val="7BE96DEC"/>
    <w:rsid w:val="7C021A51"/>
    <w:rsid w:val="7C033C13"/>
    <w:rsid w:val="7C041A0F"/>
    <w:rsid w:val="7C110306"/>
    <w:rsid w:val="7C212B8A"/>
    <w:rsid w:val="7C8464A1"/>
    <w:rsid w:val="7C9D2D7B"/>
    <w:rsid w:val="7CA26867"/>
    <w:rsid w:val="7CB43A8E"/>
    <w:rsid w:val="7CC106AB"/>
    <w:rsid w:val="7CDF4250"/>
    <w:rsid w:val="7D09113D"/>
    <w:rsid w:val="7D157A0E"/>
    <w:rsid w:val="7D1658AD"/>
    <w:rsid w:val="7D1D4159"/>
    <w:rsid w:val="7D243099"/>
    <w:rsid w:val="7D4B3993"/>
    <w:rsid w:val="7D5F5E30"/>
    <w:rsid w:val="7D6C208F"/>
    <w:rsid w:val="7D897D56"/>
    <w:rsid w:val="7D9B14E5"/>
    <w:rsid w:val="7DAA42B2"/>
    <w:rsid w:val="7DAA569A"/>
    <w:rsid w:val="7DB1501E"/>
    <w:rsid w:val="7DB676D9"/>
    <w:rsid w:val="7DBE16CF"/>
    <w:rsid w:val="7DC37DE3"/>
    <w:rsid w:val="7DD45912"/>
    <w:rsid w:val="7E0D4E8F"/>
    <w:rsid w:val="7E107D04"/>
    <w:rsid w:val="7E202441"/>
    <w:rsid w:val="7E4B691E"/>
    <w:rsid w:val="7E616C7B"/>
    <w:rsid w:val="7E733A70"/>
    <w:rsid w:val="7E8A0780"/>
    <w:rsid w:val="7EA574A2"/>
    <w:rsid w:val="7EBB0DC0"/>
    <w:rsid w:val="7EC42E15"/>
    <w:rsid w:val="7EC50C54"/>
    <w:rsid w:val="7ED11A3C"/>
    <w:rsid w:val="7ED91C72"/>
    <w:rsid w:val="7EEB5BB3"/>
    <w:rsid w:val="7F1568D7"/>
    <w:rsid w:val="7F2E0D24"/>
    <w:rsid w:val="7F312E91"/>
    <w:rsid w:val="7F33645C"/>
    <w:rsid w:val="7F4E4DC2"/>
    <w:rsid w:val="7F66205C"/>
    <w:rsid w:val="7FA8327A"/>
    <w:rsid w:val="7FB32EED"/>
    <w:rsid w:val="7FB6358D"/>
    <w:rsid w:val="7FE07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99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oa heading"/>
    <w:basedOn w:val="1"/>
    <w:next w:val="1"/>
    <w:qFormat/>
    <w:uiPriority w:val="99"/>
    <w:pPr>
      <w:spacing w:before="120" w:after="200" w:line="276" w:lineRule="auto"/>
    </w:pPr>
    <w:rPr>
      <w:rFonts w:ascii="Arial" w:hAnsi="Arial"/>
      <w:sz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customStyle="1" w:styleId="8">
    <w:name w:val="Table Normal"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Default"/>
    <w:qFormat/>
    <w:uiPriority w:val="99"/>
    <w:pPr>
      <w:widowControl w:val="0"/>
      <w:autoSpaceDE w:val="0"/>
      <w:autoSpaceDN w:val="0"/>
      <w:adjustRightInd w:val="0"/>
    </w:pPr>
    <w:rPr>
      <w:rFonts w:ascii="黑体" w:hAnsi="Calibri" w:eastAsia="黑体" w:cs="黑体"/>
      <w:color w:val="000000"/>
      <w:kern w:val="0"/>
      <w:sz w:val="24"/>
      <w:szCs w:val="24"/>
      <w:lang w:val="en-US" w:eastAsia="zh-CN" w:bidi="ar-SA"/>
    </w:rPr>
  </w:style>
  <w:style w:type="character" w:customStyle="1" w:styleId="10">
    <w:name w:val="font11"/>
    <w:basedOn w:val="7"/>
    <w:qFormat/>
    <w:uiPriority w:val="0"/>
    <w:rPr>
      <w:rFonts w:ascii="宋体" w:hAnsi="宋体" w:eastAsia="宋体" w:cs="宋体"/>
      <w:color w:val="000000"/>
      <w:sz w:val="20"/>
      <w:szCs w:val="20"/>
      <w:u w:val="none"/>
    </w:rPr>
  </w:style>
  <w:style w:type="character" w:customStyle="1" w:styleId="11">
    <w:name w:val="font41"/>
    <w:basedOn w:val="7"/>
    <w:qFormat/>
    <w:uiPriority w:val="0"/>
    <w:rPr>
      <w:rFonts w:hint="default" w:ascii="Times New Roman" w:hAnsi="Times New Roman" w:cs="Times New Roman"/>
      <w:color w:val="000000"/>
      <w:sz w:val="20"/>
      <w:szCs w:val="20"/>
      <w:u w:val="none"/>
    </w:rPr>
  </w:style>
  <w:style w:type="character" w:customStyle="1" w:styleId="12">
    <w:name w:val="font51"/>
    <w:basedOn w:val="7"/>
    <w:qFormat/>
    <w:uiPriority w:val="0"/>
    <w:rPr>
      <w:rFonts w:hint="eastAsia" w:ascii="宋体" w:hAnsi="宋体" w:eastAsia="宋体" w:cs="宋体"/>
      <w:color w:val="000000"/>
      <w:sz w:val="20"/>
      <w:szCs w:val="20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18</Pages>
  <Words>10009</Words>
  <Characters>10608</Characters>
  <Lines>0</Lines>
  <Paragraphs>0</Paragraphs>
  <TotalTime>20</TotalTime>
  <ScaleCrop>false</ScaleCrop>
  <LinksUpToDate>false</LinksUpToDate>
  <CharactersWithSpaces>10809</CharactersWithSpaces>
  <Application>WPS Office_12.1.0.17133_F1E327BC-269C-435d-A152-05C5408002CA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2023-04-23T08:56:00Z</dcterms:created>
  <dc:creator>新一天</dc:creator>
  <cp:lastModifiedBy>Freedom</cp:lastModifiedBy>
  <cp:lastPrinted>2023-05-26T08:11:00Z</cp:lastPrinted>
  <dcterms:modified xsi:type="dcterms:W3CDTF">2024-06-28T07:25:03Z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2052-12.1.0.17133</vt:lpwstr>
  </property>
  <property fmtid="{D5CDD505-2E9C-101B-9397-08002B2CF9AE}" pid="3" name="ICV">
    <vt:lpwstr>7854DF685AD143ABA3734585646769A2_13</vt:lpwstr>
  </property>
</Properties>
</file>