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7EBC5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7DD5D930">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000C1F0B">
      <w:pPr>
        <w:spacing w:line="115" w:lineRule="exact"/>
        <w:rPr>
          <w:color w:val="000000" w:themeColor="text1"/>
          <w14:textFill>
            <w14:solidFill>
              <w14:schemeClr w14:val="tx1"/>
            </w14:solidFill>
          </w14:textFill>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16894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3B8D5428">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6171965A">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eastAsia="zh-CN"/>
                <w14:textFill>
                  <w14:solidFill>
                    <w14:schemeClr w14:val="tx1"/>
                  </w14:solidFill>
                </w14:textFill>
              </w:rPr>
              <w:t>岳阳市餐厨垃圾综合处理所</w:t>
            </w:r>
          </w:p>
        </w:tc>
      </w:tr>
      <w:tr w14:paraId="6D516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6FA89EB7">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2B785BA8">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399FE601">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444B5F4F">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6BEC7E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609198E5">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7A01B0A2">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19</w:t>
            </w:r>
          </w:p>
        </w:tc>
        <w:tc>
          <w:tcPr>
            <w:tcW w:w="2325" w:type="dxa"/>
            <w:gridSpan w:val="2"/>
            <w:noWrap w:val="0"/>
            <w:vAlign w:val="top"/>
          </w:tcPr>
          <w:p w14:paraId="10D4A512">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26（含混编混岗7人）</w:t>
            </w:r>
          </w:p>
        </w:tc>
        <w:tc>
          <w:tcPr>
            <w:tcW w:w="1679" w:type="dxa"/>
            <w:gridSpan w:val="2"/>
            <w:noWrap w:val="0"/>
            <w:vAlign w:val="top"/>
          </w:tcPr>
          <w:p w14:paraId="777D69BC">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136.84%</w:t>
            </w:r>
          </w:p>
        </w:tc>
      </w:tr>
      <w:tr w14:paraId="5197C1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565A70C8">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7DCDEF95">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25585B57">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63DFD33F">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798EB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4C4485F">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42B7EDE9">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14:paraId="07A26360">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14:paraId="021678EE">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14:paraId="6C07E3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576F72B">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525F951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AB4291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64.54</w:t>
            </w:r>
          </w:p>
        </w:tc>
        <w:tc>
          <w:tcPr>
            <w:tcW w:w="1679" w:type="dxa"/>
            <w:gridSpan w:val="2"/>
            <w:noWrap w:val="0"/>
            <w:vAlign w:val="top"/>
          </w:tcPr>
          <w:p w14:paraId="76EA17F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64.54</w:t>
            </w:r>
          </w:p>
        </w:tc>
      </w:tr>
      <w:tr w14:paraId="29A09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BFB3BC3">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44C4ED4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501C500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33262A4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65591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121173DE">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1BE0603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285078B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64.54</w:t>
            </w:r>
          </w:p>
        </w:tc>
        <w:tc>
          <w:tcPr>
            <w:tcW w:w="1679" w:type="dxa"/>
            <w:gridSpan w:val="2"/>
            <w:noWrap w:val="0"/>
            <w:vAlign w:val="top"/>
          </w:tcPr>
          <w:p w14:paraId="409FBCC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64.54</w:t>
            </w:r>
          </w:p>
        </w:tc>
      </w:tr>
      <w:tr w14:paraId="43D287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1A416136">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4626962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7F0AA83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7699FAC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78A4FC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09EE5FC">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31D6D08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6C526B0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70809CF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049240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1A33E0C">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7E8C2D3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85AC5F4">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69B1E794">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5B44E1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50165B7">
            <w:pPr>
              <w:spacing w:before="133" w:line="200" w:lineRule="auto"/>
              <w:ind w:firstLine="484"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7700320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2463C3E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03DE93AB">
            <w:pPr>
              <w:jc w:val="both"/>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34762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6EB14408">
            <w:pPr>
              <w:spacing w:before="143" w:line="209" w:lineRule="auto"/>
              <w:ind w:firstLine="484"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1551FD7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4F41943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0F29D002">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5CF3D3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10063B00">
            <w:pPr>
              <w:ind w:firstLine="480" w:firstLineChars="200"/>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3、禁毒经费</w:t>
            </w:r>
          </w:p>
        </w:tc>
        <w:tc>
          <w:tcPr>
            <w:tcW w:w="1815" w:type="dxa"/>
            <w:gridSpan w:val="2"/>
            <w:noWrap w:val="0"/>
            <w:vAlign w:val="top"/>
          </w:tcPr>
          <w:p w14:paraId="4F1737A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D2322F1">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0471D3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0.51</w:t>
            </w:r>
          </w:p>
        </w:tc>
      </w:tr>
      <w:tr w14:paraId="6E717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4D1B326C">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城乡社区支出</w:t>
            </w:r>
          </w:p>
        </w:tc>
        <w:tc>
          <w:tcPr>
            <w:tcW w:w="1815" w:type="dxa"/>
            <w:gridSpan w:val="2"/>
            <w:noWrap w:val="0"/>
            <w:vAlign w:val="top"/>
          </w:tcPr>
          <w:p w14:paraId="3ED8CD5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4848C0B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653EFC1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328.8</w:t>
            </w:r>
          </w:p>
        </w:tc>
      </w:tr>
      <w:tr w14:paraId="7917A9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D170C2B">
            <w:pPr>
              <w:ind w:firstLine="480" w:firstLineChars="200"/>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5、其他支出</w:t>
            </w:r>
          </w:p>
        </w:tc>
        <w:tc>
          <w:tcPr>
            <w:tcW w:w="1815" w:type="dxa"/>
            <w:gridSpan w:val="2"/>
            <w:noWrap w:val="0"/>
            <w:vAlign w:val="top"/>
          </w:tcPr>
          <w:p w14:paraId="421D1CA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82F27E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0CBE9F4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2.91</w:t>
            </w:r>
          </w:p>
        </w:tc>
      </w:tr>
      <w:tr w14:paraId="1F928F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E53C644">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15C3A7C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25C16BB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1D8696E">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FFCAA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14:paraId="0BFB8CD1">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730BDD71">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84E12E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46.8</w:t>
            </w:r>
          </w:p>
        </w:tc>
        <w:tc>
          <w:tcPr>
            <w:tcW w:w="1679" w:type="dxa"/>
            <w:gridSpan w:val="2"/>
            <w:noWrap w:val="0"/>
            <w:vAlign w:val="top"/>
          </w:tcPr>
          <w:p w14:paraId="13116C5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27.79</w:t>
            </w:r>
          </w:p>
        </w:tc>
      </w:tr>
      <w:tr w14:paraId="1493C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251C62C">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6754CE7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3A92DCC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42.18</w:t>
            </w:r>
          </w:p>
        </w:tc>
        <w:tc>
          <w:tcPr>
            <w:tcW w:w="1679" w:type="dxa"/>
            <w:gridSpan w:val="2"/>
            <w:noWrap w:val="0"/>
            <w:vAlign w:val="top"/>
          </w:tcPr>
          <w:p w14:paraId="247010E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25.02</w:t>
            </w:r>
          </w:p>
        </w:tc>
      </w:tr>
      <w:tr w14:paraId="2790C9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211B395">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64BD2CC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54D1EF0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3.62</w:t>
            </w:r>
          </w:p>
        </w:tc>
        <w:tc>
          <w:tcPr>
            <w:tcW w:w="1679" w:type="dxa"/>
            <w:gridSpan w:val="2"/>
            <w:noWrap w:val="0"/>
            <w:vAlign w:val="top"/>
          </w:tcPr>
          <w:p w14:paraId="73ED453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2.17</w:t>
            </w:r>
          </w:p>
        </w:tc>
      </w:tr>
      <w:tr w14:paraId="12A44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AD8AF28">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7E35BFC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16B2C43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c>
          <w:tcPr>
            <w:tcW w:w="1679" w:type="dxa"/>
            <w:gridSpan w:val="2"/>
            <w:noWrap w:val="0"/>
            <w:vAlign w:val="top"/>
          </w:tcPr>
          <w:p w14:paraId="6480CF4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0.6</w:t>
            </w:r>
          </w:p>
        </w:tc>
      </w:tr>
      <w:tr w14:paraId="44F14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31C254B">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2A65A0F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09E2CF1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46.8</w:t>
            </w:r>
          </w:p>
        </w:tc>
        <w:tc>
          <w:tcPr>
            <w:tcW w:w="1679" w:type="dxa"/>
            <w:gridSpan w:val="2"/>
            <w:noWrap w:val="0"/>
            <w:vAlign w:val="top"/>
          </w:tcPr>
          <w:p w14:paraId="7A3AFC1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40.62</w:t>
            </w:r>
          </w:p>
        </w:tc>
      </w:tr>
      <w:tr w14:paraId="54B4CD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7A4D16E">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64093DE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2CAF1A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F7AB1AA">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5D43B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1BD2D93B">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58CDB1F1">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197D1DA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7D0E66E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72FB30D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11ACD4A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6C0EC7F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41396BF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4A6FF27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457B82B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1EE7F30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74777DF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6309F04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1F30928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22A64EE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2B8ECA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47655856">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384F166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14:paraId="769B94B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14:paraId="51C16F0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233686F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579F2388">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1EC18FD3">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1E31AD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370A8959">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0DCD0FEE">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14:paraId="60073111">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06491C3C">
      <w:pPr>
        <w:keepNext w:val="0"/>
        <w:keepLines w:val="0"/>
        <w:pageBreakBefore w:val="0"/>
        <w:widowControl w:val="0"/>
        <w:kinsoku/>
        <w:wordWrap/>
        <w:overflowPunct/>
        <w:topLinePunct w:val="0"/>
        <w:autoSpaceDE/>
        <w:autoSpaceDN/>
        <w:bidi w:val="0"/>
        <w:adjustRightInd/>
        <w:snapToGrid/>
        <w:jc w:val="left"/>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陈果</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13873034782</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2023-6-14</w:t>
      </w:r>
    </w:p>
    <w:p w14:paraId="48DF8159">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3CE2FF9E">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21A107D4">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07AF10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1217F184">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2C612E0E">
            <w:pPr>
              <w:jc w:val="left"/>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岳阳市餐厨垃圾综合处理所</w:t>
            </w:r>
          </w:p>
        </w:tc>
      </w:tr>
      <w:tr w14:paraId="66C36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729513A7">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0BBA6A2F">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2B21EAA8">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1DF362CC">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1F0D144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533CD536">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44A21CFB">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393FA0ED">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5854F21E">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22D36ED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79A86D0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3680A0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1475D02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00DBDFA2">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17C06A5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395.75</w:t>
            </w:r>
          </w:p>
        </w:tc>
        <w:tc>
          <w:tcPr>
            <w:tcW w:w="1319" w:type="dxa"/>
            <w:noWrap w:val="0"/>
            <w:vAlign w:val="center"/>
          </w:tcPr>
          <w:p w14:paraId="55FFA65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603.6</w:t>
            </w:r>
          </w:p>
        </w:tc>
        <w:tc>
          <w:tcPr>
            <w:tcW w:w="1259" w:type="dxa"/>
            <w:noWrap w:val="0"/>
            <w:vAlign w:val="center"/>
          </w:tcPr>
          <w:p w14:paraId="3ECF33C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603.6</w:t>
            </w:r>
          </w:p>
        </w:tc>
        <w:tc>
          <w:tcPr>
            <w:tcW w:w="719" w:type="dxa"/>
            <w:noWrap w:val="0"/>
            <w:vAlign w:val="center"/>
          </w:tcPr>
          <w:p w14:paraId="4A218202">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48805F3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152.52%</w:t>
            </w:r>
          </w:p>
        </w:tc>
        <w:tc>
          <w:tcPr>
            <w:tcW w:w="1275" w:type="dxa"/>
            <w:noWrap w:val="0"/>
            <w:vAlign w:val="center"/>
          </w:tcPr>
          <w:p w14:paraId="56AB736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w:t>
            </w:r>
          </w:p>
        </w:tc>
      </w:tr>
      <w:tr w14:paraId="0D48F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30638639">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D807797">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3A4DD772">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6AF54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799F727C">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6019B7E">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603.24</w:t>
            </w:r>
          </w:p>
        </w:tc>
        <w:tc>
          <w:tcPr>
            <w:tcW w:w="4055" w:type="dxa"/>
            <w:gridSpan w:val="4"/>
            <w:noWrap w:val="0"/>
            <w:vAlign w:val="center"/>
          </w:tcPr>
          <w:p w14:paraId="019A6514">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271.38</w:t>
            </w:r>
          </w:p>
        </w:tc>
      </w:tr>
      <w:tr w14:paraId="35CF5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5B5F57A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42A1835">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14:paraId="054C79A1">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332.22</w:t>
            </w:r>
          </w:p>
        </w:tc>
      </w:tr>
      <w:tr w14:paraId="2557F7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3B66D8F9">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78F6F868">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14:paraId="1268DA9A">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43A94C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2AA7793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6E9D572">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0.36</w:t>
            </w:r>
          </w:p>
        </w:tc>
        <w:tc>
          <w:tcPr>
            <w:tcW w:w="4055" w:type="dxa"/>
            <w:gridSpan w:val="4"/>
            <w:noWrap w:val="0"/>
            <w:vAlign w:val="center"/>
          </w:tcPr>
          <w:p w14:paraId="39E4CAF4">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2B8D3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40FC0983">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61FD4127">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7BBA182C">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68959B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42B41B8C">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0FFEE879">
            <w:pPr>
              <w:keepNext w:val="0"/>
              <w:keepLines w:val="0"/>
              <w:pageBreakBefore w:val="0"/>
              <w:widowControl w:val="0"/>
              <w:numPr>
                <w:ilvl w:val="0"/>
                <w:numId w:val="1"/>
              </w:numPr>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餐厨垃圾行政执法</w:t>
            </w:r>
          </w:p>
          <w:p w14:paraId="31B4C4A9">
            <w:pPr>
              <w:keepNext w:val="0"/>
              <w:keepLines w:val="0"/>
              <w:pageBreakBefore w:val="0"/>
              <w:widowControl w:val="0"/>
              <w:numPr>
                <w:ilvl w:val="0"/>
                <w:numId w:val="1"/>
              </w:numPr>
              <w:kinsoku/>
              <w:wordWrap/>
              <w:overflowPunct/>
              <w:topLinePunct w:val="0"/>
              <w:autoSpaceDE/>
              <w:autoSpaceDN/>
              <w:bidi w:val="0"/>
              <w:adjustRightInd/>
              <w:snapToGrid/>
              <w:spacing w:line="240" w:lineRule="exact"/>
              <w:ind w:left="0"/>
              <w:jc w:val="left"/>
              <w:textAlignment w:val="auto"/>
              <w:rPr>
                <w:rFonts w:hint="default" w:ascii="Arial"/>
                <w:color w:val="000000" w:themeColor="text1"/>
                <w:spacing w:val="0"/>
                <w:sz w:val="20"/>
                <w:lang w:val="en-US" w:eastAsia="zh-CN"/>
                <w14:textFill>
                  <w14:solidFill>
                    <w14:schemeClr w14:val="tx1"/>
                  </w14:solidFill>
                </w14:textFill>
              </w:rPr>
            </w:pPr>
            <w:r>
              <w:rPr>
                <w:rFonts w:hint="default" w:ascii="Arial"/>
                <w:color w:val="000000" w:themeColor="text1"/>
                <w:spacing w:val="0"/>
                <w:sz w:val="20"/>
                <w:lang w:val="en-US" w:eastAsia="zh-CN"/>
                <w14:textFill>
                  <w14:solidFill>
                    <w14:schemeClr w14:val="tx1"/>
                  </w14:solidFill>
                </w14:textFill>
              </w:rPr>
              <w:t>餐厨垃圾收运</w:t>
            </w:r>
          </w:p>
          <w:p w14:paraId="77FADE27">
            <w:pPr>
              <w:keepNext w:val="0"/>
              <w:keepLines w:val="0"/>
              <w:pageBreakBefore w:val="0"/>
              <w:widowControl w:val="0"/>
              <w:numPr>
                <w:ilvl w:val="0"/>
                <w:numId w:val="1"/>
              </w:numPr>
              <w:kinsoku/>
              <w:wordWrap/>
              <w:overflowPunct/>
              <w:topLinePunct w:val="0"/>
              <w:autoSpaceDE/>
              <w:autoSpaceDN/>
              <w:bidi w:val="0"/>
              <w:adjustRightInd/>
              <w:snapToGrid/>
              <w:spacing w:line="240" w:lineRule="exact"/>
              <w:ind w:left="0"/>
              <w:jc w:val="left"/>
              <w:textAlignment w:val="auto"/>
              <w:rPr>
                <w:rFonts w:hint="default" w:ascii="Arial"/>
                <w:color w:val="000000" w:themeColor="text1"/>
                <w:spacing w:val="0"/>
                <w:sz w:val="20"/>
                <w:lang w:val="en-US" w:eastAsia="zh-CN"/>
                <w14:textFill>
                  <w14:solidFill>
                    <w14:schemeClr w14:val="tx1"/>
                  </w14:solidFill>
                </w14:textFill>
              </w:rPr>
            </w:pPr>
            <w:r>
              <w:rPr>
                <w:rFonts w:hint="default" w:ascii="Arial"/>
                <w:color w:val="000000" w:themeColor="text1"/>
                <w:spacing w:val="0"/>
                <w:sz w:val="20"/>
                <w:lang w:val="en-US" w:eastAsia="zh-CN"/>
                <w14:textFill>
                  <w14:solidFill>
                    <w14:schemeClr w14:val="tx1"/>
                  </w14:solidFill>
                </w14:textFill>
              </w:rPr>
              <w:t>千亩湖规范管理工作</w:t>
            </w:r>
          </w:p>
        </w:tc>
        <w:tc>
          <w:tcPr>
            <w:tcW w:w="4055" w:type="dxa"/>
            <w:gridSpan w:val="4"/>
            <w:noWrap w:val="0"/>
            <w:vAlign w:val="center"/>
          </w:tcPr>
          <w:p w14:paraId="0F42AD42">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1.日常工作有序。</w:t>
            </w:r>
          </w:p>
          <w:p w14:paraId="3A868FA5">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2.试点工作初具成效。餐饮门店的收运由原先的600多家增加为961家，取得了较好的社会效益。</w:t>
            </w:r>
          </w:p>
          <w:p w14:paraId="58E6FD57">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3.千亩湖管理主要是噪音扰民，游摊管理等，此项工作于2022年5月移交给南湖新区。</w:t>
            </w:r>
          </w:p>
        </w:tc>
      </w:tr>
      <w:tr w14:paraId="738C17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2679EDC1">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2A8CEDB6">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2452EA4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3A8177A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6E1796D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59F7AE0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25648765">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17D71D9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4B9D36B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61D8B3A7">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01CE11CA">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4627E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6EC111CB">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7A8449D5">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7886C57D">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6C7F6780">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1582516C">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594024BF">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34FFA34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14:paraId="53920FBD">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14:paraId="3A7C5C4C">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餐饮单位专项整治次数</w:t>
            </w:r>
          </w:p>
        </w:tc>
        <w:tc>
          <w:tcPr>
            <w:tcW w:w="1319" w:type="dxa"/>
            <w:noWrap w:val="0"/>
            <w:vAlign w:val="center"/>
          </w:tcPr>
          <w:p w14:paraId="3E967671">
            <w:pPr>
              <w:keepNext w:val="0"/>
              <w:keepLines w:val="0"/>
              <w:pageBreakBefore w:val="0"/>
              <w:widowControl w:val="0"/>
              <w:kinsoku/>
              <w:wordWrap/>
              <w:overflowPunct/>
              <w:topLinePunct w:val="0"/>
              <w:autoSpaceDE/>
              <w:autoSpaceDN/>
              <w:bidi w:val="0"/>
              <w:adjustRightInd/>
              <w:snapToGrid/>
              <w:spacing w:line="230" w:lineRule="exact"/>
              <w:ind w:left="0"/>
              <w:jc w:val="left"/>
              <w:textAlignment w:val="auto"/>
              <w:rPr>
                <w:rFonts w:ascii="Arial"/>
                <w:color w:val="000000" w:themeColor="text1"/>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全年开展餐厨垃圾专项整治12次。</w:t>
            </w:r>
          </w:p>
        </w:tc>
        <w:tc>
          <w:tcPr>
            <w:tcW w:w="1259" w:type="dxa"/>
            <w:noWrap w:val="0"/>
            <w:vAlign w:val="center"/>
          </w:tcPr>
          <w:p w14:paraId="342EC21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14:paraId="4EB8CD52">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7244A829">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02440B0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6CCE83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7D20883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8BF8BA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1910F2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D0793C7">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餐厨垃圾收运家数</w:t>
            </w:r>
          </w:p>
        </w:tc>
        <w:tc>
          <w:tcPr>
            <w:tcW w:w="1319" w:type="dxa"/>
            <w:noWrap w:val="0"/>
            <w:vAlign w:val="center"/>
          </w:tcPr>
          <w:p w14:paraId="78FE1C88">
            <w:pPr>
              <w:keepNext w:val="0"/>
              <w:keepLines w:val="0"/>
              <w:pageBreakBefore w:val="0"/>
              <w:widowControl w:val="0"/>
              <w:kinsoku/>
              <w:wordWrap/>
              <w:overflowPunct/>
              <w:topLinePunct w:val="0"/>
              <w:autoSpaceDE/>
              <w:autoSpaceDN/>
              <w:bidi w:val="0"/>
              <w:adjustRightInd/>
              <w:snapToGrid/>
              <w:ind w:left="0"/>
              <w:jc w:val="left"/>
              <w:textAlignment w:val="auto"/>
              <w:rPr>
                <w:rFonts w:ascii="Arial"/>
                <w:color w:val="000000" w:themeColor="text1"/>
                <w:sz w:val="21"/>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原区域与5月增加的三办试点区域收运餐厨垃圾961家</w:t>
            </w:r>
            <w:r>
              <w:rPr>
                <w:rFonts w:hint="eastAsia" w:ascii="Arial"/>
                <w:color w:val="000000" w:themeColor="text1"/>
                <w:spacing w:val="0"/>
                <w:sz w:val="20"/>
                <w:lang w:eastAsia="zh-CN"/>
                <w14:textFill>
                  <w14:solidFill>
                    <w14:schemeClr w14:val="tx1"/>
                  </w14:solidFill>
                </w14:textFill>
              </w:rPr>
              <w:t>。</w:t>
            </w:r>
          </w:p>
        </w:tc>
        <w:tc>
          <w:tcPr>
            <w:tcW w:w="1259" w:type="dxa"/>
            <w:noWrap w:val="0"/>
            <w:vAlign w:val="center"/>
          </w:tcPr>
          <w:p w14:paraId="12C806E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14:paraId="005FDAA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14:paraId="1D55FA91">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14:paraId="0B44C16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E03C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vMerge w:val="continue"/>
            <w:tcBorders>
              <w:top w:val="nil"/>
              <w:bottom w:val="nil"/>
            </w:tcBorders>
            <w:noWrap w:val="0"/>
            <w:textDirection w:val="tbRlV"/>
            <w:vAlign w:val="top"/>
          </w:tcPr>
          <w:p w14:paraId="5562F0B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9BBB57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5BA8CC5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14:paraId="443935EA">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违规餐饮单位处置率</w:t>
            </w:r>
          </w:p>
        </w:tc>
        <w:tc>
          <w:tcPr>
            <w:tcW w:w="1319" w:type="dxa"/>
            <w:noWrap w:val="0"/>
            <w:vAlign w:val="center"/>
          </w:tcPr>
          <w:p w14:paraId="41E32013">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垃圾混装、油脂污染等违法行为下达限期整改通知书26份，扣留擅自收油车辆4台次。</w:t>
            </w:r>
          </w:p>
        </w:tc>
        <w:tc>
          <w:tcPr>
            <w:tcW w:w="1259" w:type="dxa"/>
            <w:noWrap w:val="0"/>
            <w:vAlign w:val="center"/>
          </w:tcPr>
          <w:p w14:paraId="419705F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14:paraId="4B8ED5FA">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1B368A17">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30C1935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4FE423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14:paraId="43C9B54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7652AB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75FC21F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22BAF2F">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餐厨垃圾分类宣传稽查达标率</w:t>
            </w:r>
          </w:p>
        </w:tc>
        <w:tc>
          <w:tcPr>
            <w:tcW w:w="1319" w:type="dxa"/>
            <w:noWrap w:val="0"/>
            <w:vAlign w:val="center"/>
          </w:tcPr>
          <w:p w14:paraId="797DCAC7">
            <w:pPr>
              <w:keepNext w:val="0"/>
              <w:keepLines w:val="0"/>
              <w:pageBreakBefore w:val="0"/>
              <w:widowControl w:val="0"/>
              <w:kinsoku/>
              <w:wordWrap/>
              <w:overflowPunct/>
              <w:topLinePunct w:val="0"/>
              <w:autoSpaceDE/>
              <w:autoSpaceDN/>
              <w:bidi w:val="0"/>
              <w:adjustRightInd/>
              <w:snapToGrid/>
              <w:ind w:left="0"/>
              <w:jc w:val="left"/>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原区域范围内与新增三办试点范围内的门店均上门宣传并发放宣传资料1000余份。</w:t>
            </w:r>
          </w:p>
        </w:tc>
        <w:tc>
          <w:tcPr>
            <w:tcW w:w="1259" w:type="dxa"/>
            <w:noWrap w:val="0"/>
            <w:vAlign w:val="center"/>
          </w:tcPr>
          <w:p w14:paraId="54A30D9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14:paraId="180D15A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145E0F6E">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1A1730E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DA1FA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330EFDB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DE3606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0C32FBA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2DBB4AD0">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餐厨垃圾收运及时率</w:t>
            </w:r>
          </w:p>
        </w:tc>
        <w:tc>
          <w:tcPr>
            <w:tcW w:w="1319" w:type="dxa"/>
            <w:noWrap w:val="0"/>
            <w:vAlign w:val="center"/>
          </w:tcPr>
          <w:p w14:paraId="0A3918C7">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w:t>
            </w:r>
            <w:r>
              <w:rPr>
                <w:rFonts w:hint="eastAsia" w:ascii="Arial"/>
                <w:color w:val="000000" w:themeColor="text1"/>
                <w:spacing w:val="0"/>
                <w:sz w:val="20"/>
                <w:lang w:val="en-US" w:eastAsia="zh-CN"/>
                <w14:textFill>
                  <w14:solidFill>
                    <w14:schemeClr w14:val="tx1"/>
                  </w14:solidFill>
                </w14:textFill>
              </w:rPr>
              <w:t>日收运餐厨垃圾约6吨。</w:t>
            </w:r>
          </w:p>
        </w:tc>
        <w:tc>
          <w:tcPr>
            <w:tcW w:w="1259" w:type="dxa"/>
            <w:noWrap w:val="0"/>
            <w:vAlign w:val="center"/>
          </w:tcPr>
          <w:p w14:paraId="7ED311B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14:paraId="7C9A6D1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45AFDEE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4483234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098010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489D138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E8B1CC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3DC8940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941C5B1">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餐厨垃圾分类宣传稽查及时率</w:t>
            </w:r>
          </w:p>
        </w:tc>
        <w:tc>
          <w:tcPr>
            <w:tcW w:w="1319" w:type="dxa"/>
            <w:noWrap w:val="0"/>
            <w:vAlign w:val="center"/>
          </w:tcPr>
          <w:p w14:paraId="58B2E783">
            <w:pPr>
              <w:keepNext w:val="0"/>
              <w:keepLines w:val="0"/>
              <w:pageBreakBefore w:val="0"/>
              <w:widowControl w:val="0"/>
              <w:kinsoku/>
              <w:wordWrap/>
              <w:overflowPunct/>
              <w:topLinePunct w:val="0"/>
              <w:autoSpaceDE/>
              <w:autoSpaceDN/>
              <w:bidi w:val="0"/>
              <w:adjustRightInd/>
              <w:snapToGrid/>
              <w:ind w:left="0"/>
              <w:jc w:val="left"/>
              <w:textAlignment w:val="auto"/>
              <w:rPr>
                <w:rFonts w:ascii="Arial"/>
                <w:color w:val="000000" w:themeColor="text1"/>
                <w:sz w:val="21"/>
                <w14:textFill>
                  <w14:solidFill>
                    <w14:schemeClr w14:val="tx1"/>
                  </w14:solidFill>
                </w14:textFill>
              </w:rPr>
            </w:pPr>
            <w:r>
              <w:rPr>
                <w:rFonts w:hint="eastAsia" w:ascii="Arial"/>
                <w:color w:val="000000" w:themeColor="text1"/>
                <w:spacing w:val="0"/>
                <w:sz w:val="20"/>
                <w14:textFill>
                  <w14:solidFill>
                    <w14:schemeClr w14:val="tx1"/>
                  </w14:solidFill>
                </w14:textFill>
              </w:rPr>
              <w:t>对已安装油水分离设备、定时定点收运的餐厨单位，按照一店一档原则，</w:t>
            </w:r>
            <w:r>
              <w:rPr>
                <w:rFonts w:hint="eastAsia" w:ascii="Arial"/>
                <w:color w:val="000000" w:themeColor="text1"/>
                <w:spacing w:val="0"/>
                <w:sz w:val="20"/>
                <w:lang w:val="en-US" w:eastAsia="zh-CN"/>
                <w14:textFill>
                  <w14:solidFill>
                    <w14:schemeClr w14:val="tx1"/>
                  </w14:solidFill>
                </w14:textFill>
              </w:rPr>
              <w:t>进行400余次上门回访查阅。</w:t>
            </w:r>
          </w:p>
        </w:tc>
        <w:tc>
          <w:tcPr>
            <w:tcW w:w="1259" w:type="dxa"/>
            <w:noWrap w:val="0"/>
            <w:vAlign w:val="center"/>
          </w:tcPr>
          <w:p w14:paraId="54E0BF1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14:paraId="07CFD5F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14:paraId="69FEC330">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14:paraId="6C9C8A4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446D7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1084" w:type="dxa"/>
            <w:vMerge w:val="continue"/>
            <w:tcBorders>
              <w:top w:val="nil"/>
              <w:bottom w:val="nil"/>
            </w:tcBorders>
            <w:noWrap w:val="0"/>
            <w:textDirection w:val="tbRlV"/>
            <w:vAlign w:val="top"/>
          </w:tcPr>
          <w:p w14:paraId="7693D76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57CB2C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2A708DA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01FAEE5A">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控制公用经费</w:t>
            </w:r>
          </w:p>
        </w:tc>
        <w:tc>
          <w:tcPr>
            <w:tcW w:w="1319" w:type="dxa"/>
            <w:noWrap w:val="0"/>
            <w:vAlign w:val="center"/>
          </w:tcPr>
          <w:p w14:paraId="7CA5858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46.8万元</w:t>
            </w:r>
          </w:p>
        </w:tc>
        <w:tc>
          <w:tcPr>
            <w:tcW w:w="1259" w:type="dxa"/>
            <w:noWrap w:val="0"/>
            <w:vAlign w:val="center"/>
          </w:tcPr>
          <w:p w14:paraId="3A025545">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27.79万元</w:t>
            </w:r>
          </w:p>
        </w:tc>
        <w:tc>
          <w:tcPr>
            <w:tcW w:w="719" w:type="dxa"/>
            <w:noWrap w:val="0"/>
            <w:vAlign w:val="center"/>
          </w:tcPr>
          <w:p w14:paraId="55DE1E9E">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802" w:type="dxa"/>
            <w:noWrap w:val="0"/>
            <w:vAlign w:val="center"/>
          </w:tcPr>
          <w:p w14:paraId="4E5EDE2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1C8D91BF">
            <w:pPr>
              <w:keepNext w:val="0"/>
              <w:keepLines w:val="0"/>
              <w:widowControl/>
              <w:suppressLineNumbers w:val="0"/>
              <w:jc w:val="both"/>
              <w:textAlignment w:val="center"/>
              <w:rPr>
                <w:rFonts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1.因有混编混岗7人的公用经费年初预算数均列入我所。2.因疫情，全年没有开展工会活动.</w:t>
            </w:r>
          </w:p>
        </w:tc>
      </w:tr>
      <w:tr w14:paraId="505C4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2B1AD03">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2DB36D81">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6935E596">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26A47357">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3D95F07E">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658E38CC">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68F5C6C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14:paraId="68B1D609">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0734377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3B9DB2EC">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餐饮垃圾分类政策知晓率</w:t>
            </w:r>
          </w:p>
        </w:tc>
        <w:tc>
          <w:tcPr>
            <w:tcW w:w="1319" w:type="dxa"/>
            <w:noWrap w:val="0"/>
            <w:vAlign w:val="center"/>
          </w:tcPr>
          <w:p w14:paraId="3CEE9E1A">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大幅提升</w:t>
            </w:r>
          </w:p>
        </w:tc>
        <w:tc>
          <w:tcPr>
            <w:tcW w:w="1259" w:type="dxa"/>
            <w:noWrap w:val="0"/>
            <w:vAlign w:val="center"/>
          </w:tcPr>
          <w:p w14:paraId="17EAF6D4">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大幅提升</w:t>
            </w:r>
          </w:p>
        </w:tc>
        <w:tc>
          <w:tcPr>
            <w:tcW w:w="719" w:type="dxa"/>
            <w:noWrap w:val="0"/>
            <w:vAlign w:val="center"/>
          </w:tcPr>
          <w:p w14:paraId="743D9D1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080DEF8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633C899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BC13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812B4A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E9D45D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26F91183">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0D27592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344E30A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空气质量优良率</w:t>
            </w:r>
          </w:p>
        </w:tc>
        <w:tc>
          <w:tcPr>
            <w:tcW w:w="1319" w:type="dxa"/>
            <w:noWrap w:val="0"/>
            <w:vAlign w:val="center"/>
          </w:tcPr>
          <w:p w14:paraId="4758A99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pacing w:val="0"/>
                <w:sz w:val="20"/>
                <w14:textFill>
                  <w14:solidFill>
                    <w14:schemeClr w14:val="tx1"/>
                  </w14:solidFill>
                </w14:textFill>
              </w:rPr>
              <w:t>加大餐厨垃圾收集力度，调整餐厨垃圾收集时间，做到餐厨垃圾日产日清，切实解决百姓生活环境问题</w:t>
            </w:r>
            <w:r>
              <w:rPr>
                <w:rFonts w:hint="eastAsia" w:ascii="Arial"/>
                <w:color w:val="000000" w:themeColor="text1"/>
                <w:spacing w:val="0"/>
                <w:sz w:val="20"/>
                <w:lang w:eastAsia="zh-CN"/>
                <w14:textFill>
                  <w14:solidFill>
                    <w14:schemeClr w14:val="tx1"/>
                  </w14:solidFill>
                </w14:textFill>
              </w:rPr>
              <w:t>。</w:t>
            </w:r>
          </w:p>
        </w:tc>
        <w:tc>
          <w:tcPr>
            <w:tcW w:w="1259" w:type="dxa"/>
            <w:noWrap w:val="0"/>
            <w:vAlign w:val="center"/>
          </w:tcPr>
          <w:p w14:paraId="2A20C029">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14:paraId="066E2F3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33DA7C8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w:t>
            </w:r>
          </w:p>
        </w:tc>
        <w:tc>
          <w:tcPr>
            <w:tcW w:w="1275" w:type="dxa"/>
            <w:noWrap w:val="0"/>
            <w:vAlign w:val="center"/>
          </w:tcPr>
          <w:p w14:paraId="7DA674E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0763F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907558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BA0BEE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7C322260">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22317EF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14:paraId="067B449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人员培训</w:t>
            </w:r>
          </w:p>
        </w:tc>
        <w:tc>
          <w:tcPr>
            <w:tcW w:w="1319" w:type="dxa"/>
            <w:noWrap w:val="0"/>
            <w:vAlign w:val="center"/>
          </w:tcPr>
          <w:p w14:paraId="30F1DF3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合理合法合规稽查宣传餐厨垃圾收运及宣传垃圾分类</w:t>
            </w:r>
          </w:p>
        </w:tc>
        <w:tc>
          <w:tcPr>
            <w:tcW w:w="1259" w:type="dxa"/>
            <w:noWrap w:val="0"/>
            <w:vAlign w:val="center"/>
          </w:tcPr>
          <w:p w14:paraId="4817E0A1">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全面完成</w:t>
            </w:r>
          </w:p>
        </w:tc>
        <w:tc>
          <w:tcPr>
            <w:tcW w:w="719" w:type="dxa"/>
            <w:noWrap w:val="0"/>
            <w:vAlign w:val="center"/>
          </w:tcPr>
          <w:p w14:paraId="17A1CF7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30B959D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2A4C50B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14:textFill>
                  <w14:solidFill>
                    <w14:schemeClr w14:val="tx1"/>
                  </w14:solidFill>
                </w14:textFill>
              </w:rPr>
            </w:pPr>
          </w:p>
        </w:tc>
      </w:tr>
      <w:tr w14:paraId="2FD44C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2C77CD86">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6BEF06C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577E09B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532ADDE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noWrap w:val="0"/>
            <w:vAlign w:val="center"/>
          </w:tcPr>
          <w:p w14:paraId="31EB6BE4">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4CF3032D">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7FB52C4F">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507B37A5">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319" w:type="dxa"/>
            <w:noWrap w:val="0"/>
            <w:vAlign w:val="center"/>
          </w:tcPr>
          <w:p w14:paraId="4FAF5836">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大于等于90</w:t>
            </w:r>
            <w:r>
              <w:rPr>
                <w:rFonts w:hint="eastAsia" w:ascii="Arial"/>
                <w:color w:val="000000" w:themeColor="text1"/>
                <w:sz w:val="21"/>
                <w:lang w:val="en-US" w:eastAsia="zh-CN"/>
                <w14:textFill>
                  <w14:solidFill>
                    <w14:schemeClr w14:val="tx1"/>
                  </w14:solidFill>
                </w14:textFill>
              </w:rPr>
              <w:t>%</w:t>
            </w:r>
          </w:p>
        </w:tc>
        <w:tc>
          <w:tcPr>
            <w:tcW w:w="1259" w:type="dxa"/>
            <w:noWrap w:val="0"/>
            <w:vAlign w:val="center"/>
          </w:tcPr>
          <w:p w14:paraId="1FC8BE9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14:paraId="095AAF35">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0CE7086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4EBEE89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6CAE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27328D8D">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67F44EAE">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73D903DA">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99</w:t>
            </w:r>
          </w:p>
        </w:tc>
        <w:tc>
          <w:tcPr>
            <w:tcW w:w="1275" w:type="dxa"/>
            <w:noWrap w:val="0"/>
            <w:vAlign w:val="center"/>
          </w:tcPr>
          <w:p w14:paraId="6F22250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315480D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陈果</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13873034782</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2023-6-14</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p>
    <w:p w14:paraId="272698B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109AAD00">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04F74E65">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61919223">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岳阳市餐厨垃圾综合处理所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14:paraId="4F906AA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7C3AFF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F578C6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E57C20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E1EE8D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C1AB8C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0F9338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88A566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E02D01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F04AAD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209278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2F2FA4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5FEABF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62156A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5B3AD4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5692EA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7856CB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7E95E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CC3249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CF2EF4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D3B230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F5FC2F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BBA998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2CC900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0C929C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5B6AE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E4D1331">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486A117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 14 日</w:t>
      </w:r>
    </w:p>
    <w:p w14:paraId="7E25B08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CAB516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76A7A9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A74ADB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3F705ED">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2022年度岳阳市餐厨垃圾综合处理所单位整体支出绩效自评报告</w:t>
      </w:r>
    </w:p>
    <w:p w14:paraId="30A72E9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C684DB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ED1108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20D81C8">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44E4157C">
      <w:pPr>
        <w:spacing w:before="0" w:beforeAutospacing="0" w:after="1" w:afterAutospacing="0"/>
        <w:ind w:left="0" w:firstLine="628"/>
        <w:rPr>
          <w:rFonts w:hint="eastAsia" w:ascii="仿宋" w:hAnsi="仿宋" w:eastAsia="仿宋" w:cs="仿宋"/>
          <w:kern w:val="2"/>
          <w:sz w:val="27"/>
          <w:szCs w:val="27"/>
        </w:rPr>
      </w:pPr>
      <w:r>
        <w:rPr>
          <w:rFonts w:hint="eastAsia" w:ascii="仿宋" w:hAnsi="仿宋" w:eastAsia="仿宋" w:cs="仿宋"/>
          <w:b/>
          <w:bCs/>
          <w:kern w:val="0"/>
          <w:sz w:val="32"/>
          <w:szCs w:val="32"/>
        </w:rPr>
        <w:t>（一）职能职责</w:t>
      </w:r>
      <w:r>
        <w:rPr>
          <w:rFonts w:hint="eastAsia" w:ascii="仿宋" w:hAnsi="仿宋" w:eastAsia="仿宋" w:cs="仿宋"/>
          <w:color w:val="000000"/>
          <w:kern w:val="2"/>
          <w:sz w:val="21"/>
          <w:szCs w:val="21"/>
        </w:rPr>
        <w:t xml:space="preserve"> </w:t>
      </w:r>
      <w:r>
        <w:rPr>
          <w:rFonts w:hint="eastAsia" w:ascii="仿宋" w:hAnsi="仿宋" w:eastAsia="仿宋" w:cs="仿宋"/>
          <w:color w:val="000000"/>
          <w:kern w:val="2"/>
          <w:sz w:val="27"/>
          <w:szCs w:val="27"/>
        </w:rPr>
        <w:t xml:space="preserve"> </w:t>
      </w:r>
    </w:p>
    <w:p w14:paraId="1D6B2CBE">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1.负责范围内餐厨垃圾工作；</w:t>
      </w:r>
    </w:p>
    <w:p w14:paraId="1E52D946">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2.负责范围内餐厨垃圾宣传稽查工作；</w:t>
      </w:r>
    </w:p>
    <w:p w14:paraId="70329AC2">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3.负责千亩湖走廊范围内的秩序管理工作</w:t>
      </w:r>
    </w:p>
    <w:p w14:paraId="3DDAE0AD">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4.负责上级主管部门交办的其他工作。</w:t>
      </w:r>
    </w:p>
    <w:p w14:paraId="4F7E1B13">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（二）机构设置</w:t>
      </w:r>
    </w:p>
    <w:p w14:paraId="2254D45C">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1.人秘股</w:t>
      </w:r>
    </w:p>
    <w:p w14:paraId="31D2A1D0">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负责党务、政治思想的宣传教育工作；负责目常工作协调综合调研、督查督办和目标管理工作；负责文秘、信息、文印收发、保密、档案和信访工作；负责劳资、人事、会务组织、后勤、值班接待等工作；负责组织新进临聘人员劳务派遺工作的实施。</w:t>
      </w:r>
    </w:p>
    <w:p w14:paraId="5EFEA691">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2.计财股</w:t>
      </w:r>
    </w:p>
    <w:p w14:paraId="487C3613">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负责财经政策的宣传、贯彻和执行：负责财务制度的制定和财务管理工作；负责对环卫规费收缴及收费票据进行监督管理负责专项经费、事业经费、预算外资全使用计划的拟订、报批及各项开支费用的报销、审核等工作；负责固定资产的清查、核资与上报；负责工作人员工资的发放。</w:t>
      </w:r>
    </w:p>
    <w:p w14:paraId="56A0C371">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3.考评股</w:t>
      </w:r>
    </w:p>
    <w:p w14:paraId="43ACFC46">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负责生产综合调度；负贵对生产工作进行监督和考评；负责参与城市环境综合整治、城市创建、卫生检查及各类接待活动的城市卫生保  障等工作；负责餐厨垃圾收运和执法工作的内外协调；负责各项环卫数 据及基础资料的整理工作；负责生产队人员考考核工作。</w:t>
      </w:r>
    </w:p>
    <w:p w14:paraId="78E743D8">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4.综合股</w:t>
      </w:r>
    </w:p>
    <w:p w14:paraId="41353169">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负责车辆驾驶员安全教育培训工作；负责车辆上牌、年检、违章及安全事故的处置工作；负责政策法制宣传教育、机关及办公场地安全保卫、社会治安综合治理工作；负责执行单位安全生产工作计划，排查隐患，制止违法违纪行为，落实整改措施，参与相关规章制度、操作标准的拟定；负责劳保、防疫的采购工作。</w:t>
      </w:r>
    </w:p>
    <w:p w14:paraId="19696C00">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5.稽查一队，稽查二队</w:t>
      </w:r>
    </w:p>
    <w:p w14:paraId="25FE943E">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负责稽查宣传城市环境综合整治、城市创建、卫生检查及各类接待活动的城市卫生保障等工作；负责稽查宣传餐厨垃圾收运和执法工作的内外协调负责政策法制宣传教育。</w:t>
      </w:r>
    </w:p>
    <w:p w14:paraId="2DCD5FEE">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6.车队</w:t>
      </w:r>
    </w:p>
    <w:p w14:paraId="6B2A9EC1">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负责区域内各餐厨门店的餐厨垃圾收运工作。</w:t>
      </w:r>
    </w:p>
    <w:p w14:paraId="3D2E32F2">
      <w:pPr>
        <w:ind w:firstLine="640" w:firstLineChars="200"/>
        <w:jc w:val="left"/>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本单位在编事业编27人（含混编混岗7人，5月1人调至城管委）；退休事业编4人，退休企业编1人；企编19人。</w:t>
      </w:r>
    </w:p>
    <w:p w14:paraId="4F5799F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35819CDD">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14:paraId="5319354A">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000000"/>
          <w:kern w:val="2"/>
          <w:sz w:val="32"/>
          <w:szCs w:val="32"/>
        </w:rPr>
        <w:t>22年</w:t>
      </w:r>
      <w:r>
        <w:rPr>
          <w:rFonts w:hint="eastAsia" w:ascii="仿宋" w:hAnsi="仿宋" w:eastAsia="仿宋" w:cs="仿宋"/>
          <w:color w:val="000000"/>
          <w:kern w:val="2"/>
          <w:sz w:val="32"/>
          <w:szCs w:val="32"/>
          <w:lang w:val="en-US" w:eastAsia="zh-CN"/>
        </w:rPr>
        <w:t>我单位的</w:t>
      </w:r>
      <w:r>
        <w:rPr>
          <w:rFonts w:hint="eastAsia" w:ascii="仿宋" w:hAnsi="仿宋" w:eastAsia="仿宋" w:cs="仿宋"/>
          <w:color w:val="000000"/>
          <w:kern w:val="2"/>
          <w:sz w:val="32"/>
          <w:szCs w:val="32"/>
        </w:rPr>
        <w:t>基本支出</w:t>
      </w:r>
      <w:r>
        <w:rPr>
          <w:rFonts w:hint="eastAsia" w:ascii="仿宋" w:hAnsi="仿宋" w:eastAsia="仿宋" w:cs="仿宋"/>
          <w:color w:val="000000"/>
          <w:kern w:val="2"/>
          <w:sz w:val="32"/>
          <w:szCs w:val="32"/>
          <w:lang w:val="en-US" w:eastAsia="zh-CN"/>
        </w:rPr>
        <w:t>数</w:t>
      </w:r>
      <w:r>
        <w:rPr>
          <w:rFonts w:hint="eastAsia" w:ascii="仿宋" w:hAnsi="仿宋" w:eastAsia="仿宋" w:cs="仿宋"/>
          <w:color w:val="000000"/>
          <w:kern w:val="2"/>
          <w:sz w:val="32"/>
          <w:szCs w:val="32"/>
        </w:rPr>
        <w:t>为</w:t>
      </w:r>
      <w:r>
        <w:rPr>
          <w:rFonts w:hint="eastAsia" w:ascii="仿宋" w:hAnsi="仿宋" w:eastAsia="仿宋" w:cs="仿宋"/>
          <w:color w:val="000000"/>
          <w:kern w:val="2"/>
          <w:sz w:val="32"/>
          <w:szCs w:val="32"/>
          <w:lang w:val="en-US" w:eastAsia="zh-CN"/>
        </w:rPr>
        <w:t>271.38</w:t>
      </w:r>
      <w:r>
        <w:rPr>
          <w:rFonts w:hint="eastAsia" w:ascii="仿宋" w:hAnsi="仿宋" w:eastAsia="仿宋" w:cs="仿宋"/>
          <w:color w:val="000000"/>
          <w:kern w:val="2"/>
          <w:sz w:val="32"/>
          <w:szCs w:val="32"/>
        </w:rPr>
        <w:t>万元，其中：人员经费</w:t>
      </w:r>
      <w:r>
        <w:rPr>
          <w:rFonts w:hint="eastAsia" w:ascii="仿宋" w:hAnsi="仿宋" w:eastAsia="仿宋" w:cs="仿宋"/>
          <w:color w:val="000000"/>
          <w:kern w:val="2"/>
          <w:sz w:val="32"/>
          <w:szCs w:val="32"/>
          <w:lang w:val="en-US" w:eastAsia="zh-CN"/>
        </w:rPr>
        <w:t>243.59</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占基本支出的89.76%，</w:t>
      </w:r>
      <w:r>
        <w:rPr>
          <w:rFonts w:hint="eastAsia" w:ascii="仿宋" w:hAnsi="仿宋" w:eastAsia="仿宋" w:cs="仿宋"/>
          <w:color w:val="000000"/>
          <w:kern w:val="2"/>
          <w:sz w:val="32"/>
          <w:szCs w:val="32"/>
        </w:rPr>
        <w:t>主要包括：基本工资、津贴补贴、奖金、</w:t>
      </w:r>
      <w:r>
        <w:rPr>
          <w:rFonts w:hint="eastAsia" w:ascii="仿宋" w:hAnsi="仿宋" w:eastAsia="仿宋" w:cs="仿宋"/>
          <w:color w:val="000000"/>
          <w:kern w:val="2"/>
          <w:sz w:val="32"/>
          <w:szCs w:val="32"/>
          <w:lang w:val="en-US" w:eastAsia="zh-CN"/>
        </w:rPr>
        <w:t>伙食补助费、</w:t>
      </w:r>
      <w:r>
        <w:rPr>
          <w:rFonts w:hint="eastAsia" w:ascii="仿宋" w:hAnsi="仿宋" w:eastAsia="仿宋" w:cs="仿宋"/>
          <w:color w:val="000000"/>
          <w:kern w:val="2"/>
          <w:sz w:val="32"/>
          <w:szCs w:val="32"/>
        </w:rPr>
        <w:t>绩效工资、机关事业单位基本养老保险缴费、职业年金缴费、职工基本医疗保险缴费、其他社会保障缴费、住房公积金</w:t>
      </w:r>
      <w:r>
        <w:rPr>
          <w:rFonts w:hint="eastAsia" w:ascii="仿宋" w:hAnsi="仿宋" w:eastAsia="仿宋" w:cs="仿宋"/>
          <w:color w:val="000000"/>
          <w:kern w:val="2"/>
          <w:sz w:val="32"/>
          <w:szCs w:val="32"/>
          <w:lang w:val="en-US" w:eastAsia="zh-CN"/>
        </w:rPr>
        <w:t>、其他工资福利支出、退休退职（役）费、医疗费补助、其他对个人和家庭的补助；日常公用经费27.79</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占基本支出的10.24%，</w:t>
      </w:r>
      <w:r>
        <w:rPr>
          <w:rFonts w:hint="eastAsia" w:ascii="仿宋" w:hAnsi="仿宋" w:eastAsia="仿宋" w:cs="仿宋"/>
          <w:color w:val="000000"/>
          <w:kern w:val="2"/>
          <w:sz w:val="32"/>
          <w:szCs w:val="32"/>
        </w:rPr>
        <w:t>主要包括：办公费</w:t>
      </w:r>
      <w:r>
        <w:rPr>
          <w:rFonts w:hint="eastAsia" w:ascii="仿宋" w:hAnsi="仿宋" w:eastAsia="仿宋" w:cs="仿宋"/>
          <w:color w:val="000000"/>
          <w:kern w:val="2"/>
          <w:sz w:val="32"/>
          <w:szCs w:val="32"/>
          <w:lang w:val="en-US" w:eastAsia="zh-CN"/>
        </w:rPr>
        <w:t>、手续费、水费、电费、邮电费、维修（护）费、培训费、专用材料费、委托业务费、福利费、工会经费、公务车运行维护费、其他交通费、</w:t>
      </w:r>
      <w:r>
        <w:rPr>
          <w:rFonts w:hint="eastAsia" w:ascii="仿宋" w:hAnsi="仿宋" w:eastAsia="仿宋" w:cs="仿宋"/>
          <w:color w:val="000000"/>
          <w:kern w:val="2"/>
          <w:sz w:val="32"/>
          <w:szCs w:val="32"/>
        </w:rPr>
        <w:t>其他商品和服务支出</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办公设备购置、专用设备购置</w:t>
      </w:r>
      <w:r>
        <w:rPr>
          <w:rFonts w:hint="eastAsia" w:ascii="仿宋" w:hAnsi="仿宋" w:eastAsia="仿宋" w:cs="仿宋"/>
          <w:color w:val="auto"/>
          <w:kern w:val="2"/>
          <w:sz w:val="32"/>
          <w:szCs w:val="32"/>
          <w:highlight w:val="none"/>
          <w:u w:val="none"/>
          <w:lang w:val="en-US" w:eastAsia="zh-CN"/>
        </w:rPr>
        <w:t>。</w:t>
      </w:r>
    </w:p>
    <w:p w14:paraId="01800E87">
      <w:pPr>
        <w:keepNext w:val="0"/>
        <w:keepLines w:val="0"/>
        <w:pageBreakBefore w:val="0"/>
        <w:widowControl w:val="0"/>
        <w:numPr>
          <w:ilvl w:val="0"/>
          <w:numId w:val="3"/>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14:paraId="1ED37888">
      <w:pPr>
        <w:spacing w:before="0" w:beforeAutospacing="0" w:after="1" w:afterAutospacing="0"/>
        <w:ind w:left="0" w:firstLine="628"/>
        <w:rPr>
          <w:rFonts w:hint="default" w:ascii="仿宋" w:hAnsi="仿宋" w:eastAsia="仿宋" w:cs="仿宋"/>
          <w:color w:val="auto"/>
          <w:kern w:val="2"/>
          <w:sz w:val="32"/>
          <w:szCs w:val="32"/>
          <w:highlight w:val="none"/>
          <w:u w:val="none"/>
          <w:lang w:val="en-US" w:eastAsia="zh-CN" w:bidi="ar-SA"/>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w:t>
      </w:r>
      <w:r>
        <w:rPr>
          <w:rFonts w:hint="eastAsia" w:ascii="仿宋" w:hAnsi="仿宋" w:eastAsia="仿宋" w:cs="仿宋"/>
          <w:color w:val="000000"/>
          <w:kern w:val="2"/>
          <w:sz w:val="32"/>
          <w:szCs w:val="32"/>
        </w:rPr>
        <w:t>项目支出</w:t>
      </w:r>
      <w:r>
        <w:rPr>
          <w:rFonts w:hint="eastAsia" w:ascii="仿宋" w:hAnsi="仿宋" w:eastAsia="仿宋" w:cs="仿宋"/>
          <w:color w:val="000000"/>
          <w:kern w:val="2"/>
          <w:sz w:val="32"/>
          <w:szCs w:val="32"/>
          <w:lang w:val="en-US" w:eastAsia="zh-CN"/>
        </w:rPr>
        <w:t>总</w:t>
      </w:r>
      <w:r>
        <w:rPr>
          <w:rFonts w:hint="eastAsia" w:ascii="仿宋" w:hAnsi="仿宋" w:eastAsia="仿宋" w:cs="仿宋"/>
          <w:color w:val="000000"/>
          <w:kern w:val="2"/>
          <w:sz w:val="32"/>
          <w:szCs w:val="32"/>
        </w:rPr>
        <w:t>数为</w:t>
      </w:r>
      <w:r>
        <w:rPr>
          <w:rFonts w:hint="eastAsia" w:ascii="仿宋" w:hAnsi="仿宋" w:eastAsia="仿宋" w:cs="仿宋"/>
          <w:color w:val="000000"/>
          <w:kern w:val="2"/>
          <w:sz w:val="32"/>
          <w:szCs w:val="32"/>
          <w:lang w:val="en-US" w:eastAsia="zh-CN"/>
        </w:rPr>
        <w:t>332.22</w:t>
      </w:r>
      <w:r>
        <w:rPr>
          <w:rFonts w:hint="eastAsia" w:ascii="仿宋" w:hAnsi="仿宋" w:eastAsia="仿宋" w:cs="仿宋"/>
          <w:color w:val="000000"/>
          <w:kern w:val="2"/>
          <w:sz w:val="32"/>
          <w:szCs w:val="32"/>
        </w:rPr>
        <w:t>万元，其中：</w:t>
      </w:r>
      <w:r>
        <w:rPr>
          <w:rFonts w:hint="eastAsia" w:ascii="仿宋" w:hAnsi="仿宋" w:eastAsia="仿宋" w:cs="仿宋"/>
          <w:color w:val="000000"/>
          <w:kern w:val="2"/>
          <w:sz w:val="32"/>
          <w:szCs w:val="32"/>
          <w:lang w:val="en-US" w:eastAsia="zh-CN"/>
        </w:rPr>
        <w:t>1、禁毒经费0.51万元，主要是用于公职人员毛发检测费；2、城市综合管理专项328.8万元，是城管委系统事权接转单位项目经费，主要是用于编外人员的工资福利支出、单位日常开支、餐厨垃圾车辆的维护费用，</w:t>
      </w:r>
      <w:r>
        <w:rPr>
          <w:rFonts w:hint="eastAsia" w:ascii="仿宋" w:hAnsi="仿宋" w:eastAsia="仿宋" w:cs="仿宋"/>
          <w:color w:val="000000"/>
          <w:kern w:val="2"/>
          <w:sz w:val="32"/>
          <w:szCs w:val="32"/>
        </w:rPr>
        <w:t>采购</w:t>
      </w:r>
      <w:r>
        <w:rPr>
          <w:rFonts w:hint="eastAsia" w:ascii="仿宋" w:hAnsi="仿宋" w:eastAsia="仿宋" w:cs="仿宋"/>
          <w:color w:val="000000"/>
          <w:kern w:val="2"/>
          <w:sz w:val="32"/>
          <w:szCs w:val="32"/>
          <w:lang w:val="en-US" w:eastAsia="zh-CN"/>
        </w:rPr>
        <w:t>经费等；3、其他支出2.91万元，主要是用于其他开支。</w:t>
      </w:r>
    </w:p>
    <w:p w14:paraId="2956D025">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3B9D0C7A">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14:paraId="24E47C24">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14:paraId="7A3A9572">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我单位2022年度无国有资本经营预算支出。</w:t>
      </w:r>
    </w:p>
    <w:p w14:paraId="3F4409FD">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14:paraId="78629299">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我单位2022年度无社会保险基金预算。</w:t>
      </w:r>
    </w:p>
    <w:p w14:paraId="0624A55E">
      <w:pPr>
        <w:keepNext w:val="0"/>
        <w:keepLines w:val="0"/>
        <w:pageBreakBefore w:val="0"/>
        <w:widowControl w:val="0"/>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14:paraId="5AD47EA8">
      <w:pPr>
        <w:ind w:firstLine="600" w:firstLineChars="200"/>
        <w:rPr>
          <w:rFonts w:hint="eastAsia" w:ascii="仿宋" w:hAnsi="仿宋" w:eastAsia="仿宋" w:cs="方正小标宋简体"/>
          <w:bCs/>
          <w:sz w:val="30"/>
          <w:szCs w:val="30"/>
        </w:rPr>
      </w:pPr>
      <w:r>
        <w:rPr>
          <w:rFonts w:hint="eastAsia" w:ascii="仿宋" w:hAnsi="仿宋" w:eastAsia="仿宋" w:cs="方正小标宋简体"/>
          <w:bCs/>
          <w:sz w:val="30"/>
          <w:szCs w:val="30"/>
        </w:rPr>
        <w:t>2</w:t>
      </w:r>
      <w:r>
        <w:rPr>
          <w:rFonts w:ascii="仿宋" w:hAnsi="仿宋" w:eastAsia="仿宋" w:cs="方正小标宋简体"/>
          <w:bCs/>
          <w:sz w:val="30"/>
          <w:szCs w:val="30"/>
        </w:rPr>
        <w:t>022</w:t>
      </w:r>
      <w:r>
        <w:rPr>
          <w:rFonts w:hint="eastAsia" w:ascii="仿宋" w:hAnsi="仿宋" w:eastAsia="仿宋" w:cs="方正小标宋简体"/>
          <w:bCs/>
          <w:sz w:val="30"/>
          <w:szCs w:val="30"/>
        </w:rPr>
        <w:t>年</w:t>
      </w:r>
      <w:r>
        <w:rPr>
          <w:rFonts w:hint="eastAsia" w:ascii="仿宋" w:hAnsi="仿宋" w:eastAsia="仿宋" w:cs="方正小标宋简体"/>
          <w:bCs/>
          <w:sz w:val="30"/>
          <w:szCs w:val="30"/>
          <w:lang w:eastAsia="zh-CN"/>
        </w:rPr>
        <w:t>餐厨垃圾综合处理所</w:t>
      </w:r>
      <w:r>
        <w:rPr>
          <w:rFonts w:hint="eastAsia" w:ascii="仿宋" w:hAnsi="仿宋" w:eastAsia="仿宋" w:cs="方正小标宋简体"/>
          <w:bCs/>
          <w:sz w:val="30"/>
          <w:szCs w:val="30"/>
        </w:rPr>
        <w:t>始终围绕区委区政府建设名副其实的省域副中心城市的核心引领区和首善之区为指引，以打造楼区“窗口”面貌为目标。积极在主职行业上担当城市建设的“参与者”、“管理者”。始终坚持人民城市人民建、人民城市为人民的建设理念，全力在区委区政府带领下打造宜居、智慧城市。</w:t>
      </w:r>
    </w:p>
    <w:p w14:paraId="7F186945">
      <w:pPr>
        <w:numPr>
          <w:ilvl w:val="0"/>
          <w:numId w:val="0"/>
        </w:numPr>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1、着力加强政治建设，不断提高抵御风险的能力。</w:t>
      </w:r>
    </w:p>
    <w:p w14:paraId="5EDBCA8E">
      <w:pPr>
        <w:spacing w:before="1" w:line="346" w:lineRule="auto"/>
        <w:ind w:firstLine="640" w:firstLineChars="200"/>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领导班子始终把加强政治理论学习放在首位,强化十九大、十九届二中、三中、四中、五中、六中全会、二十大学习。在学习制度上,坚持和完善中心组学习制度和每周学习日制度,学习做到“四有”,即有计划、有记录、有考核、有学习心得。在学习安排上,突出抓好班子、中层干部、全体党员三个学习层面。通过理论学习和先进典型示范,使广大党员干部不断增强廉洁从政意识和自觉接受监督的意识,树立正确的世界观、人生观、价值观和权力观。</w:t>
      </w:r>
    </w:p>
    <w:p w14:paraId="1FB3E04B">
      <w:pPr>
        <w:spacing w:before="1" w:line="346" w:lineRule="auto"/>
        <w:ind w:firstLine="643" w:firstLineChars="200"/>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2、着力加强思想建设，不断提高塑形聚力的能力。</w:t>
      </w:r>
    </w:p>
    <w:p w14:paraId="56D7364C">
      <w:pPr>
        <w:ind w:firstLine="643" w:firstLineChars="200"/>
        <w:rPr>
          <w:rFonts w:hint="eastAsia" w:ascii="仿宋" w:hAnsi="仿宋" w:eastAsia="仿宋" w:cs="仿宋"/>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rPr>
        <w:t>统一思想,形成共识</w:t>
      </w:r>
      <w:r>
        <w:rPr>
          <w:rFonts w:hint="eastAsia" w:ascii="仿宋" w:hAnsi="仿宋" w:eastAsia="仿宋" w:cs="仿宋"/>
          <w:sz w:val="32"/>
          <w:szCs w:val="32"/>
        </w:rPr>
        <w:t>。教育引导党员干部特别是党员领导干部不断增强政治意识、大局意识、核心意识、看齐意识,通过持续教育,使党组织和党员干部明确抓意识形态工作的基本遵循,增强抓意识形态工作的责任意识和使命担当,达到统一思想、齐抓共学的目的。目前,单位上下没有发现在意识形态方面存在明显问题的人和事。</w:t>
      </w:r>
    </w:p>
    <w:p w14:paraId="5C5E9615">
      <w:pPr>
        <w:ind w:firstLine="643" w:firstLineChars="200"/>
        <w:rPr>
          <w:rFonts w:hint="eastAsia" w:ascii="仿宋" w:hAnsi="仿宋" w:eastAsia="仿宋" w:cs="仿宋"/>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rPr>
        <w:t>明确责任,健全机制</w:t>
      </w:r>
      <w:r>
        <w:rPr>
          <w:rFonts w:hint="eastAsia" w:ascii="楷体" w:hAnsi="楷体" w:eastAsia="楷体" w:cs="楷体"/>
          <w:sz w:val="32"/>
          <w:szCs w:val="32"/>
        </w:rPr>
        <w:t>。</w:t>
      </w:r>
      <w:r>
        <w:rPr>
          <w:rFonts w:hint="eastAsia" w:ascii="仿宋" w:hAnsi="仿宋" w:eastAsia="仿宋" w:cs="仿宋"/>
          <w:sz w:val="32"/>
          <w:szCs w:val="32"/>
        </w:rPr>
        <w:t>组织召开</w:t>
      </w:r>
      <w:r>
        <w:rPr>
          <w:rFonts w:hint="eastAsia" w:ascii="仿宋" w:hAnsi="仿宋" w:eastAsia="仿宋" w:cs="仿宋"/>
          <w:sz w:val="32"/>
          <w:szCs w:val="32"/>
          <w:lang w:val="en-US" w:eastAsia="zh-CN"/>
        </w:rPr>
        <w:t>了2次</w:t>
      </w:r>
      <w:r>
        <w:rPr>
          <w:rFonts w:hint="eastAsia" w:ascii="仿宋" w:hAnsi="仿宋" w:eastAsia="仿宋" w:cs="仿宋"/>
          <w:sz w:val="32"/>
          <w:szCs w:val="32"/>
        </w:rPr>
        <w:t>意识形态工作专题会议,认真组织学习,</w:t>
      </w:r>
      <w:r>
        <w:rPr>
          <w:rFonts w:hint="eastAsia" w:ascii="仿宋" w:hAnsi="仿宋" w:eastAsia="仿宋" w:cs="仿宋"/>
          <w:sz w:val="32"/>
          <w:szCs w:val="32"/>
          <w:lang w:val="en-US" w:eastAsia="zh-CN"/>
        </w:rPr>
        <w:t>修订了《岳阳市餐厨垃圾综合处理所</w:t>
      </w:r>
      <w:r>
        <w:rPr>
          <w:rFonts w:hint="eastAsia" w:ascii="仿宋_GB2312" w:hAnsi="仿宋_GB2312" w:eastAsia="仿宋_GB2312" w:cs="Times New Roman"/>
          <w:sz w:val="32"/>
          <w:lang w:val="en-US" w:eastAsia="zh-CN"/>
        </w:rPr>
        <w:t>意识形态领域整改工作方案</w:t>
      </w:r>
      <w:r>
        <w:rPr>
          <w:rFonts w:hint="eastAsia" w:ascii="仿宋" w:hAnsi="仿宋" w:eastAsia="仿宋" w:cs="仿宋"/>
          <w:sz w:val="32"/>
          <w:szCs w:val="32"/>
          <w:lang w:val="en-US" w:eastAsia="zh-CN"/>
        </w:rPr>
        <w:t>》，</w:t>
      </w:r>
      <w:r>
        <w:rPr>
          <w:rFonts w:hint="eastAsia" w:ascii="仿宋" w:hAnsi="仿宋" w:eastAsia="仿宋" w:cs="仿宋"/>
          <w:sz w:val="32"/>
          <w:szCs w:val="32"/>
        </w:rPr>
        <w:t>把意识形态工作纳入202</w:t>
      </w:r>
      <w:r>
        <w:rPr>
          <w:rFonts w:hint="eastAsia" w:ascii="仿宋" w:hAnsi="仿宋" w:eastAsia="仿宋" w:cs="仿宋"/>
          <w:sz w:val="32"/>
          <w:szCs w:val="32"/>
          <w:lang w:val="en-US" w:eastAsia="zh-CN"/>
        </w:rPr>
        <w:t>2</w:t>
      </w:r>
      <w:r>
        <w:rPr>
          <w:rFonts w:hint="eastAsia" w:ascii="仿宋" w:hAnsi="仿宋" w:eastAsia="仿宋" w:cs="仿宋"/>
          <w:sz w:val="32"/>
          <w:szCs w:val="32"/>
        </w:rPr>
        <w:t>年</w:t>
      </w:r>
      <w:r>
        <w:rPr>
          <w:rFonts w:hint="eastAsia" w:ascii="仿宋" w:hAnsi="仿宋" w:eastAsia="仿宋" w:cs="仿宋"/>
          <w:sz w:val="32"/>
          <w:szCs w:val="32"/>
          <w:lang w:val="en-US" w:eastAsia="zh-CN"/>
        </w:rPr>
        <w:t>餐厨所</w:t>
      </w:r>
      <w:r>
        <w:rPr>
          <w:rFonts w:hint="eastAsia" w:ascii="仿宋" w:hAnsi="仿宋" w:eastAsia="仿宋" w:cs="仿宋"/>
          <w:sz w:val="32"/>
          <w:szCs w:val="32"/>
        </w:rPr>
        <w:t>总体工作部署,与业务工作同部署、同落实、同检查、同考核。</w:t>
      </w:r>
    </w:p>
    <w:p w14:paraId="0CA3D987">
      <w:pPr>
        <w:ind w:firstLine="643" w:firstLineChars="200"/>
        <w:rPr>
          <w:rFonts w:hint="eastAsia" w:ascii="仿宋" w:hAnsi="仿宋" w:eastAsia="仿宋" w:cs="仿宋"/>
          <w:b w:val="0"/>
          <w:bCs w:val="0"/>
          <w:sz w:val="32"/>
          <w:szCs w:val="32"/>
          <w:lang w:val="en-US" w:eastAsia="zh-CN"/>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rPr>
        <w:t>严明纪律,完善党建。</w:t>
      </w:r>
      <w:r>
        <w:rPr>
          <w:rFonts w:hint="eastAsia" w:ascii="仿宋" w:hAnsi="仿宋" w:eastAsia="仿宋" w:cs="仿宋"/>
          <w:sz w:val="32"/>
          <w:szCs w:val="32"/>
        </w:rPr>
        <w:t>将意识形态工作纳入行政办公会学习的重要内容,及时传达学习党中央</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市委、区委</w:t>
      </w:r>
      <w:r>
        <w:rPr>
          <w:rFonts w:hint="eastAsia" w:ascii="仿宋" w:hAnsi="仿宋" w:eastAsia="仿宋" w:cs="仿宋"/>
          <w:sz w:val="32"/>
          <w:szCs w:val="32"/>
        </w:rPr>
        <w:t>关于意识形态工作的决策部署及指示精神,牢牢把握正确的政治方向,严守政治纪律和政治规矩,严守组织纪律和宣传纪律,切实增强“四个意识",坚定“四个自信”,做到“两个维护”。</w:t>
      </w:r>
    </w:p>
    <w:p w14:paraId="27F49210">
      <w:pPr>
        <w:numPr>
          <w:ilvl w:val="0"/>
          <w:numId w:val="0"/>
        </w:numPr>
        <w:spacing w:before="1" w:line="346" w:lineRule="auto"/>
        <w:ind w:left="820" w:leftChars="0"/>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3、着力狠抓工作实绩、不断提升服务管理的能力。</w:t>
      </w:r>
    </w:p>
    <w:p w14:paraId="720301D9">
      <w:pPr>
        <w:keepNext w:val="0"/>
        <w:keepLines w:val="0"/>
        <w:pageBreakBefore w:val="0"/>
        <w:widowControl/>
        <w:shd w:val="clear" w:color="auto" w:fill="FFFFFF"/>
        <w:kinsoku/>
        <w:wordWrap/>
        <w:overflowPunct/>
        <w:topLinePunct w:val="0"/>
        <w:autoSpaceDE/>
        <w:autoSpaceDN/>
        <w:bidi w:val="0"/>
        <w:adjustRightInd/>
        <w:snapToGrid/>
        <w:spacing w:before="0" w:beforeLines="0" w:beforeAutospacing="0" w:after="0" w:afterLines="0" w:afterAutospacing="0" w:line="120" w:lineRule="auto"/>
        <w:ind w:firstLine="643" w:firstLineChars="200"/>
        <w:jc w:val="both"/>
        <w:textAlignment w:val="auto"/>
        <w:rPr>
          <w:rFonts w:hint="eastAsia" w:ascii="仿宋_GB2312" w:hAnsi="仿宋_GB2312" w:eastAsia="仿宋_GB2312" w:cs="仿宋_GB2312"/>
          <w:kern w:val="0"/>
          <w:sz w:val="32"/>
          <w:szCs w:val="24"/>
          <w:lang w:val="en-US" w:eastAsia="zh-CN" w:bidi="ar-SA"/>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kern w:val="0"/>
          <w:sz w:val="32"/>
          <w:szCs w:val="32"/>
          <w:lang w:val="en-US" w:eastAsia="zh-CN" w:bidi="ar-SA"/>
        </w:rPr>
        <w:t>日常工作有序。</w:t>
      </w:r>
      <w:r>
        <w:rPr>
          <w:rFonts w:hint="eastAsia" w:ascii="仿宋" w:hAnsi="仿宋" w:eastAsia="仿宋" w:cs="仿宋"/>
          <w:kern w:val="0"/>
          <w:sz w:val="32"/>
          <w:szCs w:val="32"/>
          <w:lang w:val="en-US" w:eastAsia="zh-CN" w:bidi="ar-SA"/>
        </w:rPr>
        <w:t>按照“两无两全三化”的工作目标要求，在事权移交前我所日常监管和收运中心城区、楼区、经开区、南湖新区规模以上餐饮单位380多家，事权移交后，我所按照区城市管理“六治”工作要求，增加对东风湖和王家河水域周边78家餐饮门店餐厨垃圾收运，做到应收尽收，同时科学规划运输路线，合理调配车辆运力，增加对主次干道40余家餐厨垃圾污染较重的餐饮门店的餐厨垃圾收运工作，进一步减少了餐厨垃圾污染源的产生</w:t>
      </w:r>
      <w:r>
        <w:rPr>
          <w:rFonts w:hint="eastAsia" w:ascii="仿宋_GB2312" w:hAnsi="仿宋_GB2312" w:eastAsia="仿宋_GB2312" w:cs="仿宋_GB2312"/>
          <w:kern w:val="0"/>
          <w:sz w:val="32"/>
          <w:szCs w:val="24"/>
          <w:lang w:val="en-US" w:eastAsia="zh-CN" w:bidi="ar-SA"/>
        </w:rPr>
        <w:t>。</w:t>
      </w:r>
    </w:p>
    <w:p w14:paraId="237BC294">
      <w:pPr>
        <w:ind w:firstLine="643" w:firstLineChars="200"/>
        <w:rPr>
          <w:rFonts w:hint="eastAsia" w:ascii="仿宋_GB2312" w:hAnsi="仿宋_GB2312" w:eastAsia="仿宋_GB2312" w:cs="仿宋_GB2312"/>
          <w:sz w:val="32"/>
          <w:lang w:val="en-US" w:eastAsia="zh-CN"/>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试点工作初具成效。</w:t>
      </w:r>
      <w:r>
        <w:rPr>
          <w:rFonts w:hint="eastAsia" w:ascii="仿宋" w:hAnsi="仿宋" w:eastAsia="仿宋" w:cs="仿宋"/>
          <w:b w:val="0"/>
          <w:bCs w:val="0"/>
          <w:sz w:val="32"/>
          <w:szCs w:val="32"/>
          <w:lang w:val="en-US" w:eastAsia="zh-CN"/>
        </w:rPr>
        <w:t>为全面落实曾平原书记关于“加大餐厨垃圾收运力度”的工作指示和区委常委、副区长邓建华关于4月19日在三眼桥街道、梅溪街道、五里牌街道启动餐厨垃圾试点扩面收运工作部署，</w:t>
      </w:r>
      <w:r>
        <w:rPr>
          <w:rFonts w:hint="eastAsia" w:ascii="仿宋" w:hAnsi="仿宋" w:eastAsia="仿宋" w:cs="仿宋"/>
          <w:sz w:val="32"/>
          <w:szCs w:val="32"/>
          <w:lang w:val="en-US" w:eastAsia="zh-CN"/>
        </w:rPr>
        <w:t>我所成立专班，“地毯式”摸排及上门宣导餐饮单位696家，发放有关垃圾分类政策资料1000余份，签订收运协议326家，</w:t>
      </w:r>
      <w:r>
        <w:rPr>
          <w:rFonts w:hint="eastAsia" w:ascii="仿宋" w:hAnsi="仿宋" w:eastAsia="仿宋" w:cs="仿宋"/>
          <w:sz w:val="32"/>
          <w:szCs w:val="32"/>
          <w:lang w:eastAsia="zh-CN"/>
        </w:rPr>
        <w:t>借用区环卫中心餐厨垃圾专用车辆</w:t>
      </w:r>
      <w:r>
        <w:rPr>
          <w:rFonts w:hint="eastAsia" w:ascii="仿宋" w:hAnsi="仿宋" w:eastAsia="仿宋" w:cs="仿宋"/>
          <w:sz w:val="32"/>
          <w:szCs w:val="32"/>
          <w:lang w:val="en-US" w:eastAsia="zh-CN"/>
        </w:rPr>
        <w:t>3台，联人带车面向社会租用三轮餐厨垃圾收运车4台，用</w:t>
      </w:r>
      <w:r>
        <w:rPr>
          <w:rFonts w:hint="eastAsia" w:ascii="仿宋" w:hAnsi="仿宋" w:eastAsia="仿宋" w:cs="仿宋"/>
          <w:sz w:val="32"/>
          <w:szCs w:val="32"/>
          <w:lang w:eastAsia="zh-CN"/>
        </w:rPr>
        <w:t>于</w:t>
      </w:r>
      <w:r>
        <w:rPr>
          <w:rFonts w:hint="eastAsia" w:ascii="仿宋" w:hAnsi="仿宋" w:eastAsia="仿宋" w:cs="仿宋"/>
          <w:sz w:val="32"/>
          <w:szCs w:val="32"/>
          <w:lang w:val="en-US" w:eastAsia="zh-CN"/>
        </w:rPr>
        <w:t>五里牌街道、三眼桥街道、梅溪街道</w:t>
      </w:r>
      <w:r>
        <w:rPr>
          <w:rFonts w:hint="eastAsia" w:ascii="仿宋" w:hAnsi="仿宋" w:eastAsia="仿宋" w:cs="仿宋"/>
          <w:sz w:val="32"/>
          <w:szCs w:val="32"/>
          <w:lang w:eastAsia="zh-CN"/>
        </w:rPr>
        <w:t>开展餐厨垃圾试点收运工作，合理改造餐厨垃圾分离站，采购了</w:t>
      </w:r>
      <w:r>
        <w:rPr>
          <w:rFonts w:hint="eastAsia" w:ascii="仿宋" w:hAnsi="仿宋" w:eastAsia="仿宋" w:cs="仿宋"/>
          <w:sz w:val="32"/>
          <w:szCs w:val="32"/>
          <w:lang w:val="en-US" w:eastAsia="zh-CN"/>
        </w:rPr>
        <w:t>120升收运桶50个，合理设置了5条收运线路，截止到十一月中旬，共收运了380家大小餐饮门店，日收运餐厨垃圾约6吨，</w:t>
      </w:r>
      <w:r>
        <w:rPr>
          <w:rFonts w:hint="eastAsia" w:ascii="仿宋" w:hAnsi="仿宋" w:eastAsia="仿宋" w:cs="仿宋"/>
          <w:sz w:val="32"/>
          <w:szCs w:val="32"/>
          <w:lang w:eastAsia="zh-CN"/>
        </w:rPr>
        <w:t>试点区域内重要主次干道餐厨垃圾做到了全覆盖，应收尽收，取得了较好的社会效益。</w:t>
      </w:r>
    </w:p>
    <w:p w14:paraId="2F09486F">
      <w:pPr>
        <w:keepNext w:val="0"/>
        <w:keepLines w:val="0"/>
        <w:pageBreakBefore w:val="0"/>
        <w:kinsoku/>
        <w:wordWrap/>
        <w:overflowPunct/>
        <w:topLinePunct w:val="0"/>
        <w:autoSpaceDN/>
        <w:bidi w:val="0"/>
        <w:adjustRightInd/>
        <w:snapToGrid/>
        <w:spacing w:beforeLines="0" w:afterLines="0" w:line="120" w:lineRule="auto"/>
        <w:ind w:firstLine="643" w:firstLineChars="200"/>
        <w:textAlignment w:val="auto"/>
        <w:rPr>
          <w:rFonts w:hint="eastAsia" w:ascii="仿宋_GB2312" w:hAnsi="仿宋_GB2312" w:eastAsia="仿宋_GB2312" w:cs="仿宋_GB2312"/>
          <w:sz w:val="32"/>
          <w:lang w:val="en-US" w:eastAsia="zh-CN"/>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sz w:val="32"/>
          <w:lang w:val="en-US" w:eastAsia="zh-CN"/>
        </w:rPr>
        <w:t>回访巡查找问题。</w:t>
      </w:r>
      <w:r>
        <w:rPr>
          <w:rFonts w:hint="eastAsia" w:ascii="仿宋_GB2312" w:hAnsi="仿宋_GB2312" w:eastAsia="仿宋_GB2312" w:cs="仿宋_GB2312"/>
          <w:sz w:val="32"/>
        </w:rPr>
        <w:t>对已安装油水分离设备、定时定点收运的餐厨单位，按照一店一档原则，</w:t>
      </w:r>
      <w:r>
        <w:rPr>
          <w:rFonts w:hint="eastAsia" w:ascii="仿宋_GB2312" w:hAnsi="仿宋_GB2312" w:eastAsia="仿宋_GB2312" w:cs="仿宋_GB2312"/>
          <w:sz w:val="32"/>
          <w:lang w:val="en-US" w:eastAsia="zh-CN"/>
        </w:rPr>
        <w:t>进行400余次上门回访查阅，</w:t>
      </w:r>
      <w:r>
        <w:rPr>
          <w:rFonts w:hint="eastAsia" w:ascii="仿宋_GB2312" w:hAnsi="仿宋_GB2312" w:eastAsia="仿宋_GB2312" w:cs="仿宋_GB2312"/>
          <w:sz w:val="32"/>
        </w:rPr>
        <w:t>重点督促油水分离设备正常使用情况、专用垃圾桶混装及周边卫生整洁情况</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lang w:val="en-US" w:eastAsia="zh-CN"/>
        </w:rPr>
        <w:t>对市区责任区域的垃圾混装、垃圾桶乱摆放、油脂污染.擅自收油、未按规定安装使用干湿分离设备等现象加大了管理力度、采取调取监控、现场值守等方式，对垃圾混装、油脂污染等违法行为下达限期整改通知书26份，扣留擅自收油车辆4台次。</w:t>
      </w:r>
    </w:p>
    <w:p w14:paraId="53BB2630">
      <w:pPr>
        <w:ind w:firstLine="643" w:firstLineChars="200"/>
        <w:rPr>
          <w:rFonts w:hint="eastAsia" w:ascii="仿宋_GB2312" w:hAnsi="Calibri" w:eastAsia="仿宋_GB2312" w:cs="Times New Roman"/>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专项整治有举措。一是</w:t>
      </w:r>
      <w:r>
        <w:rPr>
          <w:rFonts w:hint="eastAsia" w:ascii="仿宋_GB2312" w:hAnsi="Calibri" w:eastAsia="仿宋_GB2312" w:cs="Times New Roman"/>
          <w:sz w:val="32"/>
          <w:szCs w:val="32"/>
        </w:rPr>
        <w:t>开展餐厨垃圾收运专项整治行动，采取错时值守，路段到人，重点监管等措施，对美食街、夜宵街、主次干道规模以上餐厨垃圾产生单位违规处理餐厨垃圾的行为进行监管，还加大餐厨垃圾收集力度，调整餐厨垃圾收集时间，做到餐厨垃圾日产日清，切实解决百姓生活环境问题</w:t>
      </w:r>
      <w:r>
        <w:rPr>
          <w:rFonts w:hint="eastAsia" w:ascii="仿宋_GB2312" w:hAnsi="Calibri" w:eastAsia="仿宋_GB2312" w:cs="Times New Roman"/>
          <w:sz w:val="32"/>
          <w:szCs w:val="32"/>
          <w:lang w:eastAsia="zh-CN"/>
        </w:rPr>
        <w:t>。</w:t>
      </w:r>
      <w:r>
        <w:rPr>
          <w:rFonts w:hint="eastAsia" w:ascii="仿宋_GB2312" w:hAnsi="Calibri" w:eastAsia="仿宋_GB2312" w:cs="Times New Roman"/>
          <w:b/>
          <w:bCs/>
          <w:sz w:val="32"/>
          <w:szCs w:val="32"/>
          <w:lang w:val="en-US" w:eastAsia="zh-CN"/>
        </w:rPr>
        <w:t>二是</w:t>
      </w:r>
      <w:r>
        <w:rPr>
          <w:rFonts w:hint="eastAsia" w:ascii="仿宋" w:hAnsi="仿宋" w:eastAsia="仿宋" w:cs="仿宋"/>
          <w:b w:val="0"/>
          <w:bCs w:val="0"/>
          <w:sz w:val="32"/>
          <w:szCs w:val="32"/>
          <w:lang w:val="en-US" w:eastAsia="zh-CN"/>
        </w:rPr>
        <w:t>突出工作重点，加强对沿岸餐饮门店的监管</w:t>
      </w:r>
      <w:r>
        <w:rPr>
          <w:rFonts w:hint="eastAsia" w:ascii="楷体" w:hAnsi="楷体" w:eastAsia="楷体" w:cs="楷体"/>
          <w:b/>
          <w:bCs/>
          <w:sz w:val="32"/>
          <w:szCs w:val="32"/>
          <w:lang w:val="en-US" w:eastAsia="zh-CN"/>
        </w:rPr>
        <w:t>。</w:t>
      </w:r>
      <w:r>
        <w:rPr>
          <w:rFonts w:hint="eastAsia" w:ascii="仿宋" w:hAnsi="仿宋" w:eastAsia="仿宋" w:cs="仿宋"/>
          <w:sz w:val="32"/>
          <w:szCs w:val="32"/>
          <w:lang w:val="en-US" w:eastAsia="zh-CN"/>
        </w:rPr>
        <w:t>我们将严格按照《王家河环境常态化管理方案》的相关要求落实工作责任，加大对王家河、东风湖区域餐饮场所监管、检查和执法力度，严厉打击随意倾倒处理餐厨垃圾、油污行为</w:t>
      </w:r>
      <w:r>
        <w:rPr>
          <w:rFonts w:hint="eastAsia" w:ascii="仿宋_GB2312" w:hAnsi="Calibri" w:eastAsia="仿宋_GB2312" w:cs="Times New Roman"/>
          <w:sz w:val="32"/>
          <w:szCs w:val="32"/>
        </w:rPr>
        <w:t>。</w:t>
      </w:r>
    </w:p>
    <w:p w14:paraId="6AE7AD06">
      <w:pPr>
        <w:spacing w:before="1" w:line="346" w:lineRule="auto"/>
        <w:ind w:firstLine="643" w:firstLineChars="200"/>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4、着力加强组织建设，不断提高规范发展的能力。</w:t>
      </w:r>
    </w:p>
    <w:p w14:paraId="29B76FE6">
      <w:pPr>
        <w:spacing w:before="1" w:line="346" w:lineRule="auto"/>
        <w:ind w:firstLine="640" w:firstLineChars="200"/>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一是加强理论学习,提高指导实践、推动工作能力的提升。支部一班人坚持每月一次中心组学习,根据党各时期的理论决策、方针部署,都能在第一时间组织干部群众进行学习讨论，并结合单位实际情况，进行安排布置，督促大家认真</w:t>
      </w:r>
      <w:r>
        <w:rPr>
          <w:rFonts w:ascii="仿宋" w:hAnsi="仿宋" w:eastAsia="仿宋" w:cs="仿宋"/>
          <w:spacing w:val="-9"/>
          <w:sz w:val="32"/>
          <w:szCs w:val="32"/>
        </w:rPr>
        <w:t>贯彻</w:t>
      </w:r>
      <w:r>
        <w:rPr>
          <w:rFonts w:hint="eastAsia" w:ascii="仿宋" w:hAnsi="仿宋" w:eastAsia="仿宋" w:cs="仿宋"/>
          <w:b w:val="0"/>
          <w:bCs w:val="0"/>
          <w:sz w:val="32"/>
          <w:szCs w:val="32"/>
          <w:lang w:val="en-US" w:eastAsia="zh-CN"/>
        </w:rPr>
        <w:t>落实，将全所干部职工的思想和行动统一上级的决策和部署上,确保了党的路线方针政策和重大决策在单位的正确贯彻和扎实落实,发挥了政治引领作用。二是加强团结协作,提高班子决策能力。领导班子讲求团结协作,按照“集体领导、民主集中、个别酝酿、会议决定”的原则,凡涉及重大事项决策、大额资金使用以及涉及所发展和职工利益的事项,均严格执行"三重一大″决策制度,通过职工大会、支部会议等集体研究决定，全年召开支部会议18次，有效的提升了班子决策能力。如期转正新党员2人，新培养入党积极分子1人，为党支部输入新鲜血液。</w:t>
      </w:r>
    </w:p>
    <w:p w14:paraId="47DCB8FD">
      <w:pPr>
        <w:keepNext w:val="0"/>
        <w:keepLines w:val="0"/>
        <w:pageBreakBefore w:val="0"/>
        <w:kinsoku/>
        <w:wordWrap/>
        <w:overflowPunct/>
        <w:topLinePunct w:val="0"/>
        <w:autoSpaceDN/>
        <w:bidi w:val="0"/>
        <w:adjustRightInd/>
        <w:snapToGrid/>
        <w:spacing w:beforeLines="0" w:afterLines="0" w:line="120" w:lineRule="auto"/>
        <w:ind w:left="1281" w:leftChars="304" w:hanging="643" w:hangingChars="200"/>
        <w:jc w:val="left"/>
        <w:textAlignment w:val="auto"/>
        <w:rPr>
          <w:rFonts w:hint="eastAsia" w:ascii="仿宋_GB2312" w:hAnsi="仿宋_GB2312" w:eastAsia="仿宋_GB2312" w:cs="仿宋_GB2312"/>
          <w:sz w:val="32"/>
        </w:rPr>
      </w:pPr>
      <w:r>
        <w:rPr>
          <w:rFonts w:hint="eastAsia" w:ascii="楷体" w:hAnsi="楷体" w:eastAsia="楷体" w:cs="楷体"/>
          <w:b/>
          <w:bCs/>
          <w:sz w:val="32"/>
          <w:szCs w:val="32"/>
          <w:lang w:val="en-US" w:eastAsia="zh-CN"/>
        </w:rPr>
        <w:t>5、着力加强党风廉政建设，不断提高防腐拒变的能力</w:t>
      </w:r>
    </w:p>
    <w:p w14:paraId="4985A437">
      <w:pPr>
        <w:keepNext w:val="0"/>
        <w:keepLines w:val="0"/>
        <w:pageBreakBefore w:val="0"/>
        <w:kinsoku/>
        <w:wordWrap/>
        <w:overflowPunct/>
        <w:topLinePunct w:val="0"/>
        <w:autoSpaceDN/>
        <w:bidi w:val="0"/>
        <w:adjustRightInd/>
        <w:snapToGrid/>
        <w:spacing w:beforeLines="0" w:afterLines="0" w:line="120" w:lineRule="auto"/>
        <w:ind w:firstLine="643" w:firstLineChars="200"/>
        <w:jc w:val="left"/>
        <w:textAlignment w:val="auto"/>
        <w:rPr>
          <w:rFonts w:hint="default" w:ascii="仿宋_GB2312" w:hAnsi="仿宋_GB2312" w:eastAsia="仿宋_GB2312" w:cs="仿宋_GB2312"/>
          <w:b w:val="0"/>
          <w:bCs w:val="0"/>
          <w:color w:val="333333"/>
          <w:sz w:val="32"/>
          <w:shd w:val="clear" w:color="auto" w:fill="FFFFFF"/>
          <w:lang w:val="en-US" w:eastAsia="zh-CN"/>
        </w:rPr>
      </w:pPr>
      <w:r>
        <w:rPr>
          <w:rFonts w:hint="eastAsia" w:ascii="仿宋_GB2312" w:hAnsi="仿宋_GB2312" w:eastAsia="仿宋_GB2312" w:cs="仿宋_GB2312"/>
          <w:b/>
          <w:bCs/>
          <w:color w:val="000000"/>
          <w:sz w:val="32"/>
          <w:lang w:val="en-US" w:eastAsia="zh-CN"/>
        </w:rPr>
        <w:t>一是加强党风廉政建设。</w:t>
      </w:r>
      <w:r>
        <w:rPr>
          <w:rFonts w:hint="eastAsia" w:ascii="仿宋_GB2312" w:hAnsi="仿宋_GB2312" w:eastAsia="仿宋_GB2312" w:cs="仿宋_GB2312"/>
          <w:b w:val="0"/>
          <w:bCs w:val="0"/>
          <w:color w:val="000000"/>
          <w:sz w:val="32"/>
          <w:lang w:val="en-US" w:eastAsia="zh-CN"/>
        </w:rPr>
        <w:t>制定了2022年党风廉政建设工作方案，成立了以胡焱所长为组长的党风廉政建设小组。制定了《清廉机关的建设方案》，并按要求制定了任务分解表。</w:t>
      </w:r>
    </w:p>
    <w:p w14:paraId="35713D7C">
      <w:pPr>
        <w:keepNext w:val="0"/>
        <w:keepLines w:val="0"/>
        <w:pageBreakBefore w:val="0"/>
        <w:numPr>
          <w:ilvl w:val="0"/>
          <w:numId w:val="0"/>
        </w:numPr>
        <w:kinsoku/>
        <w:wordWrap/>
        <w:overflowPunct/>
        <w:topLinePunct w:val="0"/>
        <w:autoSpaceDN/>
        <w:bidi w:val="0"/>
        <w:adjustRightInd/>
        <w:snapToGrid/>
        <w:spacing w:beforeLines="0" w:afterLines="0" w:line="120" w:lineRule="auto"/>
        <w:ind w:firstLine="643" w:firstLineChars="200"/>
        <w:jc w:val="both"/>
        <w:textAlignment w:val="auto"/>
        <w:rPr>
          <w:rFonts w:hint="eastAsia" w:ascii="仿宋_GB2312" w:hAnsi="ˎ̥" w:eastAsia="仿宋_GB2312" w:cs="Times New Roman"/>
          <w:sz w:val="32"/>
          <w:lang w:eastAsia="zh-CN"/>
        </w:rPr>
      </w:pPr>
      <w:r>
        <w:rPr>
          <w:rFonts w:hint="eastAsia" w:ascii="仿宋_GB2312" w:hAnsi="仿宋" w:eastAsia="仿宋_GB2312" w:cs="Times New Roman"/>
          <w:b/>
          <w:color w:val="auto"/>
          <w:sz w:val="32"/>
          <w:lang w:val="en-US" w:eastAsia="zh-CN"/>
        </w:rPr>
        <w:t>二是</w:t>
      </w:r>
      <w:r>
        <w:rPr>
          <w:rFonts w:hint="eastAsia" w:ascii="仿宋_GB2312" w:hAnsi="仿宋" w:eastAsia="仿宋_GB2312" w:cs="Times New Roman"/>
          <w:b/>
          <w:color w:val="auto"/>
          <w:sz w:val="32"/>
        </w:rPr>
        <w:t>狠抓</w:t>
      </w:r>
      <w:r>
        <w:rPr>
          <w:rFonts w:hint="eastAsia" w:ascii="仿宋_GB2312" w:hAnsi="仿宋" w:eastAsia="仿宋_GB2312" w:cs="Times New Roman"/>
          <w:b/>
          <w:color w:val="auto"/>
          <w:sz w:val="32"/>
          <w:lang w:val="en-US" w:eastAsia="zh-CN"/>
        </w:rPr>
        <w:t>纪律</w:t>
      </w:r>
      <w:r>
        <w:rPr>
          <w:rFonts w:hint="eastAsia" w:ascii="仿宋_GB2312" w:hAnsi="仿宋" w:eastAsia="仿宋_GB2312" w:cs="Times New Roman"/>
          <w:b/>
          <w:color w:val="auto"/>
          <w:sz w:val="32"/>
        </w:rPr>
        <w:t>作风建设</w:t>
      </w:r>
      <w:r>
        <w:rPr>
          <w:rFonts w:hint="eastAsia" w:ascii="仿宋_GB2312" w:hAnsi="仿宋" w:eastAsia="仿宋_GB2312" w:cs="Times New Roman"/>
          <w:b/>
          <w:color w:val="auto"/>
          <w:sz w:val="32"/>
          <w:lang w:eastAsia="zh-CN"/>
        </w:rPr>
        <w:t>。</w:t>
      </w:r>
      <w:r>
        <w:rPr>
          <w:rFonts w:hint="eastAsia" w:ascii="仿宋_GB2312" w:hAnsi="仿宋" w:eastAsia="仿宋_GB2312" w:cs="Times New Roman"/>
          <w:color w:val="000000"/>
          <w:sz w:val="32"/>
        </w:rPr>
        <w:t>深入学习习近平总书记关于作风建设重要论述</w:t>
      </w:r>
      <w:r>
        <w:rPr>
          <w:rFonts w:hint="eastAsia" w:ascii="仿宋_GB2312" w:hAnsi="仿宋" w:eastAsia="仿宋_GB2312" w:cs="Times New Roman"/>
          <w:color w:val="000000"/>
          <w:sz w:val="32"/>
          <w:lang w:val="en-US" w:eastAsia="zh-CN"/>
        </w:rPr>
        <w:t>和区委关于纪律作风突出问题整治工作会议精神</w:t>
      </w:r>
      <w:r>
        <w:rPr>
          <w:rFonts w:hint="eastAsia" w:ascii="仿宋_GB2312" w:hAnsi="仿宋" w:eastAsia="仿宋_GB2312" w:cs="Times New Roman"/>
          <w:color w:val="000000"/>
          <w:sz w:val="32"/>
        </w:rPr>
        <w:t>，坚持不懈开展作风教育，</w:t>
      </w:r>
      <w:r>
        <w:rPr>
          <w:rFonts w:hint="eastAsia" w:ascii="仿宋_GB2312" w:hAnsi="仿宋" w:eastAsia="仿宋_GB2312" w:cs="Times New Roman"/>
          <w:color w:val="2B2B2B"/>
          <w:sz w:val="32"/>
        </w:rPr>
        <w:t>加强纪律检查监督，对发现违纪的问题严格处理</w:t>
      </w:r>
      <w:r>
        <w:rPr>
          <w:rFonts w:hint="eastAsia" w:ascii="仿宋_GB2312" w:hAnsi="Calibri" w:eastAsia="仿宋_GB2312" w:cs="Times New Roman"/>
          <w:color w:val="2B2B2B"/>
          <w:sz w:val="32"/>
        </w:rPr>
        <w:t>，</w:t>
      </w:r>
      <w:r>
        <w:rPr>
          <w:rFonts w:hint="eastAsia" w:ascii="仿宋_GB2312" w:hAnsi="ˎ̥" w:eastAsia="仿宋_GB2312" w:cs="Times New Roman"/>
          <w:sz w:val="32"/>
        </w:rPr>
        <w:t>严格考勤制度和工作纪律</w:t>
      </w:r>
      <w:r>
        <w:rPr>
          <w:rFonts w:hint="eastAsia" w:ascii="仿宋_GB2312" w:hAnsi="ˎ̥" w:eastAsia="仿宋_GB2312" w:cs="Times New Roman"/>
          <w:sz w:val="32"/>
          <w:lang w:eastAsia="zh-CN"/>
        </w:rPr>
        <w:t>，</w:t>
      </w:r>
      <w:r>
        <w:rPr>
          <w:rFonts w:hint="eastAsia" w:ascii="仿宋_GB2312" w:hAnsi="ˎ̥" w:eastAsia="仿宋_GB2312" w:cs="Times New Roman"/>
          <w:sz w:val="32"/>
          <w:lang w:val="en-US" w:eastAsia="zh-CN"/>
        </w:rPr>
        <w:t>对1名累计旷工达16天的职工作出了警告处分</w:t>
      </w:r>
      <w:r>
        <w:rPr>
          <w:rFonts w:hint="eastAsia" w:ascii="仿宋_GB2312" w:hAnsi="ˎ̥" w:eastAsia="仿宋_GB2312" w:cs="Times New Roman"/>
          <w:sz w:val="32"/>
        </w:rPr>
        <w:t>，</w:t>
      </w:r>
      <w:r>
        <w:rPr>
          <w:rFonts w:hint="eastAsia" w:ascii="仿宋_GB2312" w:hAnsi="ˎ̥" w:eastAsia="仿宋_GB2312" w:cs="Times New Roman"/>
          <w:sz w:val="32"/>
          <w:lang w:val="en-US" w:eastAsia="zh-CN"/>
        </w:rPr>
        <w:t>所有职工签订《“双十严禁”承诺书》，</w:t>
      </w:r>
      <w:r>
        <w:rPr>
          <w:rFonts w:hint="eastAsia" w:ascii="仿宋_GB2312" w:hAnsi="ˎ̥" w:eastAsia="仿宋_GB2312" w:cs="Times New Roman"/>
          <w:sz w:val="32"/>
        </w:rPr>
        <w:t>对职工操办婚丧喜庆事宜，严格执行事前事后报告制度</w:t>
      </w:r>
      <w:r>
        <w:rPr>
          <w:rFonts w:hint="eastAsia" w:ascii="仿宋_GB2312" w:hAnsi="ˎ̥" w:eastAsia="仿宋_GB2312" w:cs="Times New Roman"/>
          <w:sz w:val="32"/>
          <w:lang w:eastAsia="zh-CN"/>
        </w:rPr>
        <w:t>，并上报</w:t>
      </w:r>
      <w:r>
        <w:rPr>
          <w:rFonts w:hint="eastAsia" w:ascii="仿宋_GB2312" w:hAnsi="ˎ̥" w:eastAsia="仿宋_GB2312" w:cs="Times New Roman"/>
          <w:sz w:val="32"/>
          <w:lang w:val="en-US" w:eastAsia="zh-CN"/>
        </w:rPr>
        <w:t>楼区驻城管纪检组备</w:t>
      </w:r>
      <w:r>
        <w:rPr>
          <w:rFonts w:hint="eastAsia" w:ascii="仿宋_GB2312" w:hAnsi="ˎ̥" w:eastAsia="仿宋_GB2312" w:cs="Times New Roman"/>
          <w:sz w:val="32"/>
          <w:lang w:eastAsia="zh-CN"/>
        </w:rPr>
        <w:t>案。</w:t>
      </w:r>
    </w:p>
    <w:p w14:paraId="7A11EF56">
      <w:pPr>
        <w:numPr>
          <w:ilvl w:val="0"/>
          <w:numId w:val="0"/>
        </w:numPr>
        <w:spacing w:before="1" w:line="346" w:lineRule="auto"/>
        <w:ind w:firstLine="643" w:firstLineChars="200"/>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6、着力抓好法治建设，不断提升依法办公的能力。</w:t>
      </w:r>
    </w:p>
    <w:p w14:paraId="2CE130FA">
      <w:pPr>
        <w:ind w:firstLine="640" w:firstLineChars="200"/>
        <w:jc w:val="left"/>
        <w:rPr>
          <w:rFonts w:hint="eastAsia"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今年以来，我</w:t>
      </w:r>
      <w:r>
        <w:rPr>
          <w:rFonts w:hint="eastAsia" w:ascii="仿宋" w:hAnsi="仿宋" w:eastAsia="仿宋" w:cs="仿宋"/>
          <w:b w:val="0"/>
          <w:bCs w:val="0"/>
          <w:sz w:val="32"/>
          <w:szCs w:val="32"/>
          <w:lang w:val="en-US" w:eastAsia="zh-CN"/>
        </w:rPr>
        <w:t>所</w:t>
      </w:r>
      <w:r>
        <w:rPr>
          <w:rFonts w:hint="default" w:ascii="仿宋" w:hAnsi="仿宋" w:eastAsia="仿宋" w:cs="仿宋"/>
          <w:b w:val="0"/>
          <w:bCs w:val="0"/>
          <w:sz w:val="32"/>
          <w:szCs w:val="32"/>
          <w:lang w:val="en-US" w:eastAsia="zh-CN"/>
        </w:rPr>
        <w:t>在</w:t>
      </w:r>
      <w:r>
        <w:rPr>
          <w:rFonts w:hint="eastAsia" w:ascii="仿宋" w:hAnsi="仿宋" w:eastAsia="仿宋" w:cs="仿宋"/>
          <w:b w:val="0"/>
          <w:bCs w:val="0"/>
          <w:sz w:val="32"/>
          <w:szCs w:val="32"/>
          <w:lang w:val="en-US" w:eastAsia="zh-CN"/>
        </w:rPr>
        <w:t>区</w:t>
      </w:r>
      <w:r>
        <w:rPr>
          <w:rFonts w:hint="default" w:ascii="仿宋" w:hAnsi="仿宋" w:eastAsia="仿宋" w:cs="仿宋"/>
          <w:b w:val="0"/>
          <w:bCs w:val="0"/>
          <w:sz w:val="32"/>
          <w:szCs w:val="32"/>
          <w:lang w:val="en-US" w:eastAsia="zh-CN"/>
        </w:rPr>
        <w:t>委、</w:t>
      </w:r>
      <w:r>
        <w:rPr>
          <w:rFonts w:hint="eastAsia" w:ascii="仿宋" w:hAnsi="仿宋" w:eastAsia="仿宋" w:cs="仿宋"/>
          <w:b w:val="0"/>
          <w:bCs w:val="0"/>
          <w:sz w:val="32"/>
          <w:szCs w:val="32"/>
          <w:lang w:val="en-US" w:eastAsia="zh-CN"/>
        </w:rPr>
        <w:t>区</w:t>
      </w:r>
      <w:r>
        <w:rPr>
          <w:rFonts w:hint="default" w:ascii="仿宋" w:hAnsi="仿宋" w:eastAsia="仿宋" w:cs="仿宋"/>
          <w:b w:val="0"/>
          <w:bCs w:val="0"/>
          <w:sz w:val="32"/>
          <w:szCs w:val="32"/>
          <w:lang w:val="en-US" w:eastAsia="zh-CN"/>
        </w:rPr>
        <w:t>政府的领导下，</w:t>
      </w:r>
      <w:r>
        <w:rPr>
          <w:rFonts w:hint="eastAsia" w:ascii="仿宋" w:hAnsi="仿宋" w:eastAsia="仿宋" w:cs="仿宋"/>
          <w:b w:val="0"/>
          <w:bCs w:val="0"/>
          <w:sz w:val="32"/>
          <w:szCs w:val="32"/>
          <w:lang w:val="en-US" w:eastAsia="zh-CN"/>
        </w:rPr>
        <w:t>结合单位实际</w:t>
      </w:r>
      <w:r>
        <w:rPr>
          <w:rFonts w:hint="default" w:ascii="仿宋" w:hAnsi="仿宋" w:eastAsia="仿宋" w:cs="仿宋"/>
          <w:b w:val="0"/>
          <w:bCs w:val="0"/>
          <w:sz w:val="32"/>
          <w:szCs w:val="32"/>
          <w:lang w:val="en-US" w:eastAsia="zh-CN"/>
        </w:rPr>
        <w:t>，</w:t>
      </w:r>
      <w:r>
        <w:rPr>
          <w:rFonts w:hint="eastAsia" w:ascii="仿宋" w:hAnsi="仿宋" w:eastAsia="仿宋" w:cs="仿宋"/>
          <w:b w:val="0"/>
          <w:bCs w:val="0"/>
          <w:sz w:val="32"/>
          <w:szCs w:val="32"/>
          <w:lang w:val="en-US" w:eastAsia="zh-CN"/>
        </w:rPr>
        <w:t>进一步推进法治建设。</w:t>
      </w:r>
    </w:p>
    <w:p w14:paraId="067941F7">
      <w:pPr>
        <w:ind w:firstLine="643" w:firstLineChars="200"/>
        <w:jc w:val="left"/>
        <w:rPr>
          <w:rFonts w:hint="default" w:ascii="仿宋" w:hAnsi="仿宋" w:eastAsia="仿宋" w:cs="仿宋"/>
          <w:b w:val="0"/>
          <w:bCs w:val="0"/>
          <w:sz w:val="32"/>
          <w:szCs w:val="32"/>
          <w:lang w:val="en-US" w:eastAsia="zh-CN"/>
        </w:rPr>
      </w:pPr>
      <w:r>
        <w:rPr>
          <w:rFonts w:hint="default" w:ascii="仿宋" w:hAnsi="仿宋" w:eastAsia="仿宋" w:cs="仿宋"/>
          <w:b/>
          <w:bCs/>
          <w:sz w:val="32"/>
          <w:szCs w:val="32"/>
          <w:lang w:val="en-US" w:eastAsia="zh-CN"/>
        </w:rPr>
        <w:t>一是</w:t>
      </w:r>
      <w:r>
        <w:rPr>
          <w:rFonts w:hint="default" w:ascii="仿宋" w:hAnsi="仿宋" w:eastAsia="仿宋" w:cs="仿宋"/>
          <w:b w:val="0"/>
          <w:bCs w:val="0"/>
          <w:sz w:val="32"/>
          <w:szCs w:val="32"/>
          <w:lang w:val="en-US" w:eastAsia="zh-CN"/>
        </w:rPr>
        <w:t>加强法治教育培训，广泛开展学习，进一步增强机关干部的依法行政意识和依法行政理念，树立良好的法治观念和服务意识，为政务服务工作打下扎实的基础。</w:t>
      </w:r>
    </w:p>
    <w:p w14:paraId="152828C1">
      <w:pPr>
        <w:ind w:firstLine="643" w:firstLineChars="200"/>
        <w:jc w:val="left"/>
        <w:rPr>
          <w:rFonts w:hint="default" w:ascii="仿宋" w:hAnsi="仿宋" w:eastAsia="仿宋" w:cs="仿宋"/>
          <w:b w:val="0"/>
          <w:bCs w:val="0"/>
          <w:sz w:val="32"/>
          <w:szCs w:val="32"/>
          <w:lang w:val="en-US" w:eastAsia="zh-CN"/>
        </w:rPr>
      </w:pPr>
      <w:r>
        <w:rPr>
          <w:rFonts w:hint="default" w:ascii="仿宋" w:hAnsi="仿宋" w:eastAsia="仿宋" w:cs="仿宋"/>
          <w:b/>
          <w:bCs/>
          <w:sz w:val="32"/>
          <w:szCs w:val="32"/>
          <w:lang w:val="en-US" w:eastAsia="zh-CN"/>
        </w:rPr>
        <w:t>二是</w:t>
      </w:r>
      <w:r>
        <w:rPr>
          <w:rFonts w:hint="default" w:ascii="仿宋" w:hAnsi="仿宋" w:eastAsia="仿宋" w:cs="仿宋"/>
          <w:b w:val="0"/>
          <w:bCs w:val="0"/>
          <w:sz w:val="32"/>
          <w:szCs w:val="32"/>
          <w:lang w:val="en-US" w:eastAsia="zh-CN"/>
        </w:rPr>
        <w:t>加强制度建设，完善一系列规章制度，使各</w:t>
      </w:r>
      <w:r>
        <w:rPr>
          <w:rFonts w:hint="eastAsia" w:ascii="仿宋" w:hAnsi="仿宋" w:eastAsia="仿宋" w:cs="仿宋"/>
          <w:b w:val="0"/>
          <w:bCs w:val="0"/>
          <w:sz w:val="32"/>
          <w:szCs w:val="32"/>
          <w:lang w:val="en-US" w:eastAsia="zh-CN"/>
        </w:rPr>
        <w:t>股室（队）</w:t>
      </w:r>
      <w:r>
        <w:rPr>
          <w:rFonts w:hint="default" w:ascii="仿宋" w:hAnsi="仿宋" w:eastAsia="仿宋" w:cs="仿宋"/>
          <w:b w:val="0"/>
          <w:bCs w:val="0"/>
          <w:sz w:val="32"/>
          <w:szCs w:val="32"/>
          <w:lang w:val="en-US" w:eastAsia="zh-CN"/>
        </w:rPr>
        <w:t>、全体工作人员有章可循，严格约束自己的行为，杜绝失职和不廉洁行为发生，树立严格依法行政为人民服务的形象在全面推进依法行政方面，坚持做到严格、依法、公开、公正的原则，按有法依法、无法依政策、无政策按惯例、无惯例请示领导的行政效率规则，严谨地开展各项依法行政工作，工作实效明显，行政工作规范有序。</w:t>
      </w:r>
    </w:p>
    <w:p w14:paraId="03245387">
      <w:pPr>
        <w:ind w:firstLine="643" w:firstLineChars="200"/>
        <w:jc w:val="left"/>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三</w:t>
      </w:r>
      <w:r>
        <w:rPr>
          <w:rFonts w:hint="default" w:ascii="仿宋" w:hAnsi="仿宋" w:eastAsia="仿宋" w:cs="仿宋"/>
          <w:b/>
          <w:bCs/>
          <w:sz w:val="32"/>
          <w:szCs w:val="32"/>
          <w:lang w:val="en-US" w:eastAsia="zh-CN"/>
        </w:rPr>
        <w:t>是</w:t>
      </w:r>
      <w:r>
        <w:rPr>
          <w:rFonts w:hint="default" w:ascii="仿宋" w:hAnsi="仿宋" w:eastAsia="仿宋" w:cs="仿宋"/>
          <w:b w:val="0"/>
          <w:bCs w:val="0"/>
          <w:sz w:val="32"/>
          <w:szCs w:val="32"/>
          <w:lang w:val="en-US" w:eastAsia="zh-CN"/>
        </w:rPr>
        <w:t>认真开展查处“四风”和腐败问题专项整治工作，加强干部作风建设和廉洁警示教育，召开多次会议对相关典型案例进行剖析学习，推进干部依法行政，规范村级管理。</w:t>
      </w:r>
    </w:p>
    <w:p w14:paraId="1D22BFE2">
      <w:pPr>
        <w:ind w:firstLine="643" w:firstLineChars="200"/>
        <w:jc w:val="left"/>
        <w:rPr>
          <w:rFonts w:hint="eastAsia" w:ascii="仿宋_GB2312" w:hAnsi="ˎ̥" w:eastAsia="仿宋_GB2312" w:cs="Times New Roman"/>
          <w:b w:val="0"/>
          <w:bCs w:val="0"/>
          <w:sz w:val="32"/>
          <w:lang w:val="en-US" w:eastAsia="zh-CN"/>
        </w:rPr>
      </w:pPr>
      <w:r>
        <w:rPr>
          <w:rFonts w:hint="eastAsia" w:ascii="仿宋" w:hAnsi="仿宋" w:eastAsia="仿宋" w:cs="仿宋"/>
          <w:b/>
          <w:bCs/>
          <w:sz w:val="32"/>
          <w:szCs w:val="32"/>
          <w:lang w:val="en-US" w:eastAsia="zh-CN"/>
        </w:rPr>
        <w:t>四是</w:t>
      </w:r>
      <w:r>
        <w:rPr>
          <w:rFonts w:hint="default" w:ascii="仿宋" w:hAnsi="仿宋" w:eastAsia="仿宋" w:cs="仿宋"/>
          <w:b w:val="0"/>
          <w:bCs w:val="0"/>
          <w:sz w:val="32"/>
          <w:szCs w:val="32"/>
          <w:lang w:val="en-US" w:eastAsia="zh-CN"/>
        </w:rPr>
        <w:t>妥善处理好</w:t>
      </w:r>
      <w:r>
        <w:rPr>
          <w:rFonts w:hint="eastAsia" w:ascii="仿宋" w:hAnsi="仿宋" w:eastAsia="仿宋" w:cs="仿宋"/>
          <w:b w:val="0"/>
          <w:bCs w:val="0"/>
          <w:sz w:val="32"/>
          <w:szCs w:val="32"/>
          <w:lang w:val="en-US" w:eastAsia="zh-CN"/>
        </w:rPr>
        <w:t>职工</w:t>
      </w:r>
      <w:r>
        <w:rPr>
          <w:rFonts w:hint="default" w:ascii="仿宋" w:hAnsi="仿宋" w:eastAsia="仿宋" w:cs="仿宋"/>
          <w:b w:val="0"/>
          <w:bCs w:val="0"/>
          <w:sz w:val="32"/>
          <w:szCs w:val="32"/>
          <w:lang w:val="en-US" w:eastAsia="zh-CN"/>
        </w:rPr>
        <w:t>信访工作，解决群众矛盾纠纷，切实维护社会和谐稳定</w:t>
      </w:r>
      <w:r>
        <w:rPr>
          <w:rFonts w:hint="eastAsia" w:ascii="仿宋" w:hAnsi="仿宋" w:eastAsia="仿宋" w:cs="仿宋"/>
          <w:b w:val="0"/>
          <w:bCs w:val="0"/>
          <w:sz w:val="32"/>
          <w:szCs w:val="32"/>
          <w:lang w:val="en-US" w:eastAsia="zh-CN"/>
        </w:rPr>
        <w:t>。</w:t>
      </w:r>
      <w:r>
        <w:rPr>
          <w:rFonts w:hint="eastAsia" w:ascii="仿宋_GB2312" w:hAnsi="ˎ̥" w:eastAsia="仿宋_GB2312" w:cs="Times New Roman"/>
          <w:b w:val="0"/>
          <w:bCs w:val="0"/>
          <w:sz w:val="32"/>
          <w:lang w:val="en-US" w:eastAsia="zh-CN"/>
        </w:rPr>
        <w:t>出台了《餐厨所信访维稳和舆情处置方案》，成立了专班，每月对职工进行1次信访问题和矛盾排查。</w:t>
      </w:r>
      <w:r>
        <w:rPr>
          <w:rFonts w:hint="default" w:ascii="仿宋" w:hAnsi="仿宋" w:eastAsia="仿宋" w:cs="仿宋"/>
          <w:b w:val="0"/>
          <w:bCs w:val="0"/>
          <w:sz w:val="32"/>
          <w:szCs w:val="32"/>
          <w:lang w:val="en-US" w:eastAsia="zh-CN"/>
        </w:rPr>
        <w:t>制定了以教育、疏导为主的工作思路，以解决重点疑难问题为突破口，落实了班子成员定期接访、变上访为下访的预防措施，明确了重点案件领导包挂、</w:t>
      </w:r>
      <w:r>
        <w:rPr>
          <w:rFonts w:hint="eastAsia" w:ascii="仿宋" w:hAnsi="仿宋" w:eastAsia="仿宋" w:cs="仿宋"/>
          <w:b w:val="0"/>
          <w:bCs w:val="0"/>
          <w:sz w:val="32"/>
          <w:szCs w:val="32"/>
          <w:lang w:val="en-US" w:eastAsia="zh-CN"/>
        </w:rPr>
        <w:t>各股室（队）负责人</w:t>
      </w:r>
      <w:r>
        <w:rPr>
          <w:rFonts w:hint="default" w:ascii="仿宋" w:hAnsi="仿宋" w:eastAsia="仿宋" w:cs="仿宋"/>
          <w:b w:val="0"/>
          <w:bCs w:val="0"/>
          <w:sz w:val="32"/>
          <w:szCs w:val="32"/>
          <w:lang w:val="en-US" w:eastAsia="zh-CN"/>
        </w:rPr>
        <w:t>部分级负责的工作责任制</w:t>
      </w:r>
      <w:r>
        <w:rPr>
          <w:rFonts w:hint="eastAsia" w:ascii="仿宋" w:hAnsi="仿宋" w:eastAsia="仿宋" w:cs="仿宋"/>
          <w:b w:val="0"/>
          <w:bCs w:val="0"/>
          <w:sz w:val="32"/>
          <w:szCs w:val="32"/>
          <w:lang w:val="en-US" w:eastAsia="zh-CN"/>
        </w:rPr>
        <w:t>。</w:t>
      </w:r>
    </w:p>
    <w:p w14:paraId="4356B5FA">
      <w:pPr>
        <w:pStyle w:val="2"/>
      </w:pPr>
    </w:p>
    <w:p w14:paraId="4EC8D2D8">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14:paraId="6FC8BE11">
      <w:pPr>
        <w:pStyle w:val="2"/>
        <w:numPr>
          <w:ilvl w:val="0"/>
          <w:numId w:val="0"/>
        </w:numPr>
        <w:ind w:firstLine="640" w:firstLineChars="200"/>
        <w:rPr>
          <w:rFonts w:hint="eastAsia"/>
          <w:lang w:val="en-US" w:eastAsia="zh-CN"/>
        </w:rPr>
      </w:pPr>
      <w:r>
        <w:rPr>
          <w:rFonts w:hint="eastAsia" w:ascii="Calibri" w:hAnsi="Calibri" w:eastAsia="仿宋_GB2312" w:cs="Times New Roman"/>
          <w:color w:val="auto"/>
          <w:sz w:val="32"/>
          <w:szCs w:val="32"/>
        </w:rPr>
        <w:t>队伍的责任意识有待</w:t>
      </w:r>
      <w:r>
        <w:rPr>
          <w:rFonts w:hint="eastAsia" w:ascii="Calibri" w:hAnsi="Calibri" w:eastAsia="仿宋_GB2312" w:cs="Times New Roman"/>
          <w:color w:val="auto"/>
          <w:sz w:val="32"/>
          <w:szCs w:val="32"/>
          <w:lang w:eastAsia="zh-CN"/>
        </w:rPr>
        <w:t>加强，餐厨垃圾拖运</w:t>
      </w:r>
      <w:r>
        <w:rPr>
          <w:rFonts w:hint="eastAsia" w:ascii="Calibri" w:hAnsi="Calibri" w:eastAsia="仿宋_GB2312" w:cs="Times New Roman"/>
          <w:color w:val="auto"/>
          <w:sz w:val="32"/>
          <w:szCs w:val="32"/>
          <w:lang w:val="en-US" w:eastAsia="zh-CN"/>
        </w:rPr>
        <w:t>质量和</w:t>
      </w:r>
      <w:r>
        <w:rPr>
          <w:rFonts w:hint="eastAsia" w:ascii="Calibri" w:hAnsi="Calibri" w:eastAsia="仿宋_GB2312" w:cs="Times New Roman"/>
          <w:color w:val="auto"/>
          <w:sz w:val="32"/>
          <w:szCs w:val="32"/>
          <w:lang w:eastAsia="zh-CN"/>
        </w:rPr>
        <w:t>标准的</w:t>
      </w:r>
      <w:r>
        <w:rPr>
          <w:rFonts w:hint="eastAsia" w:ascii="Calibri" w:hAnsi="Calibri" w:eastAsia="仿宋_GB2312" w:cs="Times New Roman"/>
          <w:color w:val="auto"/>
          <w:sz w:val="32"/>
          <w:szCs w:val="32"/>
          <w:lang w:val="en-US" w:eastAsia="zh-CN"/>
        </w:rPr>
        <w:t>提升没有达到预期目标。</w:t>
      </w:r>
    </w:p>
    <w:p w14:paraId="6D17566B">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218AADBE">
      <w:pPr>
        <w:ind w:firstLine="643" w:firstLineChars="200"/>
        <w:rPr>
          <w:rFonts w:ascii="仿宋" w:hAnsi="仿宋" w:eastAsia="仿宋" w:cs="Times New Roman"/>
          <w:sz w:val="32"/>
          <w:szCs w:val="32"/>
        </w:rPr>
      </w:pPr>
      <w:r>
        <w:rPr>
          <w:rFonts w:hint="eastAsia" w:ascii="楷体" w:hAnsi="楷体" w:eastAsia="楷体" w:cs="楷体"/>
          <w:b/>
          <w:bCs/>
          <w:sz w:val="32"/>
          <w:szCs w:val="32"/>
        </w:rPr>
        <w:t>1.围绕新常态、新标准，畅通工作思路</w:t>
      </w:r>
      <w:r>
        <w:rPr>
          <w:rFonts w:hint="eastAsia" w:ascii="仿宋" w:hAnsi="仿宋" w:eastAsia="仿宋" w:cs="Times New Roman"/>
          <w:sz w:val="32"/>
          <w:szCs w:val="32"/>
        </w:rPr>
        <w:t>。聚焦</w:t>
      </w:r>
      <w:r>
        <w:rPr>
          <w:rFonts w:hint="eastAsia" w:ascii="仿宋_GB2312" w:hAnsi="仿宋" w:eastAsia="仿宋_GB2312" w:cs="Times New Roman"/>
          <w:spacing w:val="-10"/>
          <w:sz w:val="32"/>
          <w:szCs w:val="32"/>
          <w:shd w:val="clear" w:color="auto" w:fill="FFFFFF"/>
        </w:rPr>
        <w:t>大气防治污染、</w:t>
      </w:r>
      <w:r>
        <w:rPr>
          <w:rFonts w:hint="eastAsia" w:ascii="仿宋_GB2312" w:hAnsi="仿宋" w:eastAsia="仿宋_GB2312" w:cs="Times New Roman"/>
          <w:spacing w:val="-10"/>
          <w:sz w:val="32"/>
          <w:szCs w:val="32"/>
          <w:shd w:val="clear" w:color="auto" w:fill="FFFFFF"/>
          <w:lang w:eastAsia="zh-CN"/>
        </w:rPr>
        <w:t>餐厨</w:t>
      </w:r>
      <w:r>
        <w:rPr>
          <w:rFonts w:hint="eastAsia" w:ascii="仿宋_GB2312" w:hAnsi="仿宋" w:eastAsia="仿宋_GB2312" w:cs="Times New Roman"/>
          <w:spacing w:val="-10"/>
          <w:sz w:val="32"/>
          <w:szCs w:val="32"/>
          <w:shd w:val="clear" w:color="auto" w:fill="FFFFFF"/>
        </w:rPr>
        <w:t>垃圾分类</w:t>
      </w:r>
      <w:r>
        <w:rPr>
          <w:rFonts w:hint="eastAsia" w:ascii="仿宋_GB2312" w:hAnsi="仿宋" w:eastAsia="仿宋_GB2312" w:cs="Times New Roman"/>
          <w:spacing w:val="-10"/>
          <w:sz w:val="32"/>
          <w:szCs w:val="32"/>
          <w:shd w:val="clear" w:color="auto" w:fill="FFFFFF"/>
          <w:lang w:eastAsia="zh-CN"/>
        </w:rPr>
        <w:t>宣传稽查</w:t>
      </w:r>
      <w:r>
        <w:rPr>
          <w:rFonts w:hint="eastAsia" w:ascii="仿宋_GB2312" w:hAnsi="仿宋" w:eastAsia="仿宋_GB2312" w:cs="Times New Roman"/>
          <w:spacing w:val="-10"/>
          <w:sz w:val="32"/>
          <w:szCs w:val="32"/>
          <w:shd w:val="clear" w:color="auto" w:fill="FFFFFF"/>
        </w:rPr>
        <w:t>核心工作，精准施策，持续提升服务水平</w:t>
      </w:r>
      <w:r>
        <w:rPr>
          <w:rFonts w:hint="eastAsia" w:ascii="仿宋" w:hAnsi="仿宋" w:eastAsia="仿宋" w:cs="Times New Roman"/>
          <w:sz w:val="32"/>
          <w:szCs w:val="32"/>
        </w:rPr>
        <w:t>，全力担当起</w:t>
      </w:r>
      <w:r>
        <w:rPr>
          <w:rFonts w:hint="eastAsia" w:ascii="仿宋_GB2312" w:hAnsi="仿宋" w:eastAsia="仿宋_GB2312" w:cs="Times New Roman"/>
          <w:spacing w:val="-10"/>
          <w:sz w:val="32"/>
          <w:szCs w:val="32"/>
          <w:shd w:val="clear" w:color="auto" w:fill="FFFFFF"/>
        </w:rPr>
        <w:t>建设省域副中心城市的核心引领区和首善之区的主阵地职责。</w:t>
      </w:r>
    </w:p>
    <w:p w14:paraId="2900CD16">
      <w:pPr>
        <w:ind w:firstLine="643" w:firstLineChars="200"/>
        <w:rPr>
          <w:rFonts w:ascii="仿宋_GB2312" w:hAnsi="仿宋" w:eastAsia="仿宋_GB2312" w:cs="Times New Roman"/>
          <w:spacing w:val="-10"/>
          <w:sz w:val="32"/>
          <w:szCs w:val="32"/>
          <w:shd w:val="clear" w:color="auto" w:fill="FFFFFF"/>
        </w:rPr>
      </w:pPr>
      <w:r>
        <w:rPr>
          <w:rFonts w:hint="eastAsia" w:ascii="楷体" w:hAnsi="楷体" w:eastAsia="楷体" w:cs="楷体"/>
          <w:b/>
          <w:bCs/>
          <w:color w:val="000000"/>
          <w:kern w:val="0"/>
          <w:sz w:val="32"/>
          <w:szCs w:val="32"/>
        </w:rPr>
        <w:t>2.</w:t>
      </w:r>
      <w:r>
        <w:rPr>
          <w:rFonts w:hint="eastAsia" w:ascii="楷体" w:hAnsi="楷体" w:eastAsia="楷体" w:cs="楷体"/>
          <w:b/>
          <w:bCs/>
          <w:spacing w:val="-10"/>
          <w:sz w:val="32"/>
          <w:szCs w:val="32"/>
          <w:shd w:val="clear" w:color="auto" w:fill="FFFFFF"/>
        </w:rPr>
        <w:t>围绕考评指标，继续细化分解。</w:t>
      </w:r>
      <w:r>
        <w:rPr>
          <w:rFonts w:hint="eastAsia" w:ascii="仿宋_GB2312" w:hAnsi="仿宋" w:eastAsia="仿宋_GB2312" w:cs="Times New Roman"/>
          <w:spacing w:val="-10"/>
          <w:sz w:val="32"/>
          <w:szCs w:val="32"/>
          <w:shd w:val="clear" w:color="auto" w:fill="FFFFFF"/>
        </w:rPr>
        <w:t>以考评股为中心点，辐射到人、扩展到面。加大考评密度，进一步强化</w:t>
      </w:r>
      <w:r>
        <w:rPr>
          <w:rFonts w:hint="eastAsia" w:ascii="仿宋_GB2312" w:hAnsi="仿宋" w:eastAsia="仿宋_GB2312" w:cs="Times New Roman"/>
          <w:spacing w:val="-10"/>
          <w:sz w:val="32"/>
          <w:szCs w:val="32"/>
          <w:shd w:val="clear" w:color="auto" w:fill="FFFFFF"/>
          <w:lang w:eastAsia="zh-CN"/>
        </w:rPr>
        <w:t>餐厨垃圾拖运及垃圾分类宣传稽查工作</w:t>
      </w:r>
      <w:r>
        <w:rPr>
          <w:rFonts w:hint="eastAsia" w:ascii="仿宋_GB2312" w:hAnsi="仿宋" w:eastAsia="仿宋_GB2312" w:cs="Times New Roman"/>
          <w:spacing w:val="-10"/>
          <w:sz w:val="32"/>
          <w:szCs w:val="32"/>
          <w:shd w:val="clear" w:color="auto" w:fill="FFFFFF"/>
        </w:rPr>
        <w:t>，</w:t>
      </w:r>
      <w:r>
        <w:rPr>
          <w:rFonts w:hint="eastAsia" w:ascii="仿宋_GB2312" w:hAnsi="仿宋" w:eastAsia="仿宋_GB2312" w:cs="Times New Roman"/>
          <w:spacing w:val="-10"/>
          <w:sz w:val="32"/>
          <w:szCs w:val="32"/>
          <w:shd w:val="clear" w:color="auto" w:fill="FFFFFF"/>
          <w:lang w:eastAsia="zh-CN"/>
        </w:rPr>
        <w:t>做细做好，</w:t>
      </w:r>
      <w:r>
        <w:rPr>
          <w:rFonts w:hint="eastAsia" w:ascii="仿宋_GB2312" w:hAnsi="仿宋" w:eastAsia="仿宋_GB2312" w:cs="Times New Roman"/>
          <w:spacing w:val="-10"/>
          <w:sz w:val="32"/>
          <w:szCs w:val="32"/>
          <w:shd w:val="clear" w:color="auto" w:fill="FFFFFF"/>
        </w:rPr>
        <w:t>继续结合工作对一线作业人员实行奖优罚劣、奖勤罚懒的考评制度。</w:t>
      </w:r>
    </w:p>
    <w:p w14:paraId="29C10BC1">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392E8E9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14:paraId="2BD9276A">
      <w:pPr>
        <w:spacing w:before="169" w:line="776" w:lineRule="exact"/>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33AFC87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CF9FB9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2A119D9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05A68AC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24742D2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161848F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5D1D1DF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695B0E5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37CD48F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AB8799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F805F1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F6E6FA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B330BC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391946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26CBDC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072D33B">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3E65240A">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03DD4B4E">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139"/>
        <w:gridCol w:w="1021"/>
        <w:gridCol w:w="1229"/>
        <w:gridCol w:w="1131"/>
        <w:gridCol w:w="1140"/>
        <w:gridCol w:w="685"/>
        <w:gridCol w:w="795"/>
        <w:gridCol w:w="1365"/>
      </w:tblGrid>
      <w:tr w14:paraId="00F20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5064C25E">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738C4C31">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60E7B966">
            <w:pPr>
              <w:keepNext w:val="0"/>
              <w:keepLines w:val="0"/>
              <w:pageBreakBefore w:val="0"/>
              <w:widowControl w:val="0"/>
              <w:kinsoku/>
              <w:wordWrap/>
              <w:overflowPunct/>
              <w:topLinePunct w:val="0"/>
              <w:autoSpaceDE/>
              <w:autoSpaceDN/>
              <w:bidi w:val="0"/>
              <w:adjustRightInd/>
              <w:snapToGrid/>
              <w:ind w:left="0" w:right="0"/>
              <w:jc w:val="left"/>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运转其他类项目/特定类项目</w:t>
            </w:r>
          </w:p>
        </w:tc>
      </w:tr>
      <w:tr w14:paraId="00837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6A726D15">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275E47E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岳阳楼区城市管理考评督查中心</w:t>
            </w:r>
          </w:p>
        </w:tc>
        <w:tc>
          <w:tcPr>
            <w:tcW w:w="1140" w:type="dxa"/>
            <w:noWrap w:val="0"/>
            <w:vAlign w:val="center"/>
          </w:tcPr>
          <w:p w14:paraId="4A279DE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3F860CF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岳阳市餐厨垃圾综合处理所</w:t>
            </w:r>
          </w:p>
        </w:tc>
      </w:tr>
      <w:tr w14:paraId="47CF3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5EDE6FEC">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2FEB39C5">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7B3B021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4E42CDE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66975C47">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2B56A3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23F8288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1F4A25F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61AD52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73F3E51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BE3BE1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75E7D95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70B4343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4318DB5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2AACD5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57E5EB6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39A0A33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38F4C29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14:paraId="1021FFC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332.22</w:t>
            </w:r>
          </w:p>
        </w:tc>
        <w:tc>
          <w:tcPr>
            <w:tcW w:w="1140" w:type="dxa"/>
            <w:noWrap w:val="0"/>
            <w:vAlign w:val="center"/>
          </w:tcPr>
          <w:p w14:paraId="4EFCD4D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332.22</w:t>
            </w:r>
          </w:p>
        </w:tc>
        <w:tc>
          <w:tcPr>
            <w:tcW w:w="685" w:type="dxa"/>
            <w:noWrap w:val="0"/>
            <w:vAlign w:val="center"/>
          </w:tcPr>
          <w:p w14:paraId="5B498D46">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0D21835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7F4B8FD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184A1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F2E359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415198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1E005CB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EE26F2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332.22</w:t>
            </w:r>
          </w:p>
        </w:tc>
        <w:tc>
          <w:tcPr>
            <w:tcW w:w="1140" w:type="dxa"/>
            <w:noWrap w:val="0"/>
            <w:vAlign w:val="center"/>
          </w:tcPr>
          <w:p w14:paraId="688BDCC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332.22</w:t>
            </w:r>
          </w:p>
        </w:tc>
        <w:tc>
          <w:tcPr>
            <w:tcW w:w="685" w:type="dxa"/>
            <w:noWrap w:val="0"/>
            <w:vAlign w:val="center"/>
          </w:tcPr>
          <w:p w14:paraId="6592FD6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0451C4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8F084F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612C03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DC7108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544B6E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2ABE144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269C64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F22495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FABF84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FA34A6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BFB6D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3EB05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4FBC85C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D874083">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73DF37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55409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25FBD8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95005F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92E067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A0EF80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6C1EB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5550DFEF">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46803C33">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4C4B5E34">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576B3D8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77488B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0CEBA23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47C1981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14:paraId="01DF7B5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718F9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372DF448">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139" w:type="dxa"/>
            <w:noWrap w:val="0"/>
            <w:vAlign w:val="center"/>
          </w:tcPr>
          <w:p w14:paraId="086CB35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1" w:type="dxa"/>
            <w:noWrap w:val="0"/>
            <w:vAlign w:val="center"/>
          </w:tcPr>
          <w:p w14:paraId="620E3CA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466633D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14:paraId="523D57B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62174B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69DE3BD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499E8C0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12C1E91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2B37FB5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5A48A0B0">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5D89A0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1FC270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restart"/>
            <w:tcBorders>
              <w:bottom w:val="nil"/>
            </w:tcBorders>
            <w:noWrap w:val="0"/>
            <w:vAlign w:val="center"/>
          </w:tcPr>
          <w:p w14:paraId="39198A4E">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7CC40E82">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0B2095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2881861">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0AE8D5B">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323963B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21" w:type="dxa"/>
            <w:vMerge w:val="restart"/>
            <w:tcBorders>
              <w:bottom w:val="nil"/>
            </w:tcBorders>
            <w:noWrap w:val="0"/>
            <w:vAlign w:val="center"/>
          </w:tcPr>
          <w:p w14:paraId="32763FEB">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14:paraId="0D591B10">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餐厨垃圾收运完成率</w:t>
            </w:r>
          </w:p>
        </w:tc>
        <w:tc>
          <w:tcPr>
            <w:tcW w:w="1131" w:type="dxa"/>
            <w:noWrap w:val="0"/>
            <w:vAlign w:val="center"/>
          </w:tcPr>
          <w:p w14:paraId="4B487E00">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全年收运餐厨垃圾961家。</w:t>
            </w:r>
          </w:p>
        </w:tc>
        <w:tc>
          <w:tcPr>
            <w:tcW w:w="1140" w:type="dxa"/>
            <w:noWrap w:val="0"/>
            <w:vAlign w:val="center"/>
          </w:tcPr>
          <w:p w14:paraId="0DC363B9">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685" w:type="dxa"/>
            <w:noWrap w:val="0"/>
            <w:vAlign w:val="center"/>
          </w:tcPr>
          <w:p w14:paraId="2C87C1E1">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795" w:type="dxa"/>
            <w:noWrap w:val="0"/>
            <w:vAlign w:val="center"/>
          </w:tcPr>
          <w:p w14:paraId="296A6BA6">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365" w:type="dxa"/>
            <w:noWrap w:val="0"/>
            <w:vAlign w:val="center"/>
          </w:tcPr>
          <w:p w14:paraId="0ADFC0F6">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FAA1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06265A3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203CF24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vMerge w:val="continue"/>
            <w:tcBorders>
              <w:top w:val="nil"/>
              <w:bottom w:val="nil"/>
            </w:tcBorders>
            <w:noWrap w:val="0"/>
            <w:vAlign w:val="center"/>
          </w:tcPr>
          <w:p w14:paraId="4CE501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D523122">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餐厨垃圾分类宣传稽查完成率</w:t>
            </w:r>
          </w:p>
        </w:tc>
        <w:tc>
          <w:tcPr>
            <w:tcW w:w="1131" w:type="dxa"/>
            <w:noWrap w:val="0"/>
            <w:vAlign w:val="center"/>
          </w:tcPr>
          <w:p w14:paraId="0771B5E9">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发放有关垃圾分类政策资料1000余份</w:t>
            </w:r>
            <w:r>
              <w:rPr>
                <w:rFonts w:hint="eastAsia" w:ascii="Arial"/>
                <w:color w:val="000000" w:themeColor="text1"/>
                <w:spacing w:val="0"/>
                <w:sz w:val="20"/>
                <w:lang w:eastAsia="zh-CN"/>
                <w14:textFill>
                  <w14:solidFill>
                    <w14:schemeClr w14:val="tx1"/>
                  </w14:solidFill>
                </w14:textFill>
              </w:rPr>
              <w:t>。</w:t>
            </w:r>
          </w:p>
        </w:tc>
        <w:tc>
          <w:tcPr>
            <w:tcW w:w="1140" w:type="dxa"/>
            <w:noWrap w:val="0"/>
            <w:vAlign w:val="center"/>
          </w:tcPr>
          <w:p w14:paraId="2B0A837E">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685" w:type="dxa"/>
            <w:noWrap w:val="0"/>
            <w:vAlign w:val="center"/>
          </w:tcPr>
          <w:p w14:paraId="5FAE11A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795" w:type="dxa"/>
            <w:noWrap w:val="0"/>
            <w:vAlign w:val="center"/>
          </w:tcPr>
          <w:p w14:paraId="7BB677A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365" w:type="dxa"/>
            <w:noWrap w:val="0"/>
            <w:vAlign w:val="center"/>
          </w:tcPr>
          <w:p w14:paraId="4E622F0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2ECF8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FE60ED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14274C5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vMerge w:val="restart"/>
            <w:tcBorders>
              <w:bottom w:val="nil"/>
            </w:tcBorders>
            <w:noWrap w:val="0"/>
            <w:vAlign w:val="center"/>
          </w:tcPr>
          <w:p w14:paraId="28322A9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14:paraId="048A5FA0">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餐厨垃圾收运达标率</w:t>
            </w:r>
          </w:p>
        </w:tc>
        <w:tc>
          <w:tcPr>
            <w:tcW w:w="1131" w:type="dxa"/>
            <w:noWrap w:val="0"/>
            <w:vAlign w:val="center"/>
          </w:tcPr>
          <w:p w14:paraId="37DEB3C6">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原区域范围内与新增三办试点范围内应收尽收。</w:t>
            </w:r>
          </w:p>
        </w:tc>
        <w:tc>
          <w:tcPr>
            <w:tcW w:w="1140" w:type="dxa"/>
            <w:noWrap w:val="0"/>
            <w:vAlign w:val="center"/>
          </w:tcPr>
          <w:p w14:paraId="7498B847">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685" w:type="dxa"/>
            <w:noWrap w:val="0"/>
            <w:vAlign w:val="center"/>
          </w:tcPr>
          <w:p w14:paraId="49321632">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795" w:type="dxa"/>
            <w:noWrap w:val="0"/>
            <w:vAlign w:val="center"/>
          </w:tcPr>
          <w:p w14:paraId="7E1B1F7D">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365" w:type="dxa"/>
            <w:noWrap w:val="0"/>
            <w:vAlign w:val="center"/>
          </w:tcPr>
          <w:p w14:paraId="3EC8B83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AFD7A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29E666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15CEEF9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vMerge w:val="continue"/>
            <w:tcBorders>
              <w:top w:val="nil"/>
              <w:bottom w:val="nil"/>
            </w:tcBorders>
            <w:noWrap w:val="0"/>
            <w:vAlign w:val="center"/>
          </w:tcPr>
          <w:p w14:paraId="0E017C1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8E72F29">
            <w:pPr>
              <w:keepNext w:val="0"/>
              <w:keepLines w:val="0"/>
              <w:pageBreakBefore w:val="0"/>
              <w:widowControl w:val="0"/>
              <w:kinsoku/>
              <w:wordWrap/>
              <w:overflowPunct/>
              <w:topLinePunct w:val="0"/>
              <w:autoSpaceDE/>
              <w:autoSpaceDN/>
              <w:bidi w:val="0"/>
              <w:adjustRightInd/>
              <w:snapToGrid/>
              <w:spacing w:line="239" w:lineRule="exact"/>
              <w:ind w:left="0" w:leftChars="0"/>
              <w:jc w:val="both"/>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eastAsia="zh-CN"/>
                <w14:textFill>
                  <w14:solidFill>
                    <w14:schemeClr w14:val="tx1"/>
                  </w14:solidFill>
                </w14:textFill>
              </w:rPr>
              <w:t>餐厨垃圾分类宣传稽查达标率</w:t>
            </w:r>
          </w:p>
        </w:tc>
        <w:tc>
          <w:tcPr>
            <w:tcW w:w="1131" w:type="dxa"/>
            <w:noWrap w:val="0"/>
            <w:vAlign w:val="center"/>
          </w:tcPr>
          <w:p w14:paraId="4AF9E91F">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原区域范围内与新增三办试点范围内的门店均上门宣传并发放宣传资料。</w:t>
            </w:r>
          </w:p>
        </w:tc>
        <w:tc>
          <w:tcPr>
            <w:tcW w:w="1140" w:type="dxa"/>
            <w:noWrap w:val="0"/>
            <w:vAlign w:val="center"/>
          </w:tcPr>
          <w:p w14:paraId="47705209">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685" w:type="dxa"/>
            <w:noWrap w:val="0"/>
            <w:vAlign w:val="center"/>
          </w:tcPr>
          <w:p w14:paraId="4C763EB9">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795" w:type="dxa"/>
            <w:noWrap w:val="0"/>
            <w:vAlign w:val="center"/>
          </w:tcPr>
          <w:p w14:paraId="4D7F4257">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365" w:type="dxa"/>
            <w:noWrap w:val="0"/>
            <w:vAlign w:val="center"/>
          </w:tcPr>
          <w:p w14:paraId="3B05D93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4236A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4A5E6D9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01CB15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vMerge w:val="restart"/>
            <w:tcBorders>
              <w:bottom w:val="nil"/>
            </w:tcBorders>
            <w:noWrap w:val="0"/>
            <w:vAlign w:val="center"/>
          </w:tcPr>
          <w:p w14:paraId="51FE5E0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14:paraId="262A4818">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餐厨垃圾收运及时率</w:t>
            </w:r>
          </w:p>
        </w:tc>
        <w:tc>
          <w:tcPr>
            <w:tcW w:w="1131" w:type="dxa"/>
            <w:noWrap w:val="0"/>
            <w:vAlign w:val="center"/>
          </w:tcPr>
          <w:p w14:paraId="113C0760">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eastAsia="zh-CN"/>
                <w14:textFill>
                  <w14:solidFill>
                    <w14:schemeClr w14:val="tx1"/>
                  </w14:solidFill>
                </w14:textFill>
              </w:rPr>
              <w:t>每</w:t>
            </w:r>
            <w:r>
              <w:rPr>
                <w:rFonts w:hint="eastAsia" w:ascii="Arial"/>
                <w:color w:val="000000" w:themeColor="text1"/>
                <w:spacing w:val="0"/>
                <w:sz w:val="20"/>
                <w:lang w:val="en-US" w:eastAsia="zh-CN"/>
                <w14:textFill>
                  <w14:solidFill>
                    <w14:schemeClr w14:val="tx1"/>
                  </w14:solidFill>
                </w14:textFill>
              </w:rPr>
              <w:t>日收运餐厨垃圾约6吨。</w:t>
            </w:r>
          </w:p>
        </w:tc>
        <w:tc>
          <w:tcPr>
            <w:tcW w:w="1140" w:type="dxa"/>
            <w:noWrap w:val="0"/>
            <w:vAlign w:val="center"/>
          </w:tcPr>
          <w:p w14:paraId="53618BAC">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685" w:type="dxa"/>
            <w:noWrap w:val="0"/>
            <w:vAlign w:val="center"/>
          </w:tcPr>
          <w:p w14:paraId="574F0E3D">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795" w:type="dxa"/>
            <w:noWrap w:val="0"/>
            <w:vAlign w:val="center"/>
          </w:tcPr>
          <w:p w14:paraId="44CDE70C">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365" w:type="dxa"/>
            <w:noWrap w:val="0"/>
            <w:vAlign w:val="center"/>
          </w:tcPr>
          <w:p w14:paraId="1893EF6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BEB7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55A9499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5DF8D78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vMerge w:val="continue"/>
            <w:tcBorders>
              <w:top w:val="nil"/>
              <w:bottom w:val="nil"/>
            </w:tcBorders>
            <w:noWrap w:val="0"/>
            <w:vAlign w:val="center"/>
          </w:tcPr>
          <w:p w14:paraId="23FF105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138EA76">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餐厨垃圾分类宣传稽查及时率</w:t>
            </w:r>
          </w:p>
        </w:tc>
        <w:tc>
          <w:tcPr>
            <w:tcW w:w="1131" w:type="dxa"/>
            <w:noWrap w:val="0"/>
            <w:vAlign w:val="center"/>
          </w:tcPr>
          <w:p w14:paraId="7F839597">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pacing w:val="0"/>
                <w:sz w:val="20"/>
                <w14:textFill>
                  <w14:solidFill>
                    <w14:schemeClr w14:val="tx1"/>
                  </w14:solidFill>
                </w14:textFill>
              </w:rPr>
              <w:t>对已安装油水分离设备、定时定点收运的餐厨单位，按照一店一档原则，</w:t>
            </w:r>
            <w:r>
              <w:rPr>
                <w:rFonts w:hint="eastAsia" w:ascii="Arial"/>
                <w:color w:val="000000" w:themeColor="text1"/>
                <w:spacing w:val="0"/>
                <w:sz w:val="20"/>
                <w:lang w:val="en-US" w:eastAsia="zh-CN"/>
                <w14:textFill>
                  <w14:solidFill>
                    <w14:schemeClr w14:val="tx1"/>
                  </w14:solidFill>
                </w14:textFill>
              </w:rPr>
              <w:t>进行400余次上门回访查阅。</w:t>
            </w:r>
          </w:p>
        </w:tc>
        <w:tc>
          <w:tcPr>
            <w:tcW w:w="1140" w:type="dxa"/>
            <w:noWrap w:val="0"/>
            <w:vAlign w:val="center"/>
          </w:tcPr>
          <w:p w14:paraId="2879149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685" w:type="dxa"/>
            <w:noWrap w:val="0"/>
            <w:vAlign w:val="center"/>
          </w:tcPr>
          <w:p w14:paraId="052EBB4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795" w:type="dxa"/>
            <w:noWrap w:val="0"/>
            <w:vAlign w:val="center"/>
          </w:tcPr>
          <w:p w14:paraId="4E815939">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365" w:type="dxa"/>
            <w:noWrap w:val="0"/>
            <w:vAlign w:val="center"/>
          </w:tcPr>
          <w:p w14:paraId="19828E2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18259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50B54E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0DA29D7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vMerge w:val="restart"/>
            <w:tcBorders>
              <w:bottom w:val="nil"/>
            </w:tcBorders>
            <w:noWrap w:val="0"/>
            <w:vAlign w:val="center"/>
          </w:tcPr>
          <w:p w14:paraId="5DC315A6">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14:paraId="7BAD5EDF">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控制公用经费</w:t>
            </w:r>
          </w:p>
        </w:tc>
        <w:tc>
          <w:tcPr>
            <w:tcW w:w="1131" w:type="dxa"/>
            <w:noWrap w:val="0"/>
            <w:vAlign w:val="center"/>
          </w:tcPr>
          <w:p w14:paraId="3DE69111">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46.8万元</w:t>
            </w:r>
          </w:p>
        </w:tc>
        <w:tc>
          <w:tcPr>
            <w:tcW w:w="1140" w:type="dxa"/>
            <w:noWrap w:val="0"/>
            <w:vAlign w:val="center"/>
          </w:tcPr>
          <w:p w14:paraId="25C4D9A7">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27.79万元</w:t>
            </w:r>
          </w:p>
        </w:tc>
        <w:tc>
          <w:tcPr>
            <w:tcW w:w="685" w:type="dxa"/>
            <w:noWrap w:val="0"/>
            <w:vAlign w:val="center"/>
          </w:tcPr>
          <w:p w14:paraId="4C778DCF">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795" w:type="dxa"/>
            <w:noWrap w:val="0"/>
            <w:vAlign w:val="center"/>
          </w:tcPr>
          <w:p w14:paraId="325F70F2">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365" w:type="dxa"/>
            <w:noWrap w:val="0"/>
            <w:vAlign w:val="center"/>
          </w:tcPr>
          <w:p w14:paraId="0F0BBD5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44A2A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55B8644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0F73537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vMerge w:val="continue"/>
            <w:tcBorders>
              <w:top w:val="nil"/>
              <w:bottom w:val="nil"/>
            </w:tcBorders>
            <w:noWrap w:val="0"/>
            <w:vAlign w:val="center"/>
          </w:tcPr>
          <w:p w14:paraId="72087DB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2346992">
            <w:pPr>
              <w:keepNext w:val="0"/>
              <w:keepLines w:val="0"/>
              <w:pageBreakBefore w:val="0"/>
              <w:widowControl w:val="0"/>
              <w:kinsoku/>
              <w:wordWrap/>
              <w:overflowPunct/>
              <w:topLinePunct w:val="0"/>
              <w:autoSpaceDE/>
              <w:autoSpaceDN/>
              <w:bidi w:val="0"/>
              <w:adjustRightInd/>
              <w:snapToGrid/>
              <w:spacing w:line="230" w:lineRule="exact"/>
              <w:ind w:left="0" w:leftChars="0"/>
              <w:jc w:val="left"/>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空气质量优良率</w:t>
            </w:r>
          </w:p>
        </w:tc>
        <w:tc>
          <w:tcPr>
            <w:tcW w:w="1131" w:type="dxa"/>
            <w:noWrap w:val="0"/>
            <w:vAlign w:val="center"/>
          </w:tcPr>
          <w:p w14:paraId="0069E3AE">
            <w:pPr>
              <w:keepNext w:val="0"/>
              <w:keepLines w:val="0"/>
              <w:pageBreakBefore w:val="0"/>
              <w:widowControl w:val="0"/>
              <w:kinsoku/>
              <w:wordWrap/>
              <w:overflowPunct/>
              <w:topLinePunct w:val="0"/>
              <w:autoSpaceDE/>
              <w:autoSpaceDN/>
              <w:bidi w:val="0"/>
              <w:adjustRightInd/>
              <w:snapToGrid/>
              <w:spacing w:line="230"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pacing w:val="0"/>
                <w:sz w:val="20"/>
                <w14:textFill>
                  <w14:solidFill>
                    <w14:schemeClr w14:val="tx1"/>
                  </w14:solidFill>
                </w14:textFill>
              </w:rPr>
              <w:t>加大餐厨垃圾收集力度，调整餐厨垃圾收集时间，做到餐厨垃圾日产日清，切实解决百姓生活环境问题</w:t>
            </w:r>
            <w:r>
              <w:rPr>
                <w:rFonts w:hint="eastAsia" w:ascii="Arial"/>
                <w:color w:val="000000" w:themeColor="text1"/>
                <w:spacing w:val="0"/>
                <w:sz w:val="20"/>
                <w:lang w:eastAsia="zh-CN"/>
                <w14:textFill>
                  <w14:solidFill>
                    <w14:schemeClr w14:val="tx1"/>
                  </w14:solidFill>
                </w14:textFill>
              </w:rPr>
              <w:t>。</w:t>
            </w:r>
          </w:p>
        </w:tc>
        <w:tc>
          <w:tcPr>
            <w:tcW w:w="1140" w:type="dxa"/>
            <w:noWrap w:val="0"/>
            <w:vAlign w:val="center"/>
          </w:tcPr>
          <w:p w14:paraId="3D4C65D6">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685" w:type="dxa"/>
            <w:noWrap w:val="0"/>
            <w:vAlign w:val="center"/>
          </w:tcPr>
          <w:p w14:paraId="3D969F6A">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795" w:type="dxa"/>
            <w:noWrap w:val="0"/>
            <w:vAlign w:val="center"/>
          </w:tcPr>
          <w:p w14:paraId="1393B8B9">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365" w:type="dxa"/>
            <w:noWrap w:val="0"/>
            <w:vAlign w:val="center"/>
          </w:tcPr>
          <w:p w14:paraId="75C8B02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11413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642B107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restart"/>
            <w:tcBorders>
              <w:bottom w:val="nil"/>
            </w:tcBorders>
            <w:noWrap w:val="0"/>
            <w:vAlign w:val="center"/>
          </w:tcPr>
          <w:p w14:paraId="6152AFF0">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3E29603D">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2C64D6D">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15A08036">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65843CC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21" w:type="dxa"/>
            <w:tcBorders>
              <w:bottom w:val="nil"/>
            </w:tcBorders>
            <w:noWrap w:val="0"/>
            <w:vAlign w:val="center"/>
          </w:tcPr>
          <w:p w14:paraId="6CA5A749">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4FDB81C2">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29" w:type="dxa"/>
            <w:noWrap w:val="0"/>
            <w:vAlign w:val="center"/>
          </w:tcPr>
          <w:p w14:paraId="644ED453">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eastAsiaTheme="minorEastAsia"/>
                <w:color w:val="000000" w:themeColor="text1"/>
                <w:sz w:val="20"/>
                <w:lang w:val="en-US" w:eastAsia="zh-CN"/>
                <w14:textFill>
                  <w14:solidFill>
                    <w14:schemeClr w14:val="tx1"/>
                  </w14:solidFill>
                </w14:textFill>
              </w:rPr>
              <w:t>管理到位节约财政采购资金</w:t>
            </w:r>
          </w:p>
        </w:tc>
        <w:tc>
          <w:tcPr>
            <w:tcW w:w="1131" w:type="dxa"/>
            <w:noWrap w:val="0"/>
            <w:vAlign w:val="center"/>
          </w:tcPr>
          <w:p w14:paraId="16C1BCAC">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采购机关根据事业发展计划和行政任务编制的、并经过规定程序批准的年度政府采购计划</w:t>
            </w:r>
          </w:p>
        </w:tc>
        <w:tc>
          <w:tcPr>
            <w:tcW w:w="1140" w:type="dxa"/>
            <w:noWrap w:val="0"/>
            <w:vAlign w:val="center"/>
          </w:tcPr>
          <w:p w14:paraId="1F26532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685" w:type="dxa"/>
            <w:noWrap w:val="0"/>
            <w:vAlign w:val="center"/>
          </w:tcPr>
          <w:p w14:paraId="7417E8E9">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7.5</w:t>
            </w:r>
          </w:p>
        </w:tc>
        <w:tc>
          <w:tcPr>
            <w:tcW w:w="795" w:type="dxa"/>
            <w:noWrap w:val="0"/>
            <w:vAlign w:val="center"/>
          </w:tcPr>
          <w:p w14:paraId="3617944F">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7.5</w:t>
            </w:r>
          </w:p>
        </w:tc>
        <w:tc>
          <w:tcPr>
            <w:tcW w:w="1365" w:type="dxa"/>
            <w:noWrap w:val="0"/>
            <w:vAlign w:val="center"/>
          </w:tcPr>
          <w:p w14:paraId="67ECD32C">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14:paraId="7D987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2876BD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38FED9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tcBorders>
              <w:bottom w:val="nil"/>
            </w:tcBorders>
            <w:noWrap w:val="0"/>
            <w:vAlign w:val="center"/>
          </w:tcPr>
          <w:p w14:paraId="2532B319">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7C2CCAB1">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29" w:type="dxa"/>
            <w:noWrap w:val="0"/>
            <w:vAlign w:val="center"/>
          </w:tcPr>
          <w:p w14:paraId="694D1A18">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餐饮垃圾分类政策知晓率</w:t>
            </w:r>
          </w:p>
        </w:tc>
        <w:tc>
          <w:tcPr>
            <w:tcW w:w="1131" w:type="dxa"/>
            <w:noWrap w:val="0"/>
            <w:vAlign w:val="center"/>
          </w:tcPr>
          <w:p w14:paraId="1E6922FD">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1140" w:type="dxa"/>
            <w:noWrap w:val="0"/>
            <w:vAlign w:val="center"/>
          </w:tcPr>
          <w:p w14:paraId="3BD64A31">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685" w:type="dxa"/>
            <w:noWrap w:val="0"/>
            <w:vAlign w:val="center"/>
          </w:tcPr>
          <w:p w14:paraId="014FA007">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7.5</w:t>
            </w:r>
          </w:p>
        </w:tc>
        <w:tc>
          <w:tcPr>
            <w:tcW w:w="795" w:type="dxa"/>
            <w:noWrap w:val="0"/>
            <w:vAlign w:val="center"/>
          </w:tcPr>
          <w:p w14:paraId="1FD1C754">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7.5</w:t>
            </w:r>
          </w:p>
        </w:tc>
        <w:tc>
          <w:tcPr>
            <w:tcW w:w="1365" w:type="dxa"/>
            <w:noWrap w:val="0"/>
            <w:vAlign w:val="center"/>
          </w:tcPr>
          <w:p w14:paraId="62993271">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14:paraId="77812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CFB19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143E4A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tcBorders>
              <w:bottom w:val="nil"/>
            </w:tcBorders>
            <w:noWrap w:val="0"/>
            <w:vAlign w:val="center"/>
          </w:tcPr>
          <w:p w14:paraId="7EED7409">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16E3E02B">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29" w:type="dxa"/>
            <w:noWrap w:val="0"/>
            <w:vAlign w:val="center"/>
          </w:tcPr>
          <w:p w14:paraId="5768D12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对自然生态环境造成负面影响</w:t>
            </w:r>
          </w:p>
        </w:tc>
        <w:tc>
          <w:tcPr>
            <w:tcW w:w="1131" w:type="dxa"/>
            <w:noWrap w:val="0"/>
            <w:vAlign w:val="center"/>
          </w:tcPr>
          <w:p w14:paraId="4F1BE68F">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1140" w:type="dxa"/>
            <w:noWrap w:val="0"/>
            <w:vAlign w:val="center"/>
          </w:tcPr>
          <w:p w14:paraId="58908335">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685" w:type="dxa"/>
            <w:noWrap w:val="0"/>
            <w:vAlign w:val="center"/>
          </w:tcPr>
          <w:p w14:paraId="2F08C31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7.5</w:t>
            </w:r>
          </w:p>
        </w:tc>
        <w:tc>
          <w:tcPr>
            <w:tcW w:w="795" w:type="dxa"/>
            <w:noWrap w:val="0"/>
            <w:vAlign w:val="center"/>
          </w:tcPr>
          <w:p w14:paraId="782D803D">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6.5</w:t>
            </w:r>
          </w:p>
        </w:tc>
        <w:tc>
          <w:tcPr>
            <w:tcW w:w="1365" w:type="dxa"/>
            <w:noWrap w:val="0"/>
            <w:vAlign w:val="center"/>
          </w:tcPr>
          <w:p w14:paraId="3731CA41">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14:paraId="68DD60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7DA28B6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vMerge w:val="continue"/>
            <w:tcBorders>
              <w:top w:val="nil"/>
              <w:bottom w:val="nil"/>
            </w:tcBorders>
            <w:noWrap w:val="0"/>
            <w:vAlign w:val="center"/>
          </w:tcPr>
          <w:p w14:paraId="0F16D4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21" w:type="dxa"/>
            <w:tcBorders>
              <w:bottom w:val="nil"/>
            </w:tcBorders>
            <w:noWrap w:val="0"/>
            <w:vAlign w:val="center"/>
          </w:tcPr>
          <w:p w14:paraId="1EE25917">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10467A45">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29" w:type="dxa"/>
            <w:noWrap w:val="0"/>
            <w:vAlign w:val="center"/>
          </w:tcPr>
          <w:p w14:paraId="239E8CA9">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单位正常运转需要保障</w:t>
            </w:r>
          </w:p>
        </w:tc>
        <w:tc>
          <w:tcPr>
            <w:tcW w:w="1131" w:type="dxa"/>
            <w:noWrap w:val="0"/>
            <w:vAlign w:val="center"/>
          </w:tcPr>
          <w:p w14:paraId="7011950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应保尽保</w:t>
            </w:r>
          </w:p>
        </w:tc>
        <w:tc>
          <w:tcPr>
            <w:tcW w:w="1140" w:type="dxa"/>
            <w:noWrap w:val="0"/>
            <w:vAlign w:val="center"/>
          </w:tcPr>
          <w:p w14:paraId="67053A0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应保尽保</w:t>
            </w:r>
          </w:p>
        </w:tc>
        <w:tc>
          <w:tcPr>
            <w:tcW w:w="685" w:type="dxa"/>
            <w:noWrap w:val="0"/>
            <w:vAlign w:val="center"/>
          </w:tcPr>
          <w:p w14:paraId="3B4490A6">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7.5</w:t>
            </w:r>
          </w:p>
        </w:tc>
        <w:tc>
          <w:tcPr>
            <w:tcW w:w="795" w:type="dxa"/>
            <w:noWrap w:val="0"/>
            <w:vAlign w:val="center"/>
          </w:tcPr>
          <w:p w14:paraId="5A402BE2">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7.5</w:t>
            </w:r>
          </w:p>
        </w:tc>
        <w:tc>
          <w:tcPr>
            <w:tcW w:w="1365" w:type="dxa"/>
            <w:noWrap w:val="0"/>
            <w:vAlign w:val="center"/>
          </w:tcPr>
          <w:p w14:paraId="62721AA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p>
        </w:tc>
      </w:tr>
      <w:tr w14:paraId="74481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2789F7B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9" w:type="dxa"/>
            <w:tcBorders>
              <w:bottom w:val="nil"/>
            </w:tcBorders>
            <w:noWrap w:val="0"/>
            <w:vAlign w:val="center"/>
          </w:tcPr>
          <w:p w14:paraId="5E4F5B6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21CFA3E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1C7236C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21" w:type="dxa"/>
            <w:tcBorders>
              <w:bottom w:val="nil"/>
            </w:tcBorders>
            <w:noWrap w:val="0"/>
            <w:vAlign w:val="center"/>
          </w:tcPr>
          <w:p w14:paraId="652235A3">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17E8DE67">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1FF4E1CD">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29" w:type="dxa"/>
            <w:noWrap w:val="0"/>
            <w:vAlign w:val="center"/>
          </w:tcPr>
          <w:p w14:paraId="2595CF3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131" w:type="dxa"/>
            <w:noWrap w:val="0"/>
            <w:vAlign w:val="center"/>
          </w:tcPr>
          <w:p w14:paraId="7B2FC522">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大于等于90</w:t>
            </w:r>
            <w:r>
              <w:rPr>
                <w:rFonts w:hint="eastAsia" w:ascii="Arial"/>
                <w:color w:val="000000" w:themeColor="text1"/>
                <w:sz w:val="21"/>
                <w:lang w:val="en-US" w:eastAsia="zh-CN"/>
                <w14:textFill>
                  <w14:solidFill>
                    <w14:schemeClr w14:val="tx1"/>
                  </w14:solidFill>
                </w14:textFill>
              </w:rPr>
              <w:t>%</w:t>
            </w:r>
          </w:p>
        </w:tc>
        <w:tc>
          <w:tcPr>
            <w:tcW w:w="1140" w:type="dxa"/>
            <w:noWrap w:val="0"/>
            <w:vAlign w:val="center"/>
          </w:tcPr>
          <w:p w14:paraId="6CFBF0E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685" w:type="dxa"/>
            <w:noWrap w:val="0"/>
            <w:vAlign w:val="center"/>
          </w:tcPr>
          <w:p w14:paraId="17A98B61">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795" w:type="dxa"/>
            <w:noWrap w:val="0"/>
            <w:vAlign w:val="center"/>
          </w:tcPr>
          <w:p w14:paraId="2B66687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365" w:type="dxa"/>
            <w:noWrap w:val="0"/>
            <w:vAlign w:val="center"/>
          </w:tcPr>
          <w:p w14:paraId="6F57D56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p>
        </w:tc>
      </w:tr>
      <w:tr w14:paraId="5550FF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2ABD5544">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1B2B3547">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14607E4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w:t>
            </w:r>
          </w:p>
        </w:tc>
        <w:tc>
          <w:tcPr>
            <w:tcW w:w="1365" w:type="dxa"/>
            <w:noWrap w:val="0"/>
            <w:vAlign w:val="center"/>
          </w:tcPr>
          <w:p w14:paraId="11FE889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0E167446">
      <w:pPr>
        <w:spacing w:line="252" w:lineRule="auto"/>
        <w:rPr>
          <w:rFonts w:ascii="Arial"/>
          <w:color w:val="000000" w:themeColor="text1"/>
          <w:sz w:val="21"/>
          <w14:textFill>
            <w14:solidFill>
              <w14:schemeClr w14:val="tx1"/>
            </w14:solidFill>
          </w14:textFill>
        </w:rPr>
      </w:pPr>
    </w:p>
    <w:p w14:paraId="58E8286E">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陈果</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13873034782</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2023-6-14</w:t>
      </w:r>
      <w:r>
        <w:rPr>
          <w:rFonts w:ascii="仿宋" w:hAnsi="仿宋" w:eastAsia="仿宋" w:cs="仿宋"/>
          <w:color w:val="000000" w:themeColor="text1"/>
          <w:spacing w:val="4"/>
          <w:sz w:val="23"/>
          <w:szCs w:val="23"/>
          <w14:textFill>
            <w14:solidFill>
              <w14:schemeClr w14:val="tx1"/>
            </w14:solidFill>
          </w14:textFill>
        </w:rPr>
        <w:t xml:space="preserve"> </w:t>
      </w:r>
    </w:p>
    <w:p w14:paraId="3B5E64E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472D5D07">
      <w:pPr>
        <w:ind w:firstLine="1440" w:firstLineChars="400"/>
        <w:jc w:val="both"/>
        <w:rPr>
          <w:rFonts w:hint="eastAsia" w:eastAsia="方正小标宋简体"/>
          <w:sz w:val="36"/>
          <w:szCs w:val="36"/>
          <w:lang w:eastAsia="zh-CN"/>
        </w:rPr>
      </w:pPr>
    </w:p>
    <w:p w14:paraId="4C5BC542">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6"/>
        <w:tblW w:w="9510" w:type="dxa"/>
        <w:jc w:val="center"/>
        <w:tblLayout w:type="fixed"/>
        <w:tblCellMar>
          <w:top w:w="0" w:type="dxa"/>
          <w:left w:w="108" w:type="dxa"/>
          <w:bottom w:w="0" w:type="dxa"/>
          <w:right w:w="108" w:type="dxa"/>
        </w:tblCellMar>
      </w:tblPr>
      <w:tblGrid>
        <w:gridCol w:w="774"/>
        <w:gridCol w:w="1501"/>
        <w:gridCol w:w="6482"/>
        <w:gridCol w:w="753"/>
      </w:tblGrid>
      <w:tr w14:paraId="3E1C1BB7">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7DF0B8A5">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1458BE08">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4F324D84">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0B5A2F0F">
            <w:pPr>
              <w:spacing w:line="240" w:lineRule="exact"/>
              <w:jc w:val="center"/>
              <w:rPr>
                <w:rFonts w:eastAsia="黑体"/>
                <w:szCs w:val="21"/>
              </w:rPr>
            </w:pPr>
            <w:r>
              <w:rPr>
                <w:rFonts w:eastAsia="黑体"/>
                <w:szCs w:val="21"/>
              </w:rPr>
              <w:t>评分</w:t>
            </w:r>
          </w:p>
        </w:tc>
      </w:tr>
      <w:tr w14:paraId="73330077">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2CCEA2A6">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757BA417">
            <w:pPr>
              <w:spacing w:line="320" w:lineRule="exact"/>
              <w:jc w:val="center"/>
              <w:rPr>
                <w:rFonts w:hint="eastAsia" w:asciiTheme="majorEastAsia" w:hAnsiTheme="majorEastAsia" w:eastAsiaTheme="majorEastAsia" w:cstheme="majorEastAsia"/>
                <w:szCs w:val="21"/>
              </w:rPr>
            </w:pPr>
          </w:p>
          <w:p w14:paraId="22DB2F0F">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705DFC6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18325EB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0DE73DB7">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172D5058">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0FD3F408">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F8C8F2E">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2753AED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060A03A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5E443103">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1CB8F67C">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19426F71">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76BE77FF">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041CC49E">
            <w:pPr>
              <w:spacing w:line="240" w:lineRule="exact"/>
              <w:jc w:val="center"/>
              <w:rPr>
                <w:rFonts w:hint="eastAsia" w:asciiTheme="majorEastAsia" w:hAnsiTheme="majorEastAsia" w:eastAsiaTheme="majorEastAsia" w:cstheme="majorEastAsia"/>
                <w:szCs w:val="21"/>
              </w:rPr>
            </w:pPr>
          </w:p>
          <w:p w14:paraId="18C3B2A1">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2244AD7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6380ECC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21C3DF7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3D147522">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6E5EA203">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6602941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6FCED360">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F3B0B50">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24F3E3D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33EF862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4A56C08F">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6463D6AD">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137597D5">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7E52787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0E90F137">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54635468">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74F3BCD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52DC3AC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6ECD368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7553358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5667D4CE">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6363175C">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74F855F4">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2AF4F333">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4240DBA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111CCF1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25BA82D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0BE2A6CF">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19C80E30">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14</w:t>
            </w:r>
            <w:r>
              <w:rPr>
                <w:rFonts w:hint="eastAsia" w:asciiTheme="majorEastAsia" w:hAnsiTheme="majorEastAsia" w:eastAsiaTheme="majorEastAsia" w:cstheme="majorEastAsia"/>
                <w:szCs w:val="21"/>
              </w:rPr>
              <w:t>　</w:t>
            </w:r>
          </w:p>
        </w:tc>
      </w:tr>
      <w:tr w14:paraId="67D9AA68">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7778F627">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662C142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48B74FE2">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0975373E">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99</w:t>
            </w:r>
            <w:bookmarkStart w:id="0" w:name="_GoBack"/>
            <w:bookmarkEnd w:id="0"/>
          </w:p>
        </w:tc>
      </w:tr>
    </w:tbl>
    <w:p w14:paraId="229AB6D8">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0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358B0">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4E6768">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D4E6768">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1C013C"/>
    <w:multiLevelType w:val="singleLevel"/>
    <w:tmpl w:val="921C013C"/>
    <w:lvl w:ilvl="0" w:tentative="0">
      <w:start w:val="2"/>
      <w:numFmt w:val="chineseCounting"/>
      <w:lvlText w:val="(%1)"/>
      <w:lvlJc w:val="left"/>
      <w:pPr>
        <w:tabs>
          <w:tab w:val="left" w:pos="312"/>
        </w:tabs>
      </w:pPr>
      <w:rPr>
        <w:rFonts w:hint="eastAsia"/>
      </w:rPr>
    </w:lvl>
  </w:abstractNum>
  <w:abstractNum w:abstractNumId="1">
    <w:nsid w:val="C7FD7EA1"/>
    <w:multiLevelType w:val="singleLevel"/>
    <w:tmpl w:val="C7FD7EA1"/>
    <w:lvl w:ilvl="0" w:tentative="0">
      <w:start w:val="1"/>
      <w:numFmt w:val="chineseCounting"/>
      <w:suff w:val="nothing"/>
      <w:lvlText w:val="%1、"/>
      <w:lvlJc w:val="left"/>
      <w:rPr>
        <w:rFonts w:hint="eastAsia"/>
      </w:rPr>
    </w:lvl>
  </w:abstractNum>
  <w:abstractNum w:abstractNumId="2">
    <w:nsid w:val="1B5E21AA"/>
    <w:multiLevelType w:val="singleLevel"/>
    <w:tmpl w:val="1B5E21AA"/>
    <w:lvl w:ilvl="0" w:tentative="0">
      <w:start w:val="1"/>
      <w:numFmt w:val="decimal"/>
      <w:lvlText w:val="%1."/>
      <w:lvlJc w:val="left"/>
      <w:pPr>
        <w:tabs>
          <w:tab w:val="left" w:pos="312"/>
        </w:tabs>
      </w:pPr>
    </w:lvl>
  </w:abstractNum>
  <w:abstractNum w:abstractNumId="3">
    <w:nsid w:val="39C5EE71"/>
    <w:multiLevelType w:val="singleLevel"/>
    <w:tmpl w:val="39C5EE71"/>
    <w:lvl w:ilvl="0" w:tentative="0">
      <w:start w:val="7"/>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UxZTY4YjdkMGQzOWY4YjRmYjU0NWEwYjM5ODE3MDI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53655"/>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771869"/>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455939"/>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1D154C"/>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1114"/>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246EC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CB249B"/>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397B84"/>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653A6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A650D9"/>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1A2253"/>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72FE4"/>
    <w:rsid w:val="7D5F5E30"/>
    <w:rsid w:val="7D6C208F"/>
    <w:rsid w:val="7D897D56"/>
    <w:rsid w:val="7D9B14E5"/>
    <w:rsid w:val="7DAA42B2"/>
    <w:rsid w:val="7DAA569A"/>
    <w:rsid w:val="7DB1501E"/>
    <w:rsid w:val="7DB676D9"/>
    <w:rsid w:val="7DBE16CF"/>
    <w:rsid w:val="7DC37DE3"/>
    <w:rsid w:val="7DD45912"/>
    <w:rsid w:val="7E0D4E8F"/>
    <w:rsid w:val="7E107D04"/>
    <w:rsid w:val="7E202441"/>
    <w:rsid w:val="7E334FA5"/>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unhideWhenUsed/>
    <w:qFormat/>
    <w:uiPriority w:val="0"/>
    <w:pPr>
      <w:spacing w:before="100" w:beforeLines="0" w:beforeAutospacing="1" w:after="100" w:afterLines="0" w:afterAutospacing="1"/>
      <w:jc w:val="left"/>
    </w:pPr>
    <w:rPr>
      <w:rFonts w:hint="default" w:ascii="Calibri" w:hAnsi="Calibri" w:eastAsia="宋体" w:cs="Times New Roman"/>
      <w:kern w:val="0"/>
      <w:sz w:val="24"/>
      <w:lang w:val="en-US" w:eastAsia="zh-CN"/>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7447</Words>
  <Characters>7915</Characters>
  <Lines>0</Lines>
  <Paragraphs>0</Paragraphs>
  <TotalTime>3</TotalTime>
  <ScaleCrop>false</ScaleCrop>
  <LinksUpToDate>false</LinksUpToDate>
  <CharactersWithSpaces>8057</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WPS_1691049077</cp:lastModifiedBy>
  <cp:lastPrinted>2023-05-26T08:11:00Z</cp:lastPrinted>
  <dcterms:modified xsi:type="dcterms:W3CDTF">2024-06-25T07:01:44Z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1849AEAAEA064B47913FAA93466F9C9C_13</vt:lpwstr>
  </property>
</Properties>
</file>