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岳阳市岳阳楼区人力资源服务中心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57.03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35.45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14.05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6.07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15.51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40.38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42.2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应省则省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刘萍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13907301950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555"/>
        <w:gridCol w:w="1033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岳阳市岳阳楼区人力资源服务中心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162.45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245.94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245.94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245.94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目标1：对全区事业单位专技技术人员（约2800人）的政治素质和业务水平进行培训；</w:t>
            </w:r>
          </w:p>
          <w:p>
            <w:pPr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目标2：及时缴纳三支一扶大学生生活补助及各项社会保险（2021年2人、2022年10人）；</w:t>
            </w:r>
          </w:p>
          <w:p>
            <w:pPr>
              <w:rPr>
                <w:sz w:val="15"/>
                <w:szCs w:val="18"/>
              </w:rPr>
            </w:pPr>
            <w:r>
              <w:rPr>
                <w:rFonts w:hint="eastAsia"/>
                <w:sz w:val="16"/>
                <w:szCs w:val="20"/>
              </w:rPr>
              <w:t>目标3：清查整理和规范全区人事档案（约5500本）。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1：2022年7月，通过发放专业书籍对全区事业单位专技技术人员（约2800人）进行培训；2：全年做到安时缴纳三支一扶大学生生活补助及各项社会保险（2021年2人、2022年10人）3：全年按相应政策对全区在馆档案（约5500本）进行清查整理和规范全区人事档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规范人事档案数量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缴纳三支一扶生活补助次数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人员培训数量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人事档案规范整理完成度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按时缴纳三支一扶生活补助率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人员培训完成率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规范人事档案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缴纳三支一扶生活补助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人员培训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总成本控制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不超过预算投入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245.94万元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效益指标（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</w:t>
            </w: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 w:right="-40" w:rightChars="-1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-40" w:rightChars="-1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-40" w:rightChars="-19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保障全区档案、人事培训正常运转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-40" w:rightChars="-19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-40" w:rightChars="-19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正常运行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-40" w:rightChars="-1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-40" w:rightChars="-1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-40" w:rightChars="-1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-40" w:rightChars="-19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-40" w:rightChars="-19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-40" w:rightChars="-19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刘萍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13907301950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岳阳市岳阳楼区人力资源服务中心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2023年6月14日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岳阳楼区人力资源服务中心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</w:rPr>
        <w:t>1、负责宣传和贯彻执行党和国家有关人力资源政策、法律和法规；2、拟定全区人才市场与人才服务工作规划并组织实施；3、负责全区人才引进、职业介绍、人力资源开发工作；对全区人力资源服务机构进行业务指导，规范从业行为，对人力资源开发进行综合管理；4、负责人事代理工作；负责全区企、事业单位工作人员人事档案的收集、整理、归档、转移等管理工作；5、负责“三支一扶”对象招募和管理工作；6、负责全区各类人事考试具体考务工作；7、负责组织和管理各类人事业务工作范围内的培训工作，面向社会承办各类人事培训工作；8、负责人才信息的收集、整理和利用，建立和完善人才信息库；9、承办主管部门单位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eastAsia="zh-CN"/>
        </w:rPr>
        <w:t>人员</w:t>
      </w:r>
      <w:r>
        <w:rPr>
          <w:rFonts w:hint="eastAsia" w:ascii="Calibri" w:hAnsi="Calibri" w:eastAsia="仿宋_GB2312" w:cs="Times New Roman"/>
          <w:kern w:val="0"/>
          <w:sz w:val="32"/>
          <w:szCs w:val="32"/>
        </w:rPr>
        <w:t>支出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174.34</w:t>
      </w:r>
      <w:r>
        <w:rPr>
          <w:rFonts w:hint="eastAsia" w:ascii="Calibri" w:hAnsi="Calibri" w:eastAsia="仿宋_GB2312" w:cs="Times New Roman"/>
          <w:kern w:val="0"/>
          <w:sz w:val="32"/>
          <w:szCs w:val="32"/>
        </w:rPr>
        <w:t>万元，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eastAsia="zh-CN"/>
        </w:rPr>
        <w:t>公用支出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71.6万元</w:t>
      </w:r>
      <w:r>
        <w:rPr>
          <w:rFonts w:hint="eastAsia" w:ascii="Calibri" w:hAnsi="Calibri" w:eastAsia="仿宋_GB2312" w:cs="Times New Roman"/>
          <w:kern w:val="0"/>
          <w:sz w:val="32"/>
          <w:szCs w:val="32"/>
        </w:rPr>
        <w:t>；“三公”经费预算安排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0.5</w:t>
      </w:r>
      <w:r>
        <w:rPr>
          <w:rFonts w:hint="eastAsia" w:ascii="Calibri" w:hAnsi="Calibri" w:eastAsia="仿宋_GB2312" w:cs="Times New Roman"/>
          <w:kern w:val="0"/>
          <w:sz w:val="32"/>
          <w:szCs w:val="32"/>
        </w:rPr>
        <w:t>万元，实际支出0.</w:t>
      </w: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46</w:t>
      </w:r>
      <w:r>
        <w:rPr>
          <w:rFonts w:hint="eastAsia" w:ascii="Calibri" w:hAnsi="Calibri" w:eastAsia="仿宋_GB2312" w:cs="Times New Roman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1285" w:firstLineChars="400"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2022年政府性基金预算拨款支出为0万元，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 xml:space="preserve"> 2022年度本单位无政府性基金安排的支出。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ind w:firstLine="640" w:firstLineChars="200"/>
        <w:jc w:val="left"/>
        <w:rPr>
          <w:rFonts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2022年国有资本经营预算支出为0万元，2022年度本单位无国有资本经营安排的支出。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ind w:firstLine="640" w:firstLineChars="200"/>
        <w:jc w:val="left"/>
        <w:rPr>
          <w:rFonts w:hint="default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2022年社会保险基金预算支出为0万元，2022年度本单位无社会保险基金安排的支出。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严格落实《预算法》及区绩效管理工作的有关规定,进一步规范财政资金的管理,建立和完善科学、合理的项目资金绩效评价管理体系,促进公共财政阳光化,提高财政资金使用效益。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年内存在预算追加的情况，影响了预算的控制与执行，预算编制的合理性还有待进一步提高。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进一步加快档案电子化进程。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kern w:val="0"/>
          <w:sz w:val="32"/>
          <w:szCs w:val="32"/>
        </w:rPr>
        <w:t>严格遵守资金使用流程。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7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4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7DAB2"/>
    <w:multiLevelType w:val="singleLevel"/>
    <w:tmpl w:val="9687DAB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DE5690"/>
    <w:multiLevelType w:val="singleLevel"/>
    <w:tmpl w:val="1FDE5690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4A082479"/>
    <w:multiLevelType w:val="singleLevel"/>
    <w:tmpl w:val="4A0824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334FF57"/>
    <w:multiLevelType w:val="singleLevel"/>
    <w:tmpl w:val="7334FF5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2I1Y2E5MTg1NzJhN2FkNjlmNDg5OTI5OGY3ZTQifQ=="/>
    <w:docVar w:name="KSO_WPS_MARK_KEY" w:val="5a529495-2379-42f3-860d-d2d1e0aceefa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71B81"/>
    <w:rsid w:val="11A91B68"/>
    <w:rsid w:val="11B76464"/>
    <w:rsid w:val="11B942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F431D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A3777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3F341A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62DD3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A2CCC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BF30C6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6D85ED8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133D3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52C98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9524B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77683A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63729D"/>
    <w:rsid w:val="55821CB6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87FAF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B272F6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C8476A"/>
    <w:rsid w:val="5FFB751D"/>
    <w:rsid w:val="5FFC1DCE"/>
    <w:rsid w:val="601E1EA2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7569E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C2121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DA1086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CE574B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AB52CB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2988</Words>
  <Characters>3330</Characters>
  <Lines>0</Lines>
  <Paragraphs>0</Paragraphs>
  <TotalTime>10</TotalTime>
  <ScaleCrop>false</ScaleCrop>
  <LinksUpToDate>false</LinksUpToDate>
  <CharactersWithSpaces>3483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necrolyte</cp:lastModifiedBy>
  <cp:lastPrinted>2023-05-26T08:11:00Z</cp:lastPrinted>
  <dcterms:modified xsi:type="dcterms:W3CDTF">2024-06-28T00:47:10Z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50306CC149C84F98BF850919EA3E5AFB_13</vt:lpwstr>
  </property>
</Properties>
</file>