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32"/>
        <w:gridCol w:w="543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4132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537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岳阳楼区财政局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4132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47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1.26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1.26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567.29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588.34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412.01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77.57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155.28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311.77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4132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4132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预算执行及公存款安全检查工作经费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21.72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防疫隔离点工作经费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104.85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毛发检测经费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清资核产法律服务经费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税收稳定奖励金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省运会后勤保障组工作经费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三性人员经费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14.58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109.09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252.47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15.13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1.91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40.53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2.19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4132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533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4132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5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4132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3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413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537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eastAsia="zh-CN"/>
          <w14:textFill>
            <w14:solidFill>
              <w14:schemeClr w14:val="tx1"/>
            </w14:solidFill>
          </w14:textFill>
        </w:rPr>
        <w:t>黄莉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8393615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2023年6月14日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岳阳楼区财政局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1555.49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1667.96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1667.96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1550.24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1079.62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588.34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117.72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1、贯彻执行国家财税方针政策，分析预测全区财政经济运行情况，编制年度区级财政预决算草案。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2、确保财政收支，兜牢“三保”底线，完成预算执行情况分析工作，财政资金调度工作。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3、做好政府债务、预算绩效、资产管理、财监法治、会计管理等相关财政工作。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执行了预算政策要求。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贯彻执行国家财税方针政策，分析预测全区财政经济运行情况，编制年度区级财政预决算草案，兜牢“三保”底线，完成预算执行情况分析工作，财政资金调度工作。做好了政府债务、预算绩效、资产管理、财监法治、会计管理等相关财政工作。坚持财源建设，确保平稳运行</w:t>
            </w:r>
            <w:r>
              <w:rPr>
                <w:rFonts w:hint="default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财政收支保持平衡，加强协税护税，积极争项争资，推进三资改革，债务风险总体可控。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0"/>
                <w:lang w:val="en-US" w:eastAsia="zh-CN"/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both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FF0000"/>
                <w:sz w:val="20"/>
                <w:lang w:val="en-US" w:eastAsia="zh-CN"/>
              </w:rPr>
              <w:t>数量指标占比20分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会计管理（织财会业务培训学习）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因疫情原因未组织培训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政府债务管理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化债任务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已完成化债任务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预算绩效管理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完成预算单位绩效目标</w:t>
            </w:r>
            <w:r>
              <w:rPr>
                <w:rFonts w:hint="eastAsia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1次</w:t>
            </w: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、绩效监控</w:t>
            </w:r>
            <w:r>
              <w:rPr>
                <w:rFonts w:hint="eastAsia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1次</w:t>
            </w: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、绩效评价</w:t>
            </w:r>
            <w:r>
              <w:rPr>
                <w:rFonts w:hint="eastAsia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资产管理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  <w:t>推进三资改革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FF0000"/>
                <w:sz w:val="20"/>
                <w:lang w:val="en-US" w:eastAsia="zh-CN"/>
              </w:rPr>
              <w:t>数量指标为定量指标，着重考察的是数量，标黄部分不适用于数量指标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加强财源建设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高质量增长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2022年我区128家重点税源企业收入目标63234万元，截止11月底，累计入库62614万元，累计完成比例99%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债务风险可控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债务风险可控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债务风险总体可控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全力盘活资源、资产、资本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全力盘活资源、资产、资本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取得较好的成效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资金拨付及时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履职工作完成及时率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预算执行情况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工作经费≤上年同期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工作经费不高于上年同期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FF0000"/>
                <w:sz w:val="20"/>
                <w:lang w:val="en-US" w:eastAsia="zh-CN"/>
              </w:rPr>
            </w:pPr>
            <w:r>
              <w:rPr>
                <w:rFonts w:hint="eastAsia" w:ascii="Arial"/>
                <w:color w:val="FF0000"/>
                <w:sz w:val="20"/>
                <w:lang w:val="en-US" w:eastAsia="zh-CN"/>
              </w:rPr>
              <w:t>成本指标主要突显预算是否百分百执行，工作经费也可以列为其中一个指标进行考察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经济平稳发展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经济平稳发展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经济水平得以保持稳定并有所上升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预算单位工作正常推进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正常推进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预算单位工作正常推进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社会公众满意度</w:t>
            </w: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（预算单位满意度）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黄莉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8393615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岳阳楼区财政局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  6月  14日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2022年度岳阳楼区财政局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等线" w:hAnsi="等线" w:eastAsia="等线" w:cs="Times New Roman"/>
          <w:kern w:val="2"/>
          <w:sz w:val="27"/>
          <w:szCs w:val="27"/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等线" w:hAnsi="等线" w:eastAsia="等线" w:cs="Times New Roman"/>
          <w:kern w:val="2"/>
          <w:sz w:val="27"/>
          <w:szCs w:val="27"/>
          <w:lang w:val="en-US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1、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主要负责财政收支、实施财政监督、参与本区国民经济调控等工作。组织贯彻执行国家财税方针政策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拟定和执行全区财政政策、财政改革方案；承担区本级各项财政收支管理责任，编制年度区本级预决算并组织执行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编制全区财政收支预算，审核部门预算，汇总全区财政总决算。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2、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 xml:space="preserve"> 岳阳市岳阳楼区财政局内设机构包括：我局内设股室15个，二级参公事业单位5个（采购中心、工资中心、国库支付中心、乡财局、非税局）二级非参公事业单位3个（资金中心、行资中心、评审中心）。</w:t>
      </w:r>
      <w:r>
        <w:rPr>
          <w:rFonts w:hint="default" w:ascii="等线" w:hAnsi="等线" w:eastAsia="等线" w:cs="Times New Roman"/>
          <w:color w:val="000000"/>
          <w:kern w:val="2"/>
          <w:sz w:val="27"/>
          <w:szCs w:val="27"/>
        </w:rPr>
        <w:t xml:space="preserve"> 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所属二级机构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财务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实行独立核算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。截止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2022年12月31日，局机关在职人数47人。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2022年财政局基本支出1079.62万元，其中：工资福利支出785.84万元，商品和服务支出252.47万元，对个人和家庭的补助41.31万元。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项目支出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588.34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万元。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其中：财政预决算编制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7.8万元，财政业务培训4.1万元，财政改革业务10.66万元，财政业务工作经费55万元，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网络线路租赁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19.97万元，设备更新维护37.75万元，系统软件维护254.1万元，预算执行及公存款安全检查工作经费21.72万元，防疫隔离点工作经费104.85万元，毛发检测经费0.92万元，清资核产法律服务经费34.83万元，税收稳定奖励金21万元，省运会后勤保障组工作经费1.1万元，三性人员经费14.58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本单位无政府性基金预算支出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本单位无国有资本经营预算支出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本单位无社会保险基金预算支出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部门整体支出绩效情况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</w:pP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  <w:t>1、执行了预算政策要求。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贯彻执行国家财税方针政策，分析预测全区财政经济运行情况，编制年度区级财政预决算草案，兜牢“三保”底线，完成预算执行情况分析工作，财政资金调度工作。做好政府债务、预算绩效、资产管理、财监法治、会计管理等相关财政工作。坚持财源建设，确保平稳运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财政收支保持平衡，加强协税护税，积极争项争资，推进三资改革，债务风险总体可控。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</w:pP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  <w:t>2、保障了机关有效运转。严格按照厉行节约的要求，精打细算，规范机关事务管理工作，提高服务质量，降低运行成本，合理配置，提高保障能力。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default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  <w:t>3、加强了干部队伍建设。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我</w:t>
      </w: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  <w:t>局以坚强定力忠诚捍卫“两个确立”、践行“两个维护”，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坚定四个自信。把党的二十大精神作为政治引领，</w:t>
      </w: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  <w:t>认真落实党组理论学习中心组学习、党员及全体干部职工学习制度。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全面</w:t>
      </w: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  <w:t>落实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“第一议题”制度</w:t>
      </w: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“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三重一大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”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重要事项，每月召开两次中心组学习，提高全局政治站位，思想觉悟。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宋体" w:hAnsi="宋体" w:eastAsia="宋体" w:cs="宋体"/>
          <w:color w:val="000000"/>
          <w:kern w:val="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总结归纳本单位“四本预算”支出的绩效目标完成 情况，实现产出和取得效益的情况。围绕单位职责、 行业发展规划，以预算资金管理为主线，总结单位资产管理和开展业务情况，从运行成本、管理效率、履职效能、 社会效应、可持续发展能力和服务对象满意度等方面，衡量单位整体及核心业务实施效果。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预算编制与实际支出项目存在差异，预算编制有待更严格的执行。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今后工作中，按照预算规定的项目和用途严格财务审计，经费支出严格按预算规定项目的财务支出内容进行财务预算，在预算金额内严控费用支出。推动建立过紧日子的长效机制。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本单位无其他情况说明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其他财政业务工作经费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岳阳楼区政府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岳阳楼区财政局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FF0000"/>
                <w:spacing w:val="0"/>
                <w:sz w:val="21"/>
                <w:szCs w:val="21"/>
              </w:rPr>
              <w:t>(50分)</w:t>
            </w:r>
            <w:r>
              <w:rPr>
                <w:rFonts w:hint="eastAsia" w:ascii="宋体" w:hAnsi="宋体" w:eastAsia="宋体" w:cs="宋体"/>
                <w:color w:val="FF0000"/>
                <w:spacing w:val="0"/>
                <w:sz w:val="21"/>
                <w:szCs w:val="21"/>
                <w:lang w:val="en-US" w:eastAsia="zh-CN"/>
              </w:rPr>
              <w:t>数量指标占比20分，其余三个指标各占比10分，补充完成其他的指标进行考核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清廉机关宣传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2次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2次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账务清查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2次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2次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法律咨询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12个月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12个月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其他人员工资发放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12个月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12个月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工资发放率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账务清查率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全面清理往来款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年度内完成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2022年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2022年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成本控制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 w:eastAsiaTheme="minorEastAsia"/>
                <w:color w:val="FF0000"/>
                <w:spacing w:val="0"/>
                <w:sz w:val="21"/>
                <w:szCs w:val="21"/>
                <w:lang w:eastAsia="zh-CN"/>
              </w:rPr>
              <w:t>≤</w:t>
            </w: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60万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55万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其他财政业务工作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不断改善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有所提高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对指标进行细分，效益指标多为定性指标，可用改善、不断提高、增加等字眼进行表述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使用满意度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95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设备更新维护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37.75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37.75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37.75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37.75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机房设备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更新维护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数量指标占比20分，对指标进行细化细分，两个或两个以上指标，计量单位补上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办公设备更新维护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设备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正常运行率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质量指标占比10分，把单位补上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设备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验收合格率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政府采购率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年度内完成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设备更新维护费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成本控制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55万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37.75万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把计量单位写上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单位正常运转率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设置得过于笼统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不适用于社会指标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使用满意度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689"/>
        <w:gridCol w:w="106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系统软件维护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岳阳楼区财政局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岳阳楼区财政局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254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254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财政系统软件数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10个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10个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把计量单位补充上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电路条数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全区所有预算单位内网线路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全区所有预算单位内网线路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系统正常运行率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系统验收合格率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系统故障处理响应时间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不低于30分钟响应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不低于30分钟响应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320万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254万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成本指标补充完整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使用频率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社会影响力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使用满意度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68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47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防疫隔离点工作经费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104.85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104.85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资金覆盖面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数量指标补充完整，占比20分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医疗物资的配送率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FF000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FF0000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质量指标占比10分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购买物资合格率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FF000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FF0000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新冠病例标本送检及时率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隔离点资金不超过财政安排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控制在104.85万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104.85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防疫物资后勤保障率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人员流动安全性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大大提高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大大提高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群众防疫意识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群众满意度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清资核产法律服务经费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34.83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34.83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34.83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34.83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完成国有资产清查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数量指标主要考察数量，设置指标不完全正确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完成国有资产资源收集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全力盘活资源、资产、资本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全力盘活资源、资产、资本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取得较好成效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本年度内完成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2022年内完成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资金不超过财政安排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控制在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34.93万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制定资产盘活方案，完成资产置换工作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10个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修改资产管理、考核管理办法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3个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大于90%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大于90%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96</w:t>
            </w: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bookmarkStart w:id="0" w:name="_GoBack"/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bookmarkEnd w:id="0"/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13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96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C6B20484-C3BC-4047-9FC5-D6DD65D0BEBB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56CA9410-80FA-48AE-8519-89D02637489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3" w:fontKey="{4A7048B0-AD3C-42B3-9B9C-2C8BB53126E9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4" w:fontKey="{1A74572B-A2D5-49FE-889E-70AAB1F39E7E}"/>
  </w:font>
  <w:font w:name="???-18030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072BD9ED-4673-4E58-9D38-23910385221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F6185F3A-7006-4DD6-ADC1-56D7F8927986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7" w:fontKey="{2E94C68B-6A92-4246-9E68-5C81F543FF2C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8" w:fontKey="{744B4F43-5D11-4451-BA32-A91DDF27164E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CEC4F0"/>
    <w:multiLevelType w:val="singleLevel"/>
    <w:tmpl w:val="CDCEC4F0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EC317F7"/>
    <w:multiLevelType w:val="singleLevel"/>
    <w:tmpl w:val="CEC317F7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60FB244E"/>
    <w:multiLevelType w:val="singleLevel"/>
    <w:tmpl w:val="60FB244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2OWIyZWE4M2EwYmZkMTZjYjAwYjI5NjRjYjY3NGIifQ=="/>
  </w:docVars>
  <w:rsids>
    <w:rsidRoot w:val="53FC3987"/>
    <w:rsid w:val="000A3765"/>
    <w:rsid w:val="001D7282"/>
    <w:rsid w:val="0039081D"/>
    <w:rsid w:val="005E6ECB"/>
    <w:rsid w:val="006F2DC2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333FC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E44F9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277401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BE5FB8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82122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546F1F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9F05266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3C87"/>
    <w:rsid w:val="0ACB61B4"/>
    <w:rsid w:val="0ACD4157"/>
    <w:rsid w:val="0AE964B0"/>
    <w:rsid w:val="0B136931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0F70F9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070E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0E69D0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455DE"/>
    <w:rsid w:val="0FF71EB7"/>
    <w:rsid w:val="10225AB2"/>
    <w:rsid w:val="102B64CB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33C86"/>
    <w:rsid w:val="11793618"/>
    <w:rsid w:val="117D4B05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DD0CD0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A27E5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AE1A47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76D7C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AF6202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06987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A1572"/>
    <w:rsid w:val="1E6C3B44"/>
    <w:rsid w:val="1E7A4122"/>
    <w:rsid w:val="1E8879EE"/>
    <w:rsid w:val="1EB95D76"/>
    <w:rsid w:val="1EC54236"/>
    <w:rsid w:val="1ED3045A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74B04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40B6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0E7CB2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3F3E9B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00CC8"/>
    <w:rsid w:val="277602F5"/>
    <w:rsid w:val="278038CA"/>
    <w:rsid w:val="27C33BB0"/>
    <w:rsid w:val="27C55F98"/>
    <w:rsid w:val="27CC0CD0"/>
    <w:rsid w:val="27D071BC"/>
    <w:rsid w:val="27D4538F"/>
    <w:rsid w:val="27DC0AE4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0050E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74EA2"/>
    <w:rsid w:val="2BCC1BD6"/>
    <w:rsid w:val="2BDF0CFB"/>
    <w:rsid w:val="2BE234F2"/>
    <w:rsid w:val="2BE33AA6"/>
    <w:rsid w:val="2BE40B44"/>
    <w:rsid w:val="2BEC2B5B"/>
    <w:rsid w:val="2BEF68A7"/>
    <w:rsid w:val="2BF22DBE"/>
    <w:rsid w:val="2BF73785"/>
    <w:rsid w:val="2C0F30B3"/>
    <w:rsid w:val="2C1235EB"/>
    <w:rsid w:val="2C123F87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AD0E22"/>
    <w:rsid w:val="33B17041"/>
    <w:rsid w:val="33B202F3"/>
    <w:rsid w:val="33B20F64"/>
    <w:rsid w:val="33BC72B7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9736C3"/>
    <w:rsid w:val="36A30194"/>
    <w:rsid w:val="36D21A02"/>
    <w:rsid w:val="37104DEB"/>
    <w:rsid w:val="37217B5C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9E23E8"/>
    <w:rsid w:val="38A945B7"/>
    <w:rsid w:val="38CC2A09"/>
    <w:rsid w:val="38D677A2"/>
    <w:rsid w:val="38D770AE"/>
    <w:rsid w:val="38F70050"/>
    <w:rsid w:val="38FA1339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551D3F"/>
    <w:rsid w:val="396B7002"/>
    <w:rsid w:val="396C2A15"/>
    <w:rsid w:val="397228F1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C714BD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970E8F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929E5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84200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287147"/>
    <w:rsid w:val="472B2331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6260BA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0D453F"/>
    <w:rsid w:val="4E370600"/>
    <w:rsid w:val="4E3B4025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716D4F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74CAA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8479E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E660B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930A7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BD6DB6"/>
    <w:rsid w:val="5CCB04A2"/>
    <w:rsid w:val="5CCD7E04"/>
    <w:rsid w:val="5CD51F6A"/>
    <w:rsid w:val="5CD6026B"/>
    <w:rsid w:val="5CE319F6"/>
    <w:rsid w:val="5CE42846"/>
    <w:rsid w:val="5CE9406B"/>
    <w:rsid w:val="5CF3355A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903A7"/>
    <w:rsid w:val="5EDB6E5E"/>
    <w:rsid w:val="5F050603"/>
    <w:rsid w:val="5F0F5BF5"/>
    <w:rsid w:val="5F1070E5"/>
    <w:rsid w:val="5F13572D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D3695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53A53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626C83"/>
    <w:rsid w:val="63710CD7"/>
    <w:rsid w:val="639A0C81"/>
    <w:rsid w:val="63A00543"/>
    <w:rsid w:val="63BE2991"/>
    <w:rsid w:val="63D672A4"/>
    <w:rsid w:val="63E1404C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B20D48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B15461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DE866D9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9C3337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3D0FE7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A626EA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AFB37ED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14111"/>
    <w:rsid w:val="7D157A0E"/>
    <w:rsid w:val="7D1658AD"/>
    <w:rsid w:val="7D1D4159"/>
    <w:rsid w:val="7D243099"/>
    <w:rsid w:val="7D366D5F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34CC4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18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等线" w:hAnsi="等线" w:eastAsia="等线" w:cs="Times New Roman"/>
      <w:kern w:val="2"/>
      <w:sz w:val="21"/>
      <w:szCs w:val="21"/>
      <w:lang w:val="en-US" w:eastAsia="zh-CN" w:bidi="ar"/>
    </w:rPr>
  </w:style>
  <w:style w:type="paragraph" w:customStyle="1" w:styleId="10">
    <w:name w:val="BodyText"/>
    <w:next w:val="11"/>
    <w:qFormat/>
    <w:uiPriority w:val="0"/>
    <w:pPr>
      <w:widowControl/>
      <w:spacing w:before="100" w:beforeAutospacing="1" w:after="120" w:line="560" w:lineRule="exact"/>
      <w:ind w:firstLine="640" w:firstLineChars="200"/>
      <w:jc w:val="both"/>
      <w:textAlignment w:val="baseline"/>
    </w:pPr>
    <w:rPr>
      <w:rFonts w:asciiTheme="minorHAnsi" w:hAnsiTheme="minorHAnsi" w:eastAsiaTheme="minorEastAsia" w:cstheme="minorBidi"/>
      <w:kern w:val="2"/>
      <w:sz w:val="21"/>
      <w:szCs w:val="32"/>
      <w:lang w:val="en-US" w:eastAsia="zh-CN" w:bidi="ar-SA"/>
    </w:rPr>
  </w:style>
  <w:style w:type="paragraph" w:customStyle="1" w:styleId="11">
    <w:name w:val="UserStyle_3"/>
    <w:qFormat/>
    <w:uiPriority w:val="0"/>
    <w:pPr>
      <w:widowControl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  <w:spacing w:before="100" w:beforeAutospacing="1" w:after="100" w:afterAutospacing="1" w:line="560" w:lineRule="exact"/>
      <w:ind w:firstLine="640" w:firstLineChars="200"/>
      <w:jc w:val="center"/>
      <w:textAlignment w:val="baseline"/>
    </w:pPr>
    <w:rPr>
      <w:rFonts w:ascii="???-18030" w:hAnsi="???-18030" w:eastAsiaTheme="minorEastAsia" w:cstheme="minorBidi"/>
      <w:kern w:val="0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25</Pages>
  <Words>8951</Words>
  <Characters>9835</Characters>
  <Lines>0</Lines>
  <Paragraphs>0</Paragraphs>
  <TotalTime>19</TotalTime>
  <ScaleCrop>false</ScaleCrop>
  <LinksUpToDate>false</LinksUpToDate>
  <CharactersWithSpaces>10297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傻！</cp:lastModifiedBy>
  <cp:lastPrinted>2023-05-26T08:11:00Z</cp:lastPrinted>
  <dcterms:modified xsi:type="dcterms:W3CDTF">2023-08-09T08:31:41Z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36EF98F7E8DD48ADAA6D01E59A2B097D_13</vt:lpwstr>
  </property>
</Properties>
</file>