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4"/>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岳阳楼区发展和改革局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40</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42</w:t>
            </w:r>
          </w:p>
        </w:tc>
        <w:tc>
          <w:tcPr>
            <w:tcW w:w="1679"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105.00%</w:t>
            </w:r>
            <w:bookmarkStart w:id="0" w:name="_GoBack"/>
            <w:bookmarkEnd w:id="0"/>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202</w:t>
            </w: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1.92</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8</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3"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4"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1.92</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496.56</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578.34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26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13"/>
                <w:szCs w:val="13"/>
                <w:lang w:eastAsia="zh-CN"/>
                <w14:textFill>
                  <w14:solidFill>
                    <w14:schemeClr w14:val="tx1"/>
                  </w14:solidFill>
                </w14:textFill>
              </w:rPr>
              <w:t>“</w:t>
            </w:r>
            <w:r>
              <w:rPr>
                <w:rFonts w:hint="eastAsia" w:asciiTheme="majorEastAsia" w:hAnsiTheme="majorEastAsia" w:eastAsiaTheme="majorEastAsia" w:cstheme="majorEastAsia"/>
                <w:color w:val="000000" w:themeColor="text1"/>
                <w:spacing w:val="2"/>
                <w:sz w:val="13"/>
                <w:szCs w:val="13"/>
                <w:lang w:val="en-US" w:eastAsia="zh-CN"/>
                <w14:textFill>
                  <w14:solidFill>
                    <w14:schemeClr w14:val="tx1"/>
                  </w14:solidFill>
                </w14:textFill>
              </w:rPr>
              <w:t>十四五</w:t>
            </w:r>
            <w:r>
              <w:rPr>
                <w:rFonts w:hint="eastAsia" w:asciiTheme="majorEastAsia" w:hAnsiTheme="majorEastAsia" w:eastAsiaTheme="majorEastAsia" w:cstheme="majorEastAsia"/>
                <w:color w:val="000000" w:themeColor="text1"/>
                <w:spacing w:val="2"/>
                <w:sz w:val="13"/>
                <w:szCs w:val="13"/>
                <w:lang w:eastAsia="zh-CN"/>
                <w14:textFill>
                  <w14:solidFill>
                    <w14:schemeClr w14:val="tx1"/>
                  </w14:solidFill>
                </w14:textFill>
              </w:rPr>
              <w:t>”</w:t>
            </w:r>
            <w:r>
              <w:rPr>
                <w:rFonts w:hint="eastAsia" w:asciiTheme="majorEastAsia" w:hAnsiTheme="majorEastAsia" w:eastAsiaTheme="majorEastAsia" w:cstheme="majorEastAsia"/>
                <w:color w:val="000000" w:themeColor="text1"/>
                <w:spacing w:val="2"/>
                <w:sz w:val="13"/>
                <w:szCs w:val="13"/>
                <w:lang w:val="en-US" w:eastAsia="zh-CN"/>
                <w14:textFill>
                  <w14:solidFill>
                    <w14:schemeClr w14:val="tx1"/>
                  </w14:solidFill>
                </w14:textFill>
              </w:rPr>
              <w:t>规划纲要年度执行情况评估及年度发展计划编制</w:t>
            </w:r>
          </w:p>
        </w:tc>
        <w:tc>
          <w:tcPr>
            <w:tcW w:w="1815" w:type="dxa"/>
            <w:gridSpan w:val="2"/>
            <w:vMerge w:val="restart"/>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80.15</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13.87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default"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十四五</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w:t>
            </w:r>
            <w: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t>时期专项规划</w:t>
            </w:r>
          </w:p>
        </w:tc>
        <w:tc>
          <w:tcPr>
            <w:tcW w:w="1815" w:type="dxa"/>
            <w:gridSpan w:val="2"/>
            <w:vMerge w:val="continue"/>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27.43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信用体系建设及维护管理</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9.42</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物流发展高度管理统计</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15.07</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固定资产投资统计</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49.2</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四上统计员补贴</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6.3</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20+76</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96.1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物价成本调查专项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6.52</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2.64</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2.72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防疫工作经费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17.61</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70.66</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70.66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3850" w:type="dxa"/>
            <w:noWrap w:val="0"/>
            <w:vAlign w:val="top"/>
          </w:tcPr>
          <w:p>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项目概算管理及审核</w:t>
            </w:r>
          </w:p>
        </w:tc>
        <w:tc>
          <w:tcPr>
            <w:tcW w:w="1815" w:type="dxa"/>
            <w:gridSpan w:val="2"/>
            <w:vMerge w:val="restart"/>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291.59</w:t>
            </w: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100</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101.2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项目申报前期工作经费</w:t>
            </w:r>
          </w:p>
        </w:tc>
        <w:tc>
          <w:tcPr>
            <w:tcW w:w="1815" w:type="dxa"/>
            <w:gridSpan w:val="2"/>
            <w:vMerge w:val="continue"/>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201.56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0" w:hRule="atLeast"/>
        </w:trPr>
        <w:tc>
          <w:tcPr>
            <w:tcW w:w="3850" w:type="dxa"/>
            <w:noWrap w:val="0"/>
            <w:vAlign w:val="top"/>
          </w:tcPr>
          <w:p>
            <w:pPr>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重大项目协调</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20.7</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123.59</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72.2</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7" w:hRule="atLeast"/>
        </w:trPr>
        <w:tc>
          <w:tcPr>
            <w:tcW w:w="3850" w:type="dxa"/>
            <w:noWrap w:val="0"/>
            <w:vAlign w:val="top"/>
          </w:tcPr>
          <w:p>
            <w:pPr>
              <w:spacing w:before="85" w:line="219" w:lineRule="auto"/>
              <w:ind w:left="384"/>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r>
              <w:rPr>
                <w:rFonts w:hint="eastAsia" w:asciiTheme="majorEastAsia" w:hAnsiTheme="majorEastAsia" w:eastAsiaTheme="majorEastAsia" w:cstheme="majorEastAsia"/>
                <w:color w:val="000000" w:themeColor="text1"/>
                <w:spacing w:val="1"/>
                <w:sz w:val="24"/>
                <w:szCs w:val="24"/>
                <w:lang w:eastAsia="zh-CN"/>
                <w14:textFill>
                  <w14:solidFill>
                    <w14:schemeClr w14:val="tx1"/>
                  </w14:solidFill>
                </w14:textFill>
              </w:rPr>
              <w:t>、</w:t>
            </w: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维修（护）费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4.18</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8.5</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2"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公务接待费</w:t>
            </w: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、差旅费</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2.56</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8.2</w:t>
            </w: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工会经费、其他交通费、其他商品和服务支出</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116.85</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55.5</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73.2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307.44</w:t>
            </w:r>
          </w:p>
        </w:tc>
        <w:tc>
          <w:tcPr>
            <w:tcW w:w="2325"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226.44</w:t>
            </w:r>
          </w:p>
        </w:tc>
        <w:tc>
          <w:tcPr>
            <w:tcW w:w="1679" w:type="dxa"/>
            <w:gridSpan w:val="2"/>
            <w:noWrap w:val="0"/>
            <w:vAlign w:val="center"/>
          </w:tcPr>
          <w:p>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226.44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center"/>
          </w:tcPr>
          <w:p>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5"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李娟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18974037733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sectPr>
          <w:footerReference r:id="rId3" w:type="default"/>
          <w:pgSz w:w="11906" w:h="16838"/>
          <w:pgMar w:top="964" w:right="1417" w:bottom="96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4"/>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center"/>
          </w:tcPr>
          <w:p>
            <w:pPr>
              <w:jc w:val="center"/>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岳阳楼区发展和改革局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945.85</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1335.15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1335.15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1335.15</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756.8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578.34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autoSpaceDN w:val="0"/>
              <w:spacing w:line="400" w:lineRule="exact"/>
              <w:ind w:firstLine="420" w:firstLineChars="200"/>
              <w:jc w:val="left"/>
              <w:textAlignment w:val="center"/>
              <w:rPr>
                <w:rFonts w:hint="eastAsia"/>
              </w:rPr>
            </w:pPr>
            <w:r>
              <w:rPr>
                <w:rFonts w:hint="eastAsia"/>
                <w:lang w:val="en-US" w:eastAsia="zh-CN"/>
              </w:rPr>
              <w:t>目标</w:t>
            </w:r>
            <w:r>
              <w:rPr>
                <w:rFonts w:hint="eastAsia"/>
              </w:rPr>
              <w:t>1：发改部门承担的项目前期工作主要分为八个方面，包括政府投资项目审批、企业投资项目核准或备案、项目资本金制度、招标事项核准、节能审查、听取利害关系人意见、重大项目公示、委托投资咨询评估论证等。做好项目前期工作，对于加大争项争资力度、加快项目建设进度、推动经济发展。</w:t>
            </w:r>
          </w:p>
          <w:p>
            <w:pPr>
              <w:autoSpaceDN w:val="0"/>
              <w:spacing w:line="400" w:lineRule="exact"/>
              <w:ind w:firstLine="420" w:firstLineChars="200"/>
              <w:jc w:val="left"/>
              <w:textAlignment w:val="center"/>
              <w:rPr>
                <w:rFonts w:hint="eastAsia"/>
              </w:rPr>
            </w:pPr>
            <w:r>
              <w:rPr>
                <w:rFonts w:hint="eastAsia"/>
                <w:lang w:val="en-US" w:eastAsia="zh-CN"/>
              </w:rPr>
              <w:t>目标</w:t>
            </w:r>
            <w:r>
              <w:rPr>
                <w:rFonts w:hint="eastAsia"/>
              </w:rPr>
              <w:t>2：加大调研力度，加强经济运行的预测和分析，做好区域经济发展等重大问题的调研，以市场运行为基础，加强服务能力建设，切实提高服务质量，做好国民经济和社会发展计划执行情况的分析，为区委、区政府决策提供参谋服务。</w:t>
            </w:r>
          </w:p>
          <w:p>
            <w:pPr>
              <w:autoSpaceDN w:val="0"/>
              <w:spacing w:line="400" w:lineRule="exact"/>
              <w:ind w:firstLine="420" w:firstLineChars="200"/>
              <w:jc w:val="left"/>
              <w:textAlignment w:val="center"/>
              <w:rPr>
                <w:rFonts w:hint="eastAsia"/>
                <w:lang w:eastAsia="zh-CN"/>
              </w:rPr>
            </w:pPr>
            <w:r>
              <w:rPr>
                <w:rFonts w:hint="eastAsia"/>
                <w:lang w:val="en-US" w:eastAsia="zh-CN"/>
              </w:rPr>
              <w:t>目标</w:t>
            </w:r>
            <w:r>
              <w:rPr>
                <w:rFonts w:hint="eastAsia"/>
              </w:rPr>
              <w:t>3：发改部门承担政府投资项目的概算编制审核，做好此项工作对防范项目投资超预算，压缩投资金额，化解政府性债务风险，具有十分重大而深远的意义</w:t>
            </w:r>
            <w:r>
              <w:rPr>
                <w:rFonts w:hint="eastAsia"/>
                <w:lang w:eastAsia="zh-CN"/>
              </w:rPr>
              <w:t>。</w:t>
            </w:r>
          </w:p>
          <w:p>
            <w:pPr>
              <w:autoSpaceDN w:val="0"/>
              <w:spacing w:line="400" w:lineRule="exact"/>
              <w:ind w:firstLine="420" w:firstLineChars="200"/>
              <w:jc w:val="left"/>
              <w:textAlignment w:val="center"/>
              <w:rPr>
                <w:rFonts w:hint="eastAsia"/>
                <w:lang w:val="en-US" w:eastAsia="zh-CN"/>
              </w:rPr>
            </w:pPr>
            <w:r>
              <w:rPr>
                <w:rFonts w:hint="eastAsia"/>
                <w:lang w:val="en-US" w:eastAsia="zh-CN"/>
              </w:rPr>
              <w:t>目标4：积极对接省、市相关部门，全力推进4个市级重点项目（2个在建项目、2个前期项目）。定期对建设项目开展走访，核对项目投资情况，指导企业线上直报数据，督促落实安全生产和常态化疫情防控责任，切实提升项目单位的业务能力和责任意识。</w:t>
            </w:r>
          </w:p>
          <w:p>
            <w:pPr>
              <w:autoSpaceDN w:val="0"/>
              <w:spacing w:line="400" w:lineRule="exact"/>
              <w:ind w:firstLine="420" w:firstLineChars="200"/>
              <w:jc w:val="left"/>
              <w:textAlignment w:val="center"/>
              <w:rPr>
                <w:rFonts w:hint="eastAsia"/>
                <w:lang w:val="en-US" w:eastAsia="zh-CN"/>
              </w:rPr>
            </w:pPr>
            <w:r>
              <w:rPr>
                <w:rFonts w:hint="eastAsia"/>
                <w:lang w:val="en-US" w:eastAsia="zh-CN"/>
              </w:rPr>
              <w:t>目标5：按照中央“放、管、服”的工作要求，针对我区在招投标工作中存在的职能不全的状况，寻找法律及政策依据。</w:t>
            </w:r>
          </w:p>
          <w:p>
            <w:pPr>
              <w:autoSpaceDN w:val="0"/>
              <w:spacing w:line="400" w:lineRule="exact"/>
              <w:ind w:firstLine="420" w:firstLineChars="200"/>
              <w:jc w:val="left"/>
              <w:textAlignment w:val="center"/>
              <w:rPr>
                <w:rFonts w:hint="eastAsia"/>
                <w:lang w:val="en-US" w:eastAsia="zh-CN"/>
              </w:rPr>
            </w:pPr>
            <w:r>
              <w:rPr>
                <w:rFonts w:hint="eastAsia"/>
                <w:lang w:val="en-US" w:eastAsia="zh-CN"/>
              </w:rPr>
              <w:t>目标6：加快现代物流业发展。</w:t>
            </w:r>
          </w:p>
          <w:p>
            <w:pPr>
              <w:autoSpaceDN w:val="0"/>
              <w:spacing w:line="400" w:lineRule="exact"/>
              <w:ind w:firstLine="420" w:firstLineChars="200"/>
              <w:jc w:val="left"/>
              <w:textAlignment w:val="center"/>
              <w:rPr>
                <w:rFonts w:hint="eastAsia"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目标7：根据上级文件精神，对公寓收费情况进行现场查看及审核，要求各个学校按审核价格执行，将收费项目和收费标准进行公示，接收社会监督</w:t>
            </w:r>
            <w:r>
              <w:rPr>
                <w:rFonts w:hint="eastAsia" w:cstheme="minorBidi"/>
                <w:kern w:val="2"/>
                <w:sz w:val="21"/>
                <w:szCs w:val="24"/>
                <w:lang w:val="en-US" w:eastAsia="zh-CN" w:bidi="ar-SA"/>
              </w:rPr>
              <w:t>。</w:t>
            </w:r>
          </w:p>
        </w:tc>
        <w:tc>
          <w:tcPr>
            <w:tcW w:w="4055" w:type="dxa"/>
            <w:gridSpan w:val="4"/>
            <w:noWrap w:val="0"/>
            <w:vAlign w:val="center"/>
          </w:tcPr>
          <w:p>
            <w:pPr>
              <w:autoSpaceDN w:val="0"/>
              <w:spacing w:line="400" w:lineRule="exact"/>
              <w:ind w:firstLine="420" w:firstLineChars="200"/>
              <w:jc w:val="left"/>
              <w:textAlignment w:val="center"/>
              <w:rPr>
                <w:rFonts w:hint="eastAsia"/>
                <w:lang w:val="en-US" w:eastAsia="zh-CN"/>
              </w:rPr>
            </w:pPr>
            <w:r>
              <w:rPr>
                <w:rFonts w:hint="eastAsia"/>
                <w:lang w:val="en-US" w:eastAsia="zh-CN"/>
              </w:rPr>
              <w:t xml:space="preserve"> 全区地区生产总值预计完成803亿元，同比增长8%；固定资产投资预计完成275.5亿元，增速10.2%；规模以上服务业营业收入完成47.6亿元，同比增长25%；参与GDP核算的服务业企业营业收入完成28.3亿元，增幅30%。新增规模以上服务业企业21家。</w:t>
            </w:r>
          </w:p>
          <w:p>
            <w:pPr>
              <w:autoSpaceDN w:val="0"/>
              <w:spacing w:line="400" w:lineRule="exact"/>
              <w:ind w:firstLine="420" w:firstLineChars="200"/>
              <w:jc w:val="left"/>
              <w:textAlignment w:val="center"/>
              <w:rPr>
                <w:rFonts w:hint="eastAsia"/>
                <w:lang w:val="en-US" w:eastAsia="zh-CN"/>
              </w:rPr>
            </w:pPr>
            <w:r>
              <w:rPr>
                <w:rFonts w:hint="eastAsia"/>
                <w:lang w:val="en-US" w:eastAsia="zh-CN"/>
              </w:rPr>
              <w:t>本单位争项争资的总任务为18亿元，截止目前共完成20.5亿元，占全年任务的113.8%。完成概算审核144个，共核减投资1.67亿元。</w:t>
            </w:r>
          </w:p>
          <w:p>
            <w:pPr>
              <w:autoSpaceDN w:val="0"/>
              <w:spacing w:line="400" w:lineRule="exact"/>
              <w:ind w:firstLine="420" w:firstLineChars="200"/>
              <w:jc w:val="left"/>
              <w:textAlignment w:val="center"/>
              <w:rPr>
                <w:rFonts w:hint="eastAsia"/>
                <w:lang w:val="en-US" w:eastAsia="zh-CN"/>
              </w:rPr>
            </w:pPr>
            <w:r>
              <w:rPr>
                <w:rFonts w:hint="eastAsia"/>
                <w:lang w:val="en-US" w:eastAsia="zh-CN"/>
              </w:rPr>
              <w:t>对外国语学校新建实验综合楼工程项目、岳阳楼区光荣院改扩建项目、白鹤垅等5座小型水库除险加固等5个项目依法进行监管。</w:t>
            </w:r>
          </w:p>
          <w:p>
            <w:pPr>
              <w:autoSpaceDN w:val="0"/>
              <w:spacing w:line="400" w:lineRule="exact"/>
              <w:ind w:firstLine="420" w:firstLineChars="200"/>
              <w:jc w:val="left"/>
              <w:textAlignment w:val="center"/>
              <w:rPr>
                <w:rFonts w:hint="eastAsia"/>
                <w:lang w:val="en-US" w:eastAsia="zh-CN"/>
              </w:rPr>
            </w:pPr>
            <w:r>
              <w:rPr>
                <w:rFonts w:hint="eastAsia"/>
                <w:lang w:val="en-US" w:eastAsia="zh-CN"/>
              </w:rPr>
              <w:t>充分借助省、市级电子信息平台，加强对建筑企业、招标代理机构的监督管理，重点做好僵尸企业市场清出机制，依法依规查处挂靠和借用资质的违法行为。全面核查代理机构人员缴纳社保、持有证书、专业能力、专业人员等，对不具备业务能力的代理机构要清理出市场。</w:t>
            </w:r>
          </w:p>
          <w:p>
            <w:pPr>
              <w:autoSpaceDN w:val="0"/>
              <w:spacing w:line="400" w:lineRule="exact"/>
              <w:ind w:firstLine="420" w:firstLineChars="200"/>
              <w:jc w:val="left"/>
              <w:textAlignment w:val="center"/>
              <w:rPr>
                <w:rFonts w:hint="eastAsia"/>
                <w:lang w:val="en-US" w:eastAsia="zh-CN"/>
              </w:rPr>
            </w:pPr>
            <w:r>
              <w:rPr>
                <w:rFonts w:hint="eastAsia"/>
                <w:lang w:val="en-US" w:eastAsia="zh-CN"/>
              </w:rPr>
              <w:t>物流业总产值235亿元。胥家桥综合物流园项目快速推进，累计完成投资32亿元。城市配送中心项目完成总部大楼及公寓楼建安投资约2000万元。</w:t>
            </w:r>
          </w:p>
          <w:p>
            <w:pPr>
              <w:autoSpaceDN w:val="0"/>
              <w:spacing w:line="400" w:lineRule="exact"/>
              <w:ind w:firstLine="420" w:firstLineChars="200"/>
              <w:jc w:val="left"/>
              <w:textAlignment w:val="center"/>
              <w:rPr>
                <w:rFonts w:ascii="Arial"/>
                <w:color w:val="000000" w:themeColor="text1"/>
                <w:spacing w:val="0"/>
                <w:sz w:val="20"/>
                <w14:textFill>
                  <w14:solidFill>
                    <w14:schemeClr w14:val="tx1"/>
                  </w14:solidFill>
                </w14:textFill>
              </w:rPr>
            </w:pPr>
            <w:r>
              <w:rPr>
                <w:rFonts w:hint="eastAsia"/>
                <w:lang w:val="en-US" w:eastAsia="zh-CN"/>
              </w:rPr>
              <w:t>指导岳阳楼区青少年校外活动中心按照“不得盈利、只收成本费用”原则自主制定项目收费标准，同时做好收费公示工作。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widowControl/>
              <w:suppressLineNumbers w:val="0"/>
              <w:jc w:val="left"/>
              <w:textAlignment w:val="center"/>
              <w:rPr>
                <w:rFonts w:ascii="Arial"/>
                <w:color w:val="000000" w:themeColor="text1"/>
                <w:sz w:val="20"/>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全区争取中央、省、市预算内资金</w:t>
            </w:r>
          </w:p>
        </w:tc>
        <w:tc>
          <w:tcPr>
            <w:tcW w:w="13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争取18亿元</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20.5亿元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ascii="Arial"/>
                <w:color w:val="000000" w:themeColor="text1"/>
                <w:sz w:val="21"/>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项目概算审核</w:t>
            </w:r>
          </w:p>
        </w:tc>
        <w:tc>
          <w:tcPr>
            <w:tcW w:w="131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项目概算</w:t>
            </w:r>
            <w:r>
              <w:rPr>
                <w:rFonts w:hint="eastAsia" w:ascii="Arial"/>
                <w:color w:val="000000" w:themeColor="text1"/>
                <w:sz w:val="20"/>
                <w:lang w:val="en-US" w:eastAsia="zh-CN"/>
                <w14:textFill>
                  <w14:solidFill>
                    <w14:schemeClr w14:val="tx1"/>
                  </w14:solidFill>
                </w14:textFill>
              </w:rPr>
              <w:t>144</w:t>
            </w:r>
            <w:r>
              <w:rPr>
                <w:rFonts w:hint="default" w:ascii="Arial"/>
                <w:color w:val="000000" w:themeColor="text1"/>
                <w:sz w:val="20"/>
                <w:lang w:val="en-US" w:eastAsia="zh-CN"/>
                <w14:textFill>
                  <w14:solidFill>
                    <w14:schemeClr w14:val="tx1"/>
                  </w14:solidFill>
                </w14:textFill>
              </w:rPr>
              <w:t>个</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3"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项目审批</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323个</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总投资71.92亿元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3"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老旧小区改造</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185个</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widowControl/>
              <w:suppressLineNumbers w:val="0"/>
              <w:jc w:val="both"/>
              <w:textAlignment w:val="center"/>
              <w:rPr>
                <w:rFonts w:ascii="Arial"/>
                <w:color w:val="000000" w:themeColor="text1"/>
                <w:sz w:val="20"/>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全区地区生产总值</w:t>
            </w:r>
          </w:p>
        </w:tc>
        <w:tc>
          <w:tcPr>
            <w:tcW w:w="1319" w:type="dxa"/>
            <w:noWrap w:val="0"/>
            <w:vAlign w:val="center"/>
          </w:tcPr>
          <w:p>
            <w:pPr>
              <w:keepNext w:val="0"/>
              <w:keepLines w:val="0"/>
              <w:widowControl/>
              <w:suppressLineNumbers w:val="0"/>
              <w:jc w:val="center"/>
              <w:textAlignment w:val="center"/>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同比</w:t>
            </w:r>
            <w:r>
              <w:rPr>
                <w:rFonts w:hint="default" w:ascii="Arial"/>
                <w:color w:val="000000" w:themeColor="text1"/>
                <w:sz w:val="20"/>
                <w:lang w:val="en-US" w:eastAsia="zh-CN"/>
                <w14:textFill>
                  <w14:solidFill>
                    <w14:schemeClr w14:val="tx1"/>
                  </w14:solidFill>
                </w14:textFill>
              </w:rPr>
              <w:t>增长8%左右</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804亿元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概算审核</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144个</w:t>
            </w:r>
          </w:p>
        </w:tc>
        <w:tc>
          <w:tcPr>
            <w:tcW w:w="1259" w:type="dxa"/>
            <w:noWrap w:val="0"/>
            <w:vAlign w:val="center"/>
          </w:tcPr>
          <w:p>
            <w:pPr>
              <w:keepNext w:val="0"/>
              <w:keepLines w:val="0"/>
              <w:widowControl/>
              <w:suppressLineNumbers w:val="0"/>
              <w:jc w:val="left"/>
              <w:textAlignment w:val="center"/>
              <w:rPr>
                <w:rFonts w:hint="eastAsia"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核减投资</w:t>
            </w:r>
            <w:r>
              <w:rPr>
                <w:rFonts w:hint="eastAsia" w:ascii="Arial"/>
                <w:color w:val="000000" w:themeColor="text1"/>
                <w:sz w:val="20"/>
                <w:lang w:val="en-US" w:eastAsia="zh-CN"/>
                <w14:textFill>
                  <w14:solidFill>
                    <w14:schemeClr w14:val="tx1"/>
                  </w14:solidFill>
                </w14:textFill>
              </w:rPr>
              <w:t>1.67</w:t>
            </w:r>
          </w:p>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亿</w:t>
            </w:r>
            <w:r>
              <w:rPr>
                <w:rFonts w:hint="default" w:ascii="Arial"/>
                <w:color w:val="000000" w:themeColor="text1"/>
                <w:sz w:val="20"/>
                <w:lang w:val="en-US" w:eastAsia="zh-CN"/>
                <w14:textFill>
                  <w14:solidFill>
                    <w14:schemeClr w14:val="tx1"/>
                  </w14:solidFill>
                </w14:textFill>
              </w:rPr>
              <w:t>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color w:val="000000" w:themeColor="text1"/>
                <w:sz w:val="20"/>
                <w:lang w:val="en-US"/>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2022年底</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年底完成</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both"/>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按年初预算控制成本</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预算内完成</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规模以上服务业</w:t>
            </w:r>
            <w:r>
              <w:rPr>
                <w:rFonts w:hint="default" w:ascii="Arial"/>
                <w:color w:val="000000" w:themeColor="text1"/>
                <w:sz w:val="20"/>
                <w:lang w:val="en-US" w:eastAsia="zh-CN"/>
                <w14:textFill>
                  <w14:solidFill>
                    <w14:schemeClr w14:val="tx1"/>
                  </w14:solidFill>
                </w14:textFill>
              </w:rPr>
              <w:t>营业</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同比增长25%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47.6亿元</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2"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固定资产投资</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2</w:t>
            </w:r>
            <w:r>
              <w:rPr>
                <w:rFonts w:hint="eastAsia" w:ascii="Arial"/>
                <w:color w:val="000000" w:themeColor="text1"/>
                <w:sz w:val="20"/>
                <w:lang w:val="en-US" w:eastAsia="zh-CN"/>
                <w14:textFill>
                  <w14:solidFill>
                    <w14:schemeClr w14:val="tx1"/>
                  </w14:solidFill>
                </w14:textFill>
              </w:rPr>
              <w:t>75.5</w:t>
            </w:r>
            <w:r>
              <w:rPr>
                <w:rFonts w:hint="default" w:ascii="Arial"/>
                <w:color w:val="000000" w:themeColor="text1"/>
                <w:sz w:val="20"/>
                <w:lang w:val="en-US" w:eastAsia="zh-CN"/>
                <w14:textFill>
                  <w14:solidFill>
                    <w14:schemeClr w14:val="tx1"/>
                  </w14:solidFill>
                </w14:textFill>
              </w:rPr>
              <w:t>亿</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增速10.2%</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3"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经济社会保持平稳健康发展</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社会消费品零售总额548.5亿元、增长3.5%，一般公共预算地方收入11.45亿元、增长12.5%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主要指标总量和增速在全市各县市区名列前茅</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提高群众获得感、幸福感</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城镇居民人均可支配收入47745元、增长8.5%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城镇新增就业10016人，失业人员再就业6674人，就业困难对象再就业1786人</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环保督察反馈问题整改</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整改23个</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3"/>
                <w:sz w:val="21"/>
                <w:szCs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深入打好污染防治攻坚战</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整改27项</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20"/>
                <w:lang w:val="en-US" w:eastAsia="zh-CN"/>
                <w14:textFill>
                  <w14:solidFill>
                    <w14:schemeClr w14:val="tx1"/>
                  </w14:solidFill>
                </w14:textFill>
              </w:rPr>
            </w:pPr>
            <w:r>
              <w:rPr>
                <w:rStyle w:val="20"/>
                <w:lang w:val="en-US" w:eastAsia="zh-CN" w:bidi="ar"/>
              </w:rPr>
              <w:t>排查</w:t>
            </w:r>
            <w:r>
              <w:rPr>
                <w:rFonts w:ascii="Arial" w:hAnsi="Arial" w:eastAsia="宋体" w:cs="Arial"/>
                <w:i w:val="0"/>
                <w:color w:val="000000"/>
                <w:kern w:val="0"/>
                <w:sz w:val="20"/>
                <w:szCs w:val="20"/>
                <w:u w:val="none"/>
                <w:lang w:val="en-US" w:eastAsia="zh-CN" w:bidi="ar"/>
              </w:rPr>
              <w:t>14</w:t>
            </w:r>
            <w:r>
              <w:rPr>
                <w:rStyle w:val="20"/>
                <w:lang w:val="en-US" w:eastAsia="zh-CN" w:bidi="ar"/>
              </w:rPr>
              <w:t>类生态环境风险隐患</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有序推进服务业转型升级</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59" w:type="dxa"/>
            <w:noWrap w:val="0"/>
            <w:vAlign w:val="center"/>
          </w:tcPr>
          <w:p>
            <w:pPr>
              <w:keepNext w:val="0"/>
              <w:keepLines w:val="0"/>
              <w:widowControl/>
              <w:suppressLineNumbers w:val="0"/>
              <w:jc w:val="center"/>
              <w:textAlignment w:val="center"/>
              <w:rPr>
                <w:rFonts w:ascii="Arial"/>
                <w:color w:val="000000" w:themeColor="text1"/>
                <w:sz w:val="21"/>
                <w14:textFill>
                  <w14:solidFill>
                    <w14:schemeClr w14:val="tx1"/>
                  </w14:solidFill>
                </w14:textFill>
              </w:rPr>
            </w:pPr>
            <w:r>
              <w:rPr>
                <w:rFonts w:hint="eastAsia" w:ascii="宋体" w:hAnsi="宋体" w:eastAsia="宋体" w:cs="宋体"/>
                <w:i w:val="0"/>
                <w:color w:val="000000"/>
                <w:kern w:val="0"/>
                <w:sz w:val="20"/>
                <w:szCs w:val="20"/>
                <w:u w:val="none"/>
                <w:lang w:val="en-US" w:eastAsia="zh-CN" w:bidi="ar"/>
              </w:rPr>
              <w:t>引导和支持数字经济、文化旅游</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widowControl/>
              <w:suppressLineNumbers w:val="0"/>
              <w:jc w:val="left"/>
              <w:textAlignment w:val="center"/>
              <w:rPr>
                <w:rFonts w:hint="eastAsia"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项目立项审批</w:t>
            </w:r>
          </w:p>
        </w:tc>
        <w:tc>
          <w:tcPr>
            <w:tcW w:w="1319" w:type="dxa"/>
            <w:noWrap w:val="0"/>
            <w:vAlign w:val="center"/>
          </w:tcPr>
          <w:p>
            <w:pPr>
              <w:keepNext w:val="0"/>
              <w:keepLines w:val="0"/>
              <w:widowControl/>
              <w:suppressLineNumbers w:val="0"/>
              <w:jc w:val="left"/>
              <w:textAlignment w:val="center"/>
              <w:rPr>
                <w:rFonts w:hint="eastAsia" w:ascii="Arial"/>
                <w:color w:val="000000" w:themeColor="text1"/>
                <w:sz w:val="20"/>
                <w:lang w:val="en-US" w:eastAsia="zh-CN"/>
                <w14:textFill>
                  <w14:solidFill>
                    <w14:schemeClr w14:val="tx1"/>
                  </w14:solidFill>
                </w14:textFill>
              </w:rPr>
            </w:pPr>
            <w:r>
              <w:rPr>
                <w:rFonts w:hint="default" w:ascii="Arial"/>
                <w:color w:val="000000" w:themeColor="text1"/>
                <w:sz w:val="20"/>
                <w:lang w:val="en-US" w:eastAsia="zh-CN"/>
                <w14:textFill>
                  <w14:solidFill>
                    <w14:schemeClr w14:val="tx1"/>
                  </w14:solidFill>
                </w14:textFill>
              </w:rPr>
              <w:t>公众满意度达100%。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提升公共服务保障水平</w:t>
            </w:r>
          </w:p>
        </w:tc>
        <w:tc>
          <w:tcPr>
            <w:tcW w:w="1319" w:type="dxa"/>
            <w:noWrap w:val="0"/>
            <w:vAlign w:val="center"/>
          </w:tcPr>
          <w:p>
            <w:pPr>
              <w:keepNext w:val="0"/>
              <w:keepLines w:val="0"/>
              <w:widowControl/>
              <w:suppressLineNumbers w:val="0"/>
              <w:jc w:val="left"/>
              <w:textAlignment w:val="center"/>
              <w:rPr>
                <w:rFonts w:hint="default" w:ascii="Arial"/>
                <w:color w:val="000000" w:themeColor="text1"/>
                <w:sz w:val="20"/>
                <w:lang w:val="en-US" w:eastAsia="zh-CN"/>
                <w14:textFill>
                  <w14:solidFill>
                    <w14:schemeClr w14:val="tx1"/>
                  </w14:solidFill>
                </w14:textFill>
              </w:rPr>
            </w:pPr>
            <w:r>
              <w:rPr>
                <w:rFonts w:hint="eastAsia" w:ascii="宋体" w:hAnsi="宋体" w:eastAsia="宋体" w:cs="宋体"/>
                <w:i w:val="0"/>
                <w:color w:val="000000"/>
                <w:kern w:val="0"/>
                <w:sz w:val="20"/>
                <w:szCs w:val="20"/>
                <w:u w:val="none"/>
                <w:lang w:val="en-US" w:eastAsia="zh-CN" w:bidi="ar"/>
              </w:rPr>
              <w:t>科学配置公共服务资源</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推进基础教育优质均衡发展</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22"/>
          <w:sz w:val="22"/>
          <w:szCs w:val="22"/>
          <w:lang w:val="en-US" w:eastAsia="zh-CN"/>
          <w14:textFill>
            <w14:solidFill>
              <w14:schemeClr w14:val="tx1"/>
            </w14:solidFill>
          </w14:textFill>
        </w:rPr>
        <w:t>李娟</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2"/>
          <w:sz w:val="22"/>
          <w:szCs w:val="22"/>
          <w:lang w:val="en-US" w:eastAsia="zh-CN"/>
          <w14:textFill>
            <w14:solidFill>
              <w14:schemeClr w14:val="tx1"/>
            </w14:solidFill>
          </w14:textFill>
        </w:rPr>
        <w:t>18974037733</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r>
        <w:rPr>
          <w:rFonts w:hint="eastAsia" w:ascii="仿宋" w:hAnsi="仿宋" w:eastAsia="仿宋" w:cs="仿宋"/>
          <w:color w:val="000000" w:themeColor="text1"/>
          <w:spacing w:val="3"/>
          <w:sz w:val="22"/>
          <w:szCs w:val="22"/>
          <w:lang w:val="en-US" w:eastAsia="zh-CN"/>
          <w14:textFill>
            <w14:solidFill>
              <w14:schemeClr w14:val="tx1"/>
            </w14:solidFill>
          </w14:textFill>
        </w:rPr>
        <w:t>2023.06.15</w:t>
      </w:r>
      <w:r>
        <w:rPr>
          <w:rFonts w:ascii="仿宋" w:hAnsi="仿宋" w:eastAsia="仿宋" w:cs="仿宋"/>
          <w:color w:val="000000" w:themeColor="text1"/>
          <w:spacing w:val="3"/>
          <w:sz w:val="22"/>
          <w:szCs w:val="22"/>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岳阳楼区发展和改革局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2023年6月15日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2022年度岳阳楼区发展和改革局</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pStyle w:val="19"/>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560" w:firstLineChars="200"/>
        <w:jc w:val="left"/>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1、职能职责</w:t>
      </w:r>
    </w:p>
    <w:p>
      <w:pPr>
        <w:pStyle w:val="19"/>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640" w:firstLineChars="200"/>
        <w:jc w:val="left"/>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主要负责全区宏观经济调控、项目申报、价格监督工作。</w:t>
      </w:r>
    </w:p>
    <w:p>
      <w:pPr>
        <w:pStyle w:val="19"/>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560" w:firstLineChars="200"/>
        <w:rPr>
          <w:rFonts w:hint="eastAsia" w:ascii="仿宋_GB2312" w:hAnsi="仿宋_GB2312" w:eastAsia="仿宋_GB2312" w:cs="仿宋_GB2312"/>
          <w:bCs/>
          <w:kern w:val="2"/>
          <w:sz w:val="28"/>
          <w:szCs w:val="28"/>
          <w:lang w:val="en-US" w:eastAsia="zh-CN" w:bidi="ar-SA"/>
        </w:rPr>
      </w:pPr>
      <w:r>
        <w:rPr>
          <w:rFonts w:hint="eastAsia" w:ascii="仿宋_GB2312" w:hAnsi="仿宋_GB2312" w:eastAsia="仿宋_GB2312" w:cs="仿宋_GB2312"/>
          <w:bCs/>
          <w:kern w:val="2"/>
          <w:sz w:val="28"/>
          <w:szCs w:val="28"/>
          <w:lang w:val="en-US" w:eastAsia="zh-CN" w:bidi="ar-SA"/>
        </w:rPr>
        <w:t>2、机构设置</w:t>
      </w:r>
    </w:p>
    <w:p>
      <w:pPr>
        <w:pStyle w:val="19"/>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640" w:firstLineChars="200"/>
        <w:jc w:val="left"/>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局机关现有人数61人，其中：在职编制36人；离退休25人。机关设置10个股室：办公室、政工人事股、财务管理股、国民经济综合和规划股、社会发展股、固定资产投资管理股、法规股、项目审批股、产业发展股、成本调查及价格管理股，以及两个内设二级机构：信息中心和重点办。下设独立核算二级机构2个，分别是岳阳楼区价格认证鉴定中心，现有人数11人，其中：在职编制7人；离退休4人；岳阳楼区生态能源服务中心，现有人数9人，其中：在职编制9人。</w:t>
      </w:r>
    </w:p>
    <w:p>
      <w:pPr>
        <w:pStyle w:val="19"/>
        <w:numPr>
          <w:ilvl w:val="0"/>
          <w:numId w:val="2"/>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部门（单位）整体支出规模、使用方向和主要内容、涉及范围</w:t>
      </w:r>
    </w:p>
    <w:p>
      <w:pPr>
        <w:pStyle w:val="19"/>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640" w:firstLineChars="200"/>
        <w:jc w:val="left"/>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2022年部门预算收入既包括一般公共预算收入、政府性基金收入和国有资本经营预算收入，又包括事业单位经营服务等收入；支出既包括保障局机关及局属事业单位基本运行的经费，也包括发改局归口管理、面向全区分配的专项经费。</w:t>
      </w:r>
    </w:p>
    <w:p>
      <w:pPr>
        <w:pStyle w:val="19"/>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640" w:firstLineChars="200"/>
        <w:jc w:val="left"/>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1、收入预算，2022年年初预算数945.85万元，其中，一般公共预算拨款945.85万元。</w:t>
      </w:r>
    </w:p>
    <w:p>
      <w:pPr>
        <w:pStyle w:val="19"/>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600" w:lineRule="exact"/>
        <w:ind w:firstLine="640" w:firstLineChars="200"/>
        <w:jc w:val="left"/>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2、支出预算，2022年年初预算数945.85万元，其中，一般公共服务支出945.85万元。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 w:hAnsi="仿宋" w:eastAsia="仿宋" w:cs="仿宋_GB2312"/>
          <w:kern w:val="0"/>
          <w:sz w:val="32"/>
          <w:szCs w:val="32"/>
          <w:lang w:val="en-US" w:eastAsia="zh-CN"/>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r>
        <w:rPr>
          <w:rFonts w:hint="eastAsia" w:ascii="仿宋_GB2312" w:hAnsi="仿宋_GB2312" w:eastAsia="仿宋_GB2312" w:cs="仿宋_GB2312"/>
          <w:bCs/>
          <w:kern w:val="2"/>
          <w:sz w:val="28"/>
          <w:szCs w:val="28"/>
          <w:lang w:val="en-US" w:eastAsia="zh-CN" w:bidi="ar-SA"/>
        </w:rPr>
        <w:t>：</w:t>
      </w:r>
      <w:r>
        <w:rPr>
          <w:rFonts w:hint="eastAsia" w:ascii="仿宋" w:hAnsi="仿宋" w:eastAsia="仿宋" w:cs="仿宋_GB2312"/>
          <w:kern w:val="0"/>
          <w:sz w:val="32"/>
          <w:szCs w:val="32"/>
          <w:lang w:val="en-US" w:eastAsia="zh-CN"/>
        </w:rPr>
        <w:t>2022年年初预算675.85数为万元，是指为保障单位机构正常运转、完成日常工作任务而发生的各项支出，包括用于基本工资、津贴补贴等人员经费以及办公费、印刷费、水电费、办公设备购置等日常公用经费。</w:t>
      </w:r>
    </w:p>
    <w:p>
      <w:pPr>
        <w:widowControl/>
        <w:spacing w:line="600" w:lineRule="exact"/>
        <w:ind w:firstLine="660"/>
        <w:jc w:val="left"/>
        <w:rPr>
          <w:rFonts w:hint="eastAsia" w:ascii="仿宋" w:hAnsi="仿宋" w:eastAsia="仿宋" w:cs="仿宋_GB2312"/>
          <w:kern w:val="0"/>
          <w:sz w:val="32"/>
          <w:szCs w:val="32"/>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(二)项目支出情况：</w:t>
      </w:r>
      <w:r>
        <w:rPr>
          <w:rFonts w:hint="eastAsia" w:ascii="仿宋" w:hAnsi="仿宋" w:eastAsia="仿宋" w:cs="仿宋_GB2312"/>
          <w:kern w:val="0"/>
          <w:sz w:val="32"/>
          <w:szCs w:val="32"/>
          <w:lang w:val="en-US" w:eastAsia="zh-CN"/>
        </w:rPr>
        <w:t>2022年年初预算数为270万元，是指单位为完成特定行政工作任务或事业发展目标而发生的支出，包括有关事业发展专项、专项业务费。其中：</w:t>
      </w:r>
      <w:r>
        <w:rPr>
          <w:rFonts w:hint="eastAsia" w:ascii="仿宋" w:hAnsi="仿宋" w:eastAsia="仿宋" w:cs="仿宋_GB2312"/>
          <w:kern w:val="0"/>
          <w:sz w:val="32"/>
          <w:szCs w:val="32"/>
        </w:rPr>
        <w:t>其中：1、项目概算经费支出100</w:t>
      </w:r>
      <w:r>
        <w:rPr>
          <w:rFonts w:hint="eastAsia" w:ascii="仿宋" w:hAnsi="仿宋" w:eastAsia="仿宋" w:cs="仿宋_GB2312"/>
          <w:kern w:val="0"/>
          <w:sz w:val="32"/>
          <w:szCs w:val="32"/>
          <w:lang w:val="en-US" w:eastAsia="zh-CN"/>
        </w:rPr>
        <w:t>.00</w:t>
      </w:r>
      <w:r>
        <w:rPr>
          <w:rFonts w:hint="eastAsia" w:ascii="仿宋" w:hAnsi="仿宋" w:eastAsia="仿宋" w:cs="仿宋_GB2312"/>
          <w:kern w:val="0"/>
          <w:sz w:val="32"/>
          <w:szCs w:val="32"/>
        </w:rPr>
        <w:t>万元，主要用于政府投资项目前期概算编制工作，提高资金效益以及项目入库建设经费支出。2、“十四五”规划纲要年度执行情况评估及年度发展计划编制30</w:t>
      </w:r>
      <w:r>
        <w:rPr>
          <w:rFonts w:hint="eastAsia" w:ascii="仿宋" w:hAnsi="仿宋" w:eastAsia="仿宋" w:cs="仿宋_GB2312"/>
          <w:kern w:val="0"/>
          <w:sz w:val="32"/>
          <w:szCs w:val="32"/>
          <w:lang w:val="en-US" w:eastAsia="zh-CN"/>
        </w:rPr>
        <w:t>.00</w:t>
      </w:r>
      <w:r>
        <w:rPr>
          <w:rFonts w:hint="eastAsia" w:ascii="仿宋" w:hAnsi="仿宋" w:eastAsia="仿宋" w:cs="仿宋_GB2312"/>
          <w:kern w:val="0"/>
          <w:sz w:val="32"/>
          <w:szCs w:val="32"/>
        </w:rPr>
        <w:t>万元，主要用于编制我区国民经济和社会发展“十四五”规划纲要；3、编制“十四五”时期专项规划40</w:t>
      </w:r>
      <w:r>
        <w:rPr>
          <w:rFonts w:hint="eastAsia" w:ascii="仿宋" w:hAnsi="仿宋" w:eastAsia="仿宋" w:cs="仿宋_GB2312"/>
          <w:kern w:val="0"/>
          <w:sz w:val="32"/>
          <w:szCs w:val="32"/>
          <w:lang w:val="en-US" w:eastAsia="zh-CN"/>
        </w:rPr>
        <w:t>.00</w:t>
      </w:r>
      <w:r>
        <w:rPr>
          <w:rFonts w:hint="eastAsia" w:ascii="仿宋" w:hAnsi="仿宋" w:eastAsia="仿宋" w:cs="仿宋_GB2312"/>
          <w:kern w:val="0"/>
          <w:sz w:val="32"/>
          <w:szCs w:val="32"/>
        </w:rPr>
        <w:t>万元，主要用于综合管理全区建设项目；贯彻执行国家和省、市价格方针、政策以及相关法律、法规；协调推进经济发展环境的优化；组织实施国民经济动员和装备动员相关工作等方面；4、信用体系建设15</w:t>
      </w:r>
      <w:r>
        <w:rPr>
          <w:rFonts w:hint="eastAsia" w:ascii="仿宋" w:hAnsi="仿宋" w:eastAsia="仿宋" w:cs="仿宋_GB2312"/>
          <w:kern w:val="0"/>
          <w:sz w:val="32"/>
          <w:szCs w:val="32"/>
          <w:lang w:val="en-US" w:eastAsia="zh-CN"/>
        </w:rPr>
        <w:t>.00</w:t>
      </w:r>
      <w:r>
        <w:rPr>
          <w:rFonts w:hint="eastAsia" w:ascii="仿宋" w:hAnsi="仿宋" w:eastAsia="仿宋" w:cs="仿宋_GB2312"/>
          <w:kern w:val="0"/>
          <w:sz w:val="32"/>
          <w:szCs w:val="32"/>
        </w:rPr>
        <w:t>万元，用于社会信用体系平台管理、数据维护等工作；5、物流业发展调度管理15</w:t>
      </w:r>
      <w:r>
        <w:rPr>
          <w:rFonts w:hint="eastAsia" w:ascii="仿宋" w:hAnsi="仿宋" w:eastAsia="仿宋" w:cs="仿宋_GB2312"/>
          <w:kern w:val="0"/>
          <w:sz w:val="32"/>
          <w:szCs w:val="32"/>
          <w:lang w:val="en-US" w:eastAsia="zh-CN"/>
        </w:rPr>
        <w:t>.00</w:t>
      </w:r>
      <w:r>
        <w:rPr>
          <w:rFonts w:hint="eastAsia" w:ascii="仿宋" w:hAnsi="仿宋" w:eastAsia="仿宋" w:cs="仿宋_GB2312"/>
          <w:kern w:val="0"/>
          <w:sz w:val="32"/>
          <w:szCs w:val="32"/>
        </w:rPr>
        <w:t>万元，用于我区物流业日常工作调度、管理、协调及复工复产日常防疫；6、四上</w:t>
      </w:r>
      <w:r>
        <w:rPr>
          <w:rFonts w:hint="eastAsia" w:ascii="仿宋" w:hAnsi="仿宋" w:eastAsia="仿宋" w:cs="仿宋_GB2312"/>
          <w:kern w:val="0"/>
          <w:sz w:val="32"/>
          <w:szCs w:val="32"/>
          <w:lang w:val="en-US" w:eastAsia="zh-CN"/>
        </w:rPr>
        <w:t>统计员</w:t>
      </w:r>
      <w:r>
        <w:rPr>
          <w:rFonts w:hint="eastAsia" w:ascii="仿宋" w:hAnsi="仿宋" w:eastAsia="仿宋" w:cs="仿宋_GB2312"/>
          <w:kern w:val="0"/>
          <w:sz w:val="32"/>
          <w:szCs w:val="32"/>
        </w:rPr>
        <w:t>补贴20</w:t>
      </w:r>
      <w:r>
        <w:rPr>
          <w:rFonts w:hint="eastAsia" w:ascii="仿宋" w:hAnsi="仿宋" w:eastAsia="仿宋" w:cs="仿宋_GB2312"/>
          <w:kern w:val="0"/>
          <w:sz w:val="32"/>
          <w:szCs w:val="32"/>
          <w:lang w:val="en-US" w:eastAsia="zh-CN"/>
        </w:rPr>
        <w:t>.00</w:t>
      </w:r>
      <w:r>
        <w:rPr>
          <w:rFonts w:hint="eastAsia" w:ascii="仿宋" w:hAnsi="仿宋" w:eastAsia="仿宋" w:cs="仿宋_GB2312"/>
          <w:kern w:val="0"/>
          <w:sz w:val="32"/>
          <w:szCs w:val="32"/>
        </w:rPr>
        <w:t>万元，用于加强当前统计基层基础工作；7、固定资产投资管理50</w:t>
      </w:r>
      <w:r>
        <w:rPr>
          <w:rFonts w:hint="eastAsia" w:ascii="仿宋" w:hAnsi="仿宋" w:eastAsia="仿宋" w:cs="仿宋_GB2312"/>
          <w:kern w:val="0"/>
          <w:sz w:val="32"/>
          <w:szCs w:val="32"/>
          <w:lang w:val="en-US" w:eastAsia="zh-CN"/>
        </w:rPr>
        <w:t>.00</w:t>
      </w:r>
      <w:r>
        <w:rPr>
          <w:rFonts w:hint="eastAsia" w:ascii="仿宋" w:hAnsi="仿宋" w:eastAsia="仿宋" w:cs="仿宋_GB2312"/>
          <w:kern w:val="0"/>
          <w:sz w:val="32"/>
          <w:szCs w:val="32"/>
        </w:rPr>
        <w:t>万元，用于通过发挥市场机制作用，把政府直接提供的一部分公共服务事项以及政府履职所需服务事项，按照一定的方式和程序，交由具备条件的社会力量和事业单位承担，并由政府根据合同约定向其支付费用等方面。</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pStyle w:val="5"/>
        <w:ind w:firstLine="640" w:firstLineChars="200"/>
        <w:rPr>
          <w:rFonts w:hint="default"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本单位无政府性基金预算支出</w:t>
      </w:r>
    </w:p>
    <w:p>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pPr>
        <w:pStyle w:val="5"/>
        <w:ind w:firstLine="640" w:firstLineChars="200"/>
        <w:rPr>
          <w:rFonts w:hint="eastAsia"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本单位国有资本经营预算支出</w:t>
      </w:r>
    </w:p>
    <w:p>
      <w:pPr>
        <w:ind w:firstLine="640" w:firstLineChars="200"/>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pPr>
        <w:pStyle w:val="2"/>
        <w:numPr>
          <w:ilvl w:val="0"/>
          <w:numId w:val="0"/>
        </w:numPr>
        <w:ind w:firstLine="640" w:firstLineChars="200"/>
        <w:rPr>
          <w:rFonts w:hint="default" w:ascii="仿宋" w:hAnsi="仿宋" w:eastAsia="仿宋" w:cs="仿宋_GB2312"/>
          <w:kern w:val="0"/>
          <w:sz w:val="32"/>
          <w:szCs w:val="32"/>
          <w:lang w:val="en-US" w:eastAsia="zh-CN" w:bidi="ar-SA"/>
        </w:rPr>
      </w:pPr>
      <w:r>
        <w:rPr>
          <w:rFonts w:hint="eastAsia" w:ascii="仿宋" w:hAnsi="仿宋" w:eastAsia="仿宋" w:cs="仿宋_GB2312"/>
          <w:kern w:val="0"/>
          <w:sz w:val="32"/>
          <w:szCs w:val="32"/>
          <w:lang w:val="en-US" w:eastAsia="zh-CN" w:bidi="ar-SA"/>
        </w:rPr>
        <w:t>2022年社会保险缴费预算59.6万元，其中机关事业单位基本养老保险缴费36.38万元，职工基本医疗保险18.88万元，其他社会保障缴费4.34万元。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2022年，我局各项工作扎实，成效显著，今年以来我局共争取上级资金21163.7万元，其中保障性安居工程中央预算内资金第一批1302万元，第二批4097.8万元，第三批11102.9万元，奖励批4005万元；重点地区排涝能力建设争取中央资金448万元；应急避难场所争取省级资金208万元。2022年全区地区生产总值预计完成803亿元，同比增长8%；固定资产投资预计完成275.5亿元，增速10.2%；规模以上服务业</w:t>
      </w:r>
      <w:r>
        <w:rPr>
          <w:rFonts w:hint="default" w:ascii="仿宋_GB2312" w:hAnsi="仿宋_GB2312" w:eastAsia="仿宋_GB2312" w:cs="仿宋_GB2312"/>
          <w:sz w:val="32"/>
          <w:szCs w:val="32"/>
          <w:lang w:val="en-US" w:eastAsia="zh-CN"/>
        </w:rPr>
        <w:t>营业收入完成</w:t>
      </w:r>
      <w:r>
        <w:rPr>
          <w:rFonts w:hint="eastAsia" w:ascii="仿宋_GB2312" w:hAnsi="仿宋_GB2312" w:eastAsia="仿宋_GB2312" w:cs="仿宋_GB2312"/>
          <w:sz w:val="32"/>
          <w:szCs w:val="32"/>
          <w:lang w:val="en-US" w:eastAsia="zh-CN"/>
        </w:rPr>
        <w:t>47.6</w:t>
      </w:r>
      <w:r>
        <w:rPr>
          <w:rFonts w:hint="default" w:ascii="仿宋_GB2312" w:hAnsi="仿宋_GB2312" w:eastAsia="仿宋_GB2312" w:cs="仿宋_GB2312"/>
          <w:sz w:val="32"/>
          <w:szCs w:val="32"/>
          <w:lang w:val="en-US" w:eastAsia="zh-CN"/>
        </w:rPr>
        <w:t>亿</w:t>
      </w:r>
      <w:r>
        <w:rPr>
          <w:rFonts w:hint="eastAsia" w:ascii="仿宋_GB2312" w:hAnsi="仿宋_GB2312" w:eastAsia="仿宋_GB2312" w:cs="仿宋_GB2312"/>
          <w:sz w:val="32"/>
          <w:szCs w:val="32"/>
          <w:lang w:val="en-US" w:eastAsia="zh-CN"/>
        </w:rPr>
        <w:t>元</w:t>
      </w:r>
      <w:r>
        <w:rPr>
          <w:rFonts w:hint="default" w:ascii="仿宋_GB2312" w:hAnsi="仿宋_GB2312" w:eastAsia="仿宋_GB2312" w:cs="仿宋_GB2312"/>
          <w:sz w:val="32"/>
          <w:szCs w:val="32"/>
          <w:lang w:val="en-US" w:eastAsia="zh-CN"/>
        </w:rPr>
        <w:t>，同比增</w:t>
      </w:r>
      <w:r>
        <w:rPr>
          <w:rFonts w:hint="eastAsia" w:ascii="仿宋_GB2312" w:hAnsi="仿宋_GB2312" w:eastAsia="仿宋_GB2312" w:cs="仿宋_GB2312"/>
          <w:sz w:val="32"/>
          <w:szCs w:val="32"/>
          <w:lang w:val="en-US" w:eastAsia="zh-CN"/>
        </w:rPr>
        <w:t>长25</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w:t>
      </w:r>
      <w:r>
        <w:rPr>
          <w:rFonts w:hint="default" w:ascii="仿宋_GB2312" w:hAnsi="仿宋_GB2312" w:eastAsia="仿宋_GB2312" w:cs="仿宋_GB2312"/>
          <w:sz w:val="32"/>
          <w:szCs w:val="32"/>
          <w:lang w:val="en-US" w:eastAsia="zh-CN"/>
        </w:rPr>
        <w:t>参与GDP核算的服务业企业营业收入完成</w:t>
      </w:r>
      <w:r>
        <w:rPr>
          <w:rFonts w:hint="eastAsia" w:ascii="仿宋_GB2312" w:hAnsi="仿宋_GB2312" w:eastAsia="仿宋_GB2312" w:cs="仿宋_GB2312"/>
          <w:sz w:val="32"/>
          <w:szCs w:val="32"/>
          <w:lang w:val="en-US" w:eastAsia="zh-CN"/>
        </w:rPr>
        <w:t>28.3</w:t>
      </w:r>
      <w:r>
        <w:rPr>
          <w:rFonts w:hint="default" w:ascii="仿宋_GB2312" w:hAnsi="仿宋_GB2312" w:eastAsia="仿宋_GB2312" w:cs="仿宋_GB2312"/>
          <w:sz w:val="32"/>
          <w:szCs w:val="32"/>
          <w:lang w:val="en-US" w:eastAsia="zh-CN"/>
        </w:rPr>
        <w:t>亿元，增幅</w:t>
      </w:r>
      <w:r>
        <w:rPr>
          <w:rFonts w:hint="eastAsia" w:ascii="仿宋_GB2312" w:hAnsi="仿宋_GB2312" w:eastAsia="仿宋_GB2312" w:cs="仿宋_GB2312"/>
          <w:sz w:val="32"/>
          <w:szCs w:val="32"/>
          <w:lang w:val="en-US" w:eastAsia="zh-CN"/>
        </w:rPr>
        <w:t>30</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。新增规模以上服务业企业21家。</w:t>
      </w:r>
      <w:r>
        <w:rPr>
          <w:rFonts w:hint="eastAsia" w:ascii="仿宋_GB2312" w:hAnsi="仿宋_GB2312" w:eastAsia="仿宋_GB2312" w:cs="仿宋_GB2312"/>
          <w:sz w:val="32"/>
          <w:szCs w:val="32"/>
        </w:rPr>
        <w:t>我区2022年争项争资总任务为18亿元，截止目前共完成</w:t>
      </w:r>
      <w:r>
        <w:rPr>
          <w:rFonts w:hint="eastAsia" w:ascii="仿宋_GB2312" w:hAnsi="仿宋_GB2312" w:eastAsia="仿宋_GB2312" w:cs="仿宋_GB2312"/>
          <w:sz w:val="32"/>
          <w:szCs w:val="32"/>
          <w:lang w:val="en-US" w:eastAsia="zh-CN"/>
        </w:rPr>
        <w:t>20.5</w:t>
      </w:r>
      <w:r>
        <w:rPr>
          <w:rFonts w:hint="eastAsia" w:ascii="仿宋_GB2312" w:hAnsi="仿宋_GB2312" w:eastAsia="仿宋_GB2312" w:cs="仿宋_GB2312"/>
          <w:sz w:val="32"/>
          <w:szCs w:val="32"/>
        </w:rPr>
        <w:t>亿元，占全年任务的</w:t>
      </w:r>
      <w:r>
        <w:rPr>
          <w:rFonts w:hint="eastAsia" w:ascii="仿宋_GB2312" w:hAnsi="仿宋_GB2312" w:eastAsia="仿宋_GB2312" w:cs="仿宋_GB2312"/>
          <w:sz w:val="32"/>
          <w:szCs w:val="32"/>
          <w:lang w:val="en-US" w:eastAsia="zh-CN"/>
        </w:rPr>
        <w:t>113.8</w:t>
      </w:r>
      <w:r>
        <w:rPr>
          <w:rFonts w:hint="eastAsia" w:ascii="仿宋_GB2312" w:hAnsi="仿宋_GB2312" w:eastAsia="仿宋_GB2312" w:cs="仿宋_GB2312"/>
          <w:sz w:val="32"/>
          <w:szCs w:val="32"/>
        </w:rPr>
        <w:t>%。其中，区财政局负责的1亿元区内挖潜完成1.1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亿元，占全年任务的11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%；区财政局、区发改局等部门负责的4亿元政府债券完成3.98亿元</w:t>
      </w:r>
      <w:r>
        <w:rPr>
          <w:rFonts w:hint="eastAsia" w:ascii="仿宋_GB2312" w:hAnsi="仿宋_GB2312" w:eastAsia="仿宋_GB2312" w:cs="仿宋_GB2312"/>
          <w:sz w:val="32"/>
          <w:szCs w:val="32"/>
          <w:lang w:eastAsia="zh-CN"/>
        </w:rPr>
        <w:t>（其中，</w:t>
      </w:r>
      <w:r>
        <w:rPr>
          <w:rFonts w:hint="eastAsia" w:ascii="仿宋_GB2312" w:hAnsi="仿宋_GB2312" w:eastAsia="仿宋_GB2312" w:cs="仿宋_GB2312"/>
          <w:sz w:val="32"/>
          <w:szCs w:val="32"/>
          <w:lang w:val="en-US" w:eastAsia="zh-CN"/>
        </w:rPr>
        <w:t>政府专项债3.41亿元、一般债0.57亿元)</w:t>
      </w:r>
      <w:r>
        <w:rPr>
          <w:rFonts w:hint="eastAsia" w:ascii="仿宋_GB2312" w:hAnsi="仿宋_GB2312" w:eastAsia="仿宋_GB2312" w:cs="仿宋_GB2312"/>
          <w:sz w:val="32"/>
          <w:szCs w:val="32"/>
        </w:rPr>
        <w:t>，占全年任务的99%；区城投中心负责的6亿元市场化融资完成7亿元，占全年任务的116%；区直相关部门负责的7亿元竞争性资金完成</w:t>
      </w:r>
      <w:r>
        <w:rPr>
          <w:rFonts w:hint="eastAsia" w:ascii="仿宋_GB2312" w:hAnsi="仿宋_GB2312" w:eastAsia="仿宋_GB2312" w:cs="仿宋_GB2312"/>
          <w:sz w:val="32"/>
          <w:szCs w:val="32"/>
          <w:lang w:val="en-US" w:eastAsia="zh-CN"/>
        </w:rPr>
        <w:t>8.34</w:t>
      </w:r>
      <w:r>
        <w:rPr>
          <w:rFonts w:hint="eastAsia" w:ascii="仿宋_GB2312" w:hAnsi="仿宋_GB2312" w:eastAsia="仿宋_GB2312" w:cs="仿宋_GB2312"/>
          <w:sz w:val="32"/>
          <w:szCs w:val="32"/>
        </w:rPr>
        <w:t>亿元，占全年任务的</w:t>
      </w:r>
      <w:r>
        <w:rPr>
          <w:rFonts w:hint="eastAsia" w:ascii="仿宋_GB2312" w:hAnsi="仿宋_GB2312" w:eastAsia="仿宋_GB2312" w:cs="仿宋_GB2312"/>
          <w:color w:val="auto"/>
          <w:sz w:val="32"/>
          <w:szCs w:val="32"/>
          <w:lang w:val="en-US" w:eastAsia="zh-CN"/>
        </w:rPr>
        <w:t>119</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预计2023年元月前还有少量资金到账</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2022年，我局积极对接省、市相关部门，全力推进4个市级重点项目（2个在建项目、2个前期项目）。定期对建设项目开展走访，核对项目投资情况，指导企业线上直报数据，督促落实安全生产和常态化疫情防控责任，切实提升项目单位的业务能力和责任意识。截至目前，2个市级重点在建项目中，广济医院已完工并交付使用，云梦泽养生谷已完成全年投资计划的110%；学乐健康城、岳阳建材大市场等2个市级重点前期项目有序推进，2023年有望开工投产。预计2023年申报省级重点项目1个，市级重点项目数在今年基础上实现翻番。</w:t>
      </w:r>
    </w:p>
    <w:p>
      <w:pPr>
        <w:keepNext w:val="0"/>
        <w:keepLines w:val="0"/>
        <w:pageBreakBefore w:val="0"/>
        <w:widowControl w:val="0"/>
        <w:kinsoku/>
        <w:wordWrap/>
        <w:overflowPunct/>
        <w:topLinePunct w:val="0"/>
        <w:autoSpaceDE/>
        <w:autoSpaceDN/>
        <w:bidi w:val="0"/>
        <w:adjustRightInd/>
        <w:snapToGrid/>
        <w:spacing w:line="240" w:lineRule="auto"/>
        <w:ind w:firstLine="640"/>
        <w:rPr>
          <w:rFonts w:hint="eastAsia" w:ascii="仿宋_GB2312" w:eastAsia="仿宋_GB2312" w:cs="仿宋_GB2312"/>
          <w:bCs/>
          <w:kern w:val="0"/>
          <w:sz w:val="32"/>
          <w:szCs w:val="32"/>
          <w:lang w:val="zh-CN"/>
        </w:rPr>
      </w:pPr>
      <w:r>
        <w:rPr>
          <w:rFonts w:hint="eastAsia" w:ascii="仿宋" w:hAnsi="仿宋" w:eastAsia="仿宋" w:cs="仿宋"/>
          <w:b w:val="0"/>
          <w:bCs/>
          <w:sz w:val="32"/>
          <w:szCs w:val="32"/>
          <w:lang w:val="en-US" w:eastAsia="zh-CN"/>
        </w:rPr>
        <w:t>今年以来，我局按</w:t>
      </w:r>
      <w:r>
        <w:rPr>
          <w:rFonts w:hint="eastAsia" w:ascii="仿宋_GB2312" w:eastAsia="仿宋_GB2312"/>
          <w:sz w:val="32"/>
          <w:szCs w:val="32"/>
        </w:rPr>
        <w:t>照中央“放、管、服”的工作要求，针对我区在招投标工作中存在的职能不全的状况，寻找法律及政策依据</w:t>
      </w:r>
      <w:r>
        <w:rPr>
          <w:rFonts w:hint="eastAsia" w:ascii="仿宋_GB2312" w:eastAsia="仿宋_GB2312"/>
          <w:sz w:val="32"/>
          <w:szCs w:val="32"/>
          <w:lang w:eastAsia="zh-CN"/>
        </w:rPr>
        <w:t>。</w:t>
      </w:r>
      <w:r>
        <w:rPr>
          <w:rFonts w:hint="eastAsia" w:ascii="仿宋_GB2312" w:eastAsia="仿宋_GB2312"/>
          <w:sz w:val="32"/>
          <w:szCs w:val="32"/>
        </w:rPr>
        <w:t>对</w:t>
      </w:r>
      <w:r>
        <w:rPr>
          <w:rFonts w:hint="eastAsia" w:ascii="仿宋" w:hAnsi="仿宋" w:eastAsia="仿宋" w:cs="仿宋"/>
          <w:b w:val="0"/>
          <w:bCs/>
          <w:sz w:val="32"/>
          <w:szCs w:val="32"/>
          <w:lang w:val="en-US" w:eastAsia="zh-CN"/>
        </w:rPr>
        <w:t>外国语学校新建实验综合楼工程项目</w:t>
      </w:r>
      <w:r>
        <w:rPr>
          <w:rFonts w:hint="eastAsia" w:ascii="仿宋_GB2312" w:eastAsia="仿宋_GB2312"/>
          <w:sz w:val="32"/>
          <w:szCs w:val="32"/>
        </w:rPr>
        <w:t>、</w:t>
      </w:r>
      <w:r>
        <w:rPr>
          <w:rFonts w:hint="eastAsia" w:ascii="仿宋_GB2312" w:eastAsia="仿宋_GB2312"/>
          <w:sz w:val="32"/>
          <w:szCs w:val="32"/>
          <w:lang w:eastAsia="zh-CN"/>
        </w:rPr>
        <w:t>岳阳楼区光荣院改扩建项目、白鹤垅等</w:t>
      </w:r>
      <w:r>
        <w:rPr>
          <w:rFonts w:hint="eastAsia" w:ascii="仿宋_GB2312" w:eastAsia="仿宋_GB2312"/>
          <w:sz w:val="32"/>
          <w:szCs w:val="32"/>
          <w:lang w:val="en-US" w:eastAsia="zh-CN"/>
        </w:rPr>
        <w:t>5座小型水库除险加固等5个</w:t>
      </w:r>
      <w:r>
        <w:rPr>
          <w:rFonts w:hint="eastAsia" w:ascii="仿宋_GB2312" w:eastAsia="仿宋_GB2312"/>
          <w:sz w:val="32"/>
          <w:szCs w:val="32"/>
        </w:rPr>
        <w:t>项目依法进行监管。</w:t>
      </w:r>
      <w:r>
        <w:rPr>
          <w:rFonts w:hint="eastAsia" w:ascii="仿宋_GB2312" w:hAnsi="仿宋" w:eastAsia="仿宋_GB2312" w:cs="仿宋"/>
          <w:sz w:val="32"/>
          <w:szCs w:val="32"/>
        </w:rPr>
        <w:t>充分借助省、市级电子信息平台，加强对建筑企业、招标代理机构的监督管理，重点做好僵尸企业市场清出机制，依法依规查处挂靠和借用资质的违法行为。</w:t>
      </w:r>
      <w:r>
        <w:rPr>
          <w:rFonts w:hint="eastAsia" w:ascii="仿宋_GB2312" w:eastAsia="仿宋_GB2312" w:cs="仿宋_GB2312"/>
          <w:bCs/>
          <w:kern w:val="0"/>
          <w:sz w:val="32"/>
          <w:szCs w:val="32"/>
          <w:lang w:val="zh-CN"/>
        </w:rPr>
        <w:t>全面核查代理机构人员缴纳社保、持有证书、专业能力、专业人员等，对不具备业务能力的代理机构要清理出市场。</w:t>
      </w:r>
    </w:p>
    <w:p>
      <w:pPr>
        <w:keepNext w:val="0"/>
        <w:keepLines w:val="0"/>
        <w:pageBreakBefore w:val="0"/>
        <w:widowControl w:val="0"/>
        <w:kinsoku/>
        <w:wordWrap/>
        <w:overflowPunct/>
        <w:topLinePunct w:val="0"/>
        <w:autoSpaceDE/>
        <w:autoSpaceDN/>
        <w:bidi w:val="0"/>
        <w:adjustRightInd/>
        <w:snapToGrid/>
        <w:spacing w:line="240" w:lineRule="auto"/>
        <w:ind w:firstLine="64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2022年我区预计完成物流业总产值235亿元。胥家桥综合物流园项目快速推进，累计完成投资32亿元。</w:t>
      </w:r>
      <w:r>
        <w:rPr>
          <w:rFonts w:hint="eastAsia" w:ascii="仿宋_GB2312" w:eastAsia="仿宋_GB2312" w:cs="仿宋_GB2312"/>
          <w:bCs/>
          <w:kern w:val="0"/>
          <w:sz w:val="32"/>
          <w:szCs w:val="32"/>
          <w:lang w:val="zh-CN"/>
        </w:rPr>
        <w:t>城市配送中心项目</w:t>
      </w:r>
      <w:r>
        <w:rPr>
          <w:rFonts w:hint="eastAsia" w:ascii="仿宋_GB2312" w:eastAsia="仿宋_GB2312" w:cs="仿宋_GB2312"/>
          <w:bCs/>
          <w:kern w:val="0"/>
          <w:sz w:val="32"/>
          <w:szCs w:val="32"/>
          <w:lang w:val="zh-CN" w:eastAsia="zh-CN"/>
        </w:rPr>
        <w:t>完成总部大楼及公寓楼建安投资约2000万元（</w:t>
      </w:r>
      <w:r>
        <w:rPr>
          <w:rFonts w:hint="eastAsia" w:ascii="仿宋_GB2312" w:eastAsia="仿宋_GB2312" w:cs="仿宋_GB2312"/>
          <w:bCs/>
          <w:kern w:val="0"/>
          <w:sz w:val="32"/>
          <w:szCs w:val="32"/>
          <w:lang w:val="en-US" w:eastAsia="zh-CN"/>
        </w:rPr>
        <w:t>完成</w:t>
      </w:r>
      <w:r>
        <w:rPr>
          <w:rFonts w:hint="eastAsia" w:ascii="仿宋_GB2312" w:eastAsia="仿宋_GB2312" w:cs="仿宋_GB2312"/>
          <w:bCs/>
          <w:kern w:val="0"/>
          <w:sz w:val="32"/>
          <w:szCs w:val="32"/>
          <w:lang w:val="zh-CN" w:eastAsia="zh-CN"/>
        </w:rPr>
        <w:t>总部大楼区域室内装饰工程85%，公寓楼室内装饰工程95%）。</w:t>
      </w:r>
      <w:r>
        <w:rPr>
          <w:rFonts w:hint="eastAsia" w:ascii="仿宋_GB2312" w:eastAsia="仿宋_GB2312" w:cs="仿宋_GB2312"/>
          <w:bCs/>
          <w:kern w:val="0"/>
          <w:sz w:val="32"/>
          <w:szCs w:val="32"/>
          <w:lang w:val="zh-CN"/>
        </w:rPr>
        <w:t>首开区配套道路项目</w:t>
      </w:r>
      <w:r>
        <w:rPr>
          <w:rFonts w:hint="eastAsia" w:ascii="仿宋_GB2312" w:eastAsia="仿宋_GB2312" w:cs="仿宋_GB2312"/>
          <w:bCs/>
          <w:kern w:val="0"/>
          <w:sz w:val="32"/>
          <w:szCs w:val="32"/>
          <w:lang w:val="en-US" w:eastAsia="zh-CN"/>
        </w:rPr>
        <w:t>完成建安投资约3185.26万，总体</w:t>
      </w:r>
      <w:r>
        <w:rPr>
          <w:rFonts w:hint="eastAsia" w:ascii="仿宋_GB2312" w:hAnsi="仿宋" w:eastAsia="仿宋_GB2312" w:cs="仿宋"/>
          <w:color w:val="auto"/>
          <w:sz w:val="32"/>
          <w:szCs w:val="32"/>
          <w:highlight w:val="none"/>
          <w:lang w:val="en-US" w:eastAsia="zh-CN"/>
        </w:rPr>
        <w:t>工程量92%；完成海泰路、灵感山路两层沥青摊铺，路口交安杆件安装，应兰路、坪田路全部沥青摊铺，人行道无砂砼摊铺。</w:t>
      </w:r>
    </w:p>
    <w:p>
      <w:pPr>
        <w:keepNext w:val="0"/>
        <w:keepLines w:val="0"/>
        <w:pageBreakBefore w:val="0"/>
        <w:widowControl w:val="0"/>
        <w:numPr>
          <w:ilvl w:val="0"/>
          <w:numId w:val="4"/>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存在的问题及原因分析</w:t>
      </w:r>
    </w:p>
    <w:p>
      <w:pPr>
        <w:pStyle w:val="5"/>
        <w:widowControl w:val="0"/>
        <w:numPr>
          <w:ilvl w:val="0"/>
          <w:numId w:val="0"/>
        </w:numPr>
        <w:spacing w:before="120" w:after="200" w:line="276" w:lineRule="auto"/>
        <w:ind w:firstLine="643" w:firstLineChars="200"/>
        <w:jc w:val="both"/>
        <w:rPr>
          <w:rFonts w:hint="eastAsia" w:ascii="仿宋_GB2312" w:hAnsi="仿宋_GB2312" w:eastAsia="仿宋_GB2312" w:cs="仿宋_GB2312"/>
          <w:b w:val="0"/>
          <w:bCs w:val="0"/>
          <w:color w:val="auto"/>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（一）固定资产投资指标难提升。</w:t>
      </w:r>
      <w:r>
        <w:rPr>
          <w:rFonts w:hint="eastAsia" w:ascii="仿宋_GB2312" w:hAnsi="仿宋_GB2312" w:eastAsia="仿宋_GB2312" w:cs="仿宋_GB2312"/>
          <w:b w:val="0"/>
          <w:bCs w:val="0"/>
          <w:i w:val="0"/>
          <w:caps w:val="0"/>
          <w:color w:val="auto"/>
          <w:spacing w:val="0"/>
          <w:sz w:val="32"/>
          <w:szCs w:val="32"/>
          <w:shd w:val="clear" w:color="auto" w:fill="FFFFFF"/>
          <w:lang w:val="en-US" w:eastAsia="zh-CN"/>
        </w:rPr>
        <w:t>因</w:t>
      </w:r>
      <w:r>
        <w:rPr>
          <w:rFonts w:hint="eastAsia" w:ascii="仿宋_GB2312" w:hAnsi="仿宋_GB2312" w:eastAsia="仿宋_GB2312" w:cs="仿宋_GB2312"/>
          <w:b w:val="0"/>
          <w:bCs w:val="0"/>
          <w:color w:val="auto"/>
          <w:kern w:val="2"/>
          <w:sz w:val="32"/>
          <w:szCs w:val="32"/>
          <w:lang w:val="en-US" w:eastAsia="zh-CN" w:bidi="ar-SA"/>
        </w:rPr>
        <w:t>项目入统计库要求全面提升，同时受房地产政策影响，合并辖区内大型企业数据未纳入统计等因素，导致库中项目少，数据难以提升。</w:t>
      </w:r>
    </w:p>
    <w:p>
      <w:pPr>
        <w:ind w:firstLine="643" w:firstLineChars="200"/>
        <w:rPr>
          <w:rFonts w:hint="eastAsia"/>
          <w:lang w:val="en-US" w:eastAsia="zh-CN"/>
        </w:rPr>
      </w:pPr>
      <w:r>
        <w:rPr>
          <w:rFonts w:hint="eastAsia" w:ascii="楷体_GB2312" w:hAnsi="楷体_GB2312" w:eastAsia="楷体_GB2312" w:cs="楷体_GB2312"/>
          <w:b/>
          <w:bCs/>
          <w:kern w:val="2"/>
          <w:sz w:val="32"/>
          <w:szCs w:val="32"/>
          <w:lang w:val="en-US" w:eastAsia="zh-CN" w:bidi="ar-SA"/>
        </w:rPr>
        <w:t>（二）争项争资工作压力增大。</w:t>
      </w:r>
      <w:r>
        <w:rPr>
          <w:rFonts w:hint="eastAsia" w:ascii="仿宋_GB2312" w:hAnsi="仿宋_GB2312" w:eastAsia="仿宋_GB2312" w:cs="仿宋_GB2312"/>
          <w:color w:val="auto"/>
          <w:sz w:val="32"/>
          <w:szCs w:val="32"/>
          <w:lang w:val="en-US" w:eastAsia="zh-CN"/>
        </w:rPr>
        <w:t>因明年财政资金缺口较大，我区争项争资工作压力会相应增加。2022年发改口争取中央预算内资金的专项只有投资线的保障性安居工程项目、社会线的养老托育项目，争资领域非常单一</w:t>
      </w:r>
    </w:p>
    <w:p>
      <w:pPr>
        <w:keepNext w:val="0"/>
        <w:keepLines w:val="0"/>
        <w:pageBreakBefore w:val="0"/>
        <w:kinsoku/>
        <w:wordWrap/>
        <w:overflowPunct/>
        <w:topLinePunct w:val="0"/>
        <w:autoSpaceDE/>
        <w:autoSpaceDN/>
        <w:bidi w:val="0"/>
        <w:adjustRightInd/>
        <w:snapToGrid/>
        <w:spacing w:line="240" w:lineRule="auto"/>
        <w:ind w:firstLine="643" w:firstLineChars="200"/>
        <w:rPr>
          <w:rFonts w:ascii="仿宋_GB2312" w:hAnsi="仿宋" w:eastAsia="仿宋_GB2312" w:cs="仿宋"/>
          <w:sz w:val="32"/>
          <w:szCs w:val="32"/>
        </w:rPr>
      </w:pPr>
      <w:r>
        <w:rPr>
          <w:rFonts w:hint="eastAsia" w:ascii="楷体_GB2312" w:hAnsi="楷体_GB2312" w:eastAsia="楷体_GB2312" w:cs="楷体_GB2312"/>
          <w:b/>
          <w:bCs/>
          <w:kern w:val="2"/>
          <w:sz w:val="32"/>
          <w:szCs w:val="32"/>
          <w:lang w:val="en-US" w:eastAsia="zh-CN" w:bidi="ar-SA"/>
        </w:rPr>
        <w:t>（三）重点项目数量不足。</w:t>
      </w:r>
      <w:r>
        <w:rPr>
          <w:rFonts w:hint="eastAsia" w:ascii="仿宋_GB2312" w:hAnsi="仿宋" w:eastAsia="仿宋_GB2312" w:cs="仿宋"/>
          <w:sz w:val="32"/>
          <w:szCs w:val="32"/>
        </w:rPr>
        <w:t>因受产业布局及市场大环境影响，我区工业、农业均无上规模项目，而第三产业中楼区占比较大的房地产项目也不能纳入重点项目范围，导致我区申报省、市级重点项目范围受限。</w:t>
      </w:r>
      <w:r>
        <w:rPr>
          <w:rFonts w:hint="eastAsia" w:ascii="仿宋_GB2312" w:hAnsi="仿宋" w:eastAsia="仿宋_GB2312" w:cs="仿宋"/>
          <w:sz w:val="32"/>
          <w:szCs w:val="32"/>
          <w:lang w:val="en-US" w:eastAsia="zh-CN"/>
        </w:rPr>
        <w:t>另外，</w:t>
      </w:r>
      <w:r>
        <w:rPr>
          <w:rFonts w:hint="eastAsia" w:ascii="仿宋_GB2312" w:hAnsi="仿宋" w:eastAsia="仿宋_GB2312" w:cs="仿宋"/>
          <w:sz w:val="32"/>
          <w:szCs w:val="32"/>
        </w:rPr>
        <w:t>辖区范围内重大市政基础设施建设项目均由市城投、市交</w:t>
      </w:r>
      <w:r>
        <w:rPr>
          <w:rFonts w:hint="eastAsia" w:ascii="仿宋_GB2312" w:hAnsi="仿宋" w:eastAsia="仿宋_GB2312" w:cs="仿宋"/>
          <w:sz w:val="32"/>
          <w:szCs w:val="32"/>
          <w:lang w:eastAsia="zh-CN"/>
        </w:rPr>
        <w:t>投</w:t>
      </w:r>
      <w:r>
        <w:rPr>
          <w:rFonts w:hint="eastAsia" w:ascii="仿宋_GB2312" w:hAnsi="仿宋" w:eastAsia="仿宋_GB2312" w:cs="仿宋"/>
          <w:sz w:val="32"/>
          <w:szCs w:val="32"/>
        </w:rPr>
        <w:t>、洞庭新城等单位实施，未纳入我区建设项目。</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p>
    <w:p>
      <w:pPr>
        <w:pStyle w:val="5"/>
        <w:ind w:firstLine="643" w:firstLineChars="200"/>
        <w:rPr>
          <w:rFonts w:hint="eastAsia" w:ascii="仿宋_GB2312" w:hAnsi="仿宋_GB2312" w:eastAsia="仿宋_GB2312" w:cs="仿宋_GB2312"/>
          <w:b w:val="0"/>
          <w:bCs w:val="0"/>
          <w:color w:val="auto"/>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固投指标提升方面：</w:t>
      </w:r>
      <w:r>
        <w:rPr>
          <w:rFonts w:hint="eastAsia" w:ascii="仿宋_GB2312" w:hAnsi="仿宋_GB2312" w:eastAsia="仿宋_GB2312" w:cs="仿宋_GB2312"/>
          <w:b/>
          <w:bCs/>
          <w:i w:val="0"/>
          <w:caps w:val="0"/>
          <w:color w:val="auto"/>
          <w:spacing w:val="0"/>
          <w:sz w:val="32"/>
          <w:szCs w:val="32"/>
          <w:shd w:val="clear" w:color="auto" w:fill="FFFFFF"/>
          <w:lang w:val="en-US" w:eastAsia="zh-CN"/>
        </w:rPr>
        <w:t>1.</w:t>
      </w:r>
      <w:r>
        <w:rPr>
          <w:rFonts w:hint="eastAsia" w:ascii="仿宋_GB2312" w:hAnsi="仿宋_GB2312" w:eastAsia="仿宋_GB2312" w:cs="仿宋_GB2312"/>
          <w:b w:val="0"/>
          <w:bCs w:val="0"/>
          <w:color w:val="auto"/>
          <w:kern w:val="2"/>
          <w:sz w:val="32"/>
          <w:szCs w:val="32"/>
          <w:lang w:val="en-US" w:eastAsia="zh-CN" w:bidi="ar-SA"/>
        </w:rPr>
        <w:t>全面摸清辖区范围内项目情况，储备好项目库，做到先有库，再有数，确保项目不漏统。对具备入库条件的新项目及时做好入统工作，为投资增长提供新的支撑。</w:t>
      </w:r>
      <w:r>
        <w:rPr>
          <w:rFonts w:hint="eastAsia" w:ascii="仿宋_GB2312" w:hAnsi="仿宋_GB2312" w:eastAsia="仿宋_GB2312" w:cs="仿宋_GB2312"/>
          <w:b/>
          <w:bCs/>
          <w:i w:val="0"/>
          <w:caps w:val="0"/>
          <w:color w:val="auto"/>
          <w:spacing w:val="0"/>
          <w:sz w:val="32"/>
          <w:szCs w:val="32"/>
          <w:shd w:val="clear" w:color="auto" w:fill="FFFFFF"/>
          <w:lang w:val="en-US" w:eastAsia="zh-CN"/>
        </w:rPr>
        <w:t>2.</w:t>
      </w:r>
      <w:r>
        <w:rPr>
          <w:rFonts w:hint="eastAsia" w:ascii="仿宋_GB2312" w:hAnsi="仿宋_GB2312" w:eastAsia="仿宋_GB2312" w:cs="仿宋_GB2312"/>
          <w:b w:val="0"/>
          <w:bCs w:val="0"/>
          <w:i w:val="0"/>
          <w:caps w:val="0"/>
          <w:color w:val="auto"/>
          <w:spacing w:val="0"/>
          <w:sz w:val="32"/>
          <w:szCs w:val="32"/>
          <w:shd w:val="clear" w:color="auto" w:fill="FFFFFF"/>
          <w:lang w:val="en-US" w:eastAsia="zh-CN"/>
        </w:rPr>
        <w:t>要</w:t>
      </w:r>
      <w:r>
        <w:rPr>
          <w:rFonts w:hint="eastAsia" w:ascii="仿宋_GB2312" w:hAnsi="仿宋_GB2312" w:eastAsia="仿宋_GB2312" w:cs="仿宋_GB2312"/>
          <w:b w:val="0"/>
          <w:bCs w:val="0"/>
          <w:color w:val="auto"/>
          <w:kern w:val="2"/>
          <w:sz w:val="32"/>
          <w:szCs w:val="32"/>
          <w:lang w:val="en-US" w:eastAsia="zh-CN" w:bidi="ar-SA"/>
        </w:rPr>
        <w:t>紧盯政府投资项目，还要深入挖掘辖区范围内民营企业、国有企事业单位在装修改造、技术升级、设备采购等方面形成的固定资产投资，加强对接，做好入统工作，形成新的增长点。</w:t>
      </w:r>
      <w:r>
        <w:rPr>
          <w:rFonts w:hint="eastAsia" w:ascii="仿宋_GB2312" w:hAnsi="仿宋_GB2312" w:eastAsia="仿宋_GB2312" w:cs="仿宋_GB2312"/>
          <w:b/>
          <w:bCs/>
          <w:i w:val="0"/>
          <w:caps w:val="0"/>
          <w:color w:val="auto"/>
          <w:spacing w:val="0"/>
          <w:sz w:val="32"/>
          <w:szCs w:val="32"/>
          <w:shd w:val="clear" w:color="auto" w:fill="FFFFFF"/>
          <w:lang w:val="en-US" w:eastAsia="zh-CN"/>
        </w:rPr>
        <w:t>3.</w:t>
      </w:r>
      <w:r>
        <w:rPr>
          <w:rFonts w:hint="eastAsia" w:ascii="仿宋_GB2312" w:hAnsi="仿宋_GB2312" w:eastAsia="仿宋_GB2312" w:cs="仿宋_GB2312"/>
          <w:b w:val="0"/>
          <w:bCs w:val="0"/>
          <w:i w:val="0"/>
          <w:caps w:val="0"/>
          <w:color w:val="auto"/>
          <w:spacing w:val="0"/>
          <w:sz w:val="32"/>
          <w:szCs w:val="32"/>
          <w:shd w:val="clear" w:color="auto" w:fill="FFFFFF"/>
          <w:lang w:val="en-US" w:eastAsia="zh-CN"/>
        </w:rPr>
        <w:t>提高沟通协作意识，</w:t>
      </w:r>
      <w:r>
        <w:rPr>
          <w:rFonts w:hint="eastAsia" w:ascii="仿宋_GB2312" w:hAnsi="仿宋_GB2312" w:eastAsia="仿宋_GB2312" w:cs="仿宋_GB2312"/>
          <w:b w:val="0"/>
          <w:bCs w:val="0"/>
          <w:color w:val="auto"/>
          <w:kern w:val="2"/>
          <w:sz w:val="32"/>
          <w:szCs w:val="32"/>
          <w:lang w:val="en-US" w:eastAsia="zh-CN" w:bidi="ar-SA"/>
        </w:rPr>
        <w:t>督促职能部门提前谋划，与各企业和项目业主单位加强沟通，帮助企业和项目业主单位做好投资上报凭证准备工作，切实反映项目投资推进情况。</w:t>
      </w:r>
      <w:r>
        <w:rPr>
          <w:rFonts w:hint="eastAsia" w:ascii="仿宋_GB2312" w:hAnsi="仿宋_GB2312" w:eastAsia="仿宋_GB2312" w:cs="仿宋_GB2312"/>
          <w:b/>
          <w:bCs/>
          <w:color w:val="auto"/>
          <w:kern w:val="2"/>
          <w:sz w:val="32"/>
          <w:szCs w:val="32"/>
          <w:lang w:val="en-US" w:eastAsia="zh-CN" w:bidi="ar-SA"/>
        </w:rPr>
        <w:t>4.</w:t>
      </w:r>
      <w:r>
        <w:rPr>
          <w:rFonts w:hint="eastAsia" w:ascii="仿宋_GB2312" w:hAnsi="仿宋_GB2312" w:eastAsia="仿宋_GB2312" w:cs="仿宋_GB2312"/>
          <w:b w:val="0"/>
          <w:bCs w:val="0"/>
          <w:color w:val="auto"/>
          <w:kern w:val="2"/>
          <w:sz w:val="32"/>
          <w:szCs w:val="32"/>
          <w:lang w:val="en-US" w:eastAsia="zh-CN" w:bidi="ar-SA"/>
        </w:rPr>
        <w:t>请求市发改委汇报市委、市政府，统筹协调我区辖区内中央、省、市企业，各大高校固定资产投资报送工作，解决我区工作难点。</w:t>
      </w:r>
    </w:p>
    <w:p>
      <w:pPr>
        <w:pStyle w:val="12"/>
        <w:keepNext w:val="0"/>
        <w:keepLines w:val="0"/>
        <w:pageBreakBefore w:val="0"/>
        <w:kinsoku/>
        <w:wordWrap/>
        <w:overflowPunct/>
        <w:topLinePunct w:val="0"/>
        <w:autoSpaceDE/>
        <w:autoSpaceDN/>
        <w:bidi w:val="0"/>
        <w:adjustRightInd/>
        <w:snapToGrid/>
        <w:spacing w:after="0" w:line="240" w:lineRule="auto"/>
        <w:ind w:firstLine="643" w:firstLineChars="200"/>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b/>
          <w:bCs/>
          <w:kern w:val="2"/>
          <w:sz w:val="32"/>
          <w:szCs w:val="32"/>
          <w:lang w:val="en-US" w:eastAsia="zh-CN" w:bidi="ar-SA"/>
        </w:rPr>
        <w:t>扩大争项争资方面：</w:t>
      </w:r>
      <w:r>
        <w:rPr>
          <w:rFonts w:hint="eastAsia" w:ascii="仿宋_GB2312" w:hAnsi="仿宋_GB2312" w:eastAsia="仿宋_GB2312" w:cs="仿宋_GB2312"/>
          <w:color w:val="auto"/>
          <w:sz w:val="32"/>
          <w:szCs w:val="32"/>
          <w:lang w:val="en-US" w:eastAsia="zh-CN"/>
        </w:rPr>
        <w:t>为进一步扩大争资范围、加大争资力度、减轻财政压力，我区应积极向省、市发改委和相关单位上级部门进行汇报和协调，解决好争资领域单一的问题。目前建议重点做好省发改委农经处农业面源污染治理项目、长江处协同推进生态优先绿色发展示范工程项目（绿色发展示范项目）的申报对接。</w:t>
      </w:r>
    </w:p>
    <w:p>
      <w:pPr>
        <w:keepNext w:val="0"/>
        <w:keepLines w:val="0"/>
        <w:pageBreakBefore w:val="0"/>
        <w:widowControl w:val="0"/>
        <w:kinsoku/>
        <w:wordWrap/>
        <w:overflowPunct/>
        <w:topLinePunct w:val="0"/>
        <w:autoSpaceDE/>
        <w:autoSpaceDN/>
        <w:bidi w:val="0"/>
        <w:adjustRightInd/>
        <w:snapToGrid/>
        <w:spacing w:line="240" w:lineRule="auto"/>
        <w:ind w:firstLine="643" w:firstLineChars="200"/>
        <w:rPr>
          <w:rFonts w:hint="eastAsia" w:ascii="仿宋_GB2312" w:hAnsi="仿宋_GB2312" w:eastAsia="仿宋_GB2312" w:cs="仿宋_GB2312"/>
          <w:color w:val="auto"/>
          <w:kern w:val="2"/>
          <w:sz w:val="32"/>
          <w:szCs w:val="32"/>
          <w:lang w:val="en-US" w:eastAsia="zh-CN" w:bidi="ar-SA"/>
        </w:rPr>
      </w:pPr>
      <w:r>
        <w:rPr>
          <w:rFonts w:hint="eastAsia" w:ascii="楷体_GB2312" w:hAnsi="楷体_GB2312" w:eastAsia="楷体_GB2312" w:cs="楷体_GB2312"/>
          <w:b/>
          <w:bCs/>
          <w:kern w:val="2"/>
          <w:sz w:val="32"/>
          <w:szCs w:val="32"/>
          <w:lang w:val="en-US" w:eastAsia="zh-CN" w:bidi="ar-SA"/>
        </w:rPr>
        <w:t>重点项目建设方面：</w:t>
      </w:r>
      <w:r>
        <w:rPr>
          <w:rFonts w:hint="eastAsia" w:ascii="仿宋_GB2312" w:hAnsi="仿宋_GB2312" w:eastAsia="仿宋_GB2312" w:cs="仿宋_GB2312"/>
          <w:color w:val="auto"/>
          <w:kern w:val="2"/>
          <w:sz w:val="32"/>
          <w:szCs w:val="32"/>
          <w:lang w:val="en-US" w:eastAsia="zh-CN" w:bidi="ar-SA"/>
        </w:rPr>
        <w:t>加大我区市级重点前期项目推进力度，促进岳阳建筑材料大市场（物流园）和学乐健康城两个前期项目转重点在建项目，争取早开工、早建设、早投产。加快推进在建重点建设项目，力保足额保质如期完成年度投资计划。积极与市发改委对接，对我区辖区范围内重大市政基础设施建设项目实行双责任制，将此类项目纳入楼区重点建设项目调度库，由市城投、市交投和我区共同推进。</w:t>
      </w: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项目前期工作经费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201.55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201.55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做好项目前期工作，对于加大争项争资力度、加快项目建设进度、推动经济发展。</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本单位争项争资的总任务为18亿元，截止目前共完成20.5亿元，占全年任务的113.8%。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全区争取中央、省、市预算内资金</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争项争资18亿</w:t>
            </w:r>
            <w:r>
              <w:rPr>
                <w:rFonts w:hint="eastAsia" w:ascii="宋体" w:hAnsi="宋体" w:eastAsia="宋体" w:cs="宋体"/>
                <w:color w:val="000000" w:themeColor="text1"/>
                <w:spacing w:val="0"/>
                <w:sz w:val="21"/>
                <w:szCs w:val="21"/>
                <w:lang w:val="en-US" w:eastAsia="zh-CN"/>
                <w14:textFill>
                  <w14:solidFill>
                    <w14:schemeClr w14:val="tx1"/>
                  </w14:solidFill>
                </w14:textFill>
              </w:rPr>
              <w:t>元</w:t>
            </w:r>
          </w:p>
        </w:tc>
        <w:tc>
          <w:tcPr>
            <w:tcW w:w="1140" w:type="dxa"/>
            <w:noWrap w:val="0"/>
            <w:vAlign w:val="center"/>
          </w:tcPr>
          <w:p>
            <w:pPr>
              <w:keepNext w:val="0"/>
              <w:keepLines w:val="0"/>
              <w:widowControl/>
              <w:suppressLineNumbers w:val="0"/>
              <w:jc w:val="left"/>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完成20.5亿元，占全年任务的113.8%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政府债券</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4亿元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3.98亿元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下达中央预算内投资</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2.05亿元</w:t>
            </w:r>
          </w:p>
        </w:tc>
        <w:tc>
          <w:tcPr>
            <w:tcW w:w="1140" w:type="dxa"/>
            <w:noWrap w:val="0"/>
            <w:vAlign w:val="center"/>
          </w:tcPr>
          <w:p>
            <w:pPr>
              <w:keepNext w:val="0"/>
              <w:keepLines w:val="0"/>
              <w:widowControl/>
              <w:suppressLineNumbers w:val="0"/>
              <w:jc w:val="both"/>
              <w:textAlignment w:val="center"/>
              <w:rPr>
                <w:rFonts w:ascii="Arial"/>
                <w:color w:val="000000" w:themeColor="text1"/>
                <w:spacing w:val="0"/>
                <w:sz w:val="21"/>
                <w:szCs w:val="21"/>
                <w14:textFill>
                  <w14:solidFill>
                    <w14:schemeClr w14:val="tx1"/>
                  </w14:solidFill>
                </w14:textFill>
              </w:rPr>
            </w:pPr>
            <w:r>
              <w:rPr>
                <w:rFonts w:hint="default" w:ascii="Times New Roman" w:hAnsi="Times New Roman" w:eastAsia="宋体" w:cs="Times New Roman"/>
                <w:i w:val="0"/>
                <w:color w:val="000000"/>
                <w:kern w:val="0"/>
                <w:sz w:val="24"/>
                <w:szCs w:val="24"/>
                <w:u w:val="none"/>
                <w:lang w:val="en-US" w:eastAsia="zh-CN" w:bidi="ar"/>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资金拨付及时率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widowControl/>
              <w:suppressLineNumbers w:val="0"/>
              <w:jc w:val="both"/>
              <w:textAlignment w:val="center"/>
              <w:rPr>
                <w:rFonts w:ascii="Arial"/>
                <w:color w:val="000000" w:themeColor="text1"/>
                <w:spacing w:val="0"/>
                <w:sz w:val="21"/>
                <w:szCs w:val="21"/>
                <w14:textFill>
                  <w14:solidFill>
                    <w14:schemeClr w14:val="tx1"/>
                  </w14:solidFill>
                </w14:textFill>
              </w:rPr>
            </w:pPr>
            <w:r>
              <w:rPr>
                <w:rFonts w:hint="default" w:ascii="Times New Roman" w:hAnsi="Times New Roman" w:eastAsia="宋体" w:cs="Times New Roman"/>
                <w:i w:val="0"/>
                <w:color w:val="000000"/>
                <w:kern w:val="0"/>
                <w:sz w:val="24"/>
                <w:szCs w:val="24"/>
                <w:u w:val="none"/>
                <w:lang w:val="en-US" w:eastAsia="zh-CN" w:bidi="ar"/>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200万元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资金到位</w:t>
            </w:r>
          </w:p>
        </w:tc>
        <w:tc>
          <w:tcPr>
            <w:tcW w:w="1140"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default" w:ascii="仿宋_GB2312" w:hAnsi="宋体" w:eastAsia="仿宋_GB2312" w:cs="仿宋_GB2312"/>
                <w:i w:val="0"/>
                <w:color w:val="000000"/>
                <w:kern w:val="0"/>
                <w:sz w:val="22"/>
                <w:szCs w:val="22"/>
                <w:u w:val="none"/>
                <w:lang w:val="en-US" w:eastAsia="zh-CN" w:bidi="ar"/>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争取中央、省、市预算内资金</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hint="default" w:ascii="宋体" w:hAnsi="宋体" w:eastAsia="宋体" w:cs="宋体"/>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争项争资</w:t>
            </w:r>
          </w:p>
        </w:tc>
        <w:tc>
          <w:tcPr>
            <w:tcW w:w="114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hAnsi="Arial" w:eastAsia="宋体" w:cs="Arial"/>
                <w:i w:val="0"/>
                <w:color w:val="000000"/>
                <w:kern w:val="0"/>
                <w:sz w:val="21"/>
                <w:szCs w:val="21"/>
                <w:u w:val="none"/>
                <w:lang w:val="en-US" w:eastAsia="zh-CN" w:bidi="ar"/>
              </w:rPr>
              <w:t>完成20.5亿元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全区经济和各项社会事业稳步发展</w:t>
            </w:r>
          </w:p>
        </w:tc>
        <w:tc>
          <w:tcPr>
            <w:tcW w:w="1131"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地区生产总值804亿元</w:t>
            </w:r>
          </w:p>
        </w:tc>
        <w:tc>
          <w:tcPr>
            <w:tcW w:w="114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增长</w:t>
            </w:r>
            <w:r>
              <w:rPr>
                <w:rFonts w:ascii="Arial" w:hAnsi="Arial" w:eastAsia="宋体" w:cs="Arial"/>
                <w:i w:val="0"/>
                <w:color w:val="000000"/>
                <w:kern w:val="0"/>
                <w:sz w:val="21"/>
                <w:szCs w:val="21"/>
                <w:u w:val="none"/>
                <w:lang w:val="en-US" w:eastAsia="zh-CN" w:bidi="ar"/>
              </w:rPr>
              <w:t>8%</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both"/>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增加人民生活幸福感</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widowControl/>
              <w:suppressLineNumbers w:val="0"/>
              <w:jc w:val="both"/>
              <w:textAlignment w:val="center"/>
              <w:rPr>
                <w:rFonts w:ascii="Arial"/>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项目立项审批</w:t>
            </w:r>
          </w:p>
        </w:tc>
        <w:tc>
          <w:tcPr>
            <w:tcW w:w="1131" w:type="dxa"/>
            <w:noWrap w:val="0"/>
            <w:vAlign w:val="center"/>
          </w:tcPr>
          <w:p>
            <w:pPr>
              <w:keepNext w:val="0"/>
              <w:keepLines w:val="0"/>
              <w:widowControl/>
              <w:suppressLineNumbers w:val="0"/>
              <w:jc w:val="both"/>
              <w:textAlignment w:val="center"/>
              <w:rPr>
                <w:rFonts w:ascii="Arial"/>
                <w:color w:val="000000" w:themeColor="text1"/>
                <w:spacing w:val="0"/>
                <w:sz w:val="21"/>
                <w:szCs w:val="21"/>
                <w14:textFill>
                  <w14:solidFill>
                    <w14:schemeClr w14:val="tx1"/>
                  </w14:solidFill>
                </w14:textFill>
              </w:rPr>
            </w:pPr>
            <w:r>
              <w:rPr>
                <w:rFonts w:hint="default" w:ascii="Times New Roman" w:hAnsi="Times New Roman" w:eastAsia="宋体" w:cs="Times New Roman"/>
                <w:i w:val="0"/>
                <w:color w:val="000000"/>
                <w:kern w:val="0"/>
                <w:sz w:val="24"/>
                <w:szCs w:val="24"/>
                <w:u w:val="none"/>
                <w:lang w:val="en-US" w:eastAsia="zh-CN" w:bidi="ar"/>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hAnsi="Arial" w:cs="Arial"/>
                <w:color w:val="000000" w:themeColor="text1"/>
                <w:spacing w:val="0"/>
                <w:sz w:val="21"/>
                <w:szCs w:val="21"/>
                <w:lang w:val="en-US"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99</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134" w:right="1417" w:bottom="1134"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李娟</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18974037733 </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2023.06.15</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项目概算管理及审核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101.2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101.2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发改部门承担政府投资项目的概算编制审核，做好此项工作对防范项目投资超预算，压缩投资金额，化解政府性债务风险，具有十分重大而深远的意义。</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 xml:space="preserve"> 完成概算审核144个，共核减投资1.67亿元。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项目概算审核</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完成</w:t>
            </w:r>
            <w:r>
              <w:rPr>
                <w:rFonts w:hint="eastAsia" w:ascii="宋体" w:hAnsi="宋体" w:eastAsia="宋体" w:cs="宋体"/>
                <w:color w:val="000000" w:themeColor="text1"/>
                <w:spacing w:val="0"/>
                <w:sz w:val="21"/>
                <w:szCs w:val="21"/>
                <w:lang w:val="en-US" w:eastAsia="zh-CN"/>
                <w14:textFill>
                  <w14:solidFill>
                    <w14:schemeClr w14:val="tx1"/>
                  </w14:solidFill>
                </w14:textFill>
              </w:rPr>
              <w:t>144</w:t>
            </w:r>
            <w:r>
              <w:rPr>
                <w:rFonts w:hint="default"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lang w:val="en-US" w:eastAsia="zh-CN"/>
                <w14:textFill>
                  <w14:solidFill>
                    <w14:schemeClr w14:val="tx1"/>
                  </w14:solidFill>
                </w14:textFill>
              </w:rPr>
              <w:t>个</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概算审核咨询费</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核减项目投资资金</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核减投资</w:t>
            </w:r>
            <w:r>
              <w:rPr>
                <w:rFonts w:hint="eastAsia" w:ascii="宋体" w:hAnsi="宋体" w:eastAsia="宋体" w:cs="宋体"/>
                <w:color w:val="000000" w:themeColor="text1"/>
                <w:spacing w:val="0"/>
                <w:sz w:val="21"/>
                <w:szCs w:val="21"/>
                <w:lang w:val="en-US" w:eastAsia="zh-CN"/>
                <w14:textFill>
                  <w14:solidFill>
                    <w14:schemeClr w14:val="tx1"/>
                  </w14:solidFill>
                </w14:textFill>
              </w:rPr>
              <w:t>1.67亿</w:t>
            </w:r>
            <w:r>
              <w:rPr>
                <w:rFonts w:hint="default" w:ascii="宋体" w:hAnsi="宋体" w:eastAsia="宋体" w:cs="宋体"/>
                <w:color w:val="000000" w:themeColor="text1"/>
                <w:spacing w:val="0"/>
                <w:sz w:val="21"/>
                <w:szCs w:val="21"/>
                <w:lang w:val="en-US" w:eastAsia="zh-CN"/>
                <w14:textFill>
                  <w14:solidFill>
                    <w14:schemeClr w14:val="tx1"/>
                  </w14:solidFill>
                </w14:textFill>
              </w:rPr>
              <w:t>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资金拨付及时率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100万元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资金到位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减少政府债务风险</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1.67亿元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化解政府债务风险</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减轻政府经济压力</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1.67亿元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防范政府债务风</w:t>
            </w:r>
            <w:r>
              <w:rPr>
                <w:rFonts w:hint="eastAsia" w:ascii="宋体" w:hAnsi="宋体" w:eastAsia="宋体" w:cs="宋体"/>
                <w:color w:val="000000" w:themeColor="text1"/>
                <w:spacing w:val="0"/>
                <w:sz w:val="21"/>
                <w:szCs w:val="21"/>
                <w:lang w:val="en-US" w:eastAsia="zh-CN"/>
                <w14:textFill>
                  <w14:solidFill>
                    <w14:schemeClr w14:val="tx1"/>
                  </w14:solidFill>
                </w14:textFill>
              </w:rPr>
              <w:t>险</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hAnsi="Arial" w:cs="Arial"/>
                <w:color w:val="000000" w:themeColor="text1"/>
                <w:spacing w:val="0"/>
                <w:sz w:val="21"/>
                <w:szCs w:val="21"/>
                <w:lang w:val="en-US"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val="en-US" w:eastAsia="zh-CN"/>
          <w14:textFill>
            <w14:solidFill>
              <w14:schemeClr w14:val="tx1"/>
            </w14:solidFill>
          </w14:textFill>
        </w:rPr>
        <w:t>李娟</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18974037733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“十四五”规划纲要年度执行情况评估及年度发展计划编制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13.87</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46.23%</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聚焦实施“三高四新”战略、建设“三区一中心”的目标要求，坚持稳中求进工作总基调，紧扣高质量发展主题，统筹发展和安全，深入推进科教立区、开放兴区、产业强区、改革活区、依法治区“五大战略”，经济社会保持平稳健康发展</w:t>
            </w:r>
            <w:r>
              <w:rPr>
                <w:rFonts w:hint="eastAsia" w:ascii="Arial"/>
                <w:color w:val="000000" w:themeColor="text1"/>
                <w:spacing w:val="0"/>
                <w:sz w:val="21"/>
                <w:szCs w:val="21"/>
                <w:lang w:eastAsia="zh-CN"/>
                <w14:textFill>
                  <w14:solidFill>
                    <w14:schemeClr w14:val="tx1"/>
                  </w14:solidFill>
                </w14:textFill>
              </w:rPr>
              <w:t>。</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全年预计实现地区生产总值804亿元、增长8%，固定资产投资275亿元、增长10%，社会消费品零售总额548.5亿元、增长3.5%，一般公共预算地方收入11.45亿元、增长12.5%，城镇居民人均可支配收入47745元、增长8.5%。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3"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地区生产总值</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同比增长5.7%</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777.5亿元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2"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城镇居民人均可支配收入</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增长8.5%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47745元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新增规上服务业企业</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21家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25家</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default" w:ascii="宋体" w:hAnsi="宋体" w:eastAsia="宋体" w:cs="宋体"/>
                <w:color w:val="000000" w:themeColor="text1"/>
                <w:spacing w:val="0"/>
                <w:sz w:val="21"/>
                <w:szCs w:val="21"/>
                <w:lang w:val="en-US" w:eastAsia="zh-CN"/>
                <w14:textFill>
                  <w14:solidFill>
                    <w14:schemeClr w14:val="tx1"/>
                  </w14:solidFill>
                </w14:textFill>
              </w:rPr>
              <w:t>资金拨付及时率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30万元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资金到位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一般公共预算地方收入</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同比增长11.5%</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11.36亿元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经济社会保持平稳健康发展</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高新技术企业成长加速机制</w:t>
            </w:r>
          </w:p>
        </w:tc>
        <w:tc>
          <w:tcPr>
            <w:tcW w:w="1131" w:type="dxa"/>
            <w:noWrap w:val="0"/>
            <w:vAlign w:val="center"/>
          </w:tcPr>
          <w:p>
            <w:pPr>
              <w:keepNext w:val="0"/>
              <w:keepLines w:val="0"/>
              <w:widowControl/>
              <w:suppressLineNumbers w:val="0"/>
              <w:jc w:val="center"/>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新增高新技术企业</w:t>
            </w:r>
          </w:p>
        </w:tc>
        <w:tc>
          <w:tcPr>
            <w:tcW w:w="1140" w:type="dxa"/>
            <w:noWrap w:val="0"/>
            <w:vAlign w:val="center"/>
          </w:tcPr>
          <w:p>
            <w:pPr>
              <w:keepNext w:val="0"/>
              <w:keepLines w:val="0"/>
              <w:widowControl/>
              <w:suppressLineNumbers w:val="0"/>
              <w:jc w:val="center"/>
              <w:textAlignment w:val="center"/>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hAnsi="Arial" w:eastAsia="宋体" w:cs="Arial"/>
                <w:i w:val="0"/>
                <w:color w:val="000000"/>
                <w:kern w:val="0"/>
                <w:sz w:val="21"/>
                <w:szCs w:val="21"/>
                <w:u w:val="none"/>
                <w:lang w:val="en-US" w:eastAsia="zh-CN" w:bidi="ar"/>
              </w:rPr>
              <w:t>15</w:t>
            </w:r>
            <w:r>
              <w:rPr>
                <w:rFonts w:hint="eastAsia" w:ascii="宋体" w:hAnsi="宋体" w:eastAsia="宋体" w:cs="宋体"/>
                <w:i w:val="0"/>
                <w:color w:val="000000"/>
                <w:kern w:val="0"/>
                <w:sz w:val="21"/>
                <w:szCs w:val="21"/>
                <w:u w:val="none"/>
                <w:lang w:val="en-US" w:eastAsia="zh-CN" w:bidi="ar"/>
              </w:rPr>
              <w:t>家</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提高群众获得感、幸福感</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有效提高</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default" w:ascii="Arial" w:hAnsi="Arial" w:cs="Arial"/>
                <w:color w:val="000000" w:themeColor="text1"/>
                <w:spacing w:val="0"/>
                <w:sz w:val="21"/>
                <w:szCs w:val="21"/>
                <w:lang w:val="en-US"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15"/>
          <w:sz w:val="23"/>
          <w:szCs w:val="23"/>
          <w:lang w:val="en-US" w:eastAsia="zh-CN"/>
          <w14:textFill>
            <w14:solidFill>
              <w14:schemeClr w14:val="tx1"/>
            </w14:solidFill>
          </w14:textFill>
        </w:rPr>
        <w:t>李娟</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lang w:val="en-US" w:eastAsia="zh-CN"/>
          <w14:textFill>
            <w14:solidFill>
              <w14:schemeClr w14:val="tx1"/>
            </w14:solidFill>
          </w14:textFill>
        </w:rPr>
        <w:t>18974037733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r>
        <w:rPr>
          <w:rFonts w:hint="eastAsia" w:ascii="仿宋" w:hAnsi="仿宋" w:eastAsia="仿宋" w:cs="仿宋"/>
          <w:color w:val="000000" w:themeColor="text1"/>
          <w:spacing w:val="4"/>
          <w:sz w:val="23"/>
          <w:szCs w:val="23"/>
          <w:lang w:val="en-US" w:eastAsia="zh-CN"/>
          <w14:textFill>
            <w14:solidFill>
              <w14:schemeClr w14:val="tx1"/>
            </w14:solidFill>
          </w14:textFill>
        </w:rPr>
        <w:t>2023.06.15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编制“十四五”时期专项规划</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27.43</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68.58%</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27.43</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聚焦实施“三高四新”战略、建设“三区一中心”的目标要求，坚持稳中求进工作总基调，紧扣高质量发展主题，统筹发展和安全，深入推进科教立区、开放兴区、产业强区、改革活区、依法治区“五大战略”，经济社会保持平稳健康发展</w:t>
            </w:r>
            <w:r>
              <w:rPr>
                <w:rFonts w:hint="eastAsia" w:ascii="Arial"/>
                <w:color w:val="000000" w:themeColor="text1"/>
                <w:spacing w:val="0"/>
                <w:sz w:val="21"/>
                <w:szCs w:val="21"/>
                <w:lang w:eastAsia="zh-CN"/>
                <w14:textFill>
                  <w14:solidFill>
                    <w14:schemeClr w14:val="tx1"/>
                  </w14:solidFill>
                </w14:textFill>
              </w:rPr>
              <w:t>。</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全年预计实现地区生产总值804亿元、增长8%，固定资产投资275亿元、增长10%，社会消费品零售总额548.5亿元、增长3.5%，一般公共预算地方收入11.45亿元、增长12.5%，城镇居民人均可支配收入47745元、增长8.5%。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动态管理“十四五”规划项目库</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收集项目1129个</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总投资3269.4亿元</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城乡居民最低生活保障标准提高</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644元/月</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城镇新增就业10016人</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0"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“十四五”总体规划，深入调研</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完成《岳阳楼区“十四五”期间推进“新技术、新产业、新业态、新模式”</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资金拨付及时率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40万元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资金到位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岳阳楼区高质量发展指标体系</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推动经济社会更好更快的发展</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提高群众获得感、幸福感</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城镇居民人均可支配收入47745元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增长8.5%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构建岳阳楼区统一规划体系</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hAnsi="Arial" w:cs="Arial"/>
                <w:color w:val="000000" w:themeColor="text1"/>
                <w:spacing w:val="0"/>
                <w:sz w:val="21"/>
                <w:szCs w:val="21"/>
                <w:lang w:val="en-US"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15"/>
          <w:sz w:val="23"/>
          <w:szCs w:val="23"/>
          <w:lang w:val="en-US" w:eastAsia="zh-CN"/>
          <w14:textFill>
            <w14:solidFill>
              <w14:schemeClr w14:val="tx1"/>
            </w14:solidFill>
          </w14:textFill>
        </w:rPr>
        <w:t xml:space="preserve">李娟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3"/>
          <w:sz w:val="23"/>
          <w:szCs w:val="23"/>
          <w:lang w:val="en-US" w:eastAsia="zh-CN"/>
          <w14:textFill>
            <w14:solidFill>
              <w14:schemeClr w14:val="tx1"/>
            </w14:solidFill>
          </w14:textFill>
        </w:rPr>
        <w:t xml:space="preserve">18974037733   </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2023.06.15</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4"/>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固定资产投资管理及审核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49.2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98.4%</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49.2</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固定资产投资项目入库第三方购买服务经费。</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14:textFill>
                  <w14:solidFill>
                    <w14:schemeClr w14:val="tx1"/>
                  </w14:solidFill>
                </w14:textFill>
              </w:rPr>
              <w:t>固定资产投资预计完成275.5亿元，增速10.2%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固定资产投资预计完成275.5亿元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both"/>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完成275.5亿元</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增长10%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123"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固定资产投资项目入库第三方购买咨询</w:t>
            </w:r>
          </w:p>
        </w:tc>
        <w:tc>
          <w:tcPr>
            <w:tcW w:w="1131"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2022年12月</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资金拨付及时</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及时</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50万元</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资金到位</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50万</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123"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社会效益评价与经济效益评价相结合</w:t>
            </w:r>
          </w:p>
        </w:tc>
        <w:tc>
          <w:tcPr>
            <w:tcW w:w="1131"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固定资产投资275亿元</w:t>
            </w:r>
          </w:p>
        </w:tc>
        <w:tc>
          <w:tcPr>
            <w:tcW w:w="1140" w:type="dxa"/>
            <w:noWrap w:val="0"/>
            <w:vAlign w:val="center"/>
          </w:tcPr>
          <w:p>
            <w:pPr>
              <w:keepNext w:val="0"/>
              <w:keepLines w:val="0"/>
              <w:widowControl/>
              <w:suppressLineNumbers w:val="0"/>
              <w:jc w:val="both"/>
              <w:textAlignment w:val="center"/>
              <w:rPr>
                <w:rFonts w:ascii="Arial"/>
                <w:color w:val="000000" w:themeColor="text1"/>
                <w:spacing w:val="0"/>
                <w:sz w:val="21"/>
                <w:szCs w:val="21"/>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增长10%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推广和规范了政府购买服务</w:t>
            </w:r>
          </w:p>
        </w:tc>
        <w:tc>
          <w:tcPr>
            <w:tcW w:w="1131"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第三方购买服务</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加快工作效率</w:t>
            </w:r>
          </w:p>
        </w:tc>
        <w:tc>
          <w:tcPr>
            <w:tcW w:w="1131"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按要求完成</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183"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color w:val="000000"/>
                <w:kern w:val="0"/>
                <w:sz w:val="21"/>
                <w:szCs w:val="21"/>
                <w:u w:val="none"/>
                <w:lang w:val="en-US" w:eastAsia="zh-CN" w:bidi="ar"/>
              </w:rPr>
              <w:t>发挥市场在资源配置中的决定性作用</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default" w:ascii="Arial" w:hAnsi="Arial" w:cs="Arial"/>
                <w:color w:val="000000" w:themeColor="text1"/>
                <w:spacing w:val="0"/>
                <w:sz w:val="21"/>
                <w:szCs w:val="21"/>
                <w:lang w:val="en-US" w:eastAsia="zh-CN"/>
                <w14:textFill>
                  <w14:solidFill>
                    <w14:schemeClr w14:val="tx1"/>
                  </w14:solidFill>
                </w14:textFill>
              </w:rPr>
              <w:t>≥</w:t>
            </w:r>
            <w:r>
              <w:rPr>
                <w:rFonts w:hint="eastAsia" w:ascii="Arial"/>
                <w:color w:val="000000" w:themeColor="text1"/>
                <w:spacing w:val="0"/>
                <w:sz w:val="21"/>
                <w:szCs w:val="21"/>
                <w:lang w:val="en-US" w:eastAsia="zh-CN"/>
                <w14:textFill>
                  <w14:solidFill>
                    <w14:schemeClr w14:val="tx1"/>
                  </w14:solidFill>
                </w14:textFill>
              </w:rPr>
              <w:t>95%</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9.5</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99</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020" w:right="1417" w:bottom="1020"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15"/>
          <w:sz w:val="23"/>
          <w:szCs w:val="23"/>
          <w:lang w:val="en-US" w:eastAsia="zh-CN"/>
          <w14:textFill>
            <w14:solidFill>
              <w14:schemeClr w14:val="tx1"/>
            </w14:solidFill>
          </w14:textFill>
        </w:rPr>
        <w:t xml:space="preserve">李娟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18974037733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hint="eastAsia" w:ascii="仿宋" w:hAnsi="仿宋" w:eastAsia="仿宋" w:cs="仿宋"/>
          <w:color w:val="000000" w:themeColor="text1"/>
          <w:spacing w:val="-26"/>
          <w:sz w:val="23"/>
          <w:szCs w:val="23"/>
          <w:lang w:val="en-US" w:eastAsia="zh-CN"/>
          <w14:textFill>
            <w14:solidFill>
              <w14:schemeClr w14:val="tx1"/>
            </w14:solidFill>
          </w14:textFill>
        </w:rPr>
        <w:t>2023.06.15</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9"/>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14</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99</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18030">
    <w:altName w:val="Times New Roman"/>
    <w:panose1 w:val="00000000000000000000"/>
    <w:charset w:val="00"/>
    <w:family w:val="auto"/>
    <w:pitch w:val="default"/>
    <w:sig w:usb0="00000000" w:usb1="00000000" w:usb2="00000000" w:usb3="00000000" w:csb0="00000001" w:csb1="00000000"/>
  </w:font>
  <w:font w:name="方正小标宋简体">
    <w:altName w:val="方正舒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188506"/>
    <w:multiLevelType w:val="singleLevel"/>
    <w:tmpl w:val="9A188506"/>
    <w:lvl w:ilvl="0" w:tentative="0">
      <w:start w:val="2"/>
      <w:numFmt w:val="chineseCounting"/>
      <w:suff w:val="nothing"/>
      <w:lvlText w:val="（%1）"/>
      <w:lvlJc w:val="left"/>
      <w:rPr>
        <w:rFonts w:hint="eastAsia"/>
      </w:rPr>
    </w:lvl>
  </w:abstractNum>
  <w:abstractNum w:abstractNumId="1">
    <w:nsid w:val="A8C983E5"/>
    <w:multiLevelType w:val="singleLevel"/>
    <w:tmpl w:val="A8C983E5"/>
    <w:lvl w:ilvl="0" w:tentative="0">
      <w:start w:val="1"/>
      <w:numFmt w:val="chineseCounting"/>
      <w:suff w:val="nothing"/>
      <w:lvlText w:val="%1、"/>
      <w:lvlJc w:val="left"/>
      <w:rPr>
        <w:rFonts w:hint="eastAsia"/>
      </w:rPr>
    </w:lvl>
  </w:abstractNum>
  <w:abstractNum w:abstractNumId="2">
    <w:nsid w:val="20458A88"/>
    <w:multiLevelType w:val="singleLevel"/>
    <w:tmpl w:val="20458A88"/>
    <w:lvl w:ilvl="0" w:tentative="0">
      <w:start w:val="4"/>
      <w:numFmt w:val="chineseCounting"/>
      <w:suff w:val="nothing"/>
      <w:lvlText w:val="%1、"/>
      <w:lvlJc w:val="left"/>
      <w:rPr>
        <w:rFonts w:hint="eastAsia"/>
      </w:rPr>
    </w:lvl>
  </w:abstractNum>
  <w:abstractNum w:abstractNumId="3">
    <w:nsid w:val="504101D9"/>
    <w:multiLevelType w:val="singleLevel"/>
    <w:tmpl w:val="504101D9"/>
    <w:lvl w:ilvl="0" w:tentative="0">
      <w:start w:val="7"/>
      <w:numFmt w:val="chineseCounting"/>
      <w:suff w:val="nothing"/>
      <w:lvlText w:val="%1、"/>
      <w:lvlJc w:val="left"/>
      <w:rPr>
        <w:rFonts w:hint="eastAsia"/>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ExM2I1Y2E5MTg1NzJhN2FkNjlmNDg5OTI5OGY3ZTQifQ=="/>
    <w:docVar w:name="KSO_WPS_MARK_KEY" w:val="22b05e10-ea8b-462e-b510-449af19111ee"/>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C47EF5"/>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8B41A0"/>
    <w:rsid w:val="02B544DB"/>
    <w:rsid w:val="02CB5D99"/>
    <w:rsid w:val="02F61D91"/>
    <w:rsid w:val="02FC4679"/>
    <w:rsid w:val="02FE5E0A"/>
    <w:rsid w:val="03016617"/>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435E89"/>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14F98"/>
    <w:rsid w:val="04E411E4"/>
    <w:rsid w:val="04F37BBA"/>
    <w:rsid w:val="05085366"/>
    <w:rsid w:val="05145F64"/>
    <w:rsid w:val="05403629"/>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83F75"/>
    <w:rsid w:val="092D1C9E"/>
    <w:rsid w:val="09377E5E"/>
    <w:rsid w:val="09383E9F"/>
    <w:rsid w:val="0939426E"/>
    <w:rsid w:val="09490877"/>
    <w:rsid w:val="09504F8C"/>
    <w:rsid w:val="09616470"/>
    <w:rsid w:val="096C1F5A"/>
    <w:rsid w:val="096C76C1"/>
    <w:rsid w:val="09906B28"/>
    <w:rsid w:val="09912E95"/>
    <w:rsid w:val="099C1A23"/>
    <w:rsid w:val="09A948AF"/>
    <w:rsid w:val="09AC2A76"/>
    <w:rsid w:val="09B04837"/>
    <w:rsid w:val="09C95891"/>
    <w:rsid w:val="09D8005F"/>
    <w:rsid w:val="0A002E0D"/>
    <w:rsid w:val="0A140987"/>
    <w:rsid w:val="0A18082E"/>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BF34E19"/>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382CBA"/>
    <w:rsid w:val="0E4822EE"/>
    <w:rsid w:val="0E4E185D"/>
    <w:rsid w:val="0E522FBE"/>
    <w:rsid w:val="0E5D141B"/>
    <w:rsid w:val="0E8648D6"/>
    <w:rsid w:val="0E8C08DC"/>
    <w:rsid w:val="0E8E43C0"/>
    <w:rsid w:val="0E964CBE"/>
    <w:rsid w:val="0EB05323"/>
    <w:rsid w:val="0EBB707D"/>
    <w:rsid w:val="0EBE40CB"/>
    <w:rsid w:val="0EC36A56"/>
    <w:rsid w:val="0EC62499"/>
    <w:rsid w:val="0ECE4E6F"/>
    <w:rsid w:val="0EDA5C56"/>
    <w:rsid w:val="0EFE4287"/>
    <w:rsid w:val="0EFE6936"/>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1532F"/>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B1F56"/>
    <w:rsid w:val="109E2943"/>
    <w:rsid w:val="10C8346E"/>
    <w:rsid w:val="10FE6AB1"/>
    <w:rsid w:val="1112624E"/>
    <w:rsid w:val="11153798"/>
    <w:rsid w:val="11297158"/>
    <w:rsid w:val="113624A1"/>
    <w:rsid w:val="11404217"/>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8E218A"/>
    <w:rsid w:val="13914897"/>
    <w:rsid w:val="139A096F"/>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008CE"/>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05245"/>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00EA2"/>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1779F"/>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82BBB"/>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050F6"/>
    <w:rsid w:val="21C12688"/>
    <w:rsid w:val="21CC4855"/>
    <w:rsid w:val="21E233A3"/>
    <w:rsid w:val="21E23F6C"/>
    <w:rsid w:val="21E345FD"/>
    <w:rsid w:val="21E500F2"/>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12509"/>
    <w:rsid w:val="2514288A"/>
    <w:rsid w:val="251D35EC"/>
    <w:rsid w:val="25657BD9"/>
    <w:rsid w:val="256609A5"/>
    <w:rsid w:val="25781237"/>
    <w:rsid w:val="257A6914"/>
    <w:rsid w:val="2588530F"/>
    <w:rsid w:val="25963C8A"/>
    <w:rsid w:val="25AB3731"/>
    <w:rsid w:val="25B464A2"/>
    <w:rsid w:val="25BA0209"/>
    <w:rsid w:val="25BB4BF0"/>
    <w:rsid w:val="25CD523D"/>
    <w:rsid w:val="25E62DA9"/>
    <w:rsid w:val="25EE68D6"/>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B65833"/>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AC69B0"/>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DF6B07"/>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60356"/>
    <w:rsid w:val="372D0977"/>
    <w:rsid w:val="37337382"/>
    <w:rsid w:val="374D5647"/>
    <w:rsid w:val="374F42A7"/>
    <w:rsid w:val="37506DBE"/>
    <w:rsid w:val="3759338C"/>
    <w:rsid w:val="37654002"/>
    <w:rsid w:val="378E3E66"/>
    <w:rsid w:val="37C244FC"/>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DF7082F"/>
    <w:rsid w:val="3E0519AD"/>
    <w:rsid w:val="3E353958"/>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16AC6"/>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35206"/>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23B5A"/>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5F23FF"/>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66C41"/>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236794"/>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21ACD"/>
    <w:rsid w:val="56097F90"/>
    <w:rsid w:val="56133E90"/>
    <w:rsid w:val="56474D43"/>
    <w:rsid w:val="564C1D1D"/>
    <w:rsid w:val="565F1E2E"/>
    <w:rsid w:val="56670F45"/>
    <w:rsid w:val="566F1BE2"/>
    <w:rsid w:val="567B004B"/>
    <w:rsid w:val="56825178"/>
    <w:rsid w:val="568F784B"/>
    <w:rsid w:val="569C0124"/>
    <w:rsid w:val="56A17AE8"/>
    <w:rsid w:val="56AF74A9"/>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529DF"/>
    <w:rsid w:val="582872BA"/>
    <w:rsid w:val="5829318A"/>
    <w:rsid w:val="582D7EE9"/>
    <w:rsid w:val="583343BB"/>
    <w:rsid w:val="583439B3"/>
    <w:rsid w:val="583B5787"/>
    <w:rsid w:val="586759C7"/>
    <w:rsid w:val="58B00812"/>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46ABE"/>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EE698B"/>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CF699B"/>
    <w:rsid w:val="5DD45E20"/>
    <w:rsid w:val="5DD77F01"/>
    <w:rsid w:val="5DF376B4"/>
    <w:rsid w:val="5DF974C4"/>
    <w:rsid w:val="5E150E16"/>
    <w:rsid w:val="5E156702"/>
    <w:rsid w:val="5E2C3CE8"/>
    <w:rsid w:val="5E480DBB"/>
    <w:rsid w:val="5E532C32"/>
    <w:rsid w:val="5E635AF5"/>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01D6"/>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407D1"/>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0324A"/>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14CE1"/>
    <w:rsid w:val="6AB909BB"/>
    <w:rsid w:val="6ABA0C51"/>
    <w:rsid w:val="6ABD020C"/>
    <w:rsid w:val="6ADD6D64"/>
    <w:rsid w:val="6B0F06C2"/>
    <w:rsid w:val="6B2B6878"/>
    <w:rsid w:val="6B633F4F"/>
    <w:rsid w:val="6B70680D"/>
    <w:rsid w:val="6B816F14"/>
    <w:rsid w:val="6B8A298B"/>
    <w:rsid w:val="6B8A779B"/>
    <w:rsid w:val="6BAD6C20"/>
    <w:rsid w:val="6BB456BB"/>
    <w:rsid w:val="6BB62A44"/>
    <w:rsid w:val="6BC21359"/>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CE83694"/>
    <w:rsid w:val="6D0D25B8"/>
    <w:rsid w:val="6D490A6B"/>
    <w:rsid w:val="6D582A6D"/>
    <w:rsid w:val="6D604FD1"/>
    <w:rsid w:val="6D635FBA"/>
    <w:rsid w:val="6D6534EB"/>
    <w:rsid w:val="6D6C0EA8"/>
    <w:rsid w:val="6D732F9C"/>
    <w:rsid w:val="6D9239A2"/>
    <w:rsid w:val="6DB664EE"/>
    <w:rsid w:val="6DBC6250"/>
    <w:rsid w:val="6DC64BAC"/>
    <w:rsid w:val="6DEF4A20"/>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2447A4"/>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033BAB"/>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267120"/>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5D13B5"/>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82E15"/>
    <w:rsid w:val="7B496993"/>
    <w:rsid w:val="7B783675"/>
    <w:rsid w:val="7B796807"/>
    <w:rsid w:val="7BAC2D3A"/>
    <w:rsid w:val="7BAE3C97"/>
    <w:rsid w:val="7BB16076"/>
    <w:rsid w:val="7BB46DB9"/>
    <w:rsid w:val="7BC02341"/>
    <w:rsid w:val="7BD74454"/>
    <w:rsid w:val="7BE96DEC"/>
    <w:rsid w:val="7C021A51"/>
    <w:rsid w:val="7C033C13"/>
    <w:rsid w:val="7C041A0F"/>
    <w:rsid w:val="7C110306"/>
    <w:rsid w:val="7C1271CB"/>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next w:val="4"/>
    <w:qFormat/>
    <w:uiPriority w:val="0"/>
    <w:pPr>
      <w:spacing w:after="120"/>
    </w:pPr>
    <w:rPr>
      <w:rFonts w:ascii="Calibri" w:hAnsi="Calibri" w:eastAsia="仿宋_GB2312" w:cs="Times New Roman"/>
      <w:sz w:val="32"/>
      <w:szCs w:val="24"/>
    </w:rPr>
  </w:style>
  <w:style w:type="paragraph" w:customStyle="1" w:styleId="4">
    <w:name w:val="xl27"/>
    <w:basedOn w:val="1"/>
    <w:qFormat/>
    <w:uiPriority w:val="0"/>
    <w:pPr>
      <w:widowControl/>
      <w:pBdr>
        <w:top w:val="single" w:color="auto" w:sz="4" w:space="0"/>
        <w:left w:val="single" w:color="auto" w:sz="8" w:space="0"/>
        <w:bottom w:val="single" w:color="auto" w:sz="4" w:space="0"/>
        <w:right w:val="single" w:color="auto" w:sz="4" w:space="0"/>
      </w:pBdr>
      <w:spacing w:before="100" w:beforeLines="0" w:beforeAutospacing="1" w:after="100" w:afterLines="0" w:afterAutospacing="1"/>
      <w:jc w:val="center"/>
    </w:pPr>
    <w:rPr>
      <w:rFonts w:ascii="???-18030" w:hAnsi="???-18030" w:cs="???-18030"/>
      <w:kern w:val="0"/>
    </w:rPr>
  </w:style>
  <w:style w:type="paragraph" w:styleId="5">
    <w:name w:val="toa heading"/>
    <w:basedOn w:val="1"/>
    <w:next w:val="1"/>
    <w:qFormat/>
    <w:uiPriority w:val="99"/>
    <w:pPr>
      <w:spacing w:before="120" w:after="200" w:line="276" w:lineRule="auto"/>
    </w:pPr>
    <w:rPr>
      <w:rFonts w:ascii="Arial" w:hAnsi="Arial"/>
      <w:sz w:val="24"/>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BodyText"/>
    <w:basedOn w:val="1"/>
    <w:next w:val="13"/>
    <w:qFormat/>
    <w:uiPriority w:val="0"/>
    <w:pPr>
      <w:widowControl/>
      <w:spacing w:before="100" w:beforeAutospacing="1" w:after="120" w:line="560" w:lineRule="exact"/>
      <w:ind w:firstLine="640" w:firstLineChars="200"/>
      <w:textAlignment w:val="baseline"/>
    </w:pPr>
    <w:rPr>
      <w:rFonts w:ascii="Times New Roman" w:hAnsi="Times New Roman" w:eastAsia="宋体" w:cs="Times New Roman"/>
    </w:rPr>
  </w:style>
  <w:style w:type="paragraph" w:customStyle="1" w:styleId="13">
    <w:name w:val="UserStyle_0"/>
    <w:basedOn w:val="1"/>
    <w:qFormat/>
    <w:uiPriority w:val="0"/>
    <w:pPr>
      <w:spacing w:after="120"/>
      <w:ind w:firstLine="420" w:firstLineChars="100"/>
      <w:textAlignment w:val="baseline"/>
    </w:pPr>
  </w:style>
  <w:style w:type="table" w:customStyle="1" w:styleId="14">
    <w:name w:val="Table Normal"/>
    <w:unhideWhenUsed/>
    <w:qFormat/>
    <w:uiPriority w:val="0"/>
    <w:tblPr>
      <w:tblCellMar>
        <w:top w:w="0" w:type="dxa"/>
        <w:left w:w="0" w:type="dxa"/>
        <w:bottom w:w="0" w:type="dxa"/>
        <w:right w:w="0" w:type="dxa"/>
      </w:tblCellMar>
    </w:tblPr>
  </w:style>
  <w:style w:type="character" w:customStyle="1" w:styleId="15">
    <w:name w:val="font21"/>
    <w:basedOn w:val="11"/>
    <w:qFormat/>
    <w:uiPriority w:val="0"/>
    <w:rPr>
      <w:rFonts w:hint="default" w:ascii="Times New Roman" w:hAnsi="Times New Roman" w:cs="Times New Roman"/>
      <w:color w:val="000000"/>
      <w:sz w:val="24"/>
      <w:szCs w:val="24"/>
      <w:u w:val="none"/>
    </w:rPr>
  </w:style>
  <w:style w:type="character" w:customStyle="1" w:styleId="16">
    <w:name w:val="font31"/>
    <w:basedOn w:val="11"/>
    <w:qFormat/>
    <w:uiPriority w:val="0"/>
    <w:rPr>
      <w:rFonts w:hint="default" w:ascii="仿宋_GB2312" w:eastAsia="仿宋_GB2312" w:cs="仿宋_GB2312"/>
      <w:color w:val="000000"/>
      <w:sz w:val="24"/>
      <w:szCs w:val="24"/>
      <w:u w:val="none"/>
    </w:rPr>
  </w:style>
  <w:style w:type="character" w:customStyle="1" w:styleId="17">
    <w:name w:val="font01"/>
    <w:basedOn w:val="11"/>
    <w:qFormat/>
    <w:uiPriority w:val="0"/>
    <w:rPr>
      <w:rFonts w:hint="default" w:ascii="仿宋_GB2312" w:eastAsia="仿宋_GB2312" w:cs="仿宋_GB2312"/>
      <w:color w:val="000000"/>
      <w:sz w:val="24"/>
      <w:szCs w:val="24"/>
      <w:u w:val="none"/>
    </w:rPr>
  </w:style>
  <w:style w:type="paragraph" w:customStyle="1" w:styleId="18">
    <w:name w:val="UserStyle_3"/>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line="560" w:lineRule="exact"/>
      <w:ind w:firstLine="640" w:firstLineChars="200"/>
      <w:jc w:val="center"/>
      <w:textAlignment w:val="baseline"/>
    </w:pPr>
    <w:rPr>
      <w:rFonts w:ascii="???-18030" w:hAnsi="???-18030" w:eastAsia="宋体" w:cs="???-18030"/>
      <w:kern w:val="0"/>
    </w:rPr>
  </w:style>
  <w:style w:type="paragraph" w:customStyle="1" w:styleId="19">
    <w:name w:val="正文1"/>
    <w:basedOn w:val="1"/>
    <w:qFormat/>
    <w:uiPriority w:val="0"/>
    <w:pPr>
      <w:widowControl/>
    </w:pPr>
    <w:rPr>
      <w:rFonts w:eastAsia="Times New Roman"/>
      <w:kern w:val="0"/>
      <w:szCs w:val="20"/>
      <w:lang w:val="zh-CN"/>
    </w:rPr>
  </w:style>
  <w:style w:type="character" w:customStyle="1" w:styleId="20">
    <w:name w:val="font11"/>
    <w:basedOn w:val="11"/>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21</Pages>
  <Words>9149</Words>
  <Characters>10478</Characters>
  <Lines>0</Lines>
  <Paragraphs>0</Paragraphs>
  <TotalTime>114</TotalTime>
  <ScaleCrop>false</ScaleCrop>
  <LinksUpToDate>false</LinksUpToDate>
  <CharactersWithSpaces>10789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necrolyte</cp:lastModifiedBy>
  <cp:lastPrinted>2023-08-28T06:36:00Z</cp:lastPrinted>
  <dcterms:modified xsi:type="dcterms:W3CDTF">2024-07-03T09:20:26Z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50306CC149C84F98BF850919EA3E5AFB_13</vt:lpwstr>
  </property>
</Properties>
</file>