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D9A229">
      <w:pPr>
        <w:rPr>
          <w:rFonts w:ascii="黑体" w:hAnsi="黑体" w:eastAsia="黑体" w:cs="黑体"/>
          <w:color w:val="000000" w:themeColor="text1"/>
          <w:spacing w:val="10"/>
          <w:sz w:val="32"/>
          <w:szCs w:val="32"/>
        </w:rPr>
      </w:pPr>
      <w:r>
        <w:rPr>
          <w:rFonts w:hint="eastAsia" w:ascii="黑体" w:hAnsi="黑体" w:eastAsia="黑体" w:cs="黑体"/>
          <w:color w:val="000000" w:themeColor="text1"/>
          <w:spacing w:val="10"/>
          <w:sz w:val="32"/>
          <w:szCs w:val="32"/>
        </w:rPr>
        <w:t>附件1</w:t>
      </w:r>
    </w:p>
    <w:p w14:paraId="774AEE49">
      <w:pPr>
        <w:spacing w:line="700" w:lineRule="exact"/>
        <w:jc w:val="right"/>
        <w:rPr>
          <w:rFonts w:ascii="方正小标宋简体" w:hAnsi="方正小标宋简体" w:eastAsia="方正小标宋简体" w:cs="方正小标宋简体"/>
          <w:color w:val="000000" w:themeColor="text1"/>
          <w:spacing w:val="2"/>
          <w:sz w:val="44"/>
          <w:szCs w:val="44"/>
        </w:rPr>
      </w:pPr>
      <w:r>
        <w:rPr>
          <w:rFonts w:hint="eastAsia" w:ascii="方正小标宋简体" w:hAnsi="方正小标宋简体" w:eastAsia="方正小标宋简体" w:cs="方正小标宋简体"/>
          <w:color w:val="000000" w:themeColor="text1"/>
          <w:spacing w:val="2"/>
          <w:sz w:val="42"/>
          <w:szCs w:val="42"/>
        </w:rPr>
        <w:t>2022年度预算单位整体支出绩效评价基础数据表</w:t>
      </w:r>
    </w:p>
    <w:p w14:paraId="059FA8A8">
      <w:pPr>
        <w:spacing w:line="115" w:lineRule="exact"/>
        <w:rPr>
          <w:color w:val="000000" w:themeColor="text1"/>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03894C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ign w:val="center"/>
          </w:tcPr>
          <w:p w14:paraId="568413DB">
            <w:pPr>
              <w:spacing w:before="33" w:line="198" w:lineRule="auto"/>
              <w:ind w:right="118"/>
              <w:jc w:val="center"/>
              <w:rPr>
                <w:rFonts w:asciiTheme="majorEastAsia" w:hAnsiTheme="majorEastAsia" w:eastAsiaTheme="majorEastAsia" w:cstheme="majorEastAsia"/>
                <w:color w:val="000000" w:themeColor="text1"/>
                <w:spacing w:val="2"/>
                <w:sz w:val="24"/>
              </w:rPr>
            </w:pPr>
            <w:r>
              <w:rPr>
                <w:rFonts w:hint="eastAsia" w:asciiTheme="majorEastAsia" w:hAnsiTheme="majorEastAsia" w:eastAsiaTheme="majorEastAsia" w:cstheme="majorEastAsia"/>
                <w:color w:val="000000" w:themeColor="text1"/>
                <w:spacing w:val="2"/>
                <w:sz w:val="24"/>
              </w:rPr>
              <w:t>预算单位名称</w:t>
            </w:r>
          </w:p>
        </w:tc>
        <w:tc>
          <w:tcPr>
            <w:tcW w:w="5819" w:type="dxa"/>
            <w:gridSpan w:val="6"/>
            <w:noWrap/>
          </w:tcPr>
          <w:p w14:paraId="350934E6">
            <w:pPr>
              <w:spacing w:before="103" w:line="219" w:lineRule="auto"/>
              <w:ind w:left="708"/>
              <w:rPr>
                <w:rFonts w:asciiTheme="majorEastAsia" w:hAnsiTheme="majorEastAsia" w:eastAsiaTheme="majorEastAsia" w:cstheme="majorEastAsia"/>
                <w:color w:val="000000" w:themeColor="text1"/>
                <w:spacing w:val="-2"/>
                <w:sz w:val="20"/>
                <w:szCs w:val="20"/>
              </w:rPr>
            </w:pPr>
            <w:r>
              <w:rPr>
                <w:rFonts w:hint="eastAsia" w:asciiTheme="majorEastAsia" w:hAnsiTheme="majorEastAsia" w:eastAsiaTheme="majorEastAsia" w:cstheme="majorEastAsia"/>
                <w:color w:val="000000" w:themeColor="text1"/>
                <w:spacing w:val="-2"/>
                <w:sz w:val="20"/>
                <w:szCs w:val="20"/>
              </w:rPr>
              <w:t>岳阳市岳阳楼区城市管理和综合执法局</w:t>
            </w:r>
          </w:p>
        </w:tc>
      </w:tr>
      <w:tr w14:paraId="214F0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tcPr>
          <w:p w14:paraId="3719B22E">
            <w:pPr>
              <w:spacing w:before="262" w:line="219" w:lineRule="auto"/>
              <w:ind w:left="575"/>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财政供养人员情况(人)</w:t>
            </w:r>
          </w:p>
        </w:tc>
        <w:tc>
          <w:tcPr>
            <w:tcW w:w="1815" w:type="dxa"/>
            <w:gridSpan w:val="2"/>
            <w:noWrap/>
          </w:tcPr>
          <w:p w14:paraId="6238338B">
            <w:pPr>
              <w:spacing w:before="103"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编制数</w:t>
            </w:r>
          </w:p>
        </w:tc>
        <w:tc>
          <w:tcPr>
            <w:tcW w:w="2325" w:type="dxa"/>
            <w:gridSpan w:val="2"/>
            <w:noWrap/>
          </w:tcPr>
          <w:p w14:paraId="5C63ED2E">
            <w:pPr>
              <w:spacing w:before="83"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2022年实际在职人数</w:t>
            </w:r>
          </w:p>
        </w:tc>
        <w:tc>
          <w:tcPr>
            <w:tcW w:w="1679" w:type="dxa"/>
            <w:gridSpan w:val="2"/>
            <w:noWrap/>
          </w:tcPr>
          <w:p w14:paraId="1E9C4600">
            <w:pPr>
              <w:spacing w:before="103" w:line="219" w:lineRule="auto"/>
              <w:ind w:left="708"/>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控制率</w:t>
            </w:r>
          </w:p>
        </w:tc>
      </w:tr>
      <w:tr w14:paraId="44035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tcPr>
          <w:p w14:paraId="160F6D2F">
            <w:pPr>
              <w:jc w:val="left"/>
              <w:rPr>
                <w:rFonts w:asciiTheme="majorEastAsia" w:hAnsiTheme="majorEastAsia" w:eastAsiaTheme="majorEastAsia" w:cstheme="majorEastAsia"/>
                <w:color w:val="000000" w:themeColor="text1"/>
                <w:sz w:val="24"/>
              </w:rPr>
            </w:pPr>
          </w:p>
        </w:tc>
        <w:tc>
          <w:tcPr>
            <w:tcW w:w="1815" w:type="dxa"/>
            <w:gridSpan w:val="2"/>
            <w:noWrap/>
          </w:tcPr>
          <w:p w14:paraId="08529850">
            <w:pPr>
              <w:jc w:val="center"/>
              <w:rPr>
                <w:rFonts w:hint="default" w:asciiTheme="majorEastAsia" w:hAnsiTheme="majorEastAsia" w:eastAsiaTheme="majorEastAsia" w:cstheme="majorEastAsia"/>
                <w:color w:val="000000" w:themeColor="text1"/>
                <w:sz w:val="24"/>
                <w:lang w:val="en-US" w:eastAsia="zh-CN"/>
              </w:rPr>
            </w:pPr>
            <w:r>
              <w:rPr>
                <w:rFonts w:hint="eastAsia" w:asciiTheme="majorEastAsia" w:hAnsiTheme="majorEastAsia" w:eastAsiaTheme="majorEastAsia" w:cstheme="majorEastAsia"/>
                <w:color w:val="000000" w:themeColor="text1"/>
                <w:sz w:val="24"/>
                <w:lang w:val="en-US" w:eastAsia="zh-CN"/>
              </w:rPr>
              <w:t>492</w:t>
            </w:r>
          </w:p>
        </w:tc>
        <w:tc>
          <w:tcPr>
            <w:tcW w:w="2325" w:type="dxa"/>
            <w:gridSpan w:val="2"/>
            <w:noWrap/>
          </w:tcPr>
          <w:p w14:paraId="255BC1B1">
            <w:pPr>
              <w:jc w:val="center"/>
              <w:rPr>
                <w:rFonts w:hint="default" w:asciiTheme="majorEastAsia" w:hAnsiTheme="majorEastAsia" w:eastAsiaTheme="majorEastAsia" w:cstheme="majorEastAsia"/>
                <w:color w:val="000000" w:themeColor="text1"/>
                <w:sz w:val="24"/>
                <w:lang w:val="en-US" w:eastAsia="zh-CN"/>
              </w:rPr>
            </w:pPr>
            <w:r>
              <w:rPr>
                <w:rFonts w:hint="eastAsia" w:asciiTheme="majorEastAsia" w:hAnsiTheme="majorEastAsia" w:eastAsiaTheme="majorEastAsia" w:cstheme="majorEastAsia"/>
                <w:color w:val="000000" w:themeColor="text1"/>
                <w:sz w:val="24"/>
                <w:lang w:val="en-US" w:eastAsia="zh-CN"/>
              </w:rPr>
              <w:t>319</w:t>
            </w:r>
          </w:p>
        </w:tc>
        <w:tc>
          <w:tcPr>
            <w:tcW w:w="1679" w:type="dxa"/>
            <w:gridSpan w:val="2"/>
            <w:noWrap/>
          </w:tcPr>
          <w:p w14:paraId="4CC9FD7D">
            <w:pPr>
              <w:rPr>
                <w:rFonts w:asciiTheme="majorEastAsia" w:hAnsiTheme="majorEastAsia" w:eastAsiaTheme="majorEastAsia" w:cstheme="majorEastAsia"/>
                <w:color w:val="000000" w:themeColor="text1"/>
                <w:sz w:val="24"/>
              </w:rPr>
            </w:pPr>
          </w:p>
        </w:tc>
      </w:tr>
      <w:tr w14:paraId="52F914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tcPr>
          <w:p w14:paraId="2D2921A7">
            <w:pPr>
              <w:spacing w:before="140" w:line="202" w:lineRule="auto"/>
              <w:ind w:left="6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4"/>
                <w:sz w:val="24"/>
              </w:rPr>
              <w:t>经费控制情况(万元)</w:t>
            </w:r>
          </w:p>
        </w:tc>
        <w:tc>
          <w:tcPr>
            <w:tcW w:w="1815" w:type="dxa"/>
            <w:gridSpan w:val="2"/>
            <w:noWrap/>
          </w:tcPr>
          <w:p w14:paraId="2109B072">
            <w:pPr>
              <w:spacing w:before="119"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2021年决算数</w:t>
            </w:r>
          </w:p>
        </w:tc>
        <w:tc>
          <w:tcPr>
            <w:tcW w:w="2325" w:type="dxa"/>
            <w:gridSpan w:val="2"/>
            <w:noWrap/>
          </w:tcPr>
          <w:p w14:paraId="22443245">
            <w:pPr>
              <w:spacing w:before="119"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2022年预算数</w:t>
            </w:r>
          </w:p>
        </w:tc>
        <w:tc>
          <w:tcPr>
            <w:tcW w:w="1679" w:type="dxa"/>
            <w:gridSpan w:val="2"/>
            <w:noWrap/>
          </w:tcPr>
          <w:p w14:paraId="007CA206">
            <w:pPr>
              <w:spacing w:before="76"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4"/>
                <w:sz w:val="24"/>
              </w:rPr>
              <w:t>2022年决算数</w:t>
            </w:r>
          </w:p>
        </w:tc>
      </w:tr>
      <w:tr w14:paraId="28EBE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42E4A67B">
            <w:pPr>
              <w:spacing w:before="141" w:line="202" w:lineRule="auto"/>
              <w:ind w:left="1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三公经费</w:t>
            </w:r>
          </w:p>
        </w:tc>
        <w:tc>
          <w:tcPr>
            <w:tcW w:w="1815" w:type="dxa"/>
            <w:gridSpan w:val="2"/>
            <w:noWrap/>
          </w:tcPr>
          <w:p w14:paraId="3A8F0068">
            <w:pP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15.34</w:t>
            </w:r>
          </w:p>
        </w:tc>
        <w:tc>
          <w:tcPr>
            <w:tcW w:w="2325" w:type="dxa"/>
            <w:gridSpan w:val="2"/>
            <w:noWrap/>
          </w:tcPr>
          <w:p w14:paraId="608758D7">
            <w:pP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20</w:t>
            </w:r>
          </w:p>
        </w:tc>
        <w:tc>
          <w:tcPr>
            <w:tcW w:w="1679" w:type="dxa"/>
            <w:gridSpan w:val="2"/>
            <w:noWrap/>
          </w:tcPr>
          <w:p w14:paraId="6664723D">
            <w:pP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13.93</w:t>
            </w:r>
          </w:p>
        </w:tc>
      </w:tr>
      <w:tr w14:paraId="42F17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752FC7C2">
            <w:pPr>
              <w:spacing w:before="149" w:line="193" w:lineRule="auto"/>
              <w:ind w:left="4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1、公务用车购置和维护经费</w:t>
            </w:r>
          </w:p>
        </w:tc>
        <w:tc>
          <w:tcPr>
            <w:tcW w:w="1815" w:type="dxa"/>
            <w:gridSpan w:val="2"/>
            <w:noWrap/>
          </w:tcPr>
          <w:p w14:paraId="3E0E3A46">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15.01</w:t>
            </w:r>
          </w:p>
        </w:tc>
        <w:tc>
          <w:tcPr>
            <w:tcW w:w="2325" w:type="dxa"/>
            <w:gridSpan w:val="2"/>
            <w:noWrap/>
          </w:tcPr>
          <w:p w14:paraId="7FEA15E4">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18</w:t>
            </w:r>
          </w:p>
        </w:tc>
        <w:tc>
          <w:tcPr>
            <w:tcW w:w="1679" w:type="dxa"/>
            <w:gridSpan w:val="2"/>
            <w:noWrap/>
          </w:tcPr>
          <w:p w14:paraId="1D95D96C">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13.93</w:t>
            </w:r>
          </w:p>
        </w:tc>
      </w:tr>
      <w:tr w14:paraId="76FB59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486CCAD8">
            <w:pPr>
              <w:spacing w:before="81" w:line="219" w:lineRule="auto"/>
              <w:ind w:left="8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其中：公车购置</w:t>
            </w:r>
          </w:p>
        </w:tc>
        <w:tc>
          <w:tcPr>
            <w:tcW w:w="1815" w:type="dxa"/>
            <w:gridSpan w:val="2"/>
            <w:noWrap/>
          </w:tcPr>
          <w:p w14:paraId="5A65EA57">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2325" w:type="dxa"/>
            <w:gridSpan w:val="2"/>
            <w:noWrap/>
          </w:tcPr>
          <w:p w14:paraId="1CBD8933">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1679" w:type="dxa"/>
            <w:gridSpan w:val="2"/>
            <w:noWrap/>
          </w:tcPr>
          <w:p w14:paraId="06E25CE5">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14:paraId="4C152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tcPr>
          <w:p w14:paraId="66DBCA8E">
            <w:pPr>
              <w:spacing w:before="91" w:line="219" w:lineRule="auto"/>
              <w:ind w:left="142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公车运行维护</w:t>
            </w:r>
          </w:p>
        </w:tc>
        <w:tc>
          <w:tcPr>
            <w:tcW w:w="1815" w:type="dxa"/>
            <w:gridSpan w:val="2"/>
            <w:noWrap/>
          </w:tcPr>
          <w:p w14:paraId="51C6451F">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15.01</w:t>
            </w:r>
          </w:p>
        </w:tc>
        <w:tc>
          <w:tcPr>
            <w:tcW w:w="2325" w:type="dxa"/>
            <w:gridSpan w:val="2"/>
            <w:noWrap/>
          </w:tcPr>
          <w:p w14:paraId="4286F1ED">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18</w:t>
            </w:r>
          </w:p>
        </w:tc>
        <w:tc>
          <w:tcPr>
            <w:tcW w:w="1679" w:type="dxa"/>
            <w:gridSpan w:val="2"/>
            <w:noWrap/>
          </w:tcPr>
          <w:p w14:paraId="6967E738">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14:paraId="61380E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tcPr>
          <w:p w14:paraId="48F0A426">
            <w:pPr>
              <w:spacing w:before="81" w:line="220"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2、出国经费</w:t>
            </w:r>
          </w:p>
        </w:tc>
        <w:tc>
          <w:tcPr>
            <w:tcW w:w="1815" w:type="dxa"/>
            <w:gridSpan w:val="2"/>
            <w:noWrap/>
          </w:tcPr>
          <w:p w14:paraId="48086F1C">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2325" w:type="dxa"/>
            <w:gridSpan w:val="2"/>
            <w:noWrap/>
          </w:tcPr>
          <w:p w14:paraId="1B6642D8">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1679" w:type="dxa"/>
            <w:gridSpan w:val="2"/>
            <w:noWrap/>
          </w:tcPr>
          <w:p w14:paraId="6115D973">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14:paraId="3D6BC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41F08AD7">
            <w:pPr>
              <w:spacing w:before="82" w:line="219"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3、公务接待</w:t>
            </w:r>
          </w:p>
        </w:tc>
        <w:tc>
          <w:tcPr>
            <w:tcW w:w="1815" w:type="dxa"/>
            <w:gridSpan w:val="2"/>
            <w:noWrap/>
          </w:tcPr>
          <w:p w14:paraId="2E4681A5">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0.33</w:t>
            </w:r>
          </w:p>
        </w:tc>
        <w:tc>
          <w:tcPr>
            <w:tcW w:w="2325" w:type="dxa"/>
            <w:gridSpan w:val="2"/>
            <w:noWrap/>
          </w:tcPr>
          <w:p w14:paraId="5A3CD6FB">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2</w:t>
            </w:r>
          </w:p>
        </w:tc>
        <w:tc>
          <w:tcPr>
            <w:tcW w:w="1679" w:type="dxa"/>
            <w:gridSpan w:val="2"/>
            <w:noWrap/>
          </w:tcPr>
          <w:p w14:paraId="2AB237D9">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14:paraId="65EBAD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BE92DCE">
            <w:pPr>
              <w:spacing w:before="143" w:line="200" w:lineRule="auto"/>
              <w:ind w:left="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9"/>
                <w:sz w:val="24"/>
              </w:rPr>
              <w:t>项目支出：</w:t>
            </w:r>
          </w:p>
        </w:tc>
        <w:tc>
          <w:tcPr>
            <w:tcW w:w="1815" w:type="dxa"/>
            <w:gridSpan w:val="2"/>
            <w:noWrap/>
          </w:tcPr>
          <w:p w14:paraId="6092B0BD">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140</w:t>
            </w:r>
          </w:p>
        </w:tc>
        <w:tc>
          <w:tcPr>
            <w:tcW w:w="2325" w:type="dxa"/>
            <w:gridSpan w:val="2"/>
            <w:noWrap/>
          </w:tcPr>
          <w:p w14:paraId="2C3FB8E3">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142.01</w:t>
            </w:r>
          </w:p>
        </w:tc>
        <w:tc>
          <w:tcPr>
            <w:tcW w:w="1679" w:type="dxa"/>
            <w:gridSpan w:val="2"/>
            <w:noWrap/>
          </w:tcPr>
          <w:p w14:paraId="01FCB16E">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142.01</w:t>
            </w:r>
          </w:p>
        </w:tc>
      </w:tr>
      <w:tr w14:paraId="02344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tcPr>
          <w:p w14:paraId="7E55984D">
            <w:pPr>
              <w:spacing w:before="133" w:line="200"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1、业务工作经费</w:t>
            </w:r>
          </w:p>
        </w:tc>
        <w:tc>
          <w:tcPr>
            <w:tcW w:w="1815" w:type="dxa"/>
            <w:gridSpan w:val="2"/>
            <w:noWrap/>
          </w:tcPr>
          <w:p w14:paraId="16703E43">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2325" w:type="dxa"/>
            <w:gridSpan w:val="2"/>
            <w:noWrap/>
          </w:tcPr>
          <w:p w14:paraId="1E8C86AD">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140</w:t>
            </w:r>
          </w:p>
        </w:tc>
        <w:tc>
          <w:tcPr>
            <w:tcW w:w="1679" w:type="dxa"/>
            <w:gridSpan w:val="2"/>
            <w:noWrap/>
          </w:tcPr>
          <w:p w14:paraId="26A68588">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140</w:t>
            </w:r>
          </w:p>
        </w:tc>
      </w:tr>
      <w:tr w14:paraId="7CC05D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tcPr>
          <w:p w14:paraId="7BB0924A">
            <w:pPr>
              <w:spacing w:before="143" w:line="209"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2、运行维护经费</w:t>
            </w:r>
          </w:p>
        </w:tc>
        <w:tc>
          <w:tcPr>
            <w:tcW w:w="1815" w:type="dxa"/>
            <w:gridSpan w:val="2"/>
            <w:noWrap/>
          </w:tcPr>
          <w:p w14:paraId="1BC8C966">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140</w:t>
            </w:r>
          </w:p>
        </w:tc>
        <w:tc>
          <w:tcPr>
            <w:tcW w:w="2325" w:type="dxa"/>
            <w:gridSpan w:val="2"/>
            <w:noWrap/>
          </w:tcPr>
          <w:p w14:paraId="20DC4D07">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2.01</w:t>
            </w:r>
          </w:p>
        </w:tc>
        <w:tc>
          <w:tcPr>
            <w:tcW w:w="1679" w:type="dxa"/>
            <w:gridSpan w:val="2"/>
            <w:noWrap/>
          </w:tcPr>
          <w:p w14:paraId="4715C80B">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2.01</w:t>
            </w:r>
          </w:p>
        </w:tc>
      </w:tr>
      <w:tr w14:paraId="36342C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tcPr>
          <w:p w14:paraId="60CFFD78">
            <w:pPr>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w:t>
            </w:r>
          </w:p>
        </w:tc>
        <w:tc>
          <w:tcPr>
            <w:tcW w:w="1815" w:type="dxa"/>
            <w:gridSpan w:val="2"/>
            <w:noWrap/>
          </w:tcPr>
          <w:p w14:paraId="5EE2F0BD">
            <w:pPr>
              <w:rPr>
                <w:rFonts w:asciiTheme="majorEastAsia" w:hAnsiTheme="majorEastAsia" w:eastAsiaTheme="majorEastAsia" w:cstheme="majorEastAsia"/>
                <w:color w:val="000000" w:themeColor="text1"/>
              </w:rPr>
            </w:pPr>
          </w:p>
        </w:tc>
        <w:tc>
          <w:tcPr>
            <w:tcW w:w="2325" w:type="dxa"/>
            <w:gridSpan w:val="2"/>
            <w:noWrap/>
          </w:tcPr>
          <w:p w14:paraId="0F0E87BF">
            <w:pPr>
              <w:rPr>
                <w:rFonts w:asciiTheme="majorEastAsia" w:hAnsiTheme="majorEastAsia" w:eastAsiaTheme="majorEastAsia" w:cstheme="majorEastAsia"/>
                <w:color w:val="000000" w:themeColor="text1"/>
              </w:rPr>
            </w:pPr>
          </w:p>
        </w:tc>
        <w:tc>
          <w:tcPr>
            <w:tcW w:w="1679" w:type="dxa"/>
            <w:gridSpan w:val="2"/>
            <w:noWrap/>
          </w:tcPr>
          <w:p w14:paraId="06587561">
            <w:pPr>
              <w:rPr>
                <w:rFonts w:asciiTheme="majorEastAsia" w:hAnsiTheme="majorEastAsia" w:eastAsiaTheme="majorEastAsia" w:cstheme="majorEastAsia"/>
                <w:color w:val="000000" w:themeColor="text1"/>
              </w:rPr>
            </w:pPr>
          </w:p>
        </w:tc>
      </w:tr>
      <w:tr w14:paraId="4BF9B4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tcPr>
          <w:p w14:paraId="7FADB0B9">
            <w:pPr>
              <w:spacing w:before="93" w:line="219" w:lineRule="auto"/>
              <w:ind w:firstLine="488" w:firstLineChars="200"/>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3、区级专项资金</w:t>
            </w:r>
            <w:r>
              <w:rPr>
                <w:rFonts w:hint="eastAsia" w:asciiTheme="majorEastAsia" w:hAnsiTheme="majorEastAsia" w:eastAsiaTheme="majorEastAsia" w:cstheme="majorEastAsia"/>
                <w:color w:val="000000" w:themeColor="text1"/>
                <w:spacing w:val="2"/>
                <w:szCs w:val="21"/>
              </w:rPr>
              <w:t>(一个专项一行)</w:t>
            </w:r>
          </w:p>
        </w:tc>
        <w:tc>
          <w:tcPr>
            <w:tcW w:w="1815" w:type="dxa"/>
            <w:gridSpan w:val="2"/>
            <w:noWrap/>
          </w:tcPr>
          <w:p w14:paraId="28975DC5">
            <w:pPr>
              <w:rPr>
                <w:rFonts w:asciiTheme="majorEastAsia" w:hAnsiTheme="majorEastAsia" w:eastAsiaTheme="majorEastAsia" w:cstheme="majorEastAsia"/>
                <w:color w:val="000000" w:themeColor="text1"/>
              </w:rPr>
            </w:pPr>
          </w:p>
        </w:tc>
        <w:tc>
          <w:tcPr>
            <w:tcW w:w="2325" w:type="dxa"/>
            <w:gridSpan w:val="2"/>
            <w:noWrap/>
          </w:tcPr>
          <w:p w14:paraId="21FF1AC0">
            <w:pPr>
              <w:rPr>
                <w:rFonts w:asciiTheme="majorEastAsia" w:hAnsiTheme="majorEastAsia" w:eastAsiaTheme="majorEastAsia" w:cstheme="majorEastAsia"/>
                <w:color w:val="000000" w:themeColor="text1"/>
              </w:rPr>
            </w:pPr>
          </w:p>
        </w:tc>
        <w:tc>
          <w:tcPr>
            <w:tcW w:w="1679" w:type="dxa"/>
            <w:gridSpan w:val="2"/>
            <w:noWrap/>
          </w:tcPr>
          <w:p w14:paraId="1DD4387B">
            <w:pPr>
              <w:rPr>
                <w:rFonts w:asciiTheme="majorEastAsia" w:hAnsiTheme="majorEastAsia" w:eastAsiaTheme="majorEastAsia" w:cstheme="majorEastAsia"/>
                <w:color w:val="000000" w:themeColor="text1"/>
              </w:rPr>
            </w:pPr>
          </w:p>
        </w:tc>
      </w:tr>
      <w:tr w14:paraId="20899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326AF92E">
            <w:pPr>
              <w:jc w:val="left"/>
              <w:rPr>
                <w:rFonts w:asciiTheme="majorEastAsia" w:hAnsiTheme="majorEastAsia" w:eastAsiaTheme="majorEastAsia" w:cstheme="majorEastAsia"/>
                <w:color w:val="000000" w:themeColor="text1"/>
                <w:sz w:val="24"/>
              </w:rPr>
            </w:pPr>
          </w:p>
        </w:tc>
        <w:tc>
          <w:tcPr>
            <w:tcW w:w="1815" w:type="dxa"/>
            <w:gridSpan w:val="2"/>
            <w:noWrap/>
          </w:tcPr>
          <w:p w14:paraId="417A4474">
            <w:pPr>
              <w:rPr>
                <w:rFonts w:asciiTheme="majorEastAsia" w:hAnsiTheme="majorEastAsia" w:eastAsiaTheme="majorEastAsia" w:cstheme="majorEastAsia"/>
                <w:color w:val="000000" w:themeColor="text1"/>
              </w:rPr>
            </w:pPr>
          </w:p>
        </w:tc>
        <w:tc>
          <w:tcPr>
            <w:tcW w:w="2325" w:type="dxa"/>
            <w:gridSpan w:val="2"/>
            <w:noWrap/>
          </w:tcPr>
          <w:p w14:paraId="3DC690BE">
            <w:pPr>
              <w:rPr>
                <w:rFonts w:asciiTheme="majorEastAsia" w:hAnsiTheme="majorEastAsia" w:eastAsiaTheme="majorEastAsia" w:cstheme="majorEastAsia"/>
                <w:color w:val="000000" w:themeColor="text1"/>
              </w:rPr>
            </w:pPr>
          </w:p>
        </w:tc>
        <w:tc>
          <w:tcPr>
            <w:tcW w:w="1679" w:type="dxa"/>
            <w:gridSpan w:val="2"/>
            <w:noWrap/>
          </w:tcPr>
          <w:p w14:paraId="592EC675">
            <w:pPr>
              <w:rPr>
                <w:rFonts w:asciiTheme="majorEastAsia" w:hAnsiTheme="majorEastAsia" w:eastAsiaTheme="majorEastAsia" w:cstheme="majorEastAsia"/>
                <w:color w:val="000000" w:themeColor="text1"/>
              </w:rPr>
            </w:pPr>
          </w:p>
        </w:tc>
      </w:tr>
      <w:tr w14:paraId="50C49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3E0C1239">
            <w:pPr>
              <w:spacing w:before="85" w:line="220" w:lineRule="auto"/>
              <w:ind w:firstLine="492" w:firstLineChars="200"/>
              <w:jc w:val="left"/>
              <w:rPr>
                <w:rFonts w:asciiTheme="majorEastAsia" w:hAnsiTheme="majorEastAsia" w:eastAsiaTheme="majorEastAsia" w:cstheme="majorEastAsia"/>
                <w:color w:val="000000" w:themeColor="text1"/>
                <w:spacing w:val="3"/>
                <w:sz w:val="24"/>
              </w:rPr>
            </w:pPr>
            <w:r>
              <w:rPr>
                <w:rFonts w:hint="eastAsia" w:asciiTheme="majorEastAsia" w:hAnsiTheme="majorEastAsia" w:eastAsiaTheme="majorEastAsia" w:cstheme="majorEastAsia"/>
                <w:color w:val="000000" w:themeColor="text1"/>
                <w:spacing w:val="3"/>
                <w:sz w:val="24"/>
              </w:rPr>
              <w:t>4、上级转移支付</w:t>
            </w:r>
            <w:r>
              <w:rPr>
                <w:rFonts w:hint="eastAsia" w:asciiTheme="majorEastAsia" w:hAnsiTheme="majorEastAsia" w:eastAsiaTheme="majorEastAsia" w:cstheme="majorEastAsia"/>
                <w:color w:val="000000" w:themeColor="text1"/>
                <w:spacing w:val="2"/>
                <w:szCs w:val="21"/>
              </w:rPr>
              <w:t>(一个专项一行）</w:t>
            </w:r>
          </w:p>
        </w:tc>
        <w:tc>
          <w:tcPr>
            <w:tcW w:w="1815" w:type="dxa"/>
            <w:gridSpan w:val="2"/>
            <w:noWrap/>
          </w:tcPr>
          <w:p w14:paraId="0B2A7A80">
            <w:pPr>
              <w:rPr>
                <w:rFonts w:asciiTheme="majorEastAsia" w:hAnsiTheme="majorEastAsia" w:eastAsiaTheme="majorEastAsia" w:cstheme="majorEastAsia"/>
                <w:color w:val="000000" w:themeColor="text1"/>
              </w:rPr>
            </w:pPr>
          </w:p>
        </w:tc>
        <w:tc>
          <w:tcPr>
            <w:tcW w:w="2325" w:type="dxa"/>
            <w:gridSpan w:val="2"/>
            <w:noWrap/>
          </w:tcPr>
          <w:p w14:paraId="0D999D59">
            <w:pPr>
              <w:rPr>
                <w:rFonts w:asciiTheme="majorEastAsia" w:hAnsiTheme="majorEastAsia" w:eastAsiaTheme="majorEastAsia" w:cstheme="majorEastAsia"/>
                <w:color w:val="000000" w:themeColor="text1"/>
              </w:rPr>
            </w:pPr>
          </w:p>
        </w:tc>
        <w:tc>
          <w:tcPr>
            <w:tcW w:w="1679" w:type="dxa"/>
            <w:gridSpan w:val="2"/>
            <w:noWrap/>
          </w:tcPr>
          <w:p w14:paraId="72EC6C51">
            <w:pPr>
              <w:rPr>
                <w:rFonts w:asciiTheme="majorEastAsia" w:hAnsiTheme="majorEastAsia" w:eastAsiaTheme="majorEastAsia" w:cstheme="majorEastAsia"/>
                <w:color w:val="000000" w:themeColor="text1"/>
              </w:rPr>
            </w:pPr>
          </w:p>
        </w:tc>
      </w:tr>
      <w:tr w14:paraId="7868E0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62D89FD7">
            <w:pPr>
              <w:spacing w:before="85" w:line="220" w:lineRule="auto"/>
              <w:ind w:left="9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公用经费</w:t>
            </w:r>
          </w:p>
        </w:tc>
        <w:tc>
          <w:tcPr>
            <w:tcW w:w="1815" w:type="dxa"/>
            <w:gridSpan w:val="2"/>
            <w:noWrap/>
          </w:tcPr>
          <w:p w14:paraId="175C181B">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604.13</w:t>
            </w:r>
          </w:p>
        </w:tc>
        <w:tc>
          <w:tcPr>
            <w:tcW w:w="2325" w:type="dxa"/>
            <w:gridSpan w:val="2"/>
            <w:noWrap/>
          </w:tcPr>
          <w:p w14:paraId="60EA9E9A">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552.60</w:t>
            </w:r>
          </w:p>
        </w:tc>
        <w:tc>
          <w:tcPr>
            <w:tcW w:w="1679" w:type="dxa"/>
            <w:gridSpan w:val="2"/>
            <w:noWrap/>
          </w:tcPr>
          <w:p w14:paraId="05095F84">
            <w:pPr>
              <w:rPr>
                <w:rFonts w:hint="default" w:asciiTheme="majorEastAsia" w:hAnsiTheme="majorEastAsia" w:eastAsiaTheme="majorEastAsia" w:cstheme="majorEastAsia"/>
                <w:color w:val="000000" w:themeColor="text1"/>
                <w:lang w:val="en-US" w:eastAsia="zh-CN"/>
              </w:rPr>
            </w:pPr>
            <w:r>
              <w:rPr>
                <w:rFonts w:hint="eastAsia" w:asciiTheme="majorEastAsia" w:hAnsiTheme="majorEastAsia" w:eastAsiaTheme="majorEastAsia" w:cstheme="majorEastAsia"/>
                <w:color w:val="000000" w:themeColor="text1"/>
                <w:highlight w:val="none"/>
                <w:lang w:val="en-US" w:eastAsia="zh-CN"/>
              </w:rPr>
              <w:t>779.50</w:t>
            </w:r>
          </w:p>
        </w:tc>
      </w:tr>
      <w:tr w14:paraId="294C82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CF24A37">
            <w:pPr>
              <w:spacing w:before="85" w:line="219"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其中：办公经费</w:t>
            </w:r>
          </w:p>
        </w:tc>
        <w:tc>
          <w:tcPr>
            <w:tcW w:w="1815" w:type="dxa"/>
            <w:gridSpan w:val="2"/>
            <w:noWrap/>
          </w:tcPr>
          <w:p w14:paraId="68CACE88">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590.37</w:t>
            </w:r>
          </w:p>
        </w:tc>
        <w:tc>
          <w:tcPr>
            <w:tcW w:w="2325" w:type="dxa"/>
            <w:gridSpan w:val="2"/>
            <w:noWrap/>
          </w:tcPr>
          <w:p w14:paraId="5BBECD05">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534.6</w:t>
            </w:r>
          </w:p>
        </w:tc>
        <w:tc>
          <w:tcPr>
            <w:tcW w:w="1679" w:type="dxa"/>
            <w:gridSpan w:val="2"/>
            <w:noWrap/>
          </w:tcPr>
          <w:p w14:paraId="223045E4">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610.32</w:t>
            </w:r>
          </w:p>
        </w:tc>
      </w:tr>
      <w:tr w14:paraId="17444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tcPr>
          <w:p w14:paraId="0E9C14A9">
            <w:pPr>
              <w:spacing w:before="135" w:line="198" w:lineRule="auto"/>
              <w:ind w:left="11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水费、电费、差旅费</w:t>
            </w:r>
          </w:p>
        </w:tc>
        <w:tc>
          <w:tcPr>
            <w:tcW w:w="1815" w:type="dxa"/>
            <w:gridSpan w:val="2"/>
            <w:noWrap/>
          </w:tcPr>
          <w:p w14:paraId="577AA63F">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10.06</w:t>
            </w:r>
          </w:p>
        </w:tc>
        <w:tc>
          <w:tcPr>
            <w:tcW w:w="2325" w:type="dxa"/>
            <w:gridSpan w:val="2"/>
            <w:noWrap/>
          </w:tcPr>
          <w:p w14:paraId="304C4570">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16</w:t>
            </w:r>
          </w:p>
        </w:tc>
        <w:tc>
          <w:tcPr>
            <w:tcW w:w="1679" w:type="dxa"/>
            <w:gridSpan w:val="2"/>
            <w:noWrap/>
          </w:tcPr>
          <w:p w14:paraId="472EE047">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16</w:t>
            </w:r>
          </w:p>
        </w:tc>
      </w:tr>
      <w:tr w14:paraId="1B1B5A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1C09F954">
            <w:pPr>
              <w:spacing w:before="144" w:line="198" w:lineRule="auto"/>
              <w:ind w:left="112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会议费、培训费</w:t>
            </w:r>
          </w:p>
        </w:tc>
        <w:tc>
          <w:tcPr>
            <w:tcW w:w="1815" w:type="dxa"/>
            <w:gridSpan w:val="2"/>
            <w:noWrap/>
          </w:tcPr>
          <w:p w14:paraId="124F1519">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3.70</w:t>
            </w:r>
          </w:p>
        </w:tc>
        <w:tc>
          <w:tcPr>
            <w:tcW w:w="2325" w:type="dxa"/>
            <w:gridSpan w:val="2"/>
            <w:noWrap/>
          </w:tcPr>
          <w:p w14:paraId="73C7B8DC">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2</w:t>
            </w:r>
          </w:p>
        </w:tc>
        <w:tc>
          <w:tcPr>
            <w:tcW w:w="1679" w:type="dxa"/>
            <w:gridSpan w:val="2"/>
            <w:noWrap/>
          </w:tcPr>
          <w:p w14:paraId="15829BA7">
            <w:pP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2.12</w:t>
            </w:r>
          </w:p>
        </w:tc>
      </w:tr>
      <w:tr w14:paraId="39A5B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tcPr>
          <w:p w14:paraId="72398F95">
            <w:pPr>
              <w:spacing w:before="145" w:line="189" w:lineRule="auto"/>
              <w:ind w:left="10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政府采购金额</w:t>
            </w:r>
          </w:p>
        </w:tc>
        <w:tc>
          <w:tcPr>
            <w:tcW w:w="1815" w:type="dxa"/>
            <w:gridSpan w:val="2"/>
            <w:noWrap/>
          </w:tcPr>
          <w:p w14:paraId="2B797648">
            <w:pPr>
              <w:rPr>
                <w:rFonts w:asciiTheme="majorEastAsia" w:hAnsiTheme="majorEastAsia" w:eastAsiaTheme="majorEastAsia" w:cstheme="majorEastAsia"/>
                <w:color w:val="000000" w:themeColor="text1"/>
              </w:rPr>
            </w:pPr>
            <w:r>
              <w:rPr>
                <w:rFonts w:asciiTheme="majorEastAsia" w:hAnsiTheme="majorEastAsia" w:eastAsiaTheme="majorEastAsia" w:cstheme="majorEastAsia"/>
                <w:color w:val="000000" w:themeColor="text1"/>
              </w:rPr>
              <w:t>319</w:t>
            </w:r>
          </w:p>
        </w:tc>
        <w:tc>
          <w:tcPr>
            <w:tcW w:w="2325" w:type="dxa"/>
            <w:gridSpan w:val="2"/>
            <w:noWrap/>
          </w:tcPr>
          <w:p w14:paraId="59FE98FF">
            <w:pPr>
              <w:rPr>
                <w:rFonts w:asciiTheme="majorEastAsia" w:hAnsiTheme="majorEastAsia" w:eastAsiaTheme="majorEastAsia" w:cstheme="majorEastAsia"/>
                <w:color w:val="000000" w:themeColor="text1"/>
              </w:rPr>
            </w:pPr>
            <w:r>
              <w:rPr>
                <w:rFonts w:asciiTheme="majorEastAsia" w:hAnsiTheme="majorEastAsia" w:eastAsiaTheme="majorEastAsia" w:cstheme="majorEastAsia"/>
                <w:color w:val="000000" w:themeColor="text1"/>
              </w:rPr>
              <w:t>407.5</w:t>
            </w:r>
          </w:p>
        </w:tc>
        <w:tc>
          <w:tcPr>
            <w:tcW w:w="1679" w:type="dxa"/>
            <w:gridSpan w:val="2"/>
            <w:noWrap/>
          </w:tcPr>
          <w:p w14:paraId="5845E955">
            <w:pPr>
              <w:rPr>
                <w:rFonts w:asciiTheme="majorEastAsia" w:hAnsiTheme="majorEastAsia" w:eastAsiaTheme="majorEastAsia" w:cstheme="majorEastAsia"/>
                <w:color w:val="000000" w:themeColor="text1"/>
              </w:rPr>
            </w:pPr>
            <w:r>
              <w:rPr>
                <w:rFonts w:asciiTheme="majorEastAsia" w:hAnsiTheme="majorEastAsia" w:eastAsiaTheme="majorEastAsia" w:cstheme="majorEastAsia"/>
                <w:color w:val="000000" w:themeColor="text1"/>
              </w:rPr>
              <w:t>370.98</w:t>
            </w:r>
          </w:p>
        </w:tc>
      </w:tr>
      <w:tr w14:paraId="4212EE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26DA83ED">
            <w:pPr>
              <w:spacing w:before="145" w:line="198" w:lineRule="auto"/>
              <w:ind w:left="1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部门基本支出预算调整</w:t>
            </w:r>
          </w:p>
        </w:tc>
        <w:tc>
          <w:tcPr>
            <w:tcW w:w="1815" w:type="dxa"/>
            <w:gridSpan w:val="2"/>
            <w:noWrap/>
          </w:tcPr>
          <w:p w14:paraId="263D56CF">
            <w:pPr>
              <w:rPr>
                <w:rFonts w:asciiTheme="majorEastAsia" w:hAnsiTheme="majorEastAsia" w:eastAsiaTheme="majorEastAsia" w:cstheme="majorEastAsia"/>
                <w:color w:val="000000" w:themeColor="text1"/>
              </w:rPr>
            </w:pPr>
          </w:p>
        </w:tc>
        <w:tc>
          <w:tcPr>
            <w:tcW w:w="2325" w:type="dxa"/>
            <w:gridSpan w:val="2"/>
            <w:noWrap/>
          </w:tcPr>
          <w:p w14:paraId="42CC7B2C">
            <w:pPr>
              <w:rPr>
                <w:rFonts w:asciiTheme="majorEastAsia" w:hAnsiTheme="majorEastAsia" w:eastAsiaTheme="majorEastAsia" w:cstheme="majorEastAsia"/>
                <w:color w:val="000000" w:themeColor="text1"/>
              </w:rPr>
            </w:pPr>
          </w:p>
        </w:tc>
        <w:tc>
          <w:tcPr>
            <w:tcW w:w="1679" w:type="dxa"/>
            <w:gridSpan w:val="2"/>
            <w:noWrap/>
          </w:tcPr>
          <w:p w14:paraId="52FE211D">
            <w:pPr>
              <w:rPr>
                <w:rFonts w:asciiTheme="majorEastAsia" w:hAnsiTheme="majorEastAsia" w:eastAsiaTheme="majorEastAsia" w:cstheme="majorEastAsia"/>
                <w:color w:val="000000" w:themeColor="text1"/>
              </w:rPr>
            </w:pPr>
          </w:p>
        </w:tc>
      </w:tr>
      <w:tr w14:paraId="338F5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ign w:val="center"/>
          </w:tcPr>
          <w:p w14:paraId="014F5766">
            <w:pPr>
              <w:spacing w:before="65" w:line="390" w:lineRule="exact"/>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position w:val="14"/>
                <w:sz w:val="24"/>
              </w:rPr>
              <w:t>楼堂馆所控制情况</w:t>
            </w:r>
          </w:p>
          <w:p w14:paraId="5798BA4A">
            <w:pPr>
              <w:spacing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(2022年完工项目)</w:t>
            </w:r>
          </w:p>
        </w:tc>
        <w:tc>
          <w:tcPr>
            <w:tcW w:w="825" w:type="dxa"/>
            <w:noWrap/>
            <w:vAlign w:val="center"/>
          </w:tcPr>
          <w:p w14:paraId="4C778992">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批复规模</w:t>
            </w:r>
          </w:p>
          <w:p w14:paraId="54A286BD">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(m²)</w:t>
            </w:r>
          </w:p>
        </w:tc>
        <w:tc>
          <w:tcPr>
            <w:tcW w:w="990" w:type="dxa"/>
            <w:noWrap/>
            <w:vAlign w:val="center"/>
          </w:tcPr>
          <w:p w14:paraId="4BC99910">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实际规</w:t>
            </w:r>
          </w:p>
          <w:p w14:paraId="62644DB6">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模(m²)</w:t>
            </w:r>
          </w:p>
        </w:tc>
        <w:tc>
          <w:tcPr>
            <w:tcW w:w="1140" w:type="dxa"/>
            <w:noWrap/>
            <w:vAlign w:val="center"/>
          </w:tcPr>
          <w:p w14:paraId="729E8867">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规模控制率</w:t>
            </w:r>
          </w:p>
        </w:tc>
        <w:tc>
          <w:tcPr>
            <w:tcW w:w="1185" w:type="dxa"/>
            <w:noWrap/>
            <w:vAlign w:val="center"/>
          </w:tcPr>
          <w:p w14:paraId="01781F46">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预算投资</w:t>
            </w:r>
          </w:p>
          <w:p w14:paraId="35C3B5BF">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(万元)</w:t>
            </w:r>
          </w:p>
        </w:tc>
        <w:tc>
          <w:tcPr>
            <w:tcW w:w="810" w:type="dxa"/>
            <w:noWrap/>
            <w:vAlign w:val="center"/>
          </w:tcPr>
          <w:p w14:paraId="6E548774">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实际</w:t>
            </w:r>
          </w:p>
          <w:p w14:paraId="2D224C23">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投资</w:t>
            </w:r>
          </w:p>
          <w:p w14:paraId="19C39925">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(万元)</w:t>
            </w:r>
          </w:p>
        </w:tc>
        <w:tc>
          <w:tcPr>
            <w:tcW w:w="869" w:type="dxa"/>
            <w:noWrap/>
            <w:vAlign w:val="center"/>
          </w:tcPr>
          <w:p w14:paraId="1B88430B">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投资概</w:t>
            </w:r>
          </w:p>
          <w:p w14:paraId="3F4528AF">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算控制</w:t>
            </w:r>
          </w:p>
          <w:p w14:paraId="50CD7CC3">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率</w:t>
            </w:r>
          </w:p>
        </w:tc>
      </w:tr>
      <w:tr w14:paraId="3C6C3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tcPr>
          <w:p w14:paraId="682D40E1">
            <w:pPr>
              <w:jc w:val="left"/>
              <w:rPr>
                <w:rFonts w:asciiTheme="majorEastAsia" w:hAnsiTheme="majorEastAsia" w:eastAsiaTheme="majorEastAsia" w:cstheme="majorEastAsia"/>
                <w:color w:val="000000" w:themeColor="text1"/>
                <w:sz w:val="24"/>
              </w:rPr>
            </w:pPr>
          </w:p>
        </w:tc>
        <w:tc>
          <w:tcPr>
            <w:tcW w:w="825" w:type="dxa"/>
            <w:noWrap/>
          </w:tcPr>
          <w:p w14:paraId="1913791A">
            <w:pPr>
              <w:rPr>
                <w:rFonts w:asciiTheme="majorEastAsia" w:hAnsiTheme="majorEastAsia" w:eastAsiaTheme="majorEastAsia" w:cstheme="majorEastAsia"/>
                <w:color w:val="000000" w:themeColor="text1"/>
              </w:rPr>
            </w:pPr>
          </w:p>
        </w:tc>
        <w:tc>
          <w:tcPr>
            <w:tcW w:w="990" w:type="dxa"/>
            <w:noWrap/>
          </w:tcPr>
          <w:p w14:paraId="05619E1E">
            <w:pPr>
              <w:rPr>
                <w:rFonts w:asciiTheme="majorEastAsia" w:hAnsiTheme="majorEastAsia" w:eastAsiaTheme="majorEastAsia" w:cstheme="majorEastAsia"/>
                <w:color w:val="000000" w:themeColor="text1"/>
              </w:rPr>
            </w:pPr>
          </w:p>
        </w:tc>
        <w:tc>
          <w:tcPr>
            <w:tcW w:w="1140" w:type="dxa"/>
            <w:noWrap/>
          </w:tcPr>
          <w:p w14:paraId="683DFF4E">
            <w:pPr>
              <w:rPr>
                <w:rFonts w:asciiTheme="majorEastAsia" w:hAnsiTheme="majorEastAsia" w:eastAsiaTheme="majorEastAsia" w:cstheme="majorEastAsia"/>
                <w:color w:val="000000" w:themeColor="text1"/>
              </w:rPr>
            </w:pPr>
          </w:p>
        </w:tc>
        <w:tc>
          <w:tcPr>
            <w:tcW w:w="1185" w:type="dxa"/>
            <w:noWrap/>
          </w:tcPr>
          <w:p w14:paraId="755232FD">
            <w:pPr>
              <w:rPr>
                <w:rFonts w:asciiTheme="majorEastAsia" w:hAnsiTheme="majorEastAsia" w:eastAsiaTheme="majorEastAsia" w:cstheme="majorEastAsia"/>
                <w:color w:val="000000" w:themeColor="text1"/>
              </w:rPr>
            </w:pPr>
          </w:p>
        </w:tc>
        <w:tc>
          <w:tcPr>
            <w:tcW w:w="810" w:type="dxa"/>
            <w:noWrap/>
          </w:tcPr>
          <w:p w14:paraId="0BC579D5">
            <w:pPr>
              <w:rPr>
                <w:rFonts w:asciiTheme="majorEastAsia" w:hAnsiTheme="majorEastAsia" w:eastAsiaTheme="majorEastAsia" w:cstheme="majorEastAsia"/>
                <w:color w:val="000000" w:themeColor="text1"/>
              </w:rPr>
            </w:pPr>
          </w:p>
        </w:tc>
        <w:tc>
          <w:tcPr>
            <w:tcW w:w="869" w:type="dxa"/>
            <w:noWrap/>
          </w:tcPr>
          <w:p w14:paraId="6DA4E99C">
            <w:pPr>
              <w:rPr>
                <w:rFonts w:asciiTheme="majorEastAsia" w:hAnsiTheme="majorEastAsia" w:eastAsiaTheme="majorEastAsia" w:cstheme="majorEastAsia"/>
                <w:color w:val="000000" w:themeColor="text1"/>
              </w:rPr>
            </w:pPr>
          </w:p>
        </w:tc>
      </w:tr>
      <w:tr w14:paraId="0860D0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tcPr>
          <w:p w14:paraId="61AAD81E">
            <w:pPr>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厉行节约保障措施</w:t>
            </w:r>
          </w:p>
        </w:tc>
        <w:tc>
          <w:tcPr>
            <w:tcW w:w="5819" w:type="dxa"/>
            <w:gridSpan w:val="6"/>
            <w:noWrap/>
          </w:tcPr>
          <w:p w14:paraId="55B7510D">
            <w:pPr>
              <w:jc w:val="center"/>
              <w:rPr>
                <w:rFonts w:asciiTheme="majorEastAsia" w:hAnsiTheme="majorEastAsia" w:eastAsiaTheme="majorEastAsia" w:cstheme="majorEastAsia"/>
                <w:color w:val="000000" w:themeColor="text1"/>
              </w:rPr>
            </w:pPr>
          </w:p>
        </w:tc>
      </w:tr>
    </w:tbl>
    <w:p w14:paraId="779EFB5F">
      <w:pPr>
        <w:spacing w:line="410" w:lineRule="exact"/>
        <w:rPr>
          <w:rFonts w:asciiTheme="majorEastAsia" w:hAnsiTheme="majorEastAsia" w:eastAsiaTheme="majorEastAsia" w:cstheme="majorEastAsia"/>
          <w:color w:val="000000" w:themeColor="text1"/>
          <w:sz w:val="23"/>
          <w:szCs w:val="23"/>
        </w:rPr>
      </w:pPr>
      <w:r>
        <w:rPr>
          <w:rFonts w:hint="eastAsia" w:asciiTheme="majorEastAsia" w:hAnsiTheme="majorEastAsia" w:eastAsiaTheme="majorEastAsia" w:cstheme="majorEastAsia"/>
          <w:color w:val="000000" w:themeColor="text1"/>
          <w:sz w:val="23"/>
          <w:szCs w:val="23"/>
        </w:rPr>
        <w:t>说明：“项目支出”需要填报基本支出以外的所有项目支出情况，“公用经费”填报基本支出中的一般商品和服务支出。</w:t>
      </w:r>
    </w:p>
    <w:p w14:paraId="5D7A2CBC">
      <w:pPr>
        <w:jc w:val="left"/>
        <w:rPr>
          <w:rFonts w:asciiTheme="majorEastAsia" w:hAnsiTheme="majorEastAsia" w:eastAsiaTheme="majorEastAsia" w:cstheme="majorEastAsia"/>
          <w:color w:val="000000" w:themeColor="text1"/>
          <w:sz w:val="23"/>
          <w:szCs w:val="23"/>
        </w:rPr>
      </w:pPr>
      <w:r>
        <w:rPr>
          <w:rFonts w:hint="eastAsia" w:asciiTheme="majorEastAsia" w:hAnsiTheme="majorEastAsia" w:eastAsiaTheme="majorEastAsia" w:cstheme="majorEastAsia"/>
          <w:color w:val="000000" w:themeColor="text1"/>
          <w:sz w:val="23"/>
          <w:szCs w:val="23"/>
        </w:rPr>
        <w:t>填表人：         联系电话：            单位负责人签字：填报日期：</w:t>
      </w:r>
    </w:p>
    <w:p w14:paraId="123A0A07">
      <w:pPr>
        <w:rPr>
          <w:rFonts w:ascii="黑体" w:hAnsi="黑体" w:eastAsia="黑体" w:cs="黑体"/>
          <w:color w:val="000000" w:themeColor="text1"/>
          <w:spacing w:val="10"/>
          <w:sz w:val="32"/>
          <w:szCs w:val="32"/>
        </w:rPr>
        <w:sectPr>
          <w:footerReference r:id="rId3" w:type="default"/>
          <w:pgSz w:w="11906" w:h="16838"/>
          <w:pgMar w:top="1134" w:right="1417" w:bottom="1134" w:left="1134" w:header="851" w:footer="992" w:gutter="0"/>
          <w:cols w:space="0" w:num="1"/>
          <w:docGrid w:type="lines" w:linePitch="312" w:charSpace="0"/>
        </w:sectPr>
      </w:pPr>
    </w:p>
    <w:p w14:paraId="420EE78E">
      <w:pPr>
        <w:rPr>
          <w:rFonts w:ascii="黑体" w:hAnsi="黑体" w:eastAsia="黑体" w:cs="黑体"/>
          <w:color w:val="000000" w:themeColor="text1"/>
          <w:spacing w:val="10"/>
          <w:sz w:val="32"/>
          <w:szCs w:val="32"/>
        </w:rPr>
      </w:pPr>
      <w:r>
        <w:rPr>
          <w:rFonts w:hint="eastAsia" w:ascii="黑体" w:hAnsi="黑体" w:eastAsia="黑体" w:cs="黑体"/>
          <w:color w:val="000000" w:themeColor="text1"/>
          <w:spacing w:val="10"/>
          <w:sz w:val="32"/>
          <w:szCs w:val="32"/>
        </w:rPr>
        <w:t>附件2</w:t>
      </w:r>
    </w:p>
    <w:p w14:paraId="71CFC7C3">
      <w:pPr>
        <w:spacing w:line="700" w:lineRule="exact"/>
        <w:jc w:val="center"/>
        <w:rPr>
          <w:rFonts w:ascii="方正小标宋简体" w:hAnsi="方正小标宋简体" w:eastAsia="方正小标宋简体" w:cs="方正小标宋简体"/>
          <w:color w:val="000000" w:themeColor="text1"/>
          <w:spacing w:val="2"/>
          <w:sz w:val="42"/>
          <w:szCs w:val="42"/>
        </w:rPr>
      </w:pPr>
      <w:r>
        <w:rPr>
          <w:rFonts w:hint="eastAsia" w:ascii="方正小标宋简体" w:hAnsi="方正小标宋简体" w:eastAsia="方正小标宋简体" w:cs="方正小标宋简体"/>
          <w:color w:val="000000" w:themeColor="text1"/>
          <w:spacing w:val="2"/>
          <w:sz w:val="42"/>
          <w:szCs w:val="42"/>
        </w:rPr>
        <w:t>2022年度预算单位整体支出绩效自评表</w:t>
      </w:r>
    </w:p>
    <w:p w14:paraId="6CDC042E">
      <w:pPr>
        <w:spacing w:line="168" w:lineRule="exact"/>
        <w:rPr>
          <w:color w:val="000000" w:themeColor="text1"/>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19060A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tcPr>
          <w:p w14:paraId="5D592E43">
            <w:pPr>
              <w:spacing w:line="198"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预算</w:t>
            </w:r>
            <w:r>
              <w:rPr>
                <w:rFonts w:hint="eastAsia" w:ascii="宋体" w:hAnsi="宋体" w:eastAsia="宋体" w:cs="宋体"/>
                <w:color w:val="000000" w:themeColor="text1"/>
                <w:spacing w:val="2"/>
                <w:szCs w:val="21"/>
              </w:rPr>
              <w:t>单位</w:t>
            </w:r>
            <w:r>
              <w:rPr>
                <w:rFonts w:ascii="宋体" w:hAnsi="宋体" w:eastAsia="宋体" w:cs="宋体"/>
                <w:color w:val="000000" w:themeColor="text1"/>
                <w:spacing w:val="2"/>
                <w:szCs w:val="21"/>
              </w:rPr>
              <w:t>名称</w:t>
            </w:r>
          </w:p>
        </w:tc>
        <w:tc>
          <w:tcPr>
            <w:tcW w:w="8751" w:type="dxa"/>
            <w:gridSpan w:val="8"/>
            <w:noWrap/>
          </w:tcPr>
          <w:p w14:paraId="0C9E440A">
            <w:pPr>
              <w:rPr>
                <w:rFonts w:ascii="Arial"/>
                <w:color w:val="000000" w:themeColor="text1"/>
              </w:rPr>
            </w:pPr>
            <w:r>
              <w:rPr>
                <w:rFonts w:hint="eastAsia" w:asciiTheme="majorEastAsia" w:hAnsiTheme="majorEastAsia" w:eastAsiaTheme="majorEastAsia" w:cstheme="majorEastAsia"/>
                <w:color w:val="000000" w:themeColor="text1"/>
                <w:spacing w:val="-2"/>
                <w:sz w:val="20"/>
                <w:szCs w:val="20"/>
              </w:rPr>
              <w:t>岳阳市岳阳楼区城市管理和综合执法局</w:t>
            </w:r>
          </w:p>
        </w:tc>
      </w:tr>
      <w:tr w14:paraId="0F475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tcPr>
          <w:p w14:paraId="64EF4B13">
            <w:pPr>
              <w:spacing w:line="418" w:lineRule="auto"/>
              <w:jc w:val="center"/>
              <w:rPr>
                <w:rFonts w:ascii="Arial"/>
                <w:color w:val="000000" w:themeColor="text1"/>
                <w:szCs w:val="21"/>
              </w:rPr>
            </w:pPr>
          </w:p>
          <w:p w14:paraId="11A5CE5C">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pacing w:val="-3"/>
                <w:position w:val="4"/>
                <w:szCs w:val="21"/>
              </w:rPr>
              <w:t>年度预</w:t>
            </w:r>
          </w:p>
          <w:p w14:paraId="1E7B74ED">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算申请</w:t>
            </w:r>
          </w:p>
          <w:p w14:paraId="4CD6BD68">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11"/>
                <w:szCs w:val="21"/>
              </w:rPr>
              <w:t>(万元)</w:t>
            </w:r>
          </w:p>
        </w:tc>
        <w:tc>
          <w:tcPr>
            <w:tcW w:w="2108" w:type="dxa"/>
            <w:gridSpan w:val="2"/>
            <w:noWrap/>
            <w:vAlign w:val="center"/>
          </w:tcPr>
          <w:p w14:paraId="13F43210">
            <w:pPr>
              <w:spacing w:line="240" w:lineRule="exact"/>
              <w:jc w:val="center"/>
              <w:rPr>
                <w:rFonts w:ascii="Arial"/>
                <w:color w:val="000000" w:themeColor="text1"/>
                <w:sz w:val="20"/>
              </w:rPr>
            </w:pPr>
          </w:p>
        </w:tc>
        <w:tc>
          <w:tcPr>
            <w:tcW w:w="1269" w:type="dxa"/>
            <w:noWrap/>
            <w:vAlign w:val="center"/>
          </w:tcPr>
          <w:p w14:paraId="0B3A0D3C">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年初预算数</w:t>
            </w:r>
          </w:p>
        </w:tc>
        <w:tc>
          <w:tcPr>
            <w:tcW w:w="1319" w:type="dxa"/>
            <w:noWrap/>
            <w:vAlign w:val="center"/>
          </w:tcPr>
          <w:p w14:paraId="026777B1">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全年预算数</w:t>
            </w:r>
          </w:p>
        </w:tc>
        <w:tc>
          <w:tcPr>
            <w:tcW w:w="1259" w:type="dxa"/>
            <w:noWrap/>
            <w:vAlign w:val="center"/>
          </w:tcPr>
          <w:p w14:paraId="6E7C6A2E">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全年执行数</w:t>
            </w:r>
          </w:p>
        </w:tc>
        <w:tc>
          <w:tcPr>
            <w:tcW w:w="719" w:type="dxa"/>
            <w:noWrap/>
            <w:vAlign w:val="center"/>
          </w:tcPr>
          <w:p w14:paraId="18404354">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分值</w:t>
            </w:r>
          </w:p>
        </w:tc>
        <w:tc>
          <w:tcPr>
            <w:tcW w:w="802" w:type="dxa"/>
            <w:noWrap/>
            <w:vAlign w:val="center"/>
          </w:tcPr>
          <w:p w14:paraId="7C296C35">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执行率</w:t>
            </w:r>
          </w:p>
        </w:tc>
        <w:tc>
          <w:tcPr>
            <w:tcW w:w="1275" w:type="dxa"/>
            <w:noWrap/>
            <w:vAlign w:val="center"/>
          </w:tcPr>
          <w:p w14:paraId="4FAF33A8">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得分</w:t>
            </w:r>
          </w:p>
        </w:tc>
      </w:tr>
      <w:tr w14:paraId="1834D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cPr>
          <w:p w14:paraId="590D1A40">
            <w:pPr>
              <w:jc w:val="center"/>
              <w:rPr>
                <w:rFonts w:ascii="Arial"/>
                <w:color w:val="000000" w:themeColor="text1"/>
                <w:szCs w:val="21"/>
              </w:rPr>
            </w:pPr>
          </w:p>
        </w:tc>
        <w:tc>
          <w:tcPr>
            <w:tcW w:w="2108" w:type="dxa"/>
            <w:gridSpan w:val="2"/>
            <w:noWrap/>
            <w:vAlign w:val="center"/>
          </w:tcPr>
          <w:p w14:paraId="5A434FA3">
            <w:pPr>
              <w:spacing w:line="193" w:lineRule="auto"/>
              <w:jc w:val="center"/>
              <w:rPr>
                <w:rFonts w:ascii="宋体" w:hAnsi="宋体" w:eastAsia="宋体" w:cs="宋体"/>
                <w:color w:val="000000" w:themeColor="text1"/>
                <w:szCs w:val="21"/>
              </w:rPr>
            </w:pPr>
            <w:r>
              <w:rPr>
                <w:rFonts w:ascii="宋体" w:hAnsi="宋体" w:eastAsia="宋体" w:cs="宋体"/>
                <w:color w:val="000000" w:themeColor="text1"/>
                <w:szCs w:val="21"/>
              </w:rPr>
              <w:t>年度资金总额</w:t>
            </w:r>
          </w:p>
        </w:tc>
        <w:tc>
          <w:tcPr>
            <w:tcW w:w="1269" w:type="dxa"/>
            <w:noWrap/>
            <w:vAlign w:val="center"/>
          </w:tcPr>
          <w:p w14:paraId="55BEBE7A">
            <w:pPr>
              <w:spacing w:line="239" w:lineRule="exact"/>
              <w:jc w:val="center"/>
              <w:rPr>
                <w:rFonts w:ascii="Arial"/>
                <w:color w:val="000000" w:themeColor="text1"/>
                <w:sz w:val="20"/>
              </w:rPr>
            </w:pPr>
            <w:r>
              <w:rPr>
                <w:rFonts w:hint="eastAsia" w:ascii="Arial"/>
                <w:color w:val="000000" w:themeColor="text1"/>
                <w:sz w:val="20"/>
              </w:rPr>
              <w:t>4513.01</w:t>
            </w:r>
          </w:p>
        </w:tc>
        <w:tc>
          <w:tcPr>
            <w:tcW w:w="1319" w:type="dxa"/>
            <w:noWrap/>
            <w:vAlign w:val="center"/>
          </w:tcPr>
          <w:p w14:paraId="4EA3F902">
            <w:pPr>
              <w:spacing w:line="239" w:lineRule="exact"/>
              <w:jc w:val="center"/>
              <w:rPr>
                <w:rFonts w:ascii="Arial"/>
                <w:color w:val="000000" w:themeColor="text1"/>
                <w:sz w:val="20"/>
              </w:rPr>
            </w:pPr>
            <w:r>
              <w:rPr>
                <w:rFonts w:hint="eastAsia" w:ascii="Arial"/>
                <w:color w:val="000000" w:themeColor="text1"/>
                <w:sz w:val="20"/>
              </w:rPr>
              <w:t>5282.98</w:t>
            </w:r>
          </w:p>
        </w:tc>
        <w:tc>
          <w:tcPr>
            <w:tcW w:w="1259" w:type="dxa"/>
            <w:noWrap/>
            <w:vAlign w:val="center"/>
          </w:tcPr>
          <w:p w14:paraId="1927F411">
            <w:pPr>
              <w:spacing w:line="239" w:lineRule="exact"/>
              <w:jc w:val="center"/>
              <w:rPr>
                <w:rFonts w:ascii="Arial"/>
                <w:color w:val="000000" w:themeColor="text1"/>
                <w:sz w:val="20"/>
              </w:rPr>
            </w:pPr>
            <w:r>
              <w:rPr>
                <w:rFonts w:hint="eastAsia" w:ascii="Arial"/>
                <w:color w:val="000000" w:themeColor="text1"/>
                <w:sz w:val="20"/>
              </w:rPr>
              <w:t>5282.98</w:t>
            </w:r>
          </w:p>
        </w:tc>
        <w:tc>
          <w:tcPr>
            <w:tcW w:w="719" w:type="dxa"/>
            <w:noWrap/>
            <w:vAlign w:val="center"/>
          </w:tcPr>
          <w:p w14:paraId="779A82AC">
            <w:pPr>
              <w:spacing w:line="147" w:lineRule="exact"/>
              <w:jc w:val="center"/>
              <w:rPr>
                <w:rFonts w:ascii="宋体" w:hAnsi="宋体" w:eastAsia="宋体" w:cs="宋体"/>
                <w:color w:val="000000" w:themeColor="text1"/>
                <w:sz w:val="20"/>
                <w:szCs w:val="20"/>
              </w:rPr>
            </w:pPr>
            <w:r>
              <w:rPr>
                <w:rFonts w:ascii="宋体" w:hAnsi="宋体" w:eastAsia="宋体" w:cs="宋体"/>
                <w:color w:val="000000" w:themeColor="text1"/>
                <w:position w:val="-3"/>
                <w:sz w:val="20"/>
                <w:szCs w:val="20"/>
              </w:rPr>
              <w:t>10</w:t>
            </w:r>
          </w:p>
        </w:tc>
        <w:tc>
          <w:tcPr>
            <w:tcW w:w="802" w:type="dxa"/>
            <w:noWrap/>
            <w:vAlign w:val="center"/>
          </w:tcPr>
          <w:p w14:paraId="6E5431D0">
            <w:pPr>
              <w:spacing w:line="239" w:lineRule="exact"/>
              <w:jc w:val="center"/>
              <w:rPr>
                <w:rFonts w:hint="default" w:ascii="Arial" w:eastAsiaTheme="minorEastAsia"/>
                <w:color w:val="000000" w:themeColor="text1"/>
                <w:sz w:val="20"/>
                <w:lang w:val="en-US" w:eastAsia="zh-CN"/>
              </w:rPr>
            </w:pPr>
            <w:r>
              <w:rPr>
                <w:rFonts w:hint="eastAsia" w:ascii="Arial"/>
                <w:color w:val="000000" w:themeColor="text1"/>
                <w:sz w:val="20"/>
                <w:lang w:val="en-US" w:eastAsia="zh-CN"/>
              </w:rPr>
              <w:t>100%</w:t>
            </w:r>
          </w:p>
        </w:tc>
        <w:tc>
          <w:tcPr>
            <w:tcW w:w="1275" w:type="dxa"/>
            <w:noWrap/>
            <w:vAlign w:val="center"/>
          </w:tcPr>
          <w:p w14:paraId="688A6162">
            <w:pPr>
              <w:spacing w:line="239" w:lineRule="exact"/>
              <w:jc w:val="center"/>
              <w:rPr>
                <w:rFonts w:ascii="Arial"/>
                <w:color w:val="000000" w:themeColor="text1"/>
                <w:sz w:val="20"/>
              </w:rPr>
            </w:pPr>
          </w:p>
        </w:tc>
      </w:tr>
      <w:tr w14:paraId="5953C5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tcPr>
          <w:p w14:paraId="0B9EAE3A">
            <w:pPr>
              <w:jc w:val="center"/>
              <w:rPr>
                <w:rFonts w:ascii="Arial"/>
                <w:color w:val="000000" w:themeColor="text1"/>
                <w:szCs w:val="21"/>
              </w:rPr>
            </w:pPr>
          </w:p>
        </w:tc>
        <w:tc>
          <w:tcPr>
            <w:tcW w:w="4696" w:type="dxa"/>
            <w:gridSpan w:val="4"/>
            <w:noWrap/>
            <w:vAlign w:val="center"/>
          </w:tcPr>
          <w:p w14:paraId="2ABAE4CF">
            <w:pPr>
              <w:spacing w:line="193" w:lineRule="auto"/>
              <w:ind w:firstLine="210" w:firstLineChars="100"/>
              <w:jc w:val="left"/>
              <w:rPr>
                <w:rFonts w:ascii="宋体" w:hAnsi="宋体" w:eastAsia="宋体" w:cs="宋体"/>
                <w:color w:val="000000" w:themeColor="text1"/>
                <w:szCs w:val="21"/>
              </w:rPr>
            </w:pPr>
            <w:r>
              <w:rPr>
                <w:rFonts w:ascii="宋体" w:hAnsi="宋体" w:eastAsia="宋体" w:cs="宋体"/>
                <w:color w:val="000000" w:themeColor="text1"/>
                <w:szCs w:val="21"/>
              </w:rPr>
              <w:t>按收入性质分：</w:t>
            </w:r>
            <w:r>
              <w:rPr>
                <w:rFonts w:hint="eastAsia" w:ascii="宋体" w:hAnsi="宋体" w:eastAsia="宋体" w:cs="宋体"/>
                <w:color w:val="000000" w:themeColor="text1"/>
                <w:szCs w:val="21"/>
              </w:rPr>
              <w:t>5282.98</w:t>
            </w:r>
          </w:p>
        </w:tc>
        <w:tc>
          <w:tcPr>
            <w:tcW w:w="4055" w:type="dxa"/>
            <w:gridSpan w:val="4"/>
            <w:noWrap/>
            <w:vAlign w:val="center"/>
          </w:tcPr>
          <w:p w14:paraId="4B499536">
            <w:pPr>
              <w:spacing w:line="193" w:lineRule="auto"/>
              <w:ind w:firstLine="210" w:firstLineChars="100"/>
              <w:jc w:val="left"/>
              <w:rPr>
                <w:rFonts w:ascii="宋体" w:hAnsi="宋体" w:eastAsia="宋体" w:cs="宋体"/>
                <w:color w:val="000000" w:themeColor="text1"/>
                <w:szCs w:val="21"/>
              </w:rPr>
            </w:pPr>
            <w:r>
              <w:rPr>
                <w:rFonts w:ascii="宋体" w:hAnsi="宋体" w:eastAsia="宋体" w:cs="宋体"/>
                <w:color w:val="000000" w:themeColor="text1"/>
                <w:szCs w:val="21"/>
              </w:rPr>
              <w:t>按支出性质分：</w:t>
            </w:r>
            <w:r>
              <w:rPr>
                <w:rFonts w:hint="eastAsia" w:ascii="宋体" w:hAnsi="宋体" w:eastAsia="宋体" w:cs="宋体"/>
                <w:color w:val="000000" w:themeColor="text1"/>
                <w:szCs w:val="21"/>
              </w:rPr>
              <w:t>5282.98</w:t>
            </w:r>
          </w:p>
        </w:tc>
      </w:tr>
      <w:tr w14:paraId="72202A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tcPr>
          <w:p w14:paraId="2D00808B">
            <w:pPr>
              <w:jc w:val="center"/>
              <w:rPr>
                <w:rFonts w:ascii="Arial"/>
                <w:color w:val="000000" w:themeColor="text1"/>
                <w:szCs w:val="21"/>
              </w:rPr>
            </w:pPr>
          </w:p>
        </w:tc>
        <w:tc>
          <w:tcPr>
            <w:tcW w:w="4696" w:type="dxa"/>
            <w:gridSpan w:val="4"/>
            <w:noWrap/>
            <w:vAlign w:val="center"/>
          </w:tcPr>
          <w:p w14:paraId="658151A3">
            <w:pPr>
              <w:spacing w:line="193" w:lineRule="auto"/>
              <w:ind w:firstLine="210" w:firstLineChars="100"/>
              <w:jc w:val="left"/>
              <w:rPr>
                <w:rFonts w:ascii="宋体" w:hAnsi="宋体" w:eastAsia="宋体" w:cs="宋体"/>
                <w:color w:val="000000" w:themeColor="text1"/>
                <w:szCs w:val="21"/>
              </w:rPr>
            </w:pPr>
            <w:r>
              <w:rPr>
                <w:rFonts w:ascii="宋体" w:hAnsi="宋体" w:eastAsia="宋体" w:cs="宋体"/>
                <w:color w:val="000000" w:themeColor="text1"/>
                <w:szCs w:val="21"/>
              </w:rPr>
              <w:t>其中： 一般公共预算：</w:t>
            </w:r>
            <w:r>
              <w:rPr>
                <w:rFonts w:hint="eastAsia" w:ascii="宋体" w:hAnsi="宋体" w:eastAsia="宋体" w:cs="宋体"/>
                <w:color w:val="000000" w:themeColor="text1"/>
                <w:szCs w:val="21"/>
              </w:rPr>
              <w:t>2052.3</w:t>
            </w:r>
          </w:p>
        </w:tc>
        <w:tc>
          <w:tcPr>
            <w:tcW w:w="4055" w:type="dxa"/>
            <w:gridSpan w:val="4"/>
            <w:noWrap/>
            <w:vAlign w:val="center"/>
          </w:tcPr>
          <w:p w14:paraId="1E643D5C">
            <w:pPr>
              <w:spacing w:line="194" w:lineRule="auto"/>
              <w:ind w:firstLine="210" w:firstLineChars="100"/>
              <w:jc w:val="left"/>
              <w:rPr>
                <w:rFonts w:ascii="宋体" w:hAnsi="宋体" w:eastAsia="宋体" w:cs="宋体"/>
                <w:color w:val="000000" w:themeColor="text1"/>
                <w:szCs w:val="21"/>
              </w:rPr>
            </w:pPr>
            <w:r>
              <w:rPr>
                <w:rFonts w:ascii="宋体" w:hAnsi="宋体" w:eastAsia="宋体" w:cs="宋体"/>
                <w:color w:val="000000" w:themeColor="text1"/>
                <w:szCs w:val="21"/>
              </w:rPr>
              <w:t>其中：基本支出：</w:t>
            </w:r>
            <w:r>
              <w:rPr>
                <w:rFonts w:hint="eastAsia" w:ascii="宋体" w:hAnsi="宋体" w:eastAsia="宋体" w:cs="宋体"/>
                <w:color w:val="000000" w:themeColor="text1"/>
                <w:szCs w:val="21"/>
              </w:rPr>
              <w:t>5140.97</w:t>
            </w:r>
          </w:p>
        </w:tc>
      </w:tr>
      <w:tr w14:paraId="7E861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tcPr>
          <w:p w14:paraId="41D37671">
            <w:pPr>
              <w:jc w:val="center"/>
              <w:rPr>
                <w:rFonts w:ascii="Arial"/>
                <w:color w:val="000000" w:themeColor="text1"/>
                <w:szCs w:val="21"/>
              </w:rPr>
            </w:pPr>
          </w:p>
        </w:tc>
        <w:tc>
          <w:tcPr>
            <w:tcW w:w="4696" w:type="dxa"/>
            <w:gridSpan w:val="4"/>
            <w:noWrap/>
            <w:vAlign w:val="center"/>
          </w:tcPr>
          <w:p w14:paraId="4C81031E">
            <w:pPr>
              <w:spacing w:line="202" w:lineRule="auto"/>
              <w:ind w:firstLine="1050" w:firstLineChars="500"/>
              <w:jc w:val="left"/>
              <w:rPr>
                <w:rFonts w:ascii="宋体" w:hAnsi="宋体" w:eastAsia="宋体" w:cs="宋体"/>
                <w:color w:val="000000" w:themeColor="text1"/>
                <w:szCs w:val="21"/>
              </w:rPr>
            </w:pPr>
            <w:r>
              <w:rPr>
                <w:rFonts w:ascii="宋体" w:hAnsi="宋体" w:eastAsia="宋体" w:cs="宋体"/>
                <w:color w:val="000000" w:themeColor="text1"/>
                <w:szCs w:val="21"/>
              </w:rPr>
              <w:t>政府性基金拨款：</w:t>
            </w:r>
            <w:r>
              <w:rPr>
                <w:rFonts w:hint="eastAsia" w:ascii="宋体" w:hAnsi="宋体" w:eastAsia="宋体" w:cs="宋体"/>
                <w:color w:val="000000" w:themeColor="text1"/>
                <w:szCs w:val="21"/>
              </w:rPr>
              <w:t>0</w:t>
            </w:r>
          </w:p>
        </w:tc>
        <w:tc>
          <w:tcPr>
            <w:tcW w:w="4055" w:type="dxa"/>
            <w:gridSpan w:val="4"/>
            <w:noWrap/>
            <w:vAlign w:val="center"/>
          </w:tcPr>
          <w:p w14:paraId="00696F5F">
            <w:pPr>
              <w:spacing w:line="201" w:lineRule="auto"/>
              <w:ind w:firstLine="840" w:firstLineChars="400"/>
              <w:jc w:val="left"/>
              <w:rPr>
                <w:rFonts w:ascii="宋体" w:hAnsi="宋体" w:eastAsia="宋体" w:cs="宋体"/>
                <w:color w:val="000000" w:themeColor="text1"/>
                <w:szCs w:val="21"/>
              </w:rPr>
            </w:pPr>
            <w:r>
              <w:rPr>
                <w:rFonts w:ascii="宋体" w:hAnsi="宋体" w:eastAsia="宋体" w:cs="宋体"/>
                <w:color w:val="000000" w:themeColor="text1"/>
                <w:szCs w:val="21"/>
              </w:rPr>
              <w:t>项目支出：</w:t>
            </w:r>
            <w:r>
              <w:rPr>
                <w:rFonts w:hint="eastAsia" w:ascii="宋体" w:hAnsi="宋体" w:eastAsia="宋体" w:cs="宋体"/>
                <w:color w:val="000000" w:themeColor="text1"/>
                <w:szCs w:val="21"/>
              </w:rPr>
              <w:t>142.01</w:t>
            </w:r>
          </w:p>
        </w:tc>
      </w:tr>
      <w:tr w14:paraId="346648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cPr>
          <w:p w14:paraId="63D329EC">
            <w:pPr>
              <w:jc w:val="center"/>
              <w:rPr>
                <w:rFonts w:ascii="Arial"/>
                <w:color w:val="000000" w:themeColor="text1"/>
                <w:szCs w:val="21"/>
              </w:rPr>
            </w:pPr>
          </w:p>
        </w:tc>
        <w:tc>
          <w:tcPr>
            <w:tcW w:w="4696" w:type="dxa"/>
            <w:gridSpan w:val="4"/>
            <w:noWrap/>
            <w:vAlign w:val="center"/>
          </w:tcPr>
          <w:p w14:paraId="49250647">
            <w:pPr>
              <w:spacing w:line="192" w:lineRule="auto"/>
              <w:ind w:firstLine="1050" w:firstLineChars="500"/>
              <w:jc w:val="left"/>
              <w:rPr>
                <w:rFonts w:ascii="宋体" w:hAnsi="宋体" w:eastAsia="宋体" w:cs="宋体"/>
                <w:color w:val="000000" w:themeColor="text1"/>
                <w:szCs w:val="21"/>
              </w:rPr>
            </w:pPr>
            <w:r>
              <w:rPr>
                <w:rFonts w:ascii="宋体" w:hAnsi="宋体" w:eastAsia="宋体" w:cs="宋体"/>
                <w:color w:val="000000" w:themeColor="text1"/>
                <w:szCs w:val="21"/>
              </w:rPr>
              <w:t>纳入专户管理的非税收入拨款：</w:t>
            </w:r>
            <w:r>
              <w:rPr>
                <w:rFonts w:hint="eastAsia" w:ascii="宋体" w:hAnsi="宋体" w:eastAsia="宋体" w:cs="宋体"/>
                <w:color w:val="000000" w:themeColor="text1"/>
                <w:szCs w:val="21"/>
              </w:rPr>
              <w:t>0</w:t>
            </w:r>
          </w:p>
        </w:tc>
        <w:tc>
          <w:tcPr>
            <w:tcW w:w="4055" w:type="dxa"/>
            <w:gridSpan w:val="4"/>
            <w:noWrap/>
            <w:vAlign w:val="center"/>
          </w:tcPr>
          <w:p w14:paraId="28D53457">
            <w:pPr>
              <w:spacing w:line="239" w:lineRule="exact"/>
              <w:jc w:val="left"/>
              <w:rPr>
                <w:rFonts w:ascii="Arial"/>
                <w:color w:val="000000" w:themeColor="text1"/>
                <w:szCs w:val="21"/>
              </w:rPr>
            </w:pPr>
          </w:p>
        </w:tc>
      </w:tr>
      <w:tr w14:paraId="663A2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tcPr>
          <w:p w14:paraId="665A537B">
            <w:pPr>
              <w:jc w:val="center"/>
              <w:rPr>
                <w:rFonts w:ascii="Arial"/>
                <w:color w:val="000000" w:themeColor="text1"/>
                <w:szCs w:val="21"/>
              </w:rPr>
            </w:pPr>
          </w:p>
        </w:tc>
        <w:tc>
          <w:tcPr>
            <w:tcW w:w="4696" w:type="dxa"/>
            <w:gridSpan w:val="4"/>
            <w:noWrap/>
            <w:vAlign w:val="center"/>
          </w:tcPr>
          <w:p w14:paraId="470E7335">
            <w:pPr>
              <w:spacing w:line="192" w:lineRule="auto"/>
              <w:ind w:firstLine="1050" w:firstLineChars="500"/>
              <w:jc w:val="left"/>
              <w:rPr>
                <w:rFonts w:ascii="宋体" w:hAnsi="宋体" w:eastAsia="宋体" w:cs="宋体"/>
                <w:color w:val="000000" w:themeColor="text1"/>
                <w:szCs w:val="21"/>
              </w:rPr>
            </w:pPr>
            <w:r>
              <w:rPr>
                <w:rFonts w:ascii="宋体" w:hAnsi="宋体" w:eastAsia="宋体" w:cs="宋体"/>
                <w:color w:val="000000" w:themeColor="text1"/>
                <w:szCs w:val="21"/>
              </w:rPr>
              <w:t>其他资金：</w:t>
            </w:r>
            <w:r>
              <w:rPr>
                <w:rFonts w:hint="eastAsia" w:ascii="宋体" w:hAnsi="宋体" w:eastAsia="宋体" w:cs="宋体"/>
                <w:color w:val="000000" w:themeColor="text1"/>
                <w:szCs w:val="21"/>
              </w:rPr>
              <w:t>230.68</w:t>
            </w:r>
          </w:p>
        </w:tc>
        <w:tc>
          <w:tcPr>
            <w:tcW w:w="4055" w:type="dxa"/>
            <w:gridSpan w:val="4"/>
            <w:noWrap/>
            <w:vAlign w:val="center"/>
          </w:tcPr>
          <w:p w14:paraId="348D643B">
            <w:pPr>
              <w:spacing w:line="240" w:lineRule="exact"/>
              <w:jc w:val="left"/>
              <w:rPr>
                <w:rFonts w:ascii="Arial"/>
                <w:color w:val="000000" w:themeColor="text1"/>
                <w:szCs w:val="21"/>
              </w:rPr>
            </w:pPr>
          </w:p>
        </w:tc>
      </w:tr>
      <w:tr w14:paraId="3A64FA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tcPr>
          <w:p w14:paraId="3BD605A2">
            <w:pPr>
              <w:spacing w:line="211" w:lineRule="auto"/>
              <w:jc w:val="center"/>
              <w:rPr>
                <w:rFonts w:ascii="宋体" w:hAnsi="宋体" w:eastAsia="宋体" w:cs="宋体"/>
                <w:color w:val="000000" w:themeColor="text1"/>
                <w:szCs w:val="21"/>
              </w:rPr>
            </w:pPr>
            <w:r>
              <w:rPr>
                <w:rFonts w:ascii="宋体" w:hAnsi="宋体" w:eastAsia="宋体" w:cs="宋体"/>
                <w:color w:val="000000" w:themeColor="text1"/>
                <w:spacing w:val="7"/>
                <w:szCs w:val="21"/>
              </w:rPr>
              <w:t>年度总体</w:t>
            </w:r>
            <w:r>
              <w:rPr>
                <w:rFonts w:ascii="宋体" w:hAnsi="宋体" w:eastAsia="宋体" w:cs="宋体"/>
                <w:color w:val="000000" w:themeColor="text1"/>
                <w:spacing w:val="-19"/>
                <w:szCs w:val="21"/>
              </w:rPr>
              <w:t>目标</w:t>
            </w:r>
          </w:p>
        </w:tc>
        <w:tc>
          <w:tcPr>
            <w:tcW w:w="4696" w:type="dxa"/>
            <w:gridSpan w:val="4"/>
            <w:noWrap/>
            <w:vAlign w:val="center"/>
          </w:tcPr>
          <w:p w14:paraId="21FC30FF">
            <w:pPr>
              <w:spacing w:line="191" w:lineRule="auto"/>
              <w:jc w:val="center"/>
              <w:rPr>
                <w:rFonts w:ascii="宋体" w:hAnsi="宋体" w:eastAsia="宋体" w:cs="宋体"/>
                <w:color w:val="000000" w:themeColor="text1"/>
                <w:szCs w:val="21"/>
              </w:rPr>
            </w:pPr>
            <w:r>
              <w:rPr>
                <w:rFonts w:ascii="宋体" w:hAnsi="宋体" w:eastAsia="宋体" w:cs="宋体"/>
                <w:color w:val="000000" w:themeColor="text1"/>
                <w:szCs w:val="21"/>
              </w:rPr>
              <w:t>预期目标</w:t>
            </w:r>
          </w:p>
        </w:tc>
        <w:tc>
          <w:tcPr>
            <w:tcW w:w="4055" w:type="dxa"/>
            <w:gridSpan w:val="4"/>
            <w:noWrap/>
            <w:vAlign w:val="center"/>
          </w:tcPr>
          <w:p w14:paraId="473FE817">
            <w:pPr>
              <w:spacing w:line="191" w:lineRule="auto"/>
              <w:jc w:val="center"/>
              <w:rPr>
                <w:rFonts w:ascii="宋体" w:hAnsi="宋体" w:eastAsia="宋体" w:cs="宋体"/>
                <w:color w:val="000000" w:themeColor="text1"/>
                <w:szCs w:val="21"/>
              </w:rPr>
            </w:pPr>
            <w:r>
              <w:rPr>
                <w:rFonts w:ascii="宋体" w:hAnsi="宋体" w:eastAsia="宋体" w:cs="宋体"/>
                <w:color w:val="000000" w:themeColor="text1"/>
                <w:szCs w:val="21"/>
              </w:rPr>
              <w:t>实际完成情况</w:t>
            </w:r>
          </w:p>
        </w:tc>
      </w:tr>
      <w:tr w14:paraId="231D0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2" w:hRule="atLeast"/>
        </w:trPr>
        <w:tc>
          <w:tcPr>
            <w:tcW w:w="1084" w:type="dxa"/>
            <w:vMerge w:val="continue"/>
            <w:tcBorders>
              <w:top w:val="nil"/>
            </w:tcBorders>
            <w:noWrap/>
          </w:tcPr>
          <w:p w14:paraId="2777970F">
            <w:pPr>
              <w:jc w:val="center"/>
              <w:rPr>
                <w:rFonts w:ascii="Arial"/>
                <w:color w:val="000000" w:themeColor="text1"/>
                <w:szCs w:val="21"/>
              </w:rPr>
            </w:pPr>
          </w:p>
        </w:tc>
        <w:tc>
          <w:tcPr>
            <w:tcW w:w="4696" w:type="dxa"/>
            <w:gridSpan w:val="4"/>
            <w:noWrap/>
            <w:vAlign w:val="center"/>
          </w:tcPr>
          <w:p w14:paraId="273BEB10">
            <w:pPr>
              <w:autoSpaceDN w:val="0"/>
              <w:spacing w:line="200" w:lineRule="exact"/>
              <w:jc w:val="left"/>
              <w:textAlignment w:val="center"/>
              <w:rPr>
                <w:rFonts w:ascii="宋体" w:hAnsi="宋体" w:cs="仿宋_GB2312"/>
                <w:color w:val="000000"/>
                <w:sz w:val="15"/>
                <w:szCs w:val="15"/>
              </w:rPr>
            </w:pPr>
            <w:r>
              <w:rPr>
                <w:rFonts w:hint="eastAsia" w:ascii="宋体" w:hAnsi="宋体" w:cs="仿宋_GB2312"/>
                <w:b/>
                <w:color w:val="000000"/>
                <w:sz w:val="15"/>
                <w:szCs w:val="15"/>
              </w:rPr>
              <w:t>目标1：</w:t>
            </w:r>
            <w:r>
              <w:rPr>
                <w:rFonts w:hint="eastAsia" w:ascii="宋体" w:hAnsi="宋体"/>
                <w:sz w:val="15"/>
                <w:szCs w:val="15"/>
              </w:rPr>
              <w:t>对照党史学习教育活动任务清单，全年共开展</w:t>
            </w:r>
            <w:r>
              <w:rPr>
                <w:rFonts w:hint="eastAsia" w:ascii="宋体" w:hAnsi="宋体"/>
                <w:color w:val="000000"/>
                <w:sz w:val="15"/>
                <w:szCs w:val="15"/>
                <w:shd w:val="clear" w:color="auto" w:fill="FFFFFF"/>
              </w:rPr>
              <w:t>“三会一课”不少于10次，上党课不少于3次，开展学习新党章党规和习总书记系列重要讲话精神不少于2次等</w:t>
            </w:r>
          </w:p>
          <w:p w14:paraId="14AE1EA8">
            <w:pPr>
              <w:autoSpaceDN w:val="0"/>
              <w:spacing w:line="200" w:lineRule="exact"/>
              <w:jc w:val="left"/>
              <w:textAlignment w:val="center"/>
              <w:rPr>
                <w:rFonts w:ascii="宋体" w:hAnsi="宋体" w:cs="仿宋_GB2312"/>
                <w:color w:val="000000"/>
                <w:sz w:val="15"/>
                <w:szCs w:val="15"/>
              </w:rPr>
            </w:pPr>
            <w:r>
              <w:rPr>
                <w:rFonts w:hint="eastAsia" w:ascii="宋体" w:hAnsi="宋体" w:cs="仿宋_GB2312"/>
                <w:b/>
                <w:color w:val="000000"/>
                <w:sz w:val="15"/>
                <w:szCs w:val="15"/>
              </w:rPr>
              <w:t>目标2：</w:t>
            </w:r>
            <w:r>
              <w:rPr>
                <w:rFonts w:hint="eastAsia" w:ascii="宋体" w:hAnsi="宋体"/>
                <w:sz w:val="15"/>
                <w:szCs w:val="15"/>
              </w:rPr>
              <w:t>压实燃气安全监管责任,</w:t>
            </w:r>
            <w:r>
              <w:rPr>
                <w:rFonts w:hint="eastAsia" w:ascii="宋体" w:hAnsi="宋体" w:cs="仿宋_GB2312"/>
                <w:sz w:val="15"/>
                <w:szCs w:val="15"/>
              </w:rPr>
              <w:t xml:space="preserve"> 全年</w:t>
            </w:r>
            <w:r>
              <w:rPr>
                <w:rFonts w:hint="eastAsia" w:ascii="宋体" w:hAnsi="宋体" w:cs="仿宋"/>
                <w:sz w:val="15"/>
                <w:szCs w:val="15"/>
              </w:rPr>
              <w:t>在中心城区共发放燃气安全常识宣传资料不少于20000份，检查瓶装液化石油气经营企业与瓶装液化石油气销售网点不少于50余次,摸底排查餐饮门店及小区居民燃气用户不少于2000家，扣押报废气瓶和超期未检气瓶不少于300只，下达隐患整改通知书不少于500份</w:t>
            </w:r>
          </w:p>
          <w:p w14:paraId="497F994C">
            <w:pPr>
              <w:spacing w:beforeLines="1" w:afterLines="1" w:line="200" w:lineRule="exact"/>
              <w:ind w:right="6"/>
              <w:jc w:val="left"/>
              <w:rPr>
                <w:rFonts w:ascii="宋体" w:hAnsi="宋体"/>
                <w:sz w:val="15"/>
                <w:szCs w:val="15"/>
              </w:rPr>
            </w:pPr>
            <w:r>
              <w:rPr>
                <w:rFonts w:hint="eastAsia" w:ascii="宋体" w:hAnsi="宋体" w:cs="仿宋_GB2312"/>
                <w:b/>
                <w:color w:val="000000"/>
                <w:sz w:val="15"/>
                <w:szCs w:val="15"/>
              </w:rPr>
              <w:t>目标3：</w:t>
            </w:r>
            <w:r>
              <w:rPr>
                <w:rFonts w:hint="eastAsia" w:ascii="宋体" w:hAnsi="宋体" w:cs="仿宋"/>
                <w:kern w:val="0"/>
                <w:sz w:val="15"/>
                <w:szCs w:val="15"/>
              </w:rPr>
              <w:t>全</w:t>
            </w:r>
            <w:r>
              <w:rPr>
                <w:rFonts w:hint="eastAsia" w:ascii="宋体" w:hAnsi="宋体" w:cs="仿宋"/>
                <w:sz w:val="15"/>
                <w:szCs w:val="15"/>
              </w:rPr>
              <w:t>年共开展炮源清缴行动不少于120余次，开展大型禁炮宣传不少于12次</w:t>
            </w:r>
            <w:r>
              <w:rPr>
                <w:rFonts w:hint="eastAsia" w:ascii="宋体" w:hAnsi="宋体" w:cs="楷体"/>
                <w:sz w:val="15"/>
                <w:szCs w:val="15"/>
              </w:rPr>
              <w:t>。</w:t>
            </w:r>
          </w:p>
          <w:p w14:paraId="0CC6F097">
            <w:pPr>
              <w:autoSpaceDN w:val="0"/>
              <w:spacing w:line="200" w:lineRule="exact"/>
              <w:jc w:val="left"/>
              <w:textAlignment w:val="center"/>
              <w:rPr>
                <w:rFonts w:ascii="宋体" w:hAnsi="宋体" w:cs="仿宋_GB2312"/>
                <w:color w:val="000000"/>
                <w:sz w:val="15"/>
                <w:szCs w:val="15"/>
              </w:rPr>
            </w:pPr>
            <w:r>
              <w:rPr>
                <w:rFonts w:hint="eastAsia" w:ascii="宋体" w:hAnsi="宋体" w:cs="仿宋_GB2312"/>
                <w:b/>
                <w:color w:val="000000"/>
                <w:sz w:val="15"/>
                <w:szCs w:val="15"/>
              </w:rPr>
              <w:t>目标4：</w:t>
            </w:r>
            <w:r>
              <w:rPr>
                <w:rFonts w:hint="eastAsia" w:ascii="宋体" w:hAnsi="宋体" w:cs="仿宋"/>
                <w:kern w:val="0"/>
                <w:sz w:val="15"/>
                <w:szCs w:val="15"/>
              </w:rPr>
              <w:t>持续推进“洞庭清波”专项整治。全</w:t>
            </w:r>
            <w:r>
              <w:rPr>
                <w:rFonts w:hint="eastAsia" w:ascii="宋体" w:hAnsi="宋体"/>
                <w:sz w:val="15"/>
                <w:szCs w:val="15"/>
              </w:rPr>
              <w:t>年共巡查餐饮门店油烟排放情况不低于200家，下达限期整改通知书不低于100份，安装高效油烟净化设备不少于100家；共处置12345公众热线交办油烟扰民问题不少于120件。</w:t>
            </w:r>
          </w:p>
          <w:p w14:paraId="59675763">
            <w:pPr>
              <w:spacing w:line="240" w:lineRule="exact"/>
              <w:jc w:val="left"/>
              <w:rPr>
                <w:rFonts w:ascii="Arial"/>
                <w:color w:val="000000" w:themeColor="text1"/>
                <w:sz w:val="20"/>
              </w:rPr>
            </w:pPr>
            <w:r>
              <w:rPr>
                <w:rFonts w:hint="eastAsia" w:ascii="宋体" w:hAnsi="宋体" w:cs="仿宋_GB2312"/>
                <w:b/>
                <w:color w:val="000000"/>
                <w:sz w:val="15"/>
                <w:szCs w:val="15"/>
              </w:rPr>
              <w:t>目标5：</w:t>
            </w:r>
            <w:r>
              <w:rPr>
                <w:rFonts w:hint="eastAsia" w:ascii="宋体" w:hAnsi="宋体" w:cs="仿宋"/>
                <w:sz w:val="15"/>
                <w:szCs w:val="15"/>
              </w:rPr>
              <w:t>全年共开展马路市场执法整治行动不少于200次、拆除违建棚亭不少于100个、劝导劝离机动车辆乱停乱放不少于1000起、清理占道经营摊贩不少于2000个、规范出店经营行为不少于2000起、引导摊点入市不少于2000个、下达整治通知不少于1500份</w:t>
            </w:r>
          </w:p>
        </w:tc>
        <w:tc>
          <w:tcPr>
            <w:tcW w:w="4055" w:type="dxa"/>
            <w:gridSpan w:val="4"/>
            <w:noWrap/>
            <w:vAlign w:val="center"/>
          </w:tcPr>
          <w:p w14:paraId="2837A37B">
            <w:pPr>
              <w:autoSpaceDN w:val="0"/>
              <w:spacing w:line="200" w:lineRule="exact"/>
              <w:jc w:val="left"/>
              <w:textAlignment w:val="center"/>
              <w:rPr>
                <w:rFonts w:ascii="宋体" w:hAnsi="宋体"/>
                <w:color w:val="000000"/>
                <w:sz w:val="15"/>
                <w:szCs w:val="15"/>
                <w:shd w:val="clear" w:color="auto" w:fill="FFFFFF"/>
              </w:rPr>
            </w:pPr>
            <w:r>
              <w:rPr>
                <w:rFonts w:hint="eastAsia" w:ascii="宋体" w:hAnsi="宋体" w:cs="仿宋_GB2312"/>
                <w:b/>
                <w:color w:val="000000"/>
                <w:sz w:val="15"/>
                <w:szCs w:val="15"/>
              </w:rPr>
              <w:t>目标1：</w:t>
            </w:r>
            <w:r>
              <w:rPr>
                <w:rFonts w:hint="eastAsia" w:ascii="宋体" w:hAnsi="宋体"/>
                <w:sz w:val="15"/>
                <w:szCs w:val="15"/>
              </w:rPr>
              <w:t>对照党史学习教育活动任务清单，全年共开展</w:t>
            </w:r>
            <w:r>
              <w:rPr>
                <w:rFonts w:hint="eastAsia" w:ascii="宋体" w:hAnsi="宋体"/>
                <w:color w:val="000000"/>
                <w:sz w:val="15"/>
                <w:szCs w:val="15"/>
                <w:shd w:val="clear" w:color="auto" w:fill="FFFFFF"/>
              </w:rPr>
              <w:t>“三会一课”48次，上党课4次，开展学习新党章党规和习总书记系列重要讲话精神2次，开展交流讨论2次.</w:t>
            </w:r>
          </w:p>
          <w:p w14:paraId="629B5EDF">
            <w:pPr>
              <w:autoSpaceDN w:val="0"/>
              <w:spacing w:line="200" w:lineRule="exact"/>
              <w:jc w:val="left"/>
              <w:textAlignment w:val="center"/>
              <w:rPr>
                <w:rFonts w:ascii="宋体" w:hAnsi="宋体" w:cs="仿宋_GB2312"/>
                <w:color w:val="000000"/>
                <w:sz w:val="15"/>
                <w:szCs w:val="15"/>
              </w:rPr>
            </w:pPr>
            <w:r>
              <w:rPr>
                <w:rFonts w:hint="eastAsia" w:ascii="宋体" w:hAnsi="宋体" w:cs="仿宋_GB2312"/>
                <w:b/>
                <w:color w:val="000000"/>
                <w:sz w:val="15"/>
                <w:szCs w:val="15"/>
              </w:rPr>
              <w:t>目标2：</w:t>
            </w:r>
            <w:r>
              <w:rPr>
                <w:rFonts w:hint="eastAsia" w:ascii="宋体" w:hAnsi="宋体" w:cs="仿宋_GB2312"/>
                <w:sz w:val="15"/>
                <w:szCs w:val="15"/>
              </w:rPr>
              <w:t>全年</w:t>
            </w:r>
            <w:r>
              <w:rPr>
                <w:rFonts w:hint="eastAsia" w:ascii="宋体" w:hAnsi="宋体" w:cs="仿宋"/>
                <w:sz w:val="15"/>
                <w:szCs w:val="15"/>
              </w:rPr>
              <w:t>在中心城区共发放燃气安全常识宣传资料50000余份，检查瓶装液化石油气经营企业与瓶装液化石油气销售网点100余次,摸底排查餐饮门店及小区居民燃气用户5673家（含天然气用户），共检查出安全隐患2100余处，依法关停违规液化气站1家，取缔无经营许可的非法网点56个，扣押报废气瓶和超期未检气瓶794只，扣押非法瓶对瓶倒灌气设备8套，暂扣或吊销送气工证50个，移交公安机关处理的非法经营人员3人，下达隐患整改通知书1300份，其中整改使用瓶装液化石油气的餐饮企业160家，约谈企业负责人与销售点人员7次</w:t>
            </w:r>
          </w:p>
          <w:p w14:paraId="1CAA261A">
            <w:pPr>
              <w:spacing w:beforeLines="1" w:afterLines="1" w:line="200" w:lineRule="exact"/>
              <w:ind w:right="6"/>
              <w:jc w:val="left"/>
              <w:rPr>
                <w:rFonts w:ascii="宋体" w:hAnsi="宋体"/>
                <w:sz w:val="15"/>
                <w:szCs w:val="15"/>
              </w:rPr>
            </w:pPr>
            <w:r>
              <w:rPr>
                <w:rFonts w:hint="eastAsia" w:ascii="宋体" w:hAnsi="宋体" w:cs="仿宋_GB2312"/>
                <w:b/>
                <w:color w:val="000000"/>
                <w:sz w:val="15"/>
                <w:szCs w:val="15"/>
              </w:rPr>
              <w:t>目标3：</w:t>
            </w:r>
            <w:r>
              <w:rPr>
                <w:rFonts w:hint="eastAsia" w:ascii="宋体" w:hAnsi="宋体" w:cs="仿宋"/>
                <w:kern w:val="0"/>
                <w:sz w:val="15"/>
                <w:szCs w:val="15"/>
              </w:rPr>
              <w:t>全</w:t>
            </w:r>
            <w:r>
              <w:rPr>
                <w:rFonts w:hint="eastAsia" w:ascii="宋体" w:hAnsi="宋体" w:cs="仿宋"/>
                <w:sz w:val="15"/>
                <w:szCs w:val="15"/>
              </w:rPr>
              <w:t>年共开展炮源清缴行动220余次，开展大型禁炮宣传20次</w:t>
            </w:r>
            <w:r>
              <w:rPr>
                <w:rFonts w:hint="eastAsia" w:ascii="宋体" w:hAnsi="宋体" w:cs="楷体"/>
                <w:sz w:val="15"/>
                <w:szCs w:val="15"/>
              </w:rPr>
              <w:t>。</w:t>
            </w:r>
          </w:p>
          <w:p w14:paraId="5E87D46A">
            <w:pPr>
              <w:autoSpaceDN w:val="0"/>
              <w:spacing w:line="200" w:lineRule="exact"/>
              <w:jc w:val="left"/>
              <w:textAlignment w:val="center"/>
              <w:rPr>
                <w:rFonts w:ascii="宋体" w:hAnsi="宋体" w:cs="仿宋_GB2312"/>
                <w:color w:val="000000"/>
                <w:sz w:val="15"/>
                <w:szCs w:val="15"/>
              </w:rPr>
            </w:pPr>
            <w:r>
              <w:rPr>
                <w:rFonts w:hint="eastAsia" w:ascii="宋体" w:hAnsi="宋体" w:cs="仿宋_GB2312"/>
                <w:b/>
                <w:color w:val="000000"/>
                <w:sz w:val="15"/>
                <w:szCs w:val="15"/>
              </w:rPr>
              <w:t>目标4：</w:t>
            </w:r>
            <w:r>
              <w:rPr>
                <w:rFonts w:hint="eastAsia" w:ascii="宋体" w:hAnsi="宋体" w:cs="仿宋"/>
                <w:kern w:val="0"/>
                <w:sz w:val="15"/>
                <w:szCs w:val="15"/>
              </w:rPr>
              <w:t>持续推进“洞庭清波”专项整治。全</w:t>
            </w:r>
            <w:r>
              <w:rPr>
                <w:rFonts w:hint="eastAsia" w:ascii="宋体" w:hAnsi="宋体"/>
                <w:sz w:val="15"/>
                <w:szCs w:val="15"/>
              </w:rPr>
              <w:t>年共巡查餐饮门店油烟排放情况316家，下达限期整改通知书183份，督促45家餐饮门店整改油烟排放管道、127家安装高效油烟净化设备；共处置12345公众热线交办油烟扰民问题265件，回复率100%。</w:t>
            </w:r>
          </w:p>
          <w:p w14:paraId="3BBBB180">
            <w:pPr>
              <w:spacing w:line="240" w:lineRule="exact"/>
              <w:jc w:val="left"/>
              <w:rPr>
                <w:rFonts w:ascii="Arial"/>
                <w:color w:val="000000" w:themeColor="text1"/>
                <w:sz w:val="20"/>
              </w:rPr>
            </w:pPr>
            <w:r>
              <w:rPr>
                <w:rFonts w:hint="eastAsia" w:ascii="宋体" w:hAnsi="宋体" w:cs="仿宋_GB2312"/>
                <w:b/>
                <w:color w:val="000000"/>
                <w:sz w:val="15"/>
                <w:szCs w:val="15"/>
              </w:rPr>
              <w:t>目标5：</w:t>
            </w:r>
            <w:r>
              <w:rPr>
                <w:rFonts w:hint="eastAsia" w:ascii="宋体" w:hAnsi="宋体" w:cs="仿宋"/>
                <w:sz w:val="15"/>
                <w:szCs w:val="15"/>
              </w:rPr>
              <w:t>全年共开展马路市场执法整治行动279次、出动执法人员3762人次，拆除违建棚亭535个、劝导劝离机动车辆乱停乱放3812起、清理占道经营摊贩8252个、规范出店经营行为9546起、登记保存违规经营用品397车、引导摊点入市3809个、收缴违规设置户外灯箱274个、下达整治通知2110份</w:t>
            </w:r>
          </w:p>
        </w:tc>
      </w:tr>
      <w:tr w14:paraId="4CC327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textDirection w:val="tbRlV"/>
          </w:tcPr>
          <w:p w14:paraId="121E321C">
            <w:pPr>
              <w:spacing w:line="367" w:lineRule="auto"/>
              <w:jc w:val="center"/>
              <w:rPr>
                <w:rFonts w:ascii="Arial"/>
                <w:color w:val="000000" w:themeColor="text1"/>
                <w:szCs w:val="21"/>
              </w:rPr>
            </w:pPr>
          </w:p>
          <w:p w14:paraId="678DDDC5">
            <w:pPr>
              <w:spacing w:line="217" w:lineRule="auto"/>
              <w:jc w:val="center"/>
              <w:rPr>
                <w:rFonts w:ascii="宋体" w:hAnsi="宋体" w:eastAsia="宋体" w:cs="宋体"/>
                <w:color w:val="000000" w:themeColor="text1"/>
                <w:szCs w:val="21"/>
              </w:rPr>
            </w:pPr>
            <w:r>
              <w:rPr>
                <w:rFonts w:ascii="宋体" w:hAnsi="宋体" w:eastAsia="宋体" w:cs="宋体"/>
                <w:color w:val="000000" w:themeColor="text1"/>
                <w:szCs w:val="21"/>
              </w:rPr>
              <w:t>绩效指标</w:t>
            </w:r>
          </w:p>
        </w:tc>
        <w:tc>
          <w:tcPr>
            <w:tcW w:w="1079" w:type="dxa"/>
            <w:noWrap/>
            <w:vAlign w:val="center"/>
          </w:tcPr>
          <w:p w14:paraId="5A298DD0">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一级指标</w:t>
            </w:r>
          </w:p>
        </w:tc>
        <w:tc>
          <w:tcPr>
            <w:tcW w:w="1029" w:type="dxa"/>
            <w:noWrap/>
            <w:vAlign w:val="center"/>
          </w:tcPr>
          <w:p w14:paraId="6C1EAB15">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二级指标</w:t>
            </w:r>
          </w:p>
        </w:tc>
        <w:tc>
          <w:tcPr>
            <w:tcW w:w="1269" w:type="dxa"/>
            <w:noWrap/>
            <w:vAlign w:val="center"/>
          </w:tcPr>
          <w:p w14:paraId="2311A262">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三级指标</w:t>
            </w:r>
          </w:p>
        </w:tc>
        <w:tc>
          <w:tcPr>
            <w:tcW w:w="1319" w:type="dxa"/>
            <w:noWrap/>
            <w:vAlign w:val="center"/>
          </w:tcPr>
          <w:p w14:paraId="169EC91C">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年度指标值</w:t>
            </w:r>
          </w:p>
        </w:tc>
        <w:tc>
          <w:tcPr>
            <w:tcW w:w="1259" w:type="dxa"/>
            <w:noWrap/>
            <w:vAlign w:val="center"/>
          </w:tcPr>
          <w:p w14:paraId="46B4DE65">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实际完成值</w:t>
            </w:r>
          </w:p>
        </w:tc>
        <w:tc>
          <w:tcPr>
            <w:tcW w:w="719" w:type="dxa"/>
            <w:noWrap/>
            <w:vAlign w:val="center"/>
          </w:tcPr>
          <w:p w14:paraId="09A8167A">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分值</w:t>
            </w:r>
          </w:p>
        </w:tc>
        <w:tc>
          <w:tcPr>
            <w:tcW w:w="802" w:type="dxa"/>
            <w:noWrap/>
            <w:vAlign w:val="center"/>
          </w:tcPr>
          <w:p w14:paraId="20503990">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得分</w:t>
            </w:r>
          </w:p>
        </w:tc>
        <w:tc>
          <w:tcPr>
            <w:tcW w:w="1275" w:type="dxa"/>
            <w:noWrap/>
            <w:vAlign w:val="center"/>
          </w:tcPr>
          <w:p w14:paraId="468EC8F0">
            <w:pPr>
              <w:spacing w:line="211" w:lineRule="auto"/>
              <w:jc w:val="center"/>
              <w:rPr>
                <w:rFonts w:ascii="宋体" w:hAnsi="宋体" w:eastAsia="宋体" w:cs="宋体"/>
                <w:color w:val="000000" w:themeColor="text1"/>
                <w:szCs w:val="21"/>
              </w:rPr>
            </w:pPr>
            <w:r>
              <w:rPr>
                <w:rFonts w:ascii="宋体" w:hAnsi="宋体" w:eastAsia="宋体" w:cs="宋体"/>
                <w:color w:val="000000" w:themeColor="text1"/>
                <w:szCs w:val="21"/>
              </w:rPr>
              <w:t>偏差原因分析</w:t>
            </w:r>
          </w:p>
          <w:p w14:paraId="2E891A72">
            <w:pPr>
              <w:spacing w:line="190" w:lineRule="auto"/>
              <w:jc w:val="center"/>
              <w:rPr>
                <w:rFonts w:ascii="宋体" w:hAnsi="宋体" w:eastAsia="宋体" w:cs="宋体"/>
                <w:color w:val="000000" w:themeColor="text1"/>
                <w:szCs w:val="21"/>
              </w:rPr>
            </w:pPr>
            <w:r>
              <w:rPr>
                <w:rFonts w:ascii="宋体" w:hAnsi="宋体" w:eastAsia="宋体" w:cs="宋体"/>
                <w:color w:val="000000" w:themeColor="text1"/>
                <w:szCs w:val="21"/>
              </w:rPr>
              <w:t>及改进措施</w:t>
            </w:r>
          </w:p>
        </w:tc>
      </w:tr>
      <w:tr w14:paraId="2E977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textDirection w:val="tbRlV"/>
          </w:tcPr>
          <w:p w14:paraId="0991D3C0">
            <w:pPr>
              <w:rPr>
                <w:rFonts w:ascii="Arial"/>
                <w:color w:val="000000" w:themeColor="text1"/>
              </w:rPr>
            </w:pPr>
          </w:p>
        </w:tc>
        <w:tc>
          <w:tcPr>
            <w:tcW w:w="1079" w:type="dxa"/>
            <w:vMerge w:val="restart"/>
            <w:tcBorders>
              <w:bottom w:val="nil"/>
            </w:tcBorders>
            <w:noWrap/>
            <w:vAlign w:val="center"/>
          </w:tcPr>
          <w:p w14:paraId="7D821095">
            <w:pPr>
              <w:spacing w:line="269" w:lineRule="auto"/>
              <w:jc w:val="center"/>
              <w:rPr>
                <w:rFonts w:ascii="Arial"/>
                <w:color w:val="000000" w:themeColor="text1"/>
              </w:rPr>
            </w:pPr>
          </w:p>
          <w:p w14:paraId="2993BBD0">
            <w:pPr>
              <w:spacing w:line="269" w:lineRule="auto"/>
              <w:jc w:val="center"/>
              <w:rPr>
                <w:rFonts w:ascii="Arial"/>
                <w:color w:val="000000" w:themeColor="text1"/>
              </w:rPr>
            </w:pPr>
          </w:p>
          <w:p w14:paraId="718ADD0F">
            <w:pPr>
              <w:spacing w:line="270" w:lineRule="auto"/>
              <w:jc w:val="center"/>
              <w:rPr>
                <w:rFonts w:ascii="Arial"/>
                <w:color w:val="000000" w:themeColor="text1"/>
              </w:rPr>
            </w:pPr>
          </w:p>
          <w:p w14:paraId="2AAB8CF8">
            <w:pPr>
              <w:spacing w:line="270" w:lineRule="auto"/>
              <w:jc w:val="center"/>
              <w:rPr>
                <w:rFonts w:ascii="Arial"/>
                <w:color w:val="000000" w:themeColor="text1"/>
              </w:rPr>
            </w:pPr>
          </w:p>
          <w:p w14:paraId="48DB6ACB">
            <w:pPr>
              <w:spacing w:line="481" w:lineRule="exact"/>
              <w:jc w:val="center"/>
              <w:rPr>
                <w:rFonts w:ascii="宋体" w:hAnsi="宋体" w:eastAsia="宋体" w:cs="宋体"/>
                <w:color w:val="000000" w:themeColor="text1"/>
                <w:szCs w:val="21"/>
              </w:rPr>
            </w:pPr>
            <w:r>
              <w:rPr>
                <w:rFonts w:ascii="宋体" w:hAnsi="宋体" w:eastAsia="宋体" w:cs="宋体"/>
                <w:color w:val="000000" w:themeColor="text1"/>
                <w:spacing w:val="-2"/>
                <w:position w:val="20"/>
                <w:szCs w:val="21"/>
              </w:rPr>
              <w:t>产出指标</w:t>
            </w:r>
          </w:p>
          <w:p w14:paraId="4347FA90">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9"/>
                <w:szCs w:val="21"/>
              </w:rPr>
              <w:t>(50分)</w:t>
            </w:r>
          </w:p>
        </w:tc>
        <w:tc>
          <w:tcPr>
            <w:tcW w:w="1029" w:type="dxa"/>
            <w:vMerge w:val="restart"/>
            <w:tcBorders>
              <w:bottom w:val="nil"/>
            </w:tcBorders>
            <w:noWrap/>
            <w:vAlign w:val="center"/>
          </w:tcPr>
          <w:p w14:paraId="5D056669">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数量指标</w:t>
            </w:r>
          </w:p>
        </w:tc>
        <w:tc>
          <w:tcPr>
            <w:tcW w:w="1269" w:type="dxa"/>
            <w:noWrap/>
            <w:vAlign w:val="center"/>
          </w:tcPr>
          <w:p w14:paraId="7C697C6B">
            <w:pPr>
              <w:spacing w:line="230" w:lineRule="exact"/>
              <w:rPr>
                <w:rFonts w:ascii="Arial"/>
                <w:color w:val="000000" w:themeColor="text1"/>
                <w:sz w:val="20"/>
              </w:rPr>
            </w:pPr>
            <w:r>
              <w:rPr>
                <w:rFonts w:hint="eastAsia" w:ascii="宋体" w:hAnsi="宋体" w:cs="仿宋"/>
                <w:sz w:val="18"/>
                <w:szCs w:val="18"/>
              </w:rPr>
              <w:t>全年开展炮源清缴行动120余次</w:t>
            </w:r>
          </w:p>
        </w:tc>
        <w:tc>
          <w:tcPr>
            <w:tcW w:w="1319" w:type="dxa"/>
            <w:noWrap/>
            <w:vAlign w:val="center"/>
          </w:tcPr>
          <w:p w14:paraId="03C5BB80">
            <w:pPr>
              <w:spacing w:line="230" w:lineRule="exact"/>
              <w:jc w:val="center"/>
              <w:rPr>
                <w:rFonts w:ascii="Arial"/>
                <w:color w:val="000000" w:themeColor="text1"/>
                <w:sz w:val="20"/>
              </w:rPr>
            </w:pPr>
            <w:r>
              <w:rPr>
                <w:rFonts w:ascii="Arial"/>
                <w:color w:val="000000" w:themeColor="text1"/>
                <w:sz w:val="20"/>
              </w:rPr>
              <w:t>120</w:t>
            </w:r>
            <w:r>
              <w:rPr>
                <w:rFonts w:hint="eastAsia" w:ascii="Arial"/>
                <w:color w:val="000000" w:themeColor="text1"/>
                <w:sz w:val="20"/>
              </w:rPr>
              <w:t>次</w:t>
            </w:r>
          </w:p>
        </w:tc>
        <w:tc>
          <w:tcPr>
            <w:tcW w:w="1259" w:type="dxa"/>
            <w:noWrap/>
            <w:vAlign w:val="center"/>
          </w:tcPr>
          <w:p w14:paraId="05E0CF5F">
            <w:pPr>
              <w:spacing w:line="230" w:lineRule="exact"/>
              <w:jc w:val="center"/>
              <w:rPr>
                <w:rFonts w:ascii="Arial"/>
                <w:color w:val="000000" w:themeColor="text1"/>
                <w:sz w:val="20"/>
              </w:rPr>
            </w:pPr>
            <w:r>
              <w:rPr>
                <w:rFonts w:ascii="Arial"/>
                <w:color w:val="000000" w:themeColor="text1"/>
                <w:sz w:val="20"/>
              </w:rPr>
              <w:t>120</w:t>
            </w:r>
            <w:r>
              <w:rPr>
                <w:rFonts w:hint="eastAsia" w:ascii="Arial"/>
                <w:color w:val="000000" w:themeColor="text1"/>
                <w:sz w:val="20"/>
              </w:rPr>
              <w:t>次</w:t>
            </w:r>
          </w:p>
        </w:tc>
        <w:tc>
          <w:tcPr>
            <w:tcW w:w="719" w:type="dxa"/>
            <w:noWrap/>
            <w:vAlign w:val="center"/>
          </w:tcPr>
          <w:p w14:paraId="56571559">
            <w:pPr>
              <w:spacing w:line="230" w:lineRule="exact"/>
              <w:jc w:val="center"/>
              <w:rPr>
                <w:rFonts w:ascii="Arial"/>
                <w:color w:val="000000" w:themeColor="text1"/>
                <w:sz w:val="20"/>
              </w:rPr>
            </w:pPr>
            <w:r>
              <w:rPr>
                <w:rFonts w:ascii="Arial"/>
                <w:color w:val="000000" w:themeColor="text1"/>
                <w:sz w:val="20"/>
              </w:rPr>
              <w:t>6</w:t>
            </w:r>
          </w:p>
        </w:tc>
        <w:tc>
          <w:tcPr>
            <w:tcW w:w="802" w:type="dxa"/>
            <w:noWrap/>
            <w:vAlign w:val="center"/>
          </w:tcPr>
          <w:p w14:paraId="790529D7">
            <w:pPr>
              <w:spacing w:line="230" w:lineRule="exact"/>
              <w:jc w:val="center"/>
              <w:rPr>
                <w:rFonts w:ascii="Arial"/>
                <w:color w:val="000000" w:themeColor="text1"/>
                <w:sz w:val="20"/>
              </w:rPr>
            </w:pPr>
            <w:r>
              <w:rPr>
                <w:rFonts w:ascii="Arial"/>
                <w:color w:val="000000" w:themeColor="text1"/>
                <w:sz w:val="20"/>
              </w:rPr>
              <w:t>6</w:t>
            </w:r>
          </w:p>
        </w:tc>
        <w:tc>
          <w:tcPr>
            <w:tcW w:w="1275" w:type="dxa"/>
            <w:noWrap/>
            <w:vAlign w:val="center"/>
          </w:tcPr>
          <w:p w14:paraId="7DEBA2B6">
            <w:pPr>
              <w:spacing w:line="230" w:lineRule="exact"/>
              <w:jc w:val="center"/>
              <w:rPr>
                <w:rFonts w:ascii="Arial"/>
                <w:color w:val="000000" w:themeColor="text1"/>
                <w:sz w:val="20"/>
              </w:rPr>
            </w:pPr>
          </w:p>
        </w:tc>
      </w:tr>
      <w:tr w14:paraId="0083B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textDirection w:val="tbRlV"/>
          </w:tcPr>
          <w:p w14:paraId="4D656B40">
            <w:pPr>
              <w:rPr>
                <w:rFonts w:ascii="Arial"/>
                <w:color w:val="000000" w:themeColor="text1"/>
              </w:rPr>
            </w:pPr>
          </w:p>
        </w:tc>
        <w:tc>
          <w:tcPr>
            <w:tcW w:w="1079" w:type="dxa"/>
            <w:vMerge w:val="continue"/>
            <w:tcBorders>
              <w:top w:val="nil"/>
              <w:bottom w:val="nil"/>
            </w:tcBorders>
            <w:noWrap/>
            <w:vAlign w:val="center"/>
          </w:tcPr>
          <w:p w14:paraId="12431B12">
            <w:pPr>
              <w:jc w:val="center"/>
              <w:rPr>
                <w:rFonts w:ascii="Arial"/>
                <w:color w:val="000000" w:themeColor="text1"/>
              </w:rPr>
            </w:pPr>
          </w:p>
        </w:tc>
        <w:tc>
          <w:tcPr>
            <w:tcW w:w="1029" w:type="dxa"/>
            <w:vMerge w:val="continue"/>
            <w:tcBorders>
              <w:top w:val="nil"/>
              <w:bottom w:val="nil"/>
            </w:tcBorders>
            <w:noWrap/>
            <w:vAlign w:val="center"/>
          </w:tcPr>
          <w:p w14:paraId="73C2562D">
            <w:pPr>
              <w:jc w:val="center"/>
              <w:rPr>
                <w:rFonts w:ascii="Arial"/>
                <w:color w:val="000000" w:themeColor="text1"/>
              </w:rPr>
            </w:pPr>
          </w:p>
        </w:tc>
        <w:tc>
          <w:tcPr>
            <w:tcW w:w="1269" w:type="dxa"/>
            <w:noWrap/>
            <w:vAlign w:val="center"/>
          </w:tcPr>
          <w:p w14:paraId="6E50E466">
            <w:pPr>
              <w:rPr>
                <w:rFonts w:ascii="Arial"/>
                <w:color w:val="000000" w:themeColor="text1"/>
              </w:rPr>
            </w:pPr>
            <w:r>
              <w:rPr>
                <w:rFonts w:hint="eastAsia" w:ascii="宋体" w:hAnsi="宋体" w:cs="仿宋"/>
                <w:sz w:val="18"/>
                <w:szCs w:val="18"/>
              </w:rPr>
              <w:t>全年共查出安全隐患100余处</w:t>
            </w:r>
          </w:p>
        </w:tc>
        <w:tc>
          <w:tcPr>
            <w:tcW w:w="1319" w:type="dxa"/>
            <w:noWrap/>
            <w:vAlign w:val="center"/>
          </w:tcPr>
          <w:p w14:paraId="7C107EBF">
            <w:pPr>
              <w:jc w:val="center"/>
              <w:rPr>
                <w:rFonts w:ascii="Arial"/>
                <w:color w:val="000000" w:themeColor="text1"/>
              </w:rPr>
            </w:pPr>
            <w:r>
              <w:rPr>
                <w:rFonts w:ascii="Arial"/>
                <w:color w:val="000000" w:themeColor="text1"/>
              </w:rPr>
              <w:t>100</w:t>
            </w:r>
            <w:r>
              <w:rPr>
                <w:rFonts w:hint="eastAsia" w:ascii="Arial"/>
                <w:color w:val="000000" w:themeColor="text1"/>
              </w:rPr>
              <w:t>处</w:t>
            </w:r>
          </w:p>
        </w:tc>
        <w:tc>
          <w:tcPr>
            <w:tcW w:w="1259" w:type="dxa"/>
            <w:noWrap/>
            <w:vAlign w:val="center"/>
          </w:tcPr>
          <w:p w14:paraId="27962D83">
            <w:pPr>
              <w:jc w:val="center"/>
              <w:rPr>
                <w:rFonts w:ascii="Arial"/>
                <w:color w:val="000000" w:themeColor="text1"/>
              </w:rPr>
            </w:pPr>
            <w:r>
              <w:rPr>
                <w:rFonts w:ascii="Arial"/>
                <w:color w:val="000000" w:themeColor="text1"/>
              </w:rPr>
              <w:t>100</w:t>
            </w:r>
            <w:r>
              <w:rPr>
                <w:rFonts w:hint="eastAsia" w:ascii="Arial"/>
                <w:color w:val="000000" w:themeColor="text1"/>
              </w:rPr>
              <w:t>处</w:t>
            </w:r>
          </w:p>
        </w:tc>
        <w:tc>
          <w:tcPr>
            <w:tcW w:w="719" w:type="dxa"/>
            <w:noWrap/>
            <w:vAlign w:val="center"/>
          </w:tcPr>
          <w:p w14:paraId="28AFD0FC">
            <w:pPr>
              <w:jc w:val="center"/>
              <w:rPr>
                <w:rFonts w:ascii="Arial"/>
                <w:color w:val="000000" w:themeColor="text1"/>
              </w:rPr>
            </w:pPr>
            <w:r>
              <w:rPr>
                <w:rFonts w:hint="eastAsia" w:ascii="Arial"/>
                <w:color w:val="000000" w:themeColor="text1"/>
              </w:rPr>
              <w:t>10</w:t>
            </w:r>
          </w:p>
        </w:tc>
        <w:tc>
          <w:tcPr>
            <w:tcW w:w="802" w:type="dxa"/>
            <w:noWrap/>
            <w:vAlign w:val="center"/>
          </w:tcPr>
          <w:p w14:paraId="34C41C7F">
            <w:pPr>
              <w:jc w:val="center"/>
              <w:rPr>
                <w:rFonts w:ascii="Arial"/>
                <w:color w:val="000000" w:themeColor="text1"/>
              </w:rPr>
            </w:pPr>
            <w:r>
              <w:rPr>
                <w:rFonts w:hint="eastAsia" w:ascii="Arial"/>
                <w:color w:val="000000" w:themeColor="text1"/>
              </w:rPr>
              <w:t>10</w:t>
            </w:r>
          </w:p>
        </w:tc>
        <w:tc>
          <w:tcPr>
            <w:tcW w:w="1275" w:type="dxa"/>
            <w:noWrap/>
            <w:vAlign w:val="center"/>
          </w:tcPr>
          <w:p w14:paraId="7040CF4E">
            <w:pPr>
              <w:jc w:val="center"/>
              <w:rPr>
                <w:rFonts w:ascii="Arial"/>
                <w:color w:val="000000" w:themeColor="text1"/>
              </w:rPr>
            </w:pPr>
          </w:p>
        </w:tc>
      </w:tr>
      <w:tr w14:paraId="136808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792800B5">
            <w:pPr>
              <w:rPr>
                <w:rFonts w:ascii="Arial"/>
                <w:color w:val="000000" w:themeColor="text1"/>
              </w:rPr>
            </w:pPr>
          </w:p>
        </w:tc>
        <w:tc>
          <w:tcPr>
            <w:tcW w:w="1079" w:type="dxa"/>
            <w:vMerge w:val="continue"/>
            <w:tcBorders>
              <w:top w:val="nil"/>
              <w:bottom w:val="nil"/>
            </w:tcBorders>
            <w:noWrap/>
            <w:vAlign w:val="center"/>
          </w:tcPr>
          <w:p w14:paraId="401828A5">
            <w:pPr>
              <w:jc w:val="center"/>
              <w:rPr>
                <w:rFonts w:ascii="Arial"/>
                <w:color w:val="000000" w:themeColor="text1"/>
              </w:rPr>
            </w:pPr>
          </w:p>
        </w:tc>
        <w:tc>
          <w:tcPr>
            <w:tcW w:w="1029" w:type="dxa"/>
            <w:vMerge w:val="restart"/>
            <w:tcBorders>
              <w:bottom w:val="nil"/>
            </w:tcBorders>
            <w:noWrap/>
            <w:vAlign w:val="center"/>
          </w:tcPr>
          <w:p w14:paraId="210B2F27">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质量指标</w:t>
            </w:r>
          </w:p>
        </w:tc>
        <w:tc>
          <w:tcPr>
            <w:tcW w:w="1269" w:type="dxa"/>
            <w:noWrap/>
            <w:vAlign w:val="center"/>
          </w:tcPr>
          <w:p w14:paraId="1A975962">
            <w:pPr>
              <w:spacing w:line="240" w:lineRule="exact"/>
              <w:rPr>
                <w:rFonts w:ascii="Arial"/>
                <w:color w:val="000000" w:themeColor="text1"/>
                <w:sz w:val="20"/>
              </w:rPr>
            </w:pPr>
            <w:r>
              <w:rPr>
                <w:rFonts w:hint="eastAsia" w:ascii="宋体" w:hAnsi="宋体" w:cs="仿宋"/>
                <w:sz w:val="18"/>
                <w:szCs w:val="18"/>
                <w:shd w:val="clear" w:color="auto" w:fill="FFFFFF"/>
              </w:rPr>
              <w:t>开展</w:t>
            </w:r>
            <w:r>
              <w:rPr>
                <w:rFonts w:hint="eastAsia" w:ascii="宋体" w:hAnsi="宋体"/>
                <w:sz w:val="15"/>
                <w:szCs w:val="15"/>
              </w:rPr>
              <w:t>史学习教育活动</w:t>
            </w:r>
            <w:r>
              <w:rPr>
                <w:rFonts w:hint="eastAsia" w:ascii="宋体" w:hAnsi="宋体" w:cs="仿宋"/>
                <w:sz w:val="18"/>
                <w:szCs w:val="18"/>
                <w:shd w:val="clear" w:color="auto" w:fill="FFFFFF"/>
              </w:rPr>
              <w:t>10次</w:t>
            </w:r>
          </w:p>
        </w:tc>
        <w:tc>
          <w:tcPr>
            <w:tcW w:w="1319" w:type="dxa"/>
            <w:noWrap/>
            <w:vAlign w:val="center"/>
          </w:tcPr>
          <w:p w14:paraId="48AAFA7F">
            <w:pPr>
              <w:spacing w:line="240" w:lineRule="exact"/>
              <w:jc w:val="center"/>
              <w:rPr>
                <w:rFonts w:ascii="Arial"/>
                <w:color w:val="000000" w:themeColor="text1"/>
                <w:sz w:val="20"/>
              </w:rPr>
            </w:pPr>
            <w:r>
              <w:rPr>
                <w:rFonts w:ascii="Arial"/>
                <w:color w:val="000000" w:themeColor="text1"/>
                <w:sz w:val="20"/>
              </w:rPr>
              <w:t>10</w:t>
            </w:r>
            <w:r>
              <w:rPr>
                <w:rFonts w:hint="eastAsia" w:ascii="Arial"/>
                <w:color w:val="000000" w:themeColor="text1"/>
                <w:sz w:val="20"/>
              </w:rPr>
              <w:t>次</w:t>
            </w:r>
          </w:p>
        </w:tc>
        <w:tc>
          <w:tcPr>
            <w:tcW w:w="1259" w:type="dxa"/>
            <w:noWrap/>
            <w:vAlign w:val="center"/>
          </w:tcPr>
          <w:p w14:paraId="6EDC7F1C">
            <w:pPr>
              <w:spacing w:line="240" w:lineRule="exact"/>
              <w:jc w:val="center"/>
              <w:rPr>
                <w:rFonts w:ascii="Arial"/>
                <w:color w:val="000000" w:themeColor="text1"/>
                <w:sz w:val="20"/>
              </w:rPr>
            </w:pPr>
            <w:r>
              <w:rPr>
                <w:rFonts w:ascii="Arial"/>
                <w:color w:val="000000" w:themeColor="text1"/>
                <w:sz w:val="20"/>
              </w:rPr>
              <w:t>10</w:t>
            </w:r>
            <w:r>
              <w:rPr>
                <w:rFonts w:hint="eastAsia" w:ascii="Arial"/>
                <w:color w:val="000000" w:themeColor="text1"/>
                <w:sz w:val="20"/>
              </w:rPr>
              <w:t>次</w:t>
            </w:r>
          </w:p>
        </w:tc>
        <w:tc>
          <w:tcPr>
            <w:tcW w:w="719" w:type="dxa"/>
            <w:noWrap/>
            <w:vAlign w:val="center"/>
          </w:tcPr>
          <w:p w14:paraId="2B2A22D7">
            <w:pPr>
              <w:spacing w:line="240" w:lineRule="exact"/>
              <w:jc w:val="center"/>
              <w:rPr>
                <w:rFonts w:ascii="Arial"/>
                <w:color w:val="000000" w:themeColor="text1"/>
                <w:sz w:val="20"/>
              </w:rPr>
            </w:pPr>
            <w:r>
              <w:rPr>
                <w:rFonts w:ascii="Arial"/>
                <w:color w:val="000000" w:themeColor="text1"/>
                <w:sz w:val="20"/>
              </w:rPr>
              <w:t>5</w:t>
            </w:r>
          </w:p>
        </w:tc>
        <w:tc>
          <w:tcPr>
            <w:tcW w:w="802" w:type="dxa"/>
            <w:noWrap/>
            <w:vAlign w:val="center"/>
          </w:tcPr>
          <w:p w14:paraId="59A02646">
            <w:pPr>
              <w:spacing w:line="240" w:lineRule="exact"/>
              <w:jc w:val="center"/>
              <w:rPr>
                <w:rFonts w:ascii="Arial"/>
                <w:color w:val="000000" w:themeColor="text1"/>
                <w:sz w:val="20"/>
              </w:rPr>
            </w:pPr>
            <w:r>
              <w:rPr>
                <w:rFonts w:ascii="Arial"/>
                <w:color w:val="000000" w:themeColor="text1"/>
                <w:sz w:val="20"/>
              </w:rPr>
              <w:t>5</w:t>
            </w:r>
          </w:p>
        </w:tc>
        <w:tc>
          <w:tcPr>
            <w:tcW w:w="1275" w:type="dxa"/>
            <w:noWrap/>
            <w:vAlign w:val="center"/>
          </w:tcPr>
          <w:p w14:paraId="17B5FC97">
            <w:pPr>
              <w:spacing w:line="240" w:lineRule="exact"/>
              <w:jc w:val="center"/>
              <w:rPr>
                <w:rFonts w:ascii="Arial"/>
                <w:color w:val="000000" w:themeColor="text1"/>
                <w:sz w:val="20"/>
              </w:rPr>
            </w:pPr>
          </w:p>
        </w:tc>
      </w:tr>
      <w:tr w14:paraId="17441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2" w:hRule="atLeast"/>
        </w:trPr>
        <w:tc>
          <w:tcPr>
            <w:tcW w:w="1084" w:type="dxa"/>
            <w:vMerge w:val="continue"/>
            <w:tcBorders>
              <w:top w:val="nil"/>
              <w:bottom w:val="nil"/>
            </w:tcBorders>
            <w:noWrap/>
            <w:textDirection w:val="tbRlV"/>
          </w:tcPr>
          <w:p w14:paraId="5E0B8371">
            <w:pPr>
              <w:rPr>
                <w:rFonts w:ascii="Arial"/>
                <w:color w:val="000000" w:themeColor="text1"/>
              </w:rPr>
            </w:pPr>
          </w:p>
        </w:tc>
        <w:tc>
          <w:tcPr>
            <w:tcW w:w="1079" w:type="dxa"/>
            <w:vMerge w:val="continue"/>
            <w:tcBorders>
              <w:top w:val="nil"/>
              <w:bottom w:val="nil"/>
            </w:tcBorders>
            <w:noWrap/>
            <w:vAlign w:val="center"/>
          </w:tcPr>
          <w:p w14:paraId="1890EBBA">
            <w:pPr>
              <w:jc w:val="center"/>
              <w:rPr>
                <w:rFonts w:ascii="Arial"/>
                <w:color w:val="000000" w:themeColor="text1"/>
              </w:rPr>
            </w:pPr>
          </w:p>
        </w:tc>
        <w:tc>
          <w:tcPr>
            <w:tcW w:w="1029" w:type="dxa"/>
            <w:vMerge w:val="continue"/>
            <w:tcBorders>
              <w:top w:val="nil"/>
              <w:bottom w:val="nil"/>
            </w:tcBorders>
            <w:noWrap/>
            <w:vAlign w:val="center"/>
          </w:tcPr>
          <w:p w14:paraId="42D66EDA">
            <w:pPr>
              <w:jc w:val="center"/>
              <w:rPr>
                <w:rFonts w:ascii="Arial"/>
                <w:color w:val="000000" w:themeColor="text1"/>
              </w:rPr>
            </w:pPr>
          </w:p>
        </w:tc>
        <w:tc>
          <w:tcPr>
            <w:tcW w:w="1269" w:type="dxa"/>
            <w:noWrap/>
            <w:vAlign w:val="center"/>
          </w:tcPr>
          <w:p w14:paraId="79015ED2">
            <w:pPr>
              <w:rPr>
                <w:rFonts w:ascii="Arial"/>
                <w:color w:val="000000" w:themeColor="text1"/>
              </w:rPr>
            </w:pPr>
            <w:r>
              <w:rPr>
                <w:rFonts w:hint="eastAsia" w:ascii="宋体" w:hAnsi="宋体" w:cs="仿宋"/>
                <w:sz w:val="18"/>
                <w:szCs w:val="18"/>
              </w:rPr>
              <w:t>下达限期改正、公告等法律文书不少于1000</w:t>
            </w:r>
            <w:r>
              <w:rPr>
                <w:rFonts w:hint="eastAsia" w:ascii="宋体" w:hAnsi="宋体" w:cs="仿宋"/>
                <w:sz w:val="18"/>
                <w:szCs w:val="18"/>
                <w:shd w:val="clear" w:color="auto" w:fill="FFFFFF"/>
              </w:rPr>
              <w:t>份</w:t>
            </w:r>
          </w:p>
        </w:tc>
        <w:tc>
          <w:tcPr>
            <w:tcW w:w="1319" w:type="dxa"/>
            <w:noWrap/>
            <w:vAlign w:val="center"/>
          </w:tcPr>
          <w:p w14:paraId="02B48434">
            <w:pPr>
              <w:jc w:val="center"/>
              <w:rPr>
                <w:rFonts w:ascii="Arial"/>
                <w:color w:val="000000" w:themeColor="text1"/>
              </w:rPr>
            </w:pPr>
            <w:r>
              <w:rPr>
                <w:rFonts w:ascii="Arial"/>
                <w:color w:val="000000" w:themeColor="text1"/>
              </w:rPr>
              <w:t>1000</w:t>
            </w:r>
            <w:r>
              <w:rPr>
                <w:rFonts w:hint="eastAsia" w:ascii="Arial"/>
                <w:color w:val="000000" w:themeColor="text1"/>
              </w:rPr>
              <w:t>份</w:t>
            </w:r>
          </w:p>
        </w:tc>
        <w:tc>
          <w:tcPr>
            <w:tcW w:w="1259" w:type="dxa"/>
            <w:noWrap/>
            <w:vAlign w:val="center"/>
          </w:tcPr>
          <w:p w14:paraId="6D252836">
            <w:pPr>
              <w:jc w:val="center"/>
              <w:rPr>
                <w:rFonts w:ascii="Arial"/>
                <w:color w:val="000000" w:themeColor="text1"/>
              </w:rPr>
            </w:pPr>
            <w:r>
              <w:rPr>
                <w:rFonts w:ascii="Arial"/>
                <w:color w:val="000000" w:themeColor="text1"/>
              </w:rPr>
              <w:t>1000</w:t>
            </w:r>
            <w:r>
              <w:rPr>
                <w:rFonts w:hint="eastAsia" w:ascii="Arial"/>
                <w:color w:val="000000" w:themeColor="text1"/>
              </w:rPr>
              <w:t>份</w:t>
            </w:r>
          </w:p>
        </w:tc>
        <w:tc>
          <w:tcPr>
            <w:tcW w:w="719" w:type="dxa"/>
            <w:noWrap/>
            <w:vAlign w:val="center"/>
          </w:tcPr>
          <w:p w14:paraId="590A02D0">
            <w:pPr>
              <w:jc w:val="center"/>
              <w:rPr>
                <w:rFonts w:ascii="Arial"/>
                <w:color w:val="000000" w:themeColor="text1"/>
              </w:rPr>
            </w:pPr>
            <w:r>
              <w:rPr>
                <w:rFonts w:ascii="Arial"/>
                <w:color w:val="000000" w:themeColor="text1"/>
              </w:rPr>
              <w:t>10</w:t>
            </w:r>
          </w:p>
        </w:tc>
        <w:tc>
          <w:tcPr>
            <w:tcW w:w="802" w:type="dxa"/>
            <w:noWrap/>
            <w:vAlign w:val="center"/>
          </w:tcPr>
          <w:p w14:paraId="33F346ED">
            <w:pPr>
              <w:jc w:val="center"/>
              <w:rPr>
                <w:rFonts w:ascii="Arial"/>
                <w:color w:val="000000" w:themeColor="text1"/>
              </w:rPr>
            </w:pPr>
            <w:r>
              <w:rPr>
                <w:rFonts w:ascii="Arial"/>
                <w:color w:val="000000" w:themeColor="text1"/>
              </w:rPr>
              <w:t>10</w:t>
            </w:r>
          </w:p>
        </w:tc>
        <w:tc>
          <w:tcPr>
            <w:tcW w:w="1275" w:type="dxa"/>
            <w:noWrap/>
            <w:vAlign w:val="center"/>
          </w:tcPr>
          <w:p w14:paraId="22EC44C9">
            <w:pPr>
              <w:jc w:val="center"/>
              <w:rPr>
                <w:rFonts w:ascii="Arial"/>
                <w:color w:val="000000" w:themeColor="text1"/>
              </w:rPr>
            </w:pPr>
          </w:p>
        </w:tc>
      </w:tr>
      <w:tr w14:paraId="0AB79F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474022B2">
            <w:pPr>
              <w:rPr>
                <w:rFonts w:ascii="Arial"/>
                <w:color w:val="000000" w:themeColor="text1"/>
              </w:rPr>
            </w:pPr>
          </w:p>
        </w:tc>
        <w:tc>
          <w:tcPr>
            <w:tcW w:w="1079" w:type="dxa"/>
            <w:vMerge w:val="continue"/>
            <w:tcBorders>
              <w:top w:val="nil"/>
              <w:bottom w:val="nil"/>
            </w:tcBorders>
            <w:noWrap/>
            <w:vAlign w:val="center"/>
          </w:tcPr>
          <w:p w14:paraId="1647B1CF">
            <w:pPr>
              <w:jc w:val="center"/>
              <w:rPr>
                <w:rFonts w:ascii="Arial"/>
                <w:color w:val="000000" w:themeColor="text1"/>
              </w:rPr>
            </w:pPr>
          </w:p>
        </w:tc>
        <w:tc>
          <w:tcPr>
            <w:tcW w:w="1029" w:type="dxa"/>
            <w:tcBorders>
              <w:bottom w:val="nil"/>
            </w:tcBorders>
            <w:noWrap/>
            <w:vAlign w:val="center"/>
          </w:tcPr>
          <w:p w14:paraId="0A94DF63">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时效指标</w:t>
            </w:r>
          </w:p>
        </w:tc>
        <w:tc>
          <w:tcPr>
            <w:tcW w:w="1269" w:type="dxa"/>
            <w:noWrap/>
            <w:vAlign w:val="center"/>
          </w:tcPr>
          <w:p w14:paraId="1D5B45C8">
            <w:pPr>
              <w:spacing w:line="239" w:lineRule="exact"/>
              <w:rPr>
                <w:rFonts w:ascii="Arial"/>
                <w:color w:val="000000" w:themeColor="text1"/>
                <w:sz w:val="20"/>
              </w:rPr>
            </w:pPr>
            <w:r>
              <w:rPr>
                <w:rFonts w:hint="eastAsia" w:ascii="宋体" w:hAnsi="宋体"/>
                <w:sz w:val="15"/>
                <w:szCs w:val="15"/>
              </w:rPr>
              <w:t>处置12345公众热线交办油烟扰民问题回复率100%</w:t>
            </w:r>
          </w:p>
        </w:tc>
        <w:tc>
          <w:tcPr>
            <w:tcW w:w="1319" w:type="dxa"/>
            <w:noWrap/>
            <w:vAlign w:val="center"/>
          </w:tcPr>
          <w:p w14:paraId="531DE6C3">
            <w:pPr>
              <w:spacing w:line="239" w:lineRule="exact"/>
              <w:jc w:val="center"/>
              <w:rPr>
                <w:rFonts w:ascii="Arial"/>
                <w:color w:val="000000" w:themeColor="text1"/>
                <w:sz w:val="20"/>
              </w:rPr>
            </w:pPr>
            <w:r>
              <w:rPr>
                <w:rFonts w:hint="eastAsia" w:ascii="Arial"/>
                <w:color w:val="000000" w:themeColor="text1"/>
                <w:sz w:val="20"/>
              </w:rPr>
              <w:t>100%</w:t>
            </w:r>
          </w:p>
        </w:tc>
        <w:tc>
          <w:tcPr>
            <w:tcW w:w="1259" w:type="dxa"/>
            <w:noWrap/>
            <w:vAlign w:val="center"/>
          </w:tcPr>
          <w:p w14:paraId="66A339FF">
            <w:pPr>
              <w:spacing w:line="239" w:lineRule="exact"/>
              <w:jc w:val="center"/>
              <w:rPr>
                <w:rFonts w:ascii="Arial"/>
                <w:color w:val="000000" w:themeColor="text1"/>
                <w:sz w:val="20"/>
              </w:rPr>
            </w:pPr>
            <w:r>
              <w:rPr>
                <w:rFonts w:hint="eastAsia" w:ascii="Arial"/>
                <w:color w:val="000000" w:themeColor="text1"/>
                <w:sz w:val="20"/>
              </w:rPr>
              <w:t>100%</w:t>
            </w:r>
          </w:p>
        </w:tc>
        <w:tc>
          <w:tcPr>
            <w:tcW w:w="719" w:type="dxa"/>
            <w:noWrap/>
            <w:vAlign w:val="center"/>
          </w:tcPr>
          <w:p w14:paraId="7C8C9B87">
            <w:pPr>
              <w:spacing w:line="239" w:lineRule="exact"/>
              <w:jc w:val="center"/>
              <w:rPr>
                <w:rFonts w:ascii="Arial"/>
                <w:color w:val="000000" w:themeColor="text1"/>
                <w:sz w:val="20"/>
              </w:rPr>
            </w:pPr>
            <w:r>
              <w:rPr>
                <w:rFonts w:ascii="Arial"/>
                <w:color w:val="000000" w:themeColor="text1"/>
                <w:sz w:val="20"/>
              </w:rPr>
              <w:t>10</w:t>
            </w:r>
          </w:p>
        </w:tc>
        <w:tc>
          <w:tcPr>
            <w:tcW w:w="802" w:type="dxa"/>
            <w:noWrap/>
            <w:vAlign w:val="center"/>
          </w:tcPr>
          <w:p w14:paraId="3EE1011E">
            <w:pPr>
              <w:spacing w:line="239" w:lineRule="exact"/>
              <w:jc w:val="center"/>
              <w:rPr>
                <w:rFonts w:ascii="Arial"/>
                <w:color w:val="000000" w:themeColor="text1"/>
                <w:sz w:val="20"/>
              </w:rPr>
            </w:pPr>
            <w:r>
              <w:rPr>
                <w:rFonts w:ascii="Arial"/>
                <w:color w:val="000000" w:themeColor="text1"/>
                <w:sz w:val="20"/>
              </w:rPr>
              <w:t>10</w:t>
            </w:r>
          </w:p>
        </w:tc>
        <w:tc>
          <w:tcPr>
            <w:tcW w:w="1275" w:type="dxa"/>
            <w:noWrap/>
            <w:vAlign w:val="center"/>
          </w:tcPr>
          <w:p w14:paraId="23CEB7EC">
            <w:pPr>
              <w:spacing w:line="239" w:lineRule="exact"/>
              <w:jc w:val="center"/>
              <w:rPr>
                <w:rFonts w:ascii="Arial"/>
                <w:color w:val="000000" w:themeColor="text1"/>
                <w:sz w:val="20"/>
              </w:rPr>
            </w:pPr>
          </w:p>
        </w:tc>
      </w:tr>
      <w:tr w14:paraId="2F297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5E8087F9">
            <w:pPr>
              <w:rPr>
                <w:rFonts w:ascii="Arial"/>
                <w:color w:val="000000" w:themeColor="text1"/>
              </w:rPr>
            </w:pPr>
          </w:p>
        </w:tc>
        <w:tc>
          <w:tcPr>
            <w:tcW w:w="1079" w:type="dxa"/>
            <w:vMerge w:val="continue"/>
            <w:tcBorders>
              <w:top w:val="nil"/>
              <w:bottom w:val="nil"/>
            </w:tcBorders>
            <w:noWrap/>
            <w:vAlign w:val="center"/>
          </w:tcPr>
          <w:p w14:paraId="65ED82DC">
            <w:pPr>
              <w:jc w:val="center"/>
              <w:rPr>
                <w:rFonts w:ascii="Arial"/>
                <w:color w:val="000000" w:themeColor="text1"/>
              </w:rPr>
            </w:pPr>
          </w:p>
        </w:tc>
        <w:tc>
          <w:tcPr>
            <w:tcW w:w="1029" w:type="dxa"/>
            <w:tcBorders>
              <w:bottom w:val="nil"/>
            </w:tcBorders>
            <w:noWrap/>
            <w:vAlign w:val="center"/>
          </w:tcPr>
          <w:p w14:paraId="76F9B89A">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成本指标</w:t>
            </w:r>
          </w:p>
        </w:tc>
        <w:tc>
          <w:tcPr>
            <w:tcW w:w="1269" w:type="dxa"/>
            <w:noWrap/>
            <w:vAlign w:val="center"/>
          </w:tcPr>
          <w:p w14:paraId="6A2C55F6">
            <w:pPr>
              <w:spacing w:line="239" w:lineRule="exact"/>
              <w:rPr>
                <w:rFonts w:ascii="Arial"/>
                <w:color w:val="000000" w:themeColor="text1"/>
                <w:sz w:val="20"/>
              </w:rPr>
            </w:pPr>
            <w:r>
              <w:rPr>
                <w:rFonts w:hint="eastAsia" w:ascii="宋体" w:hAnsi="宋体" w:cs="仿宋_GB2312"/>
                <w:color w:val="000000"/>
                <w:sz w:val="18"/>
                <w:szCs w:val="18"/>
              </w:rPr>
              <w:t>严格控制成本，不超预算</w:t>
            </w:r>
          </w:p>
        </w:tc>
        <w:tc>
          <w:tcPr>
            <w:tcW w:w="1319" w:type="dxa"/>
            <w:noWrap/>
            <w:vAlign w:val="center"/>
          </w:tcPr>
          <w:p w14:paraId="60182AFB">
            <w:pPr>
              <w:spacing w:line="239" w:lineRule="exact"/>
              <w:jc w:val="center"/>
              <w:rPr>
                <w:rFonts w:ascii="Arial"/>
                <w:color w:val="000000" w:themeColor="text1"/>
                <w:sz w:val="20"/>
              </w:rPr>
            </w:pPr>
            <w:r>
              <w:rPr>
                <w:rFonts w:hint="eastAsia" w:ascii="Arial"/>
                <w:color w:val="000000" w:themeColor="text1"/>
                <w:sz w:val="20"/>
              </w:rPr>
              <w:t>100%</w:t>
            </w:r>
          </w:p>
        </w:tc>
        <w:tc>
          <w:tcPr>
            <w:tcW w:w="1259" w:type="dxa"/>
            <w:noWrap/>
            <w:vAlign w:val="center"/>
          </w:tcPr>
          <w:p w14:paraId="26D16B79">
            <w:pPr>
              <w:spacing w:line="239" w:lineRule="exact"/>
              <w:jc w:val="center"/>
              <w:rPr>
                <w:rFonts w:ascii="Arial"/>
                <w:color w:val="000000" w:themeColor="text1"/>
                <w:sz w:val="20"/>
              </w:rPr>
            </w:pPr>
            <w:r>
              <w:rPr>
                <w:rFonts w:hint="eastAsia" w:ascii="Arial"/>
                <w:color w:val="000000" w:themeColor="text1"/>
                <w:sz w:val="20"/>
              </w:rPr>
              <w:t>100%</w:t>
            </w:r>
          </w:p>
        </w:tc>
        <w:tc>
          <w:tcPr>
            <w:tcW w:w="719" w:type="dxa"/>
            <w:noWrap/>
            <w:vAlign w:val="center"/>
          </w:tcPr>
          <w:p w14:paraId="7805B8E5">
            <w:pPr>
              <w:spacing w:line="239" w:lineRule="exact"/>
              <w:jc w:val="center"/>
              <w:rPr>
                <w:rFonts w:ascii="Arial"/>
                <w:color w:val="000000" w:themeColor="text1"/>
                <w:sz w:val="20"/>
              </w:rPr>
            </w:pPr>
            <w:r>
              <w:rPr>
                <w:rFonts w:hint="eastAsia" w:ascii="Arial"/>
                <w:color w:val="000000" w:themeColor="text1"/>
                <w:sz w:val="20"/>
              </w:rPr>
              <w:t>9</w:t>
            </w:r>
          </w:p>
        </w:tc>
        <w:tc>
          <w:tcPr>
            <w:tcW w:w="802" w:type="dxa"/>
            <w:noWrap/>
            <w:vAlign w:val="center"/>
          </w:tcPr>
          <w:p w14:paraId="6B08A58C">
            <w:pPr>
              <w:spacing w:line="239" w:lineRule="exact"/>
              <w:jc w:val="center"/>
              <w:rPr>
                <w:rFonts w:ascii="Arial"/>
                <w:color w:val="000000" w:themeColor="text1"/>
                <w:sz w:val="20"/>
              </w:rPr>
            </w:pPr>
            <w:r>
              <w:rPr>
                <w:rFonts w:hint="eastAsia" w:ascii="Arial"/>
                <w:color w:val="000000" w:themeColor="text1"/>
                <w:sz w:val="20"/>
              </w:rPr>
              <w:t>9</w:t>
            </w:r>
          </w:p>
        </w:tc>
        <w:tc>
          <w:tcPr>
            <w:tcW w:w="1275" w:type="dxa"/>
            <w:noWrap/>
            <w:vAlign w:val="center"/>
          </w:tcPr>
          <w:p w14:paraId="602F9513">
            <w:pPr>
              <w:spacing w:line="239" w:lineRule="exact"/>
              <w:jc w:val="center"/>
              <w:rPr>
                <w:rFonts w:ascii="Arial"/>
                <w:color w:val="000000" w:themeColor="text1"/>
                <w:sz w:val="20"/>
              </w:rPr>
            </w:pPr>
          </w:p>
        </w:tc>
      </w:tr>
      <w:tr w14:paraId="4D9BE4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296006AE">
            <w:pPr>
              <w:rPr>
                <w:rFonts w:ascii="Arial"/>
                <w:color w:val="000000" w:themeColor="text1"/>
              </w:rPr>
            </w:pPr>
          </w:p>
        </w:tc>
        <w:tc>
          <w:tcPr>
            <w:tcW w:w="1079" w:type="dxa"/>
            <w:vMerge w:val="restart"/>
            <w:tcBorders>
              <w:bottom w:val="nil"/>
            </w:tcBorders>
            <w:noWrap/>
            <w:vAlign w:val="center"/>
          </w:tcPr>
          <w:p w14:paraId="7591767D">
            <w:pPr>
              <w:spacing w:line="250" w:lineRule="auto"/>
              <w:jc w:val="center"/>
              <w:rPr>
                <w:rFonts w:ascii="Arial"/>
                <w:color w:val="000000" w:themeColor="text1"/>
              </w:rPr>
            </w:pPr>
          </w:p>
          <w:p w14:paraId="1964A9F7">
            <w:pPr>
              <w:spacing w:line="251" w:lineRule="auto"/>
              <w:jc w:val="center"/>
              <w:rPr>
                <w:rFonts w:ascii="Arial"/>
                <w:color w:val="000000" w:themeColor="text1"/>
              </w:rPr>
            </w:pPr>
          </w:p>
          <w:p w14:paraId="54F0CEA7">
            <w:pPr>
              <w:spacing w:line="251" w:lineRule="auto"/>
              <w:jc w:val="center"/>
              <w:rPr>
                <w:rFonts w:ascii="Arial"/>
                <w:color w:val="000000" w:themeColor="text1"/>
              </w:rPr>
            </w:pPr>
          </w:p>
          <w:p w14:paraId="6B8C5958">
            <w:pPr>
              <w:spacing w:line="251" w:lineRule="auto"/>
              <w:jc w:val="center"/>
              <w:rPr>
                <w:rFonts w:ascii="Arial"/>
                <w:color w:val="000000" w:themeColor="text1"/>
              </w:rPr>
            </w:pPr>
          </w:p>
          <w:p w14:paraId="57449BDD">
            <w:pPr>
              <w:spacing w:line="491" w:lineRule="exact"/>
              <w:jc w:val="center"/>
              <w:rPr>
                <w:rFonts w:ascii="宋体" w:hAnsi="宋体" w:eastAsia="宋体" w:cs="宋体"/>
                <w:color w:val="000000" w:themeColor="text1"/>
                <w:szCs w:val="21"/>
              </w:rPr>
            </w:pPr>
            <w:r>
              <w:rPr>
                <w:rFonts w:ascii="宋体" w:hAnsi="宋体" w:eastAsia="宋体" w:cs="宋体"/>
                <w:color w:val="000000" w:themeColor="text1"/>
                <w:spacing w:val="2"/>
                <w:position w:val="21"/>
                <w:szCs w:val="21"/>
              </w:rPr>
              <w:t>效益指标</w:t>
            </w:r>
          </w:p>
          <w:p w14:paraId="14E595E2">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9"/>
                <w:szCs w:val="21"/>
              </w:rPr>
              <w:t>(30分)</w:t>
            </w:r>
          </w:p>
        </w:tc>
        <w:tc>
          <w:tcPr>
            <w:tcW w:w="1029" w:type="dxa"/>
            <w:tcBorders>
              <w:bottom w:val="nil"/>
            </w:tcBorders>
            <w:noWrap/>
            <w:vAlign w:val="center"/>
          </w:tcPr>
          <w:p w14:paraId="56F6CE6E">
            <w:pPr>
              <w:spacing w:line="229"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经济效</w:t>
            </w:r>
          </w:p>
          <w:p w14:paraId="2C0D35E3">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益指标</w:t>
            </w:r>
          </w:p>
        </w:tc>
        <w:tc>
          <w:tcPr>
            <w:tcW w:w="1269" w:type="dxa"/>
            <w:noWrap/>
            <w:vAlign w:val="center"/>
          </w:tcPr>
          <w:p w14:paraId="62660836">
            <w:pPr>
              <w:autoSpaceDN w:val="0"/>
              <w:spacing w:line="320" w:lineRule="exact"/>
              <w:jc w:val="left"/>
              <w:textAlignment w:val="center"/>
              <w:rPr>
                <w:rFonts w:ascii="宋体" w:hAnsi="宋体" w:cs="仿宋_GB2312"/>
                <w:color w:val="000000"/>
                <w:sz w:val="18"/>
                <w:szCs w:val="18"/>
              </w:rPr>
            </w:pPr>
            <w:r>
              <w:rPr>
                <w:rFonts w:hint="eastAsia" w:ascii="宋体" w:hAnsi="宋体" w:cs="仿宋"/>
                <w:sz w:val="18"/>
                <w:szCs w:val="18"/>
              </w:rPr>
              <w:t>积极开展生态环境专项整治</w:t>
            </w:r>
          </w:p>
          <w:p w14:paraId="0B67FF89">
            <w:pPr>
              <w:spacing w:line="240" w:lineRule="exact"/>
              <w:jc w:val="center"/>
              <w:rPr>
                <w:rFonts w:ascii="Arial"/>
                <w:color w:val="000000" w:themeColor="text1"/>
                <w:sz w:val="20"/>
              </w:rPr>
            </w:pPr>
          </w:p>
        </w:tc>
        <w:tc>
          <w:tcPr>
            <w:tcW w:w="1319" w:type="dxa"/>
            <w:noWrap/>
            <w:vAlign w:val="center"/>
          </w:tcPr>
          <w:p w14:paraId="43E48D0C">
            <w:pPr>
              <w:spacing w:line="240" w:lineRule="exact"/>
              <w:jc w:val="center"/>
              <w:rPr>
                <w:rFonts w:ascii="Arial"/>
                <w:color w:val="000000" w:themeColor="text1"/>
                <w:sz w:val="20"/>
              </w:rPr>
            </w:pPr>
            <w:r>
              <w:rPr>
                <w:rFonts w:hint="eastAsia" w:ascii="Arial"/>
                <w:color w:val="000000" w:themeColor="text1"/>
                <w:sz w:val="20"/>
              </w:rPr>
              <w:t>100%</w:t>
            </w:r>
          </w:p>
        </w:tc>
        <w:tc>
          <w:tcPr>
            <w:tcW w:w="1259" w:type="dxa"/>
            <w:noWrap/>
            <w:vAlign w:val="center"/>
          </w:tcPr>
          <w:p w14:paraId="34323418">
            <w:pPr>
              <w:spacing w:line="240" w:lineRule="exact"/>
              <w:jc w:val="center"/>
              <w:rPr>
                <w:rFonts w:ascii="Arial"/>
                <w:color w:val="000000" w:themeColor="text1"/>
                <w:sz w:val="20"/>
              </w:rPr>
            </w:pPr>
            <w:r>
              <w:rPr>
                <w:rFonts w:hint="eastAsia" w:ascii="Arial"/>
                <w:color w:val="000000" w:themeColor="text1"/>
                <w:sz w:val="20"/>
              </w:rPr>
              <w:t>100%</w:t>
            </w:r>
          </w:p>
        </w:tc>
        <w:tc>
          <w:tcPr>
            <w:tcW w:w="719" w:type="dxa"/>
            <w:noWrap/>
            <w:vAlign w:val="center"/>
          </w:tcPr>
          <w:p w14:paraId="78B1E3A8">
            <w:pPr>
              <w:spacing w:line="240" w:lineRule="exact"/>
              <w:jc w:val="center"/>
              <w:rPr>
                <w:rFonts w:ascii="Arial"/>
                <w:color w:val="000000" w:themeColor="text1"/>
                <w:sz w:val="20"/>
              </w:rPr>
            </w:pPr>
            <w:r>
              <w:rPr>
                <w:rFonts w:hint="eastAsia" w:ascii="Arial"/>
                <w:color w:val="000000" w:themeColor="text1"/>
                <w:sz w:val="20"/>
              </w:rPr>
              <w:t>10</w:t>
            </w:r>
          </w:p>
        </w:tc>
        <w:tc>
          <w:tcPr>
            <w:tcW w:w="802" w:type="dxa"/>
            <w:noWrap/>
            <w:vAlign w:val="center"/>
          </w:tcPr>
          <w:p w14:paraId="400C5B61">
            <w:pPr>
              <w:spacing w:line="240" w:lineRule="exact"/>
              <w:jc w:val="center"/>
              <w:rPr>
                <w:rFonts w:ascii="Arial"/>
                <w:color w:val="000000" w:themeColor="text1"/>
                <w:sz w:val="20"/>
              </w:rPr>
            </w:pPr>
            <w:r>
              <w:rPr>
                <w:rFonts w:hint="eastAsia" w:ascii="Arial"/>
                <w:color w:val="000000" w:themeColor="text1"/>
                <w:sz w:val="20"/>
              </w:rPr>
              <w:t>10</w:t>
            </w:r>
          </w:p>
        </w:tc>
        <w:tc>
          <w:tcPr>
            <w:tcW w:w="1275" w:type="dxa"/>
            <w:noWrap/>
            <w:vAlign w:val="center"/>
          </w:tcPr>
          <w:p w14:paraId="6A363630">
            <w:pPr>
              <w:spacing w:line="240" w:lineRule="exact"/>
              <w:jc w:val="center"/>
              <w:rPr>
                <w:rFonts w:ascii="Arial"/>
                <w:color w:val="000000" w:themeColor="text1"/>
                <w:sz w:val="20"/>
              </w:rPr>
            </w:pPr>
          </w:p>
        </w:tc>
      </w:tr>
      <w:tr w14:paraId="22CEE1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17BAC322">
            <w:pPr>
              <w:rPr>
                <w:rFonts w:ascii="Arial"/>
                <w:color w:val="000000" w:themeColor="text1"/>
              </w:rPr>
            </w:pPr>
          </w:p>
        </w:tc>
        <w:tc>
          <w:tcPr>
            <w:tcW w:w="1079" w:type="dxa"/>
            <w:vMerge w:val="continue"/>
            <w:tcBorders>
              <w:top w:val="nil"/>
              <w:bottom w:val="nil"/>
            </w:tcBorders>
            <w:noWrap/>
            <w:vAlign w:val="center"/>
          </w:tcPr>
          <w:p w14:paraId="7F2ACCD1">
            <w:pPr>
              <w:jc w:val="center"/>
              <w:rPr>
                <w:rFonts w:ascii="Arial"/>
                <w:color w:val="000000" w:themeColor="text1"/>
              </w:rPr>
            </w:pPr>
          </w:p>
        </w:tc>
        <w:tc>
          <w:tcPr>
            <w:tcW w:w="1029" w:type="dxa"/>
            <w:tcBorders>
              <w:bottom w:val="nil"/>
            </w:tcBorders>
            <w:noWrap/>
            <w:vAlign w:val="center"/>
          </w:tcPr>
          <w:p w14:paraId="5ED85183">
            <w:pPr>
              <w:spacing w:line="212"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社会效</w:t>
            </w:r>
          </w:p>
          <w:p w14:paraId="7635C1B9">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益指标</w:t>
            </w:r>
          </w:p>
        </w:tc>
        <w:tc>
          <w:tcPr>
            <w:tcW w:w="1269" w:type="dxa"/>
            <w:noWrap/>
            <w:vAlign w:val="center"/>
          </w:tcPr>
          <w:p w14:paraId="6BD336B9">
            <w:pPr>
              <w:spacing w:line="240" w:lineRule="exact"/>
              <w:rPr>
                <w:rFonts w:ascii="Arial"/>
                <w:color w:val="000000" w:themeColor="text1"/>
                <w:sz w:val="20"/>
              </w:rPr>
            </w:pPr>
            <w:r>
              <w:rPr>
                <w:rFonts w:ascii="Arial"/>
                <w:color w:val="000000" w:themeColor="text1"/>
                <w:sz w:val="20"/>
              </w:rPr>
              <w:t>无</w:t>
            </w:r>
          </w:p>
        </w:tc>
        <w:tc>
          <w:tcPr>
            <w:tcW w:w="1319" w:type="dxa"/>
            <w:noWrap/>
            <w:vAlign w:val="center"/>
          </w:tcPr>
          <w:p w14:paraId="6F795EB4">
            <w:pPr>
              <w:spacing w:line="240" w:lineRule="exact"/>
              <w:jc w:val="center"/>
              <w:rPr>
                <w:rFonts w:ascii="Arial"/>
                <w:color w:val="000000" w:themeColor="text1"/>
                <w:sz w:val="20"/>
              </w:rPr>
            </w:pPr>
          </w:p>
        </w:tc>
        <w:tc>
          <w:tcPr>
            <w:tcW w:w="1259" w:type="dxa"/>
            <w:noWrap/>
            <w:vAlign w:val="center"/>
          </w:tcPr>
          <w:p w14:paraId="12A34430">
            <w:pPr>
              <w:spacing w:line="240" w:lineRule="exact"/>
              <w:jc w:val="center"/>
              <w:rPr>
                <w:rFonts w:ascii="Arial"/>
                <w:color w:val="000000" w:themeColor="text1"/>
                <w:sz w:val="20"/>
              </w:rPr>
            </w:pPr>
          </w:p>
        </w:tc>
        <w:tc>
          <w:tcPr>
            <w:tcW w:w="719" w:type="dxa"/>
            <w:noWrap/>
            <w:vAlign w:val="center"/>
          </w:tcPr>
          <w:p w14:paraId="1E19C4DF">
            <w:pPr>
              <w:spacing w:line="240" w:lineRule="exact"/>
              <w:jc w:val="center"/>
              <w:rPr>
                <w:rFonts w:ascii="Arial"/>
                <w:color w:val="000000" w:themeColor="text1"/>
                <w:sz w:val="20"/>
              </w:rPr>
            </w:pPr>
          </w:p>
        </w:tc>
        <w:tc>
          <w:tcPr>
            <w:tcW w:w="802" w:type="dxa"/>
            <w:noWrap/>
            <w:vAlign w:val="center"/>
          </w:tcPr>
          <w:p w14:paraId="5280BE1D">
            <w:pPr>
              <w:spacing w:line="240" w:lineRule="exact"/>
              <w:jc w:val="center"/>
              <w:rPr>
                <w:rFonts w:ascii="Arial"/>
                <w:color w:val="000000" w:themeColor="text1"/>
                <w:sz w:val="20"/>
              </w:rPr>
            </w:pPr>
          </w:p>
        </w:tc>
        <w:tc>
          <w:tcPr>
            <w:tcW w:w="1275" w:type="dxa"/>
            <w:noWrap/>
            <w:vAlign w:val="center"/>
          </w:tcPr>
          <w:p w14:paraId="7439064D">
            <w:pPr>
              <w:spacing w:line="240" w:lineRule="exact"/>
              <w:jc w:val="center"/>
              <w:rPr>
                <w:rFonts w:ascii="Arial"/>
                <w:color w:val="000000" w:themeColor="text1"/>
                <w:sz w:val="20"/>
              </w:rPr>
            </w:pPr>
          </w:p>
        </w:tc>
      </w:tr>
      <w:tr w14:paraId="1D777F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51F38D46">
            <w:pPr>
              <w:rPr>
                <w:rFonts w:ascii="Arial"/>
                <w:color w:val="000000" w:themeColor="text1"/>
              </w:rPr>
            </w:pPr>
          </w:p>
        </w:tc>
        <w:tc>
          <w:tcPr>
            <w:tcW w:w="1079" w:type="dxa"/>
            <w:vMerge w:val="continue"/>
            <w:tcBorders>
              <w:top w:val="nil"/>
              <w:bottom w:val="nil"/>
            </w:tcBorders>
            <w:noWrap/>
            <w:vAlign w:val="center"/>
          </w:tcPr>
          <w:p w14:paraId="234180D5">
            <w:pPr>
              <w:jc w:val="center"/>
              <w:rPr>
                <w:rFonts w:ascii="Arial"/>
                <w:color w:val="000000" w:themeColor="text1"/>
              </w:rPr>
            </w:pPr>
          </w:p>
        </w:tc>
        <w:tc>
          <w:tcPr>
            <w:tcW w:w="1029" w:type="dxa"/>
            <w:vMerge w:val="restart"/>
            <w:tcBorders>
              <w:bottom w:val="nil"/>
            </w:tcBorders>
            <w:noWrap/>
            <w:vAlign w:val="center"/>
          </w:tcPr>
          <w:p w14:paraId="5B1AB3E8">
            <w:pPr>
              <w:spacing w:line="237"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生态效</w:t>
            </w:r>
          </w:p>
          <w:p w14:paraId="2D23B51A">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益指标</w:t>
            </w:r>
          </w:p>
        </w:tc>
        <w:tc>
          <w:tcPr>
            <w:tcW w:w="1269" w:type="dxa"/>
            <w:noWrap/>
            <w:vAlign w:val="center"/>
          </w:tcPr>
          <w:p w14:paraId="05615E3E">
            <w:pPr>
              <w:autoSpaceDN w:val="0"/>
              <w:spacing w:line="320" w:lineRule="exact"/>
              <w:jc w:val="left"/>
              <w:textAlignment w:val="center"/>
              <w:rPr>
                <w:rFonts w:ascii="宋体" w:hAnsi="宋体" w:cs="仿宋_GB2312"/>
                <w:color w:val="000000"/>
                <w:sz w:val="18"/>
                <w:szCs w:val="18"/>
              </w:rPr>
            </w:pPr>
            <w:r>
              <w:rPr>
                <w:rFonts w:hint="eastAsia" w:ascii="宋体" w:hAnsi="宋体" w:cs="仿宋"/>
                <w:sz w:val="18"/>
                <w:szCs w:val="18"/>
                <w:shd w:val="clear" w:color="auto" w:fill="FFFFFF"/>
              </w:rPr>
              <w:t>整改油烟排放管道15家</w:t>
            </w:r>
          </w:p>
          <w:p w14:paraId="004C2523">
            <w:pPr>
              <w:spacing w:line="240" w:lineRule="exact"/>
              <w:jc w:val="center"/>
              <w:rPr>
                <w:rFonts w:ascii="Arial"/>
                <w:color w:val="000000" w:themeColor="text1"/>
                <w:sz w:val="20"/>
              </w:rPr>
            </w:pPr>
          </w:p>
        </w:tc>
        <w:tc>
          <w:tcPr>
            <w:tcW w:w="1319" w:type="dxa"/>
            <w:noWrap/>
            <w:vAlign w:val="center"/>
          </w:tcPr>
          <w:p w14:paraId="10BD6C5B">
            <w:pPr>
              <w:spacing w:line="240" w:lineRule="exact"/>
              <w:jc w:val="center"/>
              <w:rPr>
                <w:rFonts w:ascii="Arial"/>
                <w:color w:val="000000" w:themeColor="text1"/>
                <w:sz w:val="20"/>
              </w:rPr>
            </w:pPr>
            <w:r>
              <w:rPr>
                <w:rFonts w:hint="eastAsia" w:ascii="Arial"/>
                <w:color w:val="000000" w:themeColor="text1"/>
                <w:sz w:val="20"/>
              </w:rPr>
              <w:t>15家</w:t>
            </w:r>
          </w:p>
        </w:tc>
        <w:tc>
          <w:tcPr>
            <w:tcW w:w="1259" w:type="dxa"/>
            <w:noWrap/>
            <w:vAlign w:val="center"/>
          </w:tcPr>
          <w:p w14:paraId="5478A254">
            <w:pPr>
              <w:spacing w:line="240" w:lineRule="exact"/>
              <w:jc w:val="center"/>
              <w:rPr>
                <w:rFonts w:ascii="Arial"/>
                <w:color w:val="000000" w:themeColor="text1"/>
                <w:sz w:val="20"/>
              </w:rPr>
            </w:pPr>
            <w:r>
              <w:rPr>
                <w:rFonts w:hint="eastAsia" w:ascii="Arial"/>
                <w:color w:val="000000" w:themeColor="text1"/>
                <w:sz w:val="20"/>
              </w:rPr>
              <w:t>15家</w:t>
            </w:r>
          </w:p>
        </w:tc>
        <w:tc>
          <w:tcPr>
            <w:tcW w:w="719" w:type="dxa"/>
            <w:noWrap/>
            <w:vAlign w:val="center"/>
          </w:tcPr>
          <w:p w14:paraId="680D9DB9">
            <w:pPr>
              <w:spacing w:line="240" w:lineRule="exact"/>
              <w:jc w:val="center"/>
              <w:rPr>
                <w:rFonts w:ascii="Arial"/>
                <w:color w:val="000000" w:themeColor="text1"/>
                <w:sz w:val="20"/>
              </w:rPr>
            </w:pPr>
            <w:r>
              <w:rPr>
                <w:rFonts w:hint="eastAsia" w:ascii="Arial"/>
                <w:color w:val="000000" w:themeColor="text1"/>
                <w:sz w:val="20"/>
              </w:rPr>
              <w:t>10</w:t>
            </w:r>
          </w:p>
        </w:tc>
        <w:tc>
          <w:tcPr>
            <w:tcW w:w="802" w:type="dxa"/>
            <w:noWrap/>
            <w:vAlign w:val="center"/>
          </w:tcPr>
          <w:p w14:paraId="02CC8914">
            <w:pPr>
              <w:spacing w:line="240" w:lineRule="exact"/>
              <w:jc w:val="center"/>
              <w:rPr>
                <w:rFonts w:ascii="Arial"/>
                <w:color w:val="000000" w:themeColor="text1"/>
                <w:sz w:val="20"/>
              </w:rPr>
            </w:pPr>
            <w:r>
              <w:rPr>
                <w:rFonts w:hint="eastAsia" w:ascii="Arial"/>
                <w:color w:val="000000" w:themeColor="text1"/>
                <w:sz w:val="20"/>
              </w:rPr>
              <w:t>10</w:t>
            </w:r>
          </w:p>
        </w:tc>
        <w:tc>
          <w:tcPr>
            <w:tcW w:w="1275" w:type="dxa"/>
            <w:noWrap/>
            <w:vAlign w:val="center"/>
          </w:tcPr>
          <w:p w14:paraId="490C05FA">
            <w:pPr>
              <w:spacing w:line="240" w:lineRule="exact"/>
              <w:jc w:val="center"/>
              <w:rPr>
                <w:rFonts w:ascii="Arial"/>
                <w:color w:val="000000" w:themeColor="text1"/>
                <w:sz w:val="20"/>
              </w:rPr>
            </w:pPr>
          </w:p>
        </w:tc>
      </w:tr>
      <w:tr w14:paraId="53A31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textDirection w:val="tbRlV"/>
          </w:tcPr>
          <w:p w14:paraId="32B43A6D">
            <w:pPr>
              <w:rPr>
                <w:rFonts w:ascii="Arial"/>
                <w:color w:val="000000" w:themeColor="text1"/>
              </w:rPr>
            </w:pPr>
          </w:p>
        </w:tc>
        <w:tc>
          <w:tcPr>
            <w:tcW w:w="1079" w:type="dxa"/>
            <w:vMerge w:val="continue"/>
            <w:tcBorders>
              <w:top w:val="nil"/>
              <w:bottom w:val="nil"/>
            </w:tcBorders>
            <w:noWrap/>
            <w:vAlign w:val="center"/>
          </w:tcPr>
          <w:p w14:paraId="2C41A032">
            <w:pPr>
              <w:jc w:val="center"/>
              <w:rPr>
                <w:rFonts w:ascii="Arial"/>
                <w:color w:val="000000" w:themeColor="text1"/>
              </w:rPr>
            </w:pPr>
          </w:p>
        </w:tc>
        <w:tc>
          <w:tcPr>
            <w:tcW w:w="1029" w:type="dxa"/>
            <w:vMerge w:val="continue"/>
            <w:tcBorders>
              <w:top w:val="nil"/>
              <w:bottom w:val="nil"/>
            </w:tcBorders>
            <w:noWrap/>
            <w:vAlign w:val="center"/>
          </w:tcPr>
          <w:p w14:paraId="0D38F6FA">
            <w:pPr>
              <w:jc w:val="center"/>
              <w:rPr>
                <w:rFonts w:ascii="Arial"/>
                <w:color w:val="000000" w:themeColor="text1"/>
              </w:rPr>
            </w:pPr>
          </w:p>
        </w:tc>
        <w:tc>
          <w:tcPr>
            <w:tcW w:w="1269" w:type="dxa"/>
            <w:noWrap/>
            <w:vAlign w:val="center"/>
          </w:tcPr>
          <w:p w14:paraId="1A8C94E6">
            <w:pPr>
              <w:rPr>
                <w:rFonts w:ascii="Arial"/>
                <w:color w:val="000000" w:themeColor="text1"/>
              </w:rPr>
            </w:pPr>
            <w:r>
              <w:rPr>
                <w:rFonts w:hint="eastAsia" w:ascii="宋体" w:hAnsi="宋体" w:cs="仿宋"/>
                <w:sz w:val="18"/>
                <w:szCs w:val="18"/>
                <w:shd w:val="clear" w:color="auto" w:fill="FFFFFF"/>
              </w:rPr>
              <w:t>安装油烟净化设备15家</w:t>
            </w:r>
          </w:p>
        </w:tc>
        <w:tc>
          <w:tcPr>
            <w:tcW w:w="1319" w:type="dxa"/>
            <w:noWrap/>
            <w:vAlign w:val="center"/>
          </w:tcPr>
          <w:p w14:paraId="18924C09">
            <w:pPr>
              <w:jc w:val="center"/>
              <w:rPr>
                <w:rFonts w:ascii="Arial"/>
                <w:color w:val="000000" w:themeColor="text1"/>
              </w:rPr>
            </w:pPr>
            <w:r>
              <w:rPr>
                <w:rFonts w:hint="eastAsia" w:ascii="Arial"/>
                <w:color w:val="000000" w:themeColor="text1"/>
              </w:rPr>
              <w:t>15家</w:t>
            </w:r>
          </w:p>
        </w:tc>
        <w:tc>
          <w:tcPr>
            <w:tcW w:w="1259" w:type="dxa"/>
            <w:noWrap/>
            <w:vAlign w:val="center"/>
          </w:tcPr>
          <w:p w14:paraId="27FCEC1C">
            <w:pPr>
              <w:jc w:val="center"/>
              <w:rPr>
                <w:rFonts w:ascii="Arial"/>
                <w:color w:val="000000" w:themeColor="text1"/>
              </w:rPr>
            </w:pPr>
            <w:r>
              <w:rPr>
                <w:rFonts w:hint="eastAsia" w:ascii="Arial"/>
                <w:color w:val="000000" w:themeColor="text1"/>
              </w:rPr>
              <w:t>15家</w:t>
            </w:r>
          </w:p>
        </w:tc>
        <w:tc>
          <w:tcPr>
            <w:tcW w:w="719" w:type="dxa"/>
            <w:noWrap/>
            <w:vAlign w:val="center"/>
          </w:tcPr>
          <w:p w14:paraId="2AD81706">
            <w:pPr>
              <w:jc w:val="center"/>
              <w:rPr>
                <w:rFonts w:ascii="Arial"/>
                <w:color w:val="000000" w:themeColor="text1"/>
              </w:rPr>
            </w:pPr>
            <w:r>
              <w:rPr>
                <w:rFonts w:hint="eastAsia" w:ascii="Arial"/>
                <w:color w:val="000000" w:themeColor="text1"/>
              </w:rPr>
              <w:t>10</w:t>
            </w:r>
          </w:p>
        </w:tc>
        <w:tc>
          <w:tcPr>
            <w:tcW w:w="802" w:type="dxa"/>
            <w:noWrap/>
            <w:vAlign w:val="center"/>
          </w:tcPr>
          <w:p w14:paraId="71771509">
            <w:pPr>
              <w:jc w:val="center"/>
              <w:rPr>
                <w:rFonts w:ascii="Arial"/>
                <w:color w:val="000000" w:themeColor="text1"/>
              </w:rPr>
            </w:pPr>
            <w:r>
              <w:rPr>
                <w:rFonts w:hint="eastAsia" w:ascii="Arial"/>
                <w:color w:val="000000" w:themeColor="text1"/>
              </w:rPr>
              <w:t>10</w:t>
            </w:r>
          </w:p>
        </w:tc>
        <w:tc>
          <w:tcPr>
            <w:tcW w:w="1275" w:type="dxa"/>
            <w:noWrap/>
            <w:vAlign w:val="center"/>
          </w:tcPr>
          <w:p w14:paraId="6407AA65">
            <w:pPr>
              <w:jc w:val="center"/>
              <w:rPr>
                <w:rFonts w:ascii="Arial"/>
                <w:color w:val="000000" w:themeColor="text1"/>
              </w:rPr>
            </w:pPr>
          </w:p>
        </w:tc>
      </w:tr>
      <w:tr w14:paraId="22C6D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textDirection w:val="tbRlV"/>
          </w:tcPr>
          <w:p w14:paraId="4C24A869">
            <w:pPr>
              <w:rPr>
                <w:rFonts w:ascii="Arial"/>
                <w:color w:val="000000" w:themeColor="text1"/>
              </w:rPr>
            </w:pPr>
          </w:p>
        </w:tc>
        <w:tc>
          <w:tcPr>
            <w:tcW w:w="1079" w:type="dxa"/>
            <w:vMerge w:val="continue"/>
            <w:tcBorders>
              <w:top w:val="nil"/>
              <w:bottom w:val="nil"/>
            </w:tcBorders>
            <w:noWrap/>
            <w:vAlign w:val="center"/>
          </w:tcPr>
          <w:p w14:paraId="5E69EF00">
            <w:pPr>
              <w:jc w:val="center"/>
              <w:rPr>
                <w:rFonts w:ascii="Arial"/>
                <w:color w:val="000000" w:themeColor="text1"/>
              </w:rPr>
            </w:pPr>
          </w:p>
        </w:tc>
        <w:tc>
          <w:tcPr>
            <w:tcW w:w="1029" w:type="dxa"/>
            <w:tcBorders>
              <w:bottom w:val="nil"/>
            </w:tcBorders>
            <w:noWrap/>
            <w:vAlign w:val="center"/>
          </w:tcPr>
          <w:p w14:paraId="6D48054F">
            <w:pPr>
              <w:spacing w:line="203"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可持续影</w:t>
            </w:r>
          </w:p>
          <w:p w14:paraId="0F76B0D1">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响指标</w:t>
            </w:r>
          </w:p>
        </w:tc>
        <w:tc>
          <w:tcPr>
            <w:tcW w:w="1269" w:type="dxa"/>
            <w:noWrap/>
            <w:vAlign w:val="center"/>
          </w:tcPr>
          <w:p w14:paraId="1EB297A7">
            <w:pPr>
              <w:jc w:val="center"/>
              <w:rPr>
                <w:rFonts w:ascii="Arial"/>
                <w:color w:val="000000" w:themeColor="text1"/>
              </w:rPr>
            </w:pPr>
            <w:r>
              <w:rPr>
                <w:rFonts w:ascii="Arial"/>
                <w:color w:val="000000" w:themeColor="text1"/>
              </w:rPr>
              <w:t>无</w:t>
            </w:r>
          </w:p>
        </w:tc>
        <w:tc>
          <w:tcPr>
            <w:tcW w:w="1319" w:type="dxa"/>
            <w:noWrap/>
            <w:vAlign w:val="center"/>
          </w:tcPr>
          <w:p w14:paraId="4E264E06">
            <w:pPr>
              <w:jc w:val="center"/>
              <w:rPr>
                <w:rFonts w:ascii="Arial"/>
                <w:color w:val="000000" w:themeColor="text1"/>
              </w:rPr>
            </w:pPr>
          </w:p>
        </w:tc>
        <w:tc>
          <w:tcPr>
            <w:tcW w:w="1259" w:type="dxa"/>
            <w:noWrap/>
            <w:vAlign w:val="center"/>
          </w:tcPr>
          <w:p w14:paraId="40C1AF02">
            <w:pPr>
              <w:jc w:val="center"/>
              <w:rPr>
                <w:rFonts w:ascii="Arial"/>
                <w:color w:val="000000" w:themeColor="text1"/>
              </w:rPr>
            </w:pPr>
          </w:p>
        </w:tc>
        <w:tc>
          <w:tcPr>
            <w:tcW w:w="719" w:type="dxa"/>
            <w:noWrap/>
            <w:vAlign w:val="center"/>
          </w:tcPr>
          <w:p w14:paraId="6EBCD75E">
            <w:pPr>
              <w:jc w:val="center"/>
              <w:rPr>
                <w:rFonts w:ascii="Arial"/>
                <w:color w:val="000000" w:themeColor="text1"/>
              </w:rPr>
            </w:pPr>
          </w:p>
        </w:tc>
        <w:tc>
          <w:tcPr>
            <w:tcW w:w="802" w:type="dxa"/>
            <w:noWrap/>
            <w:vAlign w:val="center"/>
          </w:tcPr>
          <w:p w14:paraId="0E4D510C">
            <w:pPr>
              <w:jc w:val="center"/>
              <w:rPr>
                <w:rFonts w:ascii="Arial"/>
                <w:color w:val="000000" w:themeColor="text1"/>
              </w:rPr>
            </w:pPr>
          </w:p>
        </w:tc>
        <w:tc>
          <w:tcPr>
            <w:tcW w:w="1275" w:type="dxa"/>
            <w:noWrap/>
            <w:vAlign w:val="center"/>
          </w:tcPr>
          <w:p w14:paraId="53E23150">
            <w:pPr>
              <w:jc w:val="center"/>
              <w:rPr>
                <w:rFonts w:ascii="Arial"/>
                <w:color w:val="000000" w:themeColor="text1"/>
              </w:rPr>
            </w:pPr>
          </w:p>
        </w:tc>
      </w:tr>
      <w:tr w14:paraId="610253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textDirection w:val="tbRlV"/>
          </w:tcPr>
          <w:p w14:paraId="2E874FD0">
            <w:pPr>
              <w:rPr>
                <w:rFonts w:ascii="Arial"/>
                <w:color w:val="000000" w:themeColor="text1"/>
              </w:rPr>
            </w:pPr>
          </w:p>
        </w:tc>
        <w:tc>
          <w:tcPr>
            <w:tcW w:w="1079" w:type="dxa"/>
            <w:tcBorders>
              <w:bottom w:val="nil"/>
            </w:tcBorders>
            <w:noWrap/>
            <w:vAlign w:val="center"/>
          </w:tcPr>
          <w:p w14:paraId="6E81DA1B">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4"/>
                <w:szCs w:val="21"/>
              </w:rPr>
              <w:t>满意度</w:t>
            </w:r>
          </w:p>
          <w:p w14:paraId="4F4DB9C5">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指标</w:t>
            </w:r>
          </w:p>
          <w:p w14:paraId="172BE9CA">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9"/>
                <w:szCs w:val="21"/>
              </w:rPr>
              <w:t>(10分)</w:t>
            </w:r>
          </w:p>
        </w:tc>
        <w:tc>
          <w:tcPr>
            <w:tcW w:w="1029" w:type="dxa"/>
            <w:tcBorders>
              <w:bottom w:val="nil"/>
            </w:tcBorders>
            <w:noWrap/>
            <w:vAlign w:val="center"/>
          </w:tcPr>
          <w:p w14:paraId="60F29B73">
            <w:pPr>
              <w:spacing w:line="202"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服务对象</w:t>
            </w:r>
          </w:p>
          <w:p w14:paraId="1DE82338">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满意度指</w:t>
            </w:r>
          </w:p>
          <w:p w14:paraId="4FB2350A">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标</w:t>
            </w:r>
          </w:p>
        </w:tc>
        <w:tc>
          <w:tcPr>
            <w:tcW w:w="1269" w:type="dxa"/>
            <w:noWrap/>
            <w:vAlign w:val="center"/>
          </w:tcPr>
          <w:p w14:paraId="7DEA6C2D">
            <w:pPr>
              <w:autoSpaceDN w:val="0"/>
              <w:spacing w:line="320" w:lineRule="exact"/>
              <w:jc w:val="left"/>
              <w:textAlignment w:val="center"/>
              <w:rPr>
                <w:rFonts w:ascii="仿宋_GB2312" w:hAnsi="仿宋_GB2312" w:eastAsia="仿宋_GB2312" w:cs="仿宋_GB2312"/>
                <w:color w:val="000000"/>
                <w:sz w:val="24"/>
              </w:rPr>
            </w:pPr>
            <w:r>
              <w:rPr>
                <w:rFonts w:hint="eastAsia" w:ascii="宋体" w:hAnsi="宋体" w:cs="仿宋_GB2312"/>
                <w:color w:val="000000"/>
                <w:sz w:val="18"/>
                <w:szCs w:val="18"/>
              </w:rPr>
              <w:t>服务社会公众</w:t>
            </w:r>
          </w:p>
        </w:tc>
        <w:tc>
          <w:tcPr>
            <w:tcW w:w="1319" w:type="dxa"/>
            <w:noWrap/>
            <w:vAlign w:val="center"/>
          </w:tcPr>
          <w:p w14:paraId="3C6527D9">
            <w:pPr>
              <w:jc w:val="center"/>
              <w:rPr>
                <w:rFonts w:ascii="Arial"/>
                <w:color w:val="000000" w:themeColor="text1"/>
              </w:rPr>
            </w:pPr>
            <w:r>
              <w:rPr>
                <w:rFonts w:hint="eastAsia" w:ascii="Arial"/>
                <w:color w:val="000000" w:themeColor="text1"/>
              </w:rPr>
              <w:t>80%</w:t>
            </w:r>
          </w:p>
        </w:tc>
        <w:tc>
          <w:tcPr>
            <w:tcW w:w="1259" w:type="dxa"/>
            <w:noWrap/>
            <w:vAlign w:val="center"/>
          </w:tcPr>
          <w:p w14:paraId="0CC0D795">
            <w:pPr>
              <w:jc w:val="center"/>
              <w:rPr>
                <w:rFonts w:ascii="Arial"/>
                <w:color w:val="000000" w:themeColor="text1"/>
              </w:rPr>
            </w:pPr>
            <w:r>
              <w:rPr>
                <w:rFonts w:hint="eastAsia" w:ascii="Arial"/>
                <w:color w:val="000000" w:themeColor="text1"/>
              </w:rPr>
              <w:t>78%</w:t>
            </w:r>
          </w:p>
        </w:tc>
        <w:tc>
          <w:tcPr>
            <w:tcW w:w="719" w:type="dxa"/>
            <w:noWrap/>
            <w:vAlign w:val="center"/>
          </w:tcPr>
          <w:p w14:paraId="74B6AAD6">
            <w:pPr>
              <w:jc w:val="center"/>
              <w:rPr>
                <w:rFonts w:ascii="Arial"/>
                <w:color w:val="000000" w:themeColor="text1"/>
              </w:rPr>
            </w:pPr>
            <w:r>
              <w:rPr>
                <w:rFonts w:hint="eastAsia" w:ascii="Arial"/>
                <w:color w:val="000000" w:themeColor="text1"/>
              </w:rPr>
              <w:t>10</w:t>
            </w:r>
          </w:p>
        </w:tc>
        <w:tc>
          <w:tcPr>
            <w:tcW w:w="802" w:type="dxa"/>
            <w:noWrap/>
            <w:vAlign w:val="center"/>
          </w:tcPr>
          <w:p w14:paraId="5BB8241A">
            <w:pPr>
              <w:jc w:val="center"/>
              <w:rPr>
                <w:rFonts w:ascii="Arial"/>
                <w:color w:val="000000" w:themeColor="text1"/>
              </w:rPr>
            </w:pPr>
            <w:r>
              <w:rPr>
                <w:rFonts w:hint="eastAsia" w:ascii="Arial"/>
                <w:color w:val="000000" w:themeColor="text1"/>
              </w:rPr>
              <w:t>5</w:t>
            </w:r>
          </w:p>
        </w:tc>
        <w:tc>
          <w:tcPr>
            <w:tcW w:w="1275" w:type="dxa"/>
            <w:noWrap/>
            <w:vAlign w:val="center"/>
          </w:tcPr>
          <w:p w14:paraId="4C268066">
            <w:pPr>
              <w:jc w:val="center"/>
              <w:rPr>
                <w:rFonts w:ascii="Arial"/>
                <w:color w:val="000000" w:themeColor="text1"/>
              </w:rPr>
            </w:pPr>
            <w:r>
              <w:rPr>
                <w:rFonts w:ascii="Arial"/>
                <w:color w:val="000000" w:themeColor="text1"/>
              </w:rPr>
              <w:t>加强服务态度</w:t>
            </w:r>
            <w:r>
              <w:rPr>
                <w:rFonts w:hint="eastAsia" w:ascii="Arial"/>
                <w:color w:val="000000" w:themeColor="text1"/>
              </w:rPr>
              <w:t>，</w:t>
            </w:r>
            <w:r>
              <w:rPr>
                <w:rFonts w:ascii="Arial"/>
                <w:color w:val="000000" w:themeColor="text1"/>
              </w:rPr>
              <w:t>文明执法</w:t>
            </w:r>
          </w:p>
        </w:tc>
      </w:tr>
      <w:tr w14:paraId="5EBF33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ign w:val="center"/>
          </w:tcPr>
          <w:p w14:paraId="510602D4">
            <w:pPr>
              <w:spacing w:line="251" w:lineRule="exact"/>
              <w:ind w:firstLine="3274"/>
              <w:jc w:val="center"/>
              <w:rPr>
                <w:color w:val="000000" w:themeColor="text1"/>
              </w:rPr>
            </w:pPr>
            <w:r>
              <w:rPr>
                <w:color w:val="000000" w:themeColor="text1"/>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ign w:val="center"/>
          </w:tcPr>
          <w:p w14:paraId="1B1F662B">
            <w:pPr>
              <w:spacing w:line="160" w:lineRule="auto"/>
              <w:jc w:val="center"/>
              <w:rPr>
                <w:rFonts w:ascii="宋体" w:hAnsi="宋体" w:eastAsia="宋体" w:cs="宋体"/>
                <w:color w:val="000000" w:themeColor="text1"/>
                <w:szCs w:val="21"/>
              </w:rPr>
            </w:pPr>
            <w:r>
              <w:rPr>
                <w:rFonts w:ascii="宋体" w:hAnsi="宋体" w:eastAsia="宋体" w:cs="宋体"/>
                <w:color w:val="000000" w:themeColor="text1"/>
                <w:spacing w:val="-6"/>
                <w:szCs w:val="21"/>
              </w:rPr>
              <w:t>100</w:t>
            </w:r>
          </w:p>
        </w:tc>
        <w:tc>
          <w:tcPr>
            <w:tcW w:w="802" w:type="dxa"/>
            <w:noWrap/>
            <w:vAlign w:val="center"/>
          </w:tcPr>
          <w:p w14:paraId="2744FE46">
            <w:pPr>
              <w:jc w:val="center"/>
              <w:rPr>
                <w:rFonts w:ascii="Arial"/>
                <w:color w:val="000000" w:themeColor="text1"/>
              </w:rPr>
            </w:pPr>
            <w:r>
              <w:rPr>
                <w:rFonts w:hint="eastAsia" w:ascii="Arial"/>
                <w:color w:val="000000" w:themeColor="text1"/>
              </w:rPr>
              <w:t>95</w:t>
            </w:r>
          </w:p>
        </w:tc>
        <w:tc>
          <w:tcPr>
            <w:tcW w:w="1275" w:type="dxa"/>
            <w:noWrap/>
            <w:vAlign w:val="center"/>
          </w:tcPr>
          <w:p w14:paraId="65B9FF77">
            <w:pPr>
              <w:jc w:val="center"/>
              <w:rPr>
                <w:rFonts w:ascii="Arial"/>
                <w:color w:val="000000" w:themeColor="text1"/>
              </w:rPr>
            </w:pPr>
          </w:p>
        </w:tc>
      </w:tr>
    </w:tbl>
    <w:p w14:paraId="1CB3D027">
      <w:pPr>
        <w:jc w:val="left"/>
        <w:rPr>
          <w:rFonts w:ascii="仿宋" w:hAnsi="仿宋" w:eastAsia="仿宋" w:cs="仿宋"/>
          <w:color w:val="000000" w:themeColor="text1"/>
          <w:spacing w:val="-22"/>
          <w:position w:val="-1"/>
          <w:sz w:val="22"/>
          <w:szCs w:val="22"/>
        </w:rPr>
      </w:pPr>
      <w:r>
        <w:rPr>
          <w:rFonts w:ascii="仿宋" w:hAnsi="仿宋" w:eastAsia="仿宋" w:cs="仿宋"/>
          <w:color w:val="000000" w:themeColor="text1"/>
          <w:spacing w:val="-22"/>
          <w:sz w:val="22"/>
          <w:szCs w:val="22"/>
        </w:rPr>
        <w:t>填表人：</w:t>
      </w:r>
      <w:r>
        <w:rPr>
          <w:rFonts w:hint="eastAsia" w:ascii="仿宋" w:hAnsi="仿宋" w:eastAsia="仿宋" w:cs="仿宋"/>
          <w:color w:val="000000" w:themeColor="text1"/>
          <w:spacing w:val="-22"/>
          <w:sz w:val="22"/>
          <w:szCs w:val="22"/>
        </w:rPr>
        <w:t xml:space="preserve">方赛     </w:t>
      </w:r>
      <w:r>
        <w:rPr>
          <w:rFonts w:ascii="仿宋" w:hAnsi="仿宋" w:eastAsia="仿宋" w:cs="仿宋"/>
          <w:color w:val="000000" w:themeColor="text1"/>
          <w:spacing w:val="-22"/>
          <w:sz w:val="22"/>
          <w:szCs w:val="22"/>
        </w:rPr>
        <w:t>联系电话：</w:t>
      </w:r>
      <w:r>
        <w:rPr>
          <w:rFonts w:hint="eastAsia" w:ascii="仿宋" w:hAnsi="仿宋" w:eastAsia="仿宋" w:cs="仿宋"/>
          <w:color w:val="000000" w:themeColor="text1"/>
          <w:spacing w:val="-22"/>
          <w:sz w:val="22"/>
          <w:szCs w:val="22"/>
        </w:rPr>
        <w:t xml:space="preserve">13471356347   </w:t>
      </w:r>
      <w:r>
        <w:rPr>
          <w:rFonts w:ascii="仿宋" w:hAnsi="仿宋" w:eastAsia="仿宋" w:cs="仿宋"/>
          <w:color w:val="000000" w:themeColor="text1"/>
          <w:spacing w:val="-22"/>
          <w:position w:val="-1"/>
          <w:sz w:val="22"/>
          <w:szCs w:val="22"/>
        </w:rPr>
        <w:t>单位负责人签字：</w:t>
      </w:r>
      <w:r>
        <w:rPr>
          <w:rFonts w:hint="eastAsia" w:ascii="仿宋" w:hAnsi="仿宋" w:eastAsia="仿宋" w:cs="仿宋"/>
          <w:color w:val="000000" w:themeColor="text1"/>
          <w:spacing w:val="-22"/>
          <w:position w:val="-1"/>
          <w:sz w:val="22"/>
          <w:szCs w:val="22"/>
        </w:rPr>
        <w:t xml:space="preserve">            </w:t>
      </w:r>
      <w:r>
        <w:rPr>
          <w:rFonts w:ascii="仿宋" w:hAnsi="仿宋" w:eastAsia="仿宋" w:cs="仿宋"/>
          <w:color w:val="000000" w:themeColor="text1"/>
          <w:spacing w:val="-22"/>
          <w:sz w:val="22"/>
          <w:szCs w:val="22"/>
        </w:rPr>
        <w:t>填报日期：</w:t>
      </w:r>
      <w:r>
        <w:rPr>
          <w:rFonts w:hint="eastAsia" w:ascii="仿宋" w:hAnsi="仿宋" w:eastAsia="仿宋" w:cs="仿宋"/>
          <w:color w:val="000000" w:themeColor="text1"/>
          <w:spacing w:val="-22"/>
          <w:sz w:val="22"/>
          <w:szCs w:val="22"/>
        </w:rPr>
        <w:t>2023年6月16日</w:t>
      </w:r>
    </w:p>
    <w:p w14:paraId="37C9C5FF">
      <w:pPr>
        <w:jc w:val="left"/>
        <w:rPr>
          <w:rFonts w:ascii="仿宋" w:hAnsi="仿宋" w:eastAsia="仿宋" w:cs="仿宋"/>
          <w:color w:val="000000" w:themeColor="text1"/>
          <w:sz w:val="22"/>
          <w:szCs w:val="22"/>
        </w:rPr>
        <w:sectPr>
          <w:pgSz w:w="11906" w:h="16838"/>
          <w:pgMar w:top="1134" w:right="1417" w:bottom="1134" w:left="1134" w:header="851" w:footer="992" w:gutter="0"/>
          <w:cols w:space="0" w:num="1"/>
          <w:docGrid w:type="lines" w:linePitch="312" w:charSpace="0"/>
        </w:sectPr>
      </w:pPr>
    </w:p>
    <w:p w14:paraId="5B296C17">
      <w:pPr>
        <w:rPr>
          <w:rFonts w:ascii="黑体" w:hAnsi="黑体" w:eastAsia="黑体" w:cs="黑体"/>
          <w:color w:val="000000" w:themeColor="text1"/>
          <w:spacing w:val="10"/>
          <w:sz w:val="32"/>
          <w:szCs w:val="32"/>
        </w:rPr>
      </w:pPr>
      <w:r>
        <w:rPr>
          <w:rFonts w:ascii="黑体" w:hAnsi="黑体" w:eastAsia="黑体" w:cs="黑体"/>
          <w:color w:val="000000" w:themeColor="text1"/>
          <w:spacing w:val="10"/>
          <w:sz w:val="32"/>
          <w:szCs w:val="32"/>
        </w:rPr>
        <w:t>附件</w:t>
      </w:r>
      <w:r>
        <w:rPr>
          <w:rFonts w:hint="eastAsia" w:ascii="黑体" w:hAnsi="黑体" w:eastAsia="黑体" w:cs="黑体"/>
          <w:color w:val="000000" w:themeColor="text1"/>
          <w:spacing w:val="10"/>
          <w:sz w:val="32"/>
          <w:szCs w:val="32"/>
        </w:rPr>
        <w:t>3</w:t>
      </w:r>
    </w:p>
    <w:p w14:paraId="40675B3C">
      <w:pPr>
        <w:spacing w:line="700" w:lineRule="exact"/>
        <w:jc w:val="center"/>
        <w:rPr>
          <w:rFonts w:ascii="方正小标宋简体" w:hAnsi="方正小标宋简体" w:eastAsia="方正小标宋简体" w:cs="方正小标宋简体"/>
          <w:color w:val="000000" w:themeColor="text1"/>
          <w:spacing w:val="2"/>
          <w:sz w:val="42"/>
          <w:szCs w:val="42"/>
        </w:rPr>
      </w:pPr>
    </w:p>
    <w:p w14:paraId="651C1ADB">
      <w:pPr>
        <w:spacing w:line="700" w:lineRule="exact"/>
        <w:jc w:val="center"/>
        <w:rPr>
          <w:rFonts w:ascii="方正小标宋简体" w:hAnsi="方正小标宋简体" w:eastAsia="方正小标宋简体" w:cs="方正小标宋简体"/>
          <w:color w:val="000000" w:themeColor="text1"/>
          <w:spacing w:val="2"/>
          <w:sz w:val="44"/>
          <w:szCs w:val="44"/>
        </w:rPr>
      </w:pPr>
      <w:r>
        <w:rPr>
          <w:rFonts w:ascii="方正小标宋简体" w:hAnsi="方正小标宋简体" w:eastAsia="方正小标宋简体" w:cs="方正小标宋简体"/>
          <w:color w:val="000000" w:themeColor="text1"/>
          <w:spacing w:val="2"/>
          <w:sz w:val="44"/>
          <w:szCs w:val="44"/>
        </w:rPr>
        <w:t>2022年度</w:t>
      </w:r>
      <w:r>
        <w:rPr>
          <w:rFonts w:hint="eastAsia" w:ascii="方正小标宋简体" w:hAnsi="方正小标宋简体" w:eastAsia="方正小标宋简体" w:cs="方正小标宋简体"/>
          <w:color w:val="000000" w:themeColor="text1"/>
          <w:spacing w:val="2"/>
          <w:sz w:val="44"/>
          <w:szCs w:val="44"/>
        </w:rPr>
        <w:t>岳阳楼区城市管理和综合执法局</w:t>
      </w:r>
      <w:r>
        <w:rPr>
          <w:rFonts w:ascii="方正小标宋简体" w:hAnsi="方正小标宋简体" w:eastAsia="方正小标宋简体" w:cs="方正小标宋简体"/>
          <w:color w:val="000000" w:themeColor="text1"/>
          <w:spacing w:val="2"/>
          <w:sz w:val="44"/>
          <w:szCs w:val="44"/>
        </w:rPr>
        <w:t>单位整体支出绩效自评报告</w:t>
      </w:r>
    </w:p>
    <w:p w14:paraId="55FB4EF5">
      <w:pPr>
        <w:jc w:val="left"/>
        <w:rPr>
          <w:rFonts w:ascii="仿宋" w:hAnsi="仿宋" w:eastAsia="仿宋" w:cs="仿宋"/>
          <w:color w:val="000000" w:themeColor="text1"/>
          <w:sz w:val="22"/>
          <w:szCs w:val="22"/>
        </w:rPr>
      </w:pPr>
    </w:p>
    <w:p w14:paraId="74DC96DC">
      <w:pPr>
        <w:jc w:val="left"/>
        <w:rPr>
          <w:rFonts w:ascii="仿宋" w:hAnsi="仿宋" w:eastAsia="仿宋" w:cs="仿宋"/>
          <w:color w:val="000000" w:themeColor="text1"/>
          <w:sz w:val="22"/>
          <w:szCs w:val="22"/>
        </w:rPr>
      </w:pPr>
    </w:p>
    <w:p w14:paraId="19CDCE1D">
      <w:pPr>
        <w:jc w:val="left"/>
        <w:rPr>
          <w:rFonts w:ascii="仿宋" w:hAnsi="仿宋" w:eastAsia="仿宋" w:cs="仿宋"/>
          <w:color w:val="000000" w:themeColor="text1"/>
          <w:sz w:val="22"/>
          <w:szCs w:val="22"/>
        </w:rPr>
      </w:pPr>
    </w:p>
    <w:p w14:paraId="1A545778">
      <w:pPr>
        <w:jc w:val="left"/>
        <w:rPr>
          <w:rFonts w:ascii="仿宋" w:hAnsi="仿宋" w:eastAsia="仿宋" w:cs="仿宋"/>
          <w:color w:val="000000" w:themeColor="text1"/>
          <w:sz w:val="22"/>
          <w:szCs w:val="22"/>
        </w:rPr>
      </w:pPr>
    </w:p>
    <w:p w14:paraId="76C00052">
      <w:pPr>
        <w:jc w:val="left"/>
        <w:rPr>
          <w:rFonts w:ascii="仿宋" w:hAnsi="仿宋" w:eastAsia="仿宋" w:cs="仿宋"/>
          <w:color w:val="000000" w:themeColor="text1"/>
          <w:sz w:val="22"/>
          <w:szCs w:val="22"/>
        </w:rPr>
      </w:pPr>
    </w:p>
    <w:p w14:paraId="3D178898">
      <w:pPr>
        <w:jc w:val="left"/>
        <w:rPr>
          <w:rFonts w:ascii="仿宋" w:hAnsi="仿宋" w:eastAsia="仿宋" w:cs="仿宋"/>
          <w:color w:val="000000" w:themeColor="text1"/>
          <w:sz w:val="22"/>
          <w:szCs w:val="22"/>
        </w:rPr>
      </w:pPr>
    </w:p>
    <w:p w14:paraId="1A3D531D">
      <w:pPr>
        <w:jc w:val="left"/>
        <w:rPr>
          <w:rFonts w:ascii="仿宋" w:hAnsi="仿宋" w:eastAsia="仿宋" w:cs="仿宋"/>
          <w:color w:val="000000" w:themeColor="text1"/>
          <w:sz w:val="22"/>
          <w:szCs w:val="22"/>
        </w:rPr>
      </w:pPr>
    </w:p>
    <w:p w14:paraId="5C430039">
      <w:pPr>
        <w:jc w:val="left"/>
        <w:rPr>
          <w:rFonts w:ascii="仿宋" w:hAnsi="仿宋" w:eastAsia="仿宋" w:cs="仿宋"/>
          <w:color w:val="000000" w:themeColor="text1"/>
          <w:sz w:val="22"/>
          <w:szCs w:val="22"/>
        </w:rPr>
      </w:pPr>
    </w:p>
    <w:p w14:paraId="78BC9DC4">
      <w:pPr>
        <w:jc w:val="left"/>
        <w:rPr>
          <w:rFonts w:ascii="仿宋" w:hAnsi="仿宋" w:eastAsia="仿宋" w:cs="仿宋"/>
          <w:color w:val="000000" w:themeColor="text1"/>
          <w:sz w:val="22"/>
          <w:szCs w:val="22"/>
        </w:rPr>
      </w:pPr>
    </w:p>
    <w:p w14:paraId="29BF9BF8">
      <w:pPr>
        <w:jc w:val="left"/>
        <w:rPr>
          <w:rFonts w:ascii="仿宋" w:hAnsi="仿宋" w:eastAsia="仿宋" w:cs="仿宋"/>
          <w:color w:val="000000" w:themeColor="text1"/>
          <w:sz w:val="22"/>
          <w:szCs w:val="22"/>
        </w:rPr>
      </w:pPr>
    </w:p>
    <w:p w14:paraId="5B33DE4A">
      <w:pPr>
        <w:jc w:val="left"/>
        <w:rPr>
          <w:rFonts w:ascii="仿宋" w:hAnsi="仿宋" w:eastAsia="仿宋" w:cs="仿宋"/>
          <w:color w:val="000000" w:themeColor="text1"/>
          <w:sz w:val="22"/>
          <w:szCs w:val="22"/>
        </w:rPr>
      </w:pPr>
    </w:p>
    <w:p w14:paraId="6E273BEC">
      <w:pPr>
        <w:jc w:val="left"/>
        <w:rPr>
          <w:rFonts w:ascii="仿宋" w:hAnsi="仿宋" w:eastAsia="仿宋" w:cs="仿宋"/>
          <w:color w:val="000000" w:themeColor="text1"/>
          <w:sz w:val="22"/>
          <w:szCs w:val="22"/>
        </w:rPr>
      </w:pPr>
    </w:p>
    <w:p w14:paraId="1FC4A8B6">
      <w:pPr>
        <w:jc w:val="left"/>
        <w:rPr>
          <w:rFonts w:ascii="仿宋" w:hAnsi="仿宋" w:eastAsia="仿宋" w:cs="仿宋"/>
          <w:color w:val="000000" w:themeColor="text1"/>
          <w:sz w:val="22"/>
          <w:szCs w:val="22"/>
        </w:rPr>
      </w:pPr>
    </w:p>
    <w:p w14:paraId="229234C1">
      <w:pPr>
        <w:jc w:val="left"/>
        <w:rPr>
          <w:rFonts w:ascii="仿宋" w:hAnsi="仿宋" w:eastAsia="仿宋" w:cs="仿宋"/>
          <w:color w:val="000000" w:themeColor="text1"/>
          <w:sz w:val="22"/>
          <w:szCs w:val="22"/>
        </w:rPr>
      </w:pPr>
    </w:p>
    <w:p w14:paraId="1B90C168">
      <w:pPr>
        <w:jc w:val="left"/>
        <w:rPr>
          <w:rFonts w:ascii="仿宋" w:hAnsi="仿宋" w:eastAsia="仿宋" w:cs="仿宋"/>
          <w:color w:val="000000" w:themeColor="text1"/>
          <w:sz w:val="22"/>
          <w:szCs w:val="22"/>
        </w:rPr>
      </w:pPr>
    </w:p>
    <w:p w14:paraId="6ACF9CF1">
      <w:pPr>
        <w:jc w:val="left"/>
        <w:rPr>
          <w:rFonts w:ascii="仿宋" w:hAnsi="仿宋" w:eastAsia="仿宋" w:cs="仿宋"/>
          <w:color w:val="000000" w:themeColor="text1"/>
          <w:sz w:val="22"/>
          <w:szCs w:val="22"/>
        </w:rPr>
      </w:pPr>
    </w:p>
    <w:p w14:paraId="5F0DB1CF">
      <w:pPr>
        <w:jc w:val="left"/>
        <w:rPr>
          <w:rFonts w:ascii="仿宋" w:hAnsi="仿宋" w:eastAsia="仿宋" w:cs="仿宋"/>
          <w:color w:val="000000" w:themeColor="text1"/>
          <w:sz w:val="22"/>
          <w:szCs w:val="22"/>
        </w:rPr>
      </w:pPr>
    </w:p>
    <w:p w14:paraId="215EDFA1">
      <w:pPr>
        <w:jc w:val="left"/>
        <w:rPr>
          <w:rFonts w:ascii="仿宋" w:hAnsi="仿宋" w:eastAsia="仿宋" w:cs="仿宋"/>
          <w:color w:val="000000" w:themeColor="text1"/>
          <w:sz w:val="22"/>
          <w:szCs w:val="22"/>
        </w:rPr>
      </w:pPr>
    </w:p>
    <w:p w14:paraId="117BD19F">
      <w:pPr>
        <w:jc w:val="left"/>
        <w:rPr>
          <w:rFonts w:ascii="仿宋" w:hAnsi="仿宋" w:eastAsia="仿宋" w:cs="仿宋"/>
          <w:color w:val="000000" w:themeColor="text1"/>
          <w:sz w:val="22"/>
          <w:szCs w:val="22"/>
        </w:rPr>
      </w:pPr>
    </w:p>
    <w:p w14:paraId="3318CAF7">
      <w:pPr>
        <w:jc w:val="left"/>
        <w:rPr>
          <w:rFonts w:ascii="仿宋" w:hAnsi="仿宋" w:eastAsia="仿宋" w:cs="仿宋"/>
          <w:color w:val="000000" w:themeColor="text1"/>
          <w:sz w:val="22"/>
          <w:szCs w:val="22"/>
        </w:rPr>
      </w:pPr>
    </w:p>
    <w:p w14:paraId="0565F8EC">
      <w:pPr>
        <w:jc w:val="left"/>
        <w:rPr>
          <w:rFonts w:ascii="仿宋" w:hAnsi="仿宋" w:eastAsia="仿宋" w:cs="仿宋"/>
          <w:color w:val="000000" w:themeColor="text1"/>
          <w:sz w:val="22"/>
          <w:szCs w:val="22"/>
        </w:rPr>
      </w:pPr>
    </w:p>
    <w:p w14:paraId="40417FBD">
      <w:pPr>
        <w:jc w:val="left"/>
        <w:rPr>
          <w:rFonts w:ascii="仿宋" w:hAnsi="仿宋" w:eastAsia="仿宋" w:cs="仿宋"/>
          <w:color w:val="000000" w:themeColor="text1"/>
          <w:sz w:val="22"/>
          <w:szCs w:val="22"/>
        </w:rPr>
      </w:pPr>
    </w:p>
    <w:p w14:paraId="698DAA68">
      <w:pPr>
        <w:jc w:val="left"/>
        <w:rPr>
          <w:rFonts w:ascii="仿宋" w:hAnsi="仿宋" w:eastAsia="仿宋" w:cs="仿宋"/>
          <w:color w:val="000000" w:themeColor="text1"/>
          <w:sz w:val="22"/>
          <w:szCs w:val="22"/>
        </w:rPr>
      </w:pPr>
    </w:p>
    <w:p w14:paraId="0E739F7B">
      <w:pPr>
        <w:jc w:val="left"/>
        <w:rPr>
          <w:rFonts w:ascii="仿宋" w:hAnsi="仿宋" w:eastAsia="仿宋" w:cs="仿宋"/>
          <w:color w:val="000000" w:themeColor="text1"/>
          <w:sz w:val="22"/>
          <w:szCs w:val="22"/>
        </w:rPr>
      </w:pPr>
    </w:p>
    <w:p w14:paraId="3D3E8E43">
      <w:pPr>
        <w:jc w:val="left"/>
        <w:rPr>
          <w:rFonts w:ascii="仿宋" w:hAnsi="仿宋" w:eastAsia="仿宋" w:cs="仿宋"/>
          <w:color w:val="000000" w:themeColor="text1"/>
          <w:sz w:val="22"/>
          <w:szCs w:val="22"/>
        </w:rPr>
      </w:pPr>
    </w:p>
    <w:p w14:paraId="78B944CE">
      <w:pPr>
        <w:jc w:val="left"/>
        <w:rPr>
          <w:rFonts w:ascii="仿宋" w:hAnsi="仿宋" w:eastAsia="仿宋" w:cs="仿宋"/>
          <w:color w:val="000000" w:themeColor="text1"/>
          <w:sz w:val="22"/>
          <w:szCs w:val="22"/>
        </w:rPr>
      </w:pPr>
    </w:p>
    <w:p w14:paraId="016BA1D6">
      <w:pPr>
        <w:jc w:val="center"/>
        <w:rPr>
          <w:rFonts w:ascii="楷体_GB2312" w:hAnsi="楷体_GB2312" w:eastAsia="楷体_GB2312" w:cs="楷体_GB2312"/>
          <w:color w:val="000000" w:themeColor="text1"/>
          <w:sz w:val="36"/>
          <w:szCs w:val="36"/>
        </w:rPr>
      </w:pPr>
      <w:r>
        <w:rPr>
          <w:rFonts w:hint="eastAsia" w:ascii="楷体_GB2312" w:hAnsi="楷体_GB2312" w:eastAsia="楷体_GB2312" w:cs="楷体_GB2312"/>
          <w:color w:val="000000" w:themeColor="text1"/>
          <w:sz w:val="36"/>
          <w:szCs w:val="36"/>
        </w:rPr>
        <w:t>部门(单位)名称：岳阳楼区城市管理和综合执法局   ( 盖 章 )</w:t>
      </w:r>
    </w:p>
    <w:p w14:paraId="7110AF4F">
      <w:pPr>
        <w:jc w:val="center"/>
        <w:rPr>
          <w:rFonts w:ascii="楷体_GB2312" w:hAnsi="楷体_GB2312" w:eastAsia="楷体_GB2312" w:cs="楷体_GB2312"/>
          <w:color w:val="000000" w:themeColor="text1"/>
          <w:sz w:val="36"/>
          <w:szCs w:val="36"/>
        </w:rPr>
      </w:pPr>
      <w:r>
        <w:rPr>
          <w:rFonts w:hint="eastAsia" w:ascii="楷体_GB2312" w:hAnsi="楷体_GB2312" w:eastAsia="楷体_GB2312" w:cs="楷体_GB2312"/>
          <w:color w:val="000000" w:themeColor="text1"/>
          <w:sz w:val="36"/>
          <w:szCs w:val="36"/>
        </w:rPr>
        <w:t>2023年6  月16  日</w:t>
      </w:r>
    </w:p>
    <w:p w14:paraId="4C2150F1">
      <w:pPr>
        <w:jc w:val="left"/>
        <w:rPr>
          <w:rFonts w:ascii="仿宋" w:hAnsi="仿宋" w:eastAsia="仿宋" w:cs="仿宋"/>
          <w:color w:val="000000" w:themeColor="text1"/>
          <w:sz w:val="22"/>
          <w:szCs w:val="22"/>
        </w:rPr>
      </w:pPr>
    </w:p>
    <w:p w14:paraId="3D2C04E9">
      <w:pPr>
        <w:jc w:val="left"/>
        <w:rPr>
          <w:rFonts w:ascii="仿宋" w:hAnsi="仿宋" w:eastAsia="仿宋" w:cs="仿宋"/>
          <w:color w:val="000000" w:themeColor="text1"/>
          <w:sz w:val="22"/>
          <w:szCs w:val="22"/>
        </w:rPr>
      </w:pPr>
    </w:p>
    <w:p w14:paraId="2B51EA6C">
      <w:pPr>
        <w:jc w:val="left"/>
        <w:rPr>
          <w:rFonts w:ascii="仿宋" w:hAnsi="仿宋" w:eastAsia="仿宋" w:cs="仿宋"/>
          <w:color w:val="000000" w:themeColor="text1"/>
          <w:sz w:val="22"/>
          <w:szCs w:val="22"/>
        </w:rPr>
      </w:pPr>
    </w:p>
    <w:p w14:paraId="0137B058">
      <w:pPr>
        <w:jc w:val="left"/>
        <w:rPr>
          <w:rFonts w:ascii="仿宋" w:hAnsi="仿宋" w:eastAsia="仿宋" w:cs="仿宋"/>
          <w:color w:val="000000" w:themeColor="text1"/>
          <w:sz w:val="22"/>
          <w:szCs w:val="22"/>
        </w:rPr>
      </w:pPr>
    </w:p>
    <w:p w14:paraId="2027F64C">
      <w:pPr>
        <w:spacing w:line="700" w:lineRule="exact"/>
        <w:jc w:val="center"/>
        <w:rPr>
          <w:rFonts w:ascii="方正小标宋简体" w:hAnsi="方正小标宋简体" w:eastAsia="方正小标宋简体" w:cs="方正小标宋简体"/>
          <w:color w:val="000000" w:themeColor="text1"/>
          <w:sz w:val="44"/>
          <w:szCs w:val="44"/>
        </w:rPr>
      </w:pPr>
      <w:r>
        <w:rPr>
          <w:rFonts w:hint="eastAsia" w:ascii="方正小标宋简体" w:hAnsi="方正小标宋简体" w:eastAsia="方正小标宋简体" w:cs="方正小标宋简体"/>
          <w:color w:val="000000" w:themeColor="text1"/>
          <w:sz w:val="44"/>
          <w:szCs w:val="44"/>
        </w:rPr>
        <w:t>2022年度岳阳楼区城市管理和综合执法局</w:t>
      </w:r>
    </w:p>
    <w:p w14:paraId="6A7B38AF">
      <w:pPr>
        <w:spacing w:line="700" w:lineRule="exact"/>
        <w:jc w:val="center"/>
        <w:rPr>
          <w:rFonts w:ascii="方正小标宋简体" w:hAnsi="方正小标宋简体" w:eastAsia="方正小标宋简体" w:cs="方正小标宋简体"/>
          <w:color w:val="000000" w:themeColor="text1"/>
          <w:sz w:val="44"/>
          <w:szCs w:val="44"/>
        </w:rPr>
      </w:pPr>
      <w:r>
        <w:rPr>
          <w:rFonts w:hint="eastAsia" w:ascii="方正小标宋简体" w:hAnsi="方正小标宋简体" w:eastAsia="方正小标宋简体" w:cs="方正小标宋简体"/>
          <w:color w:val="000000" w:themeColor="text1"/>
          <w:sz w:val="44"/>
          <w:szCs w:val="44"/>
        </w:rPr>
        <w:t>单位整体支出绩效自评报告</w:t>
      </w:r>
    </w:p>
    <w:p w14:paraId="72B04268">
      <w:pPr>
        <w:jc w:val="left"/>
        <w:rPr>
          <w:rFonts w:ascii="仿宋" w:hAnsi="仿宋" w:eastAsia="仿宋" w:cs="仿宋"/>
          <w:color w:val="000000" w:themeColor="text1"/>
          <w:sz w:val="22"/>
          <w:szCs w:val="22"/>
        </w:rPr>
      </w:pPr>
    </w:p>
    <w:p w14:paraId="7B8D7656">
      <w:pPr>
        <w:jc w:val="left"/>
        <w:rPr>
          <w:rFonts w:ascii="仿宋" w:hAnsi="仿宋" w:eastAsia="仿宋" w:cs="仿宋"/>
          <w:color w:val="000000" w:themeColor="text1"/>
          <w:sz w:val="22"/>
          <w:szCs w:val="22"/>
        </w:rPr>
      </w:pPr>
    </w:p>
    <w:p w14:paraId="4162A595">
      <w:pPr>
        <w:jc w:val="left"/>
        <w:rPr>
          <w:rFonts w:ascii="仿宋" w:hAnsi="仿宋" w:eastAsia="仿宋" w:cs="仿宋"/>
          <w:color w:val="000000" w:themeColor="text1"/>
          <w:sz w:val="22"/>
          <w:szCs w:val="22"/>
        </w:rPr>
      </w:pPr>
    </w:p>
    <w:p w14:paraId="14E68191">
      <w:pPr>
        <w:pStyle w:val="11"/>
        <w:numPr>
          <w:ilvl w:val="0"/>
          <w:numId w:val="1"/>
        </w:numPr>
        <w:ind w:firstLineChars="0"/>
        <w:jc w:val="left"/>
        <w:rPr>
          <w:rFonts w:hint="eastAsia" w:ascii="黑体" w:hAnsi="黑体" w:eastAsia="黑体" w:cs="黑体"/>
          <w:color w:val="000000" w:themeColor="text1"/>
          <w:sz w:val="32"/>
          <w:szCs w:val="32"/>
        </w:rPr>
      </w:pPr>
      <w:r>
        <w:rPr>
          <w:rFonts w:hint="eastAsia" w:ascii="黑体" w:hAnsi="黑体" w:eastAsia="黑体" w:cs="黑体"/>
          <w:color w:val="000000" w:themeColor="text1"/>
          <w:sz w:val="32"/>
          <w:szCs w:val="32"/>
        </w:rPr>
        <w:t>单位基本情况</w:t>
      </w:r>
    </w:p>
    <w:p w14:paraId="5F75002D">
      <w:pPr>
        <w:pStyle w:val="5"/>
        <w:shd w:val="clear" w:color="auto" w:fill="FFFFFF"/>
        <w:spacing w:before="0" w:beforeAutospacing="0" w:after="0" w:afterAutospacing="0" w:line="480" w:lineRule="auto"/>
        <w:ind w:firstLine="472" w:firstLineChars="147"/>
        <w:jc w:val="both"/>
        <w:textAlignment w:val="center"/>
        <w:rPr>
          <w:rFonts w:ascii="Segoe UI" w:hAnsi="Segoe UI" w:cs="Segoe UI"/>
          <w:color w:val="333333"/>
        </w:rPr>
      </w:pPr>
      <w:r>
        <w:rPr>
          <w:rFonts w:hint="eastAsia" w:cs="Segoe UI"/>
          <w:b/>
          <w:bCs/>
          <w:color w:val="333333"/>
          <w:sz w:val="32"/>
          <w:szCs w:val="32"/>
        </w:rPr>
        <w:t>（一）职能职责</w:t>
      </w:r>
    </w:p>
    <w:p w14:paraId="2079891E">
      <w:pPr>
        <w:pStyle w:val="5"/>
        <w:shd w:val="clear" w:color="auto" w:fill="FFFFFF"/>
        <w:spacing w:before="0" w:beforeAutospacing="0" w:after="0" w:afterAutospacing="0" w:line="480" w:lineRule="auto"/>
        <w:ind w:firstLine="640" w:firstLineChars="200"/>
        <w:jc w:val="both"/>
        <w:textAlignment w:val="center"/>
        <w:rPr>
          <w:rFonts w:hint="eastAsia" w:ascii="Segoe UI" w:hAnsi="Segoe UI" w:cs="Segoe UI"/>
          <w:color w:val="333333"/>
        </w:rPr>
      </w:pPr>
      <w:r>
        <w:rPr>
          <w:rFonts w:hint="eastAsia" w:cs="Segoe UI"/>
          <w:color w:val="333333"/>
          <w:sz w:val="32"/>
          <w:szCs w:val="32"/>
        </w:rPr>
        <w:t>1、贯彻执行国家和地方关于城市管理和城市管理行政执法的政策、法规，拟订规范性文件、措施，拟订岳阳楼区城市管理、城市管理行政执法及发展战略和发展规划，并负责组织实施。</w:t>
      </w:r>
    </w:p>
    <w:p w14:paraId="38F7A6CD">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2、负责与城市管理相关单位的工作联系；对全区相关街道（乡）城市管理工作进行业务指导；参与城市管理规划设计评审和公用基础工程设施规划设计审查及竣工验收。</w:t>
      </w:r>
    </w:p>
    <w:p w14:paraId="708B5798">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3、负责全区市政公用事业和市政管理行业的企业、社会团体和个人的资质管理；负责全区（除市城市管理和行政执法局直管路段外）城市“两车一废”（洗车店、修车店、废品收购店）法人的市场准入审批和公用事业特许经营管理。</w:t>
      </w:r>
    </w:p>
    <w:p w14:paraId="09083339">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4、负责全区（除市城市管理和行政执法局直管路段外）城市规划范围内户外广告设置审批和管理，行使对违规设置户外广告行为的行政处罚权以及对破坏或残缺等影响市容的广告行为的行政处罚权；负责对庆典、促销、展览、宣传咨询、演出及门店门头、招牌的装饰装修、亮化等活动占用道路、广场等的管理工作。</w:t>
      </w:r>
    </w:p>
    <w:p w14:paraId="7825E610">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5、负责“12345”政府热线、“12319”城市管理热线、“市长信箱”关于全区范围内城市管理信息的通报以及市数字城管信息平台关于全区范围内城市管理信息的派单。</w:t>
      </w:r>
    </w:p>
    <w:p w14:paraId="006F57EE">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6、负责全区城市管理的综合整治和行政执法，拟订有关管理制度和规定。行使全区市容环境卫生管理方面法律、法规、规章规定的行政处罚权，强制拆除不符合城市容貌标准、环境卫生标准的违法构筑物或设施；行使对出店和占道从事餐饮经营排放油烟，对附近居民的居住环境造成污染的行政处罚权。</w:t>
      </w:r>
    </w:p>
    <w:p w14:paraId="30A9E7D5">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7、负责全区临时占用道路、街道两侧和公共场地、临时挖掘城市道路（包括管线、杆线）的审批；行使对擅自占用或者挖掘城市道路等的行政处罚权。</w:t>
      </w:r>
    </w:p>
    <w:p w14:paraId="4C506A44">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8、负责行使对无照商贩和不需办理执照但未进入指定地点摆卖自产蔬菜、农副产品以及虽办理执照但不按规定地点经营乱摆摊担、店外经营、店外作业的商贩的行政处罚权。</w:t>
      </w:r>
    </w:p>
    <w:p w14:paraId="274D515D">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9、负责行使对任何单位和个人随意倾倒、抛撒、堆放建筑垃圾或者未经核准从事建筑垃圾运输、擅自处置建筑垃圾、将建筑垃圾混入生活垃圾等违规行为的行政处罚权。</w:t>
      </w:r>
    </w:p>
    <w:p w14:paraId="646E10AC">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10、负责依法对全区（除市城市管理和行政执法局直管路段外）人行道的停车进行规范化管理；行使对全区（除市城市管理和行政执法局直管路段外）乱停车辆、当路摆摊设点、堆物作业等占用城市道路行为的行政处罚权。</w:t>
      </w:r>
    </w:p>
    <w:p w14:paraId="790036CF">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11、负责组织、协调、监督、管理全区范围内烟花爆竹的燃放；行使对全区范围内违规燃放烟花爆竹的单位和个人行使行政处罚权。</w:t>
      </w:r>
    </w:p>
    <w:p w14:paraId="5A928BB5">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12、负责全区城市管理行政执法工作的组织、指挥、检查、监督、协调、宣传以及业务培训、考核工作；负责全区城市管理工作的考评和城市管理行政执法监督协调。</w:t>
      </w:r>
    </w:p>
    <w:p w14:paraId="33899D53">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13、负责本单位、本系统党建党务、思想政治、宣传教育、纪检监察、社会治安综合治理、工会、女工、共青团以及计划生育、精神文明建设、法制建设和行业纠风工作；统一管理、审批、呈报系统内干部调配、机构设置、人员编制、政策性人员安置、人事劳资工作。</w:t>
      </w:r>
    </w:p>
    <w:p w14:paraId="66F005CE">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14、负责本单位、本系统的信访维稳和安全生产工作。承办区委、区人民政府交办的其他事项。</w:t>
      </w:r>
    </w:p>
    <w:p w14:paraId="0D809D8D">
      <w:pPr>
        <w:pStyle w:val="5"/>
        <w:shd w:val="clear" w:color="auto" w:fill="FFFFFF"/>
        <w:spacing w:before="0" w:beforeAutospacing="0" w:after="0" w:afterAutospacing="0" w:line="480" w:lineRule="auto"/>
        <w:ind w:left="990"/>
        <w:jc w:val="both"/>
        <w:textAlignment w:val="center"/>
        <w:rPr>
          <w:rFonts w:ascii="Segoe UI" w:hAnsi="Segoe UI" w:cs="Segoe UI"/>
          <w:color w:val="333333"/>
        </w:rPr>
      </w:pPr>
      <w:r>
        <w:rPr>
          <w:rFonts w:hint="eastAsia" w:cs="Segoe UI"/>
          <w:b/>
          <w:bCs/>
          <w:color w:val="333333"/>
          <w:sz w:val="32"/>
          <w:szCs w:val="32"/>
        </w:rPr>
        <w:t>(二) 机构设置</w:t>
      </w:r>
    </w:p>
    <w:p w14:paraId="4F005E67">
      <w:pPr>
        <w:pStyle w:val="5"/>
        <w:shd w:val="clear" w:color="auto" w:fill="FFFFFF"/>
        <w:spacing w:before="0" w:beforeAutospacing="0" w:after="0" w:afterAutospacing="0" w:line="480" w:lineRule="auto"/>
        <w:ind w:left="160" w:leftChars="76" w:firstLine="640" w:firstLineChars="200"/>
        <w:jc w:val="both"/>
        <w:textAlignment w:val="center"/>
        <w:rPr>
          <w:rFonts w:ascii="Segoe UI" w:hAnsi="Segoe UI" w:cs="Segoe UI"/>
          <w:color w:val="333333"/>
        </w:rPr>
      </w:pPr>
      <w:r>
        <w:rPr>
          <w:rFonts w:hint="eastAsia" w:cs="Segoe UI"/>
          <w:color w:val="333333"/>
          <w:sz w:val="32"/>
          <w:szCs w:val="32"/>
        </w:rPr>
        <w:t xml:space="preserve"> 我局现有编制人数</w:t>
      </w:r>
      <w:r>
        <w:rPr>
          <w:rFonts w:hint="eastAsia" w:cs="Segoe UI"/>
          <w:color w:val="333333"/>
          <w:sz w:val="32"/>
          <w:szCs w:val="32"/>
          <w:lang w:val="en-US" w:eastAsia="zh-CN"/>
        </w:rPr>
        <w:t>492</w:t>
      </w:r>
      <w:r>
        <w:rPr>
          <w:rFonts w:hint="eastAsia" w:cs="Segoe UI"/>
          <w:color w:val="333333"/>
          <w:sz w:val="32"/>
          <w:szCs w:val="32"/>
        </w:rPr>
        <w:t>人，实有人员</w:t>
      </w:r>
      <w:r>
        <w:rPr>
          <w:rFonts w:hint="eastAsia" w:cs="Segoe UI"/>
          <w:color w:val="333333"/>
          <w:sz w:val="32"/>
          <w:szCs w:val="32"/>
          <w:lang w:val="en-US" w:eastAsia="zh-CN"/>
        </w:rPr>
        <w:t>332</w:t>
      </w:r>
      <w:r>
        <w:rPr>
          <w:rFonts w:hint="eastAsia" w:cs="Segoe UI"/>
          <w:color w:val="333333"/>
          <w:sz w:val="32"/>
          <w:szCs w:val="32"/>
        </w:rPr>
        <w:t>人，其中在编人员3</w:t>
      </w:r>
      <w:r>
        <w:rPr>
          <w:rFonts w:hint="eastAsia" w:cs="Segoe UI"/>
          <w:color w:val="333333"/>
          <w:sz w:val="32"/>
          <w:szCs w:val="32"/>
          <w:lang w:val="en-US" w:eastAsia="zh-CN"/>
        </w:rPr>
        <w:t>19</w:t>
      </w:r>
      <w:r>
        <w:rPr>
          <w:rFonts w:hint="eastAsia" w:cs="Segoe UI"/>
          <w:color w:val="333333"/>
          <w:sz w:val="32"/>
          <w:szCs w:val="32"/>
        </w:rPr>
        <w:t>人，退休人员13人。局机关内设股室：办公室、计财股、法制股、考评股、政工股、工会、共青团、妇委会、计生办、行政审批办、党建办、宣教办、督查室、停车办、油烟整治办、后勤管理办、非法小广告整治办、市容秩序管理股。我局现设有四个二级机构，均为事业单位性质。 1.岳阳楼区城市管理执法大队，由原楼区城市管理监察大队与市容秩序管理大队（含14个路段管理中队）组成，为副科级公益一类事业单位。 2.岳阳楼区烟花爆竹管理大队，为正股级公益一类事业单位。在当前全区禁炮工作任务相对减轻的前提下，禁炮大队在自身日常禁炮工作的同时，机动协助、配合全局执法大队进行大规模的集中执法。 3.岳阳楼区城市管理信息中心，为正股级公益一类事业单位。承担全区12345热线、12319热线等信息派单和回复工作。 4. 岳阳楼区燃气安全管理办公室，2017年11月，区交建局将燃气安全管理职能整体移交至我局。2019年3月，按照《岳阳市岳阳楼区承担行政职能事业单位改革实施方案》的要求，将岳阳楼区燃气安全管理办公室更名为岳阳楼区燃气安全服务中心，为正股级公益类事业单位。</w:t>
      </w:r>
    </w:p>
    <w:p w14:paraId="155A487C">
      <w:pPr>
        <w:pStyle w:val="5"/>
        <w:shd w:val="clear" w:color="auto" w:fill="FFFFFF"/>
        <w:spacing w:before="0" w:beforeAutospacing="0" w:after="0" w:afterAutospacing="0" w:line="480" w:lineRule="auto"/>
        <w:ind w:firstLine="472" w:firstLineChars="147"/>
        <w:jc w:val="both"/>
        <w:textAlignment w:val="center"/>
        <w:rPr>
          <w:rFonts w:ascii="Segoe UI" w:hAnsi="Segoe UI" w:cs="Segoe UI"/>
          <w:color w:val="333333"/>
        </w:rPr>
      </w:pPr>
      <w:r>
        <w:rPr>
          <w:rFonts w:hint="eastAsia" w:cs="Segoe UI"/>
          <w:b/>
          <w:bCs/>
          <w:color w:val="333333"/>
          <w:sz w:val="32"/>
          <w:szCs w:val="32"/>
        </w:rPr>
        <w:t>（三）预算单位构成 </w:t>
      </w:r>
    </w:p>
    <w:p w14:paraId="7A6E4AD8">
      <w:pPr>
        <w:pStyle w:val="5"/>
        <w:shd w:val="clear" w:color="auto" w:fill="FFFFFF"/>
        <w:spacing w:before="0" w:beforeAutospacing="0" w:after="0" w:afterAutospacing="0" w:line="480" w:lineRule="auto"/>
        <w:ind w:firstLine="640" w:firstLineChars="200"/>
        <w:jc w:val="both"/>
        <w:textAlignment w:val="center"/>
        <w:rPr>
          <w:rFonts w:ascii="Segoe UI" w:hAnsi="Segoe UI" w:cs="Segoe UI"/>
          <w:color w:val="333333"/>
        </w:rPr>
      </w:pPr>
      <w:r>
        <w:rPr>
          <w:rFonts w:hint="eastAsia" w:cs="Segoe UI"/>
          <w:color w:val="333333"/>
          <w:sz w:val="32"/>
          <w:szCs w:val="32"/>
        </w:rPr>
        <w:t>本单位下属岳阳市岳阳楼区城市管理综合执法大队、岳阳市岳阳楼区城市管理信息中心、岳阳市岳阳楼区烟花爆竹管理大队、岳阳市岳阳楼区燃气安全服务中心。本次2022年部门预算公开范围为本单位本级和岳阳市岳阳楼区城市管理综合执法大队、岳阳市岳阳楼区城市管理信息中心、岳阳市岳阳楼区烟花爆竹管理大队、岳阳市岳阳楼区燃气安全服务中心。</w:t>
      </w:r>
    </w:p>
    <w:p w14:paraId="7A818D68">
      <w:pPr>
        <w:pStyle w:val="11"/>
        <w:numPr>
          <w:ilvl w:val="0"/>
          <w:numId w:val="1"/>
        </w:numPr>
        <w:ind w:firstLineChars="0"/>
        <w:jc w:val="left"/>
        <w:rPr>
          <w:rFonts w:hint="eastAsia" w:ascii="黑体" w:hAnsi="黑体" w:eastAsia="黑体" w:cs="黑体"/>
          <w:color w:val="000000" w:themeColor="text1"/>
          <w:sz w:val="32"/>
          <w:szCs w:val="32"/>
        </w:rPr>
      </w:pPr>
      <w:r>
        <w:rPr>
          <w:rFonts w:hint="eastAsia" w:ascii="黑体" w:hAnsi="黑体" w:eastAsia="黑体" w:cs="黑体"/>
          <w:color w:val="000000" w:themeColor="text1"/>
          <w:sz w:val="32"/>
          <w:szCs w:val="32"/>
        </w:rPr>
        <w:t>一般公共预算支出情况</w:t>
      </w:r>
    </w:p>
    <w:p w14:paraId="21A6A715">
      <w:pPr>
        <w:ind w:left="640" w:leftChars="305" w:firstLine="640" w:firstLineChars="200"/>
        <w:jc w:val="left"/>
        <w:rPr>
          <w:rFonts w:ascii="黑体" w:hAnsi="黑体" w:eastAsia="黑体" w:cs="黑体"/>
          <w:color w:val="000000" w:themeColor="text1"/>
          <w:sz w:val="32"/>
          <w:szCs w:val="32"/>
        </w:rPr>
      </w:pPr>
      <w:r>
        <w:rPr>
          <w:rFonts w:hint="eastAsia"/>
          <w:color w:val="333333"/>
          <w:sz w:val="32"/>
          <w:szCs w:val="32"/>
          <w:shd w:val="clear" w:color="auto" w:fill="FFFFFF"/>
        </w:rPr>
        <w:t>2022年一般公共预算拨款支出预算4513.01万元，其中，社会保障和就业支出479.23万元，占10.62%；卫生健康支出154.74万元，占3.43%；城乡社区支出3560.97万元，占78.90%；住房保障支出318.07万元，占7.05%</w:t>
      </w:r>
    </w:p>
    <w:p w14:paraId="58BBBBD2">
      <w:pPr>
        <w:pStyle w:val="11"/>
        <w:numPr>
          <w:ilvl w:val="0"/>
          <w:numId w:val="2"/>
        </w:numPr>
        <w:ind w:firstLineChars="0"/>
        <w:jc w:val="left"/>
        <w:rPr>
          <w:rFonts w:hint="eastAsia" w:ascii="楷体_GB2312" w:hAnsi="楷体_GB2312" w:eastAsia="楷体_GB2312" w:cs="楷体_GB2312"/>
          <w:b/>
          <w:bCs/>
          <w:color w:val="000000" w:themeColor="text1"/>
          <w:sz w:val="32"/>
          <w:szCs w:val="32"/>
        </w:rPr>
      </w:pPr>
      <w:r>
        <w:rPr>
          <w:rFonts w:hint="eastAsia" w:ascii="楷体_GB2312" w:hAnsi="楷体_GB2312" w:eastAsia="楷体_GB2312" w:cs="楷体_GB2312"/>
          <w:b/>
          <w:bCs/>
          <w:color w:val="000000" w:themeColor="text1"/>
          <w:sz w:val="32"/>
          <w:szCs w:val="32"/>
        </w:rPr>
        <w:t>基本支出情况</w:t>
      </w:r>
    </w:p>
    <w:p w14:paraId="2B941E34">
      <w:pPr>
        <w:ind w:left="643" w:leftChars="306" w:firstLine="640" w:firstLineChars="200"/>
        <w:jc w:val="left"/>
        <w:rPr>
          <w:rFonts w:ascii="楷体_GB2312" w:hAnsi="楷体_GB2312" w:eastAsia="楷体_GB2312" w:cs="楷体_GB2312"/>
          <w:b/>
          <w:bCs/>
          <w:color w:val="000000" w:themeColor="text1"/>
          <w:sz w:val="32"/>
          <w:szCs w:val="32"/>
        </w:rPr>
      </w:pPr>
      <w:r>
        <w:rPr>
          <w:rFonts w:hint="eastAsia"/>
          <w:color w:val="333333"/>
          <w:sz w:val="32"/>
          <w:szCs w:val="32"/>
          <w:shd w:val="clear" w:color="auto" w:fill="FFFFFF"/>
        </w:rPr>
        <w:t>2022年基本支出年初预算数为4371.00万元，其中：人员经费3818.40万元，主要包括：基本工资、津贴补贴、奖金、绩效工资、机关事业单位基本养老保险缴费、职业年金缴费、职工基本医疗保险缴费、公务员医疗补助缴费、其他社会保障缴费、住房公积金、退休费、其他对个人和家庭的补助；商品和服务支出552.60万元，主要包括：办公费、印刷费、手续费、水费、电费、邮电费、物业管理费、差旅费、维修（护）费、租赁费、会议费、培训费、公务接待费、劳务费、工会经费、公务用车运行维护费、其他商品和服务支出。</w:t>
      </w:r>
    </w:p>
    <w:p w14:paraId="6E656FBA">
      <w:pPr>
        <w:pStyle w:val="11"/>
        <w:numPr>
          <w:ilvl w:val="0"/>
          <w:numId w:val="2"/>
        </w:numPr>
        <w:ind w:firstLineChars="0"/>
        <w:jc w:val="left"/>
        <w:rPr>
          <w:rFonts w:hint="eastAsia" w:ascii="楷体_GB2312" w:hAnsi="楷体_GB2312" w:eastAsia="楷体_GB2312" w:cs="楷体_GB2312"/>
          <w:b/>
          <w:bCs/>
          <w:color w:val="000000" w:themeColor="text1"/>
          <w:sz w:val="32"/>
          <w:szCs w:val="32"/>
        </w:rPr>
      </w:pPr>
      <w:r>
        <w:rPr>
          <w:rFonts w:hint="eastAsia" w:ascii="楷体_GB2312" w:hAnsi="楷体_GB2312" w:eastAsia="楷体_GB2312" w:cs="楷体_GB2312"/>
          <w:b/>
          <w:bCs/>
          <w:color w:val="000000" w:themeColor="text1"/>
          <w:sz w:val="32"/>
          <w:szCs w:val="32"/>
        </w:rPr>
        <w:t>项目支出情况</w:t>
      </w:r>
    </w:p>
    <w:p w14:paraId="5BA19910">
      <w:pPr>
        <w:ind w:left="643" w:leftChars="306" w:firstLine="640" w:firstLineChars="200"/>
        <w:jc w:val="left"/>
        <w:rPr>
          <w:rFonts w:ascii="楷体_GB2312" w:hAnsi="楷体_GB2312" w:eastAsia="楷体_GB2312" w:cs="楷体_GB2312"/>
          <w:b/>
          <w:bCs/>
          <w:color w:val="000000" w:themeColor="text1"/>
          <w:sz w:val="32"/>
          <w:szCs w:val="32"/>
        </w:rPr>
      </w:pPr>
      <w:r>
        <w:rPr>
          <w:rFonts w:hint="eastAsia"/>
          <w:color w:val="333333"/>
          <w:sz w:val="32"/>
          <w:szCs w:val="32"/>
          <w:shd w:val="clear" w:color="auto" w:fill="FFFFFF"/>
        </w:rPr>
        <w:t>2022年项目支出年初预算数为142.01万元，其中：业务工作经费支出140.00万元，主要用于完成市容秩序监管专项整治工作等方面；运行维护经费2.01万元，主要用于单位设施维护等方面。</w:t>
      </w:r>
    </w:p>
    <w:p w14:paraId="2E31C96F">
      <w:pPr>
        <w:pStyle w:val="11"/>
        <w:numPr>
          <w:ilvl w:val="0"/>
          <w:numId w:val="1"/>
        </w:numPr>
        <w:ind w:firstLineChars="0"/>
        <w:jc w:val="left"/>
        <w:rPr>
          <w:rFonts w:hint="eastAsia" w:ascii="黑体" w:hAnsi="黑体" w:eastAsia="黑体" w:cs="黑体"/>
          <w:color w:val="000000" w:themeColor="text1"/>
          <w:sz w:val="32"/>
          <w:szCs w:val="32"/>
        </w:rPr>
      </w:pPr>
      <w:r>
        <w:rPr>
          <w:rFonts w:hint="eastAsia" w:ascii="黑体" w:hAnsi="黑体" w:eastAsia="黑体" w:cs="黑体"/>
          <w:color w:val="000000" w:themeColor="text1"/>
          <w:sz w:val="32"/>
          <w:szCs w:val="32"/>
        </w:rPr>
        <w:t>政府性基金预算支出情况</w:t>
      </w:r>
    </w:p>
    <w:p w14:paraId="54B67DF7">
      <w:pPr>
        <w:ind w:firstLine="640" w:firstLineChars="200"/>
        <w:jc w:val="left"/>
        <w:rPr>
          <w:rFonts w:ascii="黑体" w:hAnsi="黑体" w:eastAsia="黑体" w:cs="黑体"/>
          <w:color w:val="000000" w:themeColor="text1"/>
          <w:sz w:val="32"/>
          <w:szCs w:val="32"/>
        </w:rPr>
      </w:pPr>
      <w:r>
        <w:rPr>
          <w:rFonts w:hint="eastAsia"/>
          <w:color w:val="333333"/>
          <w:sz w:val="32"/>
          <w:szCs w:val="32"/>
          <w:shd w:val="clear" w:color="auto" w:fill="FFFFFF"/>
        </w:rPr>
        <w:t>2022年度本单位无政府性基金安排的支出。</w:t>
      </w:r>
    </w:p>
    <w:p w14:paraId="2A4E6B9A">
      <w:pPr>
        <w:pStyle w:val="11"/>
        <w:numPr>
          <w:ilvl w:val="0"/>
          <w:numId w:val="1"/>
        </w:numPr>
        <w:ind w:firstLineChars="0"/>
        <w:jc w:val="left"/>
        <w:rPr>
          <w:rFonts w:hint="eastAsia" w:ascii="黑体" w:hAnsi="黑体" w:eastAsia="黑体" w:cs="黑体"/>
          <w:color w:val="000000" w:themeColor="text1"/>
          <w:sz w:val="32"/>
          <w:szCs w:val="32"/>
        </w:rPr>
      </w:pPr>
      <w:r>
        <w:rPr>
          <w:rFonts w:hint="eastAsia" w:ascii="黑体" w:hAnsi="黑体" w:eastAsia="黑体" w:cs="黑体"/>
          <w:color w:val="000000" w:themeColor="text1"/>
          <w:sz w:val="32"/>
          <w:szCs w:val="32"/>
        </w:rPr>
        <w:t>国有资本经营预算支出情况</w:t>
      </w:r>
    </w:p>
    <w:p w14:paraId="254ECA92">
      <w:pPr>
        <w:ind w:left="640"/>
        <w:jc w:val="left"/>
        <w:rPr>
          <w:rFonts w:ascii="黑体" w:hAnsi="黑体" w:eastAsia="黑体" w:cs="黑体"/>
          <w:color w:val="000000" w:themeColor="text1"/>
          <w:sz w:val="32"/>
          <w:szCs w:val="32"/>
        </w:rPr>
      </w:pPr>
      <w:r>
        <w:rPr>
          <w:rFonts w:hint="eastAsia"/>
          <w:color w:val="333333"/>
          <w:sz w:val="32"/>
          <w:szCs w:val="32"/>
          <w:shd w:val="clear" w:color="auto" w:fill="FFFFFF"/>
        </w:rPr>
        <w:t>2022年度本单位无国有资本经营安排的支出。</w:t>
      </w:r>
    </w:p>
    <w:p w14:paraId="19DBDF17">
      <w:pPr>
        <w:pStyle w:val="11"/>
        <w:numPr>
          <w:ilvl w:val="0"/>
          <w:numId w:val="1"/>
        </w:numPr>
        <w:ind w:firstLineChars="0"/>
        <w:jc w:val="left"/>
        <w:rPr>
          <w:rFonts w:hint="eastAsia" w:ascii="黑体" w:hAnsi="黑体" w:eastAsia="黑体" w:cs="黑体"/>
          <w:color w:val="000000" w:themeColor="text1"/>
          <w:sz w:val="32"/>
          <w:szCs w:val="32"/>
        </w:rPr>
      </w:pPr>
      <w:r>
        <w:rPr>
          <w:rFonts w:hint="eastAsia" w:ascii="黑体" w:hAnsi="黑体" w:eastAsia="黑体" w:cs="黑体"/>
          <w:color w:val="000000" w:themeColor="text1"/>
          <w:sz w:val="32"/>
          <w:szCs w:val="32"/>
        </w:rPr>
        <w:t>社会保险基金预算支出情况</w:t>
      </w:r>
    </w:p>
    <w:p w14:paraId="6B87E2AD">
      <w:pPr>
        <w:ind w:firstLine="640" w:firstLineChars="200"/>
        <w:jc w:val="left"/>
        <w:rPr>
          <w:rFonts w:hint="eastAsia"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本年度社会保险基金预算604.56万元，其中：机关事业单位养老保险为278.38万元、职业年金为139.19万元、职工医疗保险为144.66万元、公务员医疗补助缴费10.08万元、其他社会保障32.25万元。</w:t>
      </w:r>
    </w:p>
    <w:p w14:paraId="00E754D7">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六、部门整体支出绩效情况</w:t>
      </w:r>
    </w:p>
    <w:p w14:paraId="366391FB">
      <w:pPr>
        <w:ind w:firstLine="640" w:firstLineChars="200"/>
        <w:jc w:val="left"/>
        <w:rPr>
          <w:rFonts w:hint="eastAsia"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通过开展城市建设和管理相关工作，如城镇排水与污水处理、生活垃圾分类处理与管理、规范城市管理执法和制式服装试穿、优化街区路网结构等工作，提高城市建设管理和服务水平，改善城市人居生活环境质量，提升居民生活便利，保障人民生命和财产安全，同时降低环境污染、实现节能减排，以促进城市健康、可持续发展。以助推核心引领区发展，巩固文明创建和区“大城管”运行成果为内在压力，以标准更高，制度更严，措施更力，保障更全，效果更佳为动态目标，加强和优化全局各项工作，稳步提升我局整体形象，提升我区城市管理水平，为楼区经济社会发展创造更优质的市容秩序环境。</w:t>
      </w:r>
    </w:p>
    <w:p w14:paraId="0C53FB7E">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七、存在的问题及原因分析</w:t>
      </w:r>
    </w:p>
    <w:p w14:paraId="0EE6A5BC">
      <w:pPr>
        <w:jc w:val="left"/>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 xml:space="preserve">    1．基本支出经费保障水平偏低。</w:t>
      </w:r>
    </w:p>
    <w:p w14:paraId="7DD8978D">
      <w:pPr>
        <w:ind w:firstLine="640" w:firstLineChars="200"/>
        <w:jc w:val="left"/>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2．预算编制仍需进一步精确细化。随着财务工作日益精细化，各项资金需要完全按照所下指标用途分类来使用，我单位目前还需要进一步对预算编制进行细化，加强对资金使用的前瞻性预估。</w:t>
      </w:r>
    </w:p>
    <w:p w14:paraId="2D7A2158">
      <w:pPr>
        <w:ind w:firstLine="640" w:firstLineChars="200"/>
        <w:jc w:val="left"/>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3.资产管理资料更新速度较慢。我单位虽然按照财政对资产管理的要求，对单位内各项资产都进行了登记记建立台账，但仍财政更新滞后的情况。</w:t>
      </w:r>
    </w:p>
    <w:p w14:paraId="44FD0C45">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4.财务人员业务水平仍需提高，需加强对财务业务知识的培训</w:t>
      </w:r>
    </w:p>
    <w:p w14:paraId="3324FDFD">
      <w:pPr>
        <w:ind w:firstLine="640" w:firstLineChars="200"/>
        <w:jc w:val="left"/>
        <w:rPr>
          <w:rFonts w:hint="eastAsia" w:ascii="黑体" w:hAnsi="黑体" w:eastAsia="黑体" w:cs="黑体"/>
          <w:color w:val="000000" w:themeColor="text1"/>
          <w:sz w:val="32"/>
          <w:szCs w:val="32"/>
        </w:rPr>
      </w:pPr>
      <w:r>
        <w:rPr>
          <w:rFonts w:hint="eastAsia" w:ascii="黑体" w:hAnsi="黑体" w:eastAsia="黑体" w:cs="黑体"/>
          <w:color w:val="000000" w:themeColor="text1"/>
          <w:sz w:val="32"/>
          <w:szCs w:val="32"/>
        </w:rPr>
        <w:t>八、下一步改进措施</w:t>
      </w:r>
    </w:p>
    <w:p w14:paraId="492FF835">
      <w:pPr>
        <w:ind w:firstLine="640" w:firstLineChars="200"/>
        <w:jc w:val="left"/>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1．细化预算编制工作，认真做好预算的编制，进一步提升内部机构各股室的预算管理意识，严格按照预算编制的相关制度和要求进行预算编制。</w:t>
      </w:r>
    </w:p>
    <w:p w14:paraId="63D8481E">
      <w:pPr>
        <w:ind w:firstLine="640" w:firstLineChars="200"/>
        <w:jc w:val="left"/>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2.加强财务管理，严格财务审核。健全单位财务管理制度体系，规范单位财务行为，在费用报账支付是按照预算规定的费用项目和用途进行资金使用审核、财务核算。杜绝超支现象的发生。</w:t>
      </w:r>
    </w:p>
    <w:p w14:paraId="6FD8E0E4">
      <w:pPr>
        <w:ind w:firstLine="640" w:firstLineChars="200"/>
        <w:jc w:val="left"/>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3．完善资产管理，抓好“三公”经费控制。严格编制政府采购年初预算和计划，规范各类资产的购置审批制度。</w:t>
      </w:r>
    </w:p>
    <w:p w14:paraId="4225F627">
      <w:pPr>
        <w:ind w:firstLine="640" w:firstLineChars="200"/>
        <w:jc w:val="left"/>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4.对相关人员加强培训，特别是针对《预算法》《行政事业单位会计制度》《内部财务人员审核》等学习培训，规范部门预算收支核算，切实提高部门预算收支管理水平。</w:t>
      </w:r>
    </w:p>
    <w:p w14:paraId="7435E222">
      <w:pPr>
        <w:ind w:firstLine="640" w:firstLineChars="200"/>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九、部门整体支出绩效自评结果拟应用和公开情况</w:t>
      </w:r>
    </w:p>
    <w:p w14:paraId="6ED86E4F">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其他需要说明的情况</w:t>
      </w:r>
    </w:p>
    <w:p w14:paraId="57B98BBE">
      <w:pPr>
        <w:ind w:firstLine="640" w:firstLineChars="200"/>
        <w:jc w:val="left"/>
        <w:rPr>
          <w:rFonts w:ascii="仿宋_GB2312" w:hAnsi="仿宋_GB2312" w:eastAsia="仿宋_GB2312" w:cs="仿宋_GB2312"/>
          <w:color w:val="000000" w:themeColor="text1"/>
          <w:sz w:val="32"/>
          <w:szCs w:val="32"/>
        </w:rPr>
      </w:pPr>
    </w:p>
    <w:p w14:paraId="231A2056">
      <w:pPr>
        <w:ind w:firstLine="640" w:firstLineChars="200"/>
        <w:jc w:val="left"/>
        <w:rPr>
          <w:rFonts w:ascii="仿宋_GB2312" w:hAnsi="仿宋_GB2312" w:eastAsia="仿宋_GB2312" w:cs="仿宋_GB2312"/>
          <w:color w:val="000000" w:themeColor="text1"/>
          <w:sz w:val="32"/>
          <w:szCs w:val="32"/>
        </w:rPr>
      </w:pPr>
    </w:p>
    <w:p w14:paraId="399EACA3">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报告需要以下附件：</w:t>
      </w:r>
    </w:p>
    <w:p w14:paraId="74FB8A9C">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1、部门整体支出绩效评价基础数据表</w:t>
      </w:r>
    </w:p>
    <w:p w14:paraId="03BB7510">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2、部门整体支出绩效自评表</w:t>
      </w:r>
    </w:p>
    <w:p w14:paraId="35BF8D9C">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3、项目支出绩效自评表(一个一级项目支出一张表)</w:t>
      </w:r>
    </w:p>
    <w:p w14:paraId="75C2AD67">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4、政府性基金预算支出情况表</w:t>
      </w:r>
    </w:p>
    <w:p w14:paraId="04B4CFA3">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5、国有资本经营预算支出情况表</w:t>
      </w:r>
    </w:p>
    <w:p w14:paraId="2DD49BAA">
      <w:pPr>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6、社会保险基金预算支出情况表</w:t>
      </w:r>
    </w:p>
    <w:p w14:paraId="045CC73A">
      <w:pPr>
        <w:ind w:firstLine="640" w:firstLineChars="200"/>
        <w:jc w:val="left"/>
        <w:rPr>
          <w:rFonts w:ascii="仿宋_GB2312" w:hAnsi="仿宋_GB2312" w:eastAsia="仿宋_GB2312" w:cs="仿宋_GB2312"/>
          <w:color w:val="000000" w:themeColor="text1"/>
          <w:sz w:val="32"/>
          <w:szCs w:val="32"/>
        </w:rPr>
      </w:pPr>
    </w:p>
    <w:p w14:paraId="64840D31">
      <w:pPr>
        <w:ind w:firstLine="640" w:firstLineChars="200"/>
        <w:jc w:val="left"/>
        <w:rPr>
          <w:rFonts w:ascii="仿宋_GB2312" w:hAnsi="仿宋_GB2312" w:eastAsia="仿宋_GB2312" w:cs="仿宋_GB2312"/>
          <w:color w:val="000000" w:themeColor="text1"/>
          <w:sz w:val="32"/>
          <w:szCs w:val="32"/>
        </w:rPr>
      </w:pPr>
    </w:p>
    <w:p w14:paraId="09F02063">
      <w:pPr>
        <w:ind w:firstLine="640" w:firstLineChars="200"/>
        <w:jc w:val="left"/>
        <w:rPr>
          <w:rFonts w:ascii="仿宋_GB2312" w:hAnsi="仿宋_GB2312" w:eastAsia="仿宋_GB2312" w:cs="仿宋_GB2312"/>
          <w:color w:val="000000" w:themeColor="text1"/>
          <w:sz w:val="32"/>
          <w:szCs w:val="32"/>
        </w:rPr>
      </w:pPr>
    </w:p>
    <w:p w14:paraId="1D339CE6">
      <w:pPr>
        <w:ind w:firstLine="640" w:firstLineChars="200"/>
        <w:jc w:val="left"/>
        <w:rPr>
          <w:rFonts w:ascii="仿宋_GB2312" w:hAnsi="仿宋_GB2312" w:eastAsia="仿宋_GB2312" w:cs="仿宋_GB2312"/>
          <w:color w:val="000000" w:themeColor="text1"/>
          <w:sz w:val="32"/>
          <w:szCs w:val="32"/>
        </w:rPr>
      </w:pPr>
    </w:p>
    <w:p w14:paraId="00ABE58E">
      <w:pPr>
        <w:ind w:firstLine="640" w:firstLineChars="200"/>
        <w:jc w:val="left"/>
        <w:rPr>
          <w:rFonts w:ascii="仿宋_GB2312" w:hAnsi="仿宋_GB2312" w:eastAsia="仿宋_GB2312" w:cs="仿宋_GB2312"/>
          <w:color w:val="000000" w:themeColor="text1"/>
          <w:sz w:val="32"/>
          <w:szCs w:val="32"/>
        </w:rPr>
      </w:pPr>
    </w:p>
    <w:p w14:paraId="3AE10E1C">
      <w:pPr>
        <w:ind w:firstLine="640" w:firstLineChars="200"/>
        <w:jc w:val="left"/>
        <w:rPr>
          <w:rFonts w:ascii="仿宋_GB2312" w:hAnsi="仿宋_GB2312" w:eastAsia="仿宋_GB2312" w:cs="仿宋_GB2312"/>
          <w:color w:val="000000" w:themeColor="text1"/>
          <w:sz w:val="32"/>
          <w:szCs w:val="32"/>
        </w:rPr>
      </w:pPr>
    </w:p>
    <w:p w14:paraId="037556D8">
      <w:pPr>
        <w:spacing w:before="169" w:line="776" w:lineRule="exact"/>
        <w:ind w:left="372"/>
        <w:rPr>
          <w:rFonts w:ascii="宋体" w:hAnsi="宋体" w:eastAsia="宋体" w:cs="宋体"/>
          <w:b/>
          <w:bCs/>
          <w:color w:val="000000" w:themeColor="text1"/>
          <w:spacing w:val="19"/>
          <w:position w:val="17"/>
          <w:sz w:val="36"/>
          <w:szCs w:val="36"/>
        </w:rPr>
        <w:sectPr>
          <w:pgSz w:w="11906" w:h="16838"/>
          <w:pgMar w:top="1701" w:right="1701" w:bottom="1701" w:left="1701" w:header="851" w:footer="992" w:gutter="0"/>
          <w:cols w:space="0" w:num="1"/>
          <w:docGrid w:type="lines" w:linePitch="312" w:charSpace="0"/>
        </w:sectPr>
      </w:pPr>
    </w:p>
    <w:p w14:paraId="2EDA5D69">
      <w:pPr>
        <w:rPr>
          <w:rFonts w:ascii="黑体" w:hAnsi="黑体" w:eastAsia="黑体" w:cs="黑体"/>
          <w:color w:val="000000" w:themeColor="text1"/>
          <w:spacing w:val="10"/>
          <w:sz w:val="32"/>
          <w:szCs w:val="32"/>
        </w:rPr>
      </w:pPr>
      <w:r>
        <w:rPr>
          <w:rFonts w:hint="eastAsia" w:ascii="黑体" w:hAnsi="黑体" w:eastAsia="黑体" w:cs="黑体"/>
          <w:color w:val="000000" w:themeColor="text1"/>
          <w:spacing w:val="10"/>
          <w:sz w:val="32"/>
          <w:szCs w:val="32"/>
        </w:rPr>
        <w:t>附件4</w:t>
      </w:r>
    </w:p>
    <w:p w14:paraId="5EF3D364">
      <w:pPr>
        <w:spacing w:line="700" w:lineRule="exact"/>
        <w:jc w:val="center"/>
        <w:rPr>
          <w:rFonts w:ascii="方正小标宋简体" w:hAnsi="方正小标宋简体" w:eastAsia="方正小标宋简体" w:cs="方正小标宋简体"/>
          <w:color w:val="000000" w:themeColor="text1"/>
          <w:sz w:val="44"/>
          <w:szCs w:val="44"/>
        </w:rPr>
      </w:pPr>
      <w:r>
        <w:rPr>
          <w:rFonts w:hint="eastAsia" w:ascii="方正小标宋简体" w:hAnsi="方正小标宋简体" w:eastAsia="方正小标宋简体" w:cs="方正小标宋简体"/>
          <w:color w:val="000000" w:themeColor="text1"/>
          <w:sz w:val="44"/>
          <w:szCs w:val="44"/>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7B2FF2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60151EC9">
            <w:pPr>
              <w:spacing w:line="226" w:lineRule="auto"/>
              <w:jc w:val="center"/>
              <w:rPr>
                <w:rFonts w:ascii="宋体" w:hAnsi="宋体" w:eastAsia="宋体" w:cs="宋体"/>
                <w:color w:val="000000" w:themeColor="text1"/>
                <w:szCs w:val="21"/>
              </w:rPr>
            </w:pPr>
            <w:r>
              <w:rPr>
                <w:rFonts w:ascii="宋体" w:hAnsi="宋体" w:eastAsia="宋体" w:cs="宋体"/>
                <w:color w:val="000000" w:themeColor="text1"/>
                <w:szCs w:val="21"/>
              </w:rPr>
              <w:t>项目支出</w:t>
            </w:r>
          </w:p>
          <w:p w14:paraId="7C4C568B">
            <w:pPr>
              <w:spacing w:line="226" w:lineRule="auto"/>
              <w:jc w:val="center"/>
              <w:rPr>
                <w:rFonts w:ascii="宋体" w:hAnsi="宋体" w:eastAsia="宋体" w:cs="宋体"/>
                <w:color w:val="000000" w:themeColor="text1"/>
                <w:szCs w:val="21"/>
              </w:rPr>
            </w:pPr>
            <w:r>
              <w:rPr>
                <w:rFonts w:ascii="宋体" w:hAnsi="宋体" w:eastAsia="宋体" w:cs="宋体"/>
                <w:color w:val="000000" w:themeColor="text1"/>
                <w:szCs w:val="21"/>
              </w:rPr>
              <w:t>名称</w:t>
            </w:r>
          </w:p>
        </w:tc>
        <w:tc>
          <w:tcPr>
            <w:tcW w:w="8505" w:type="dxa"/>
            <w:gridSpan w:val="8"/>
            <w:noWrap/>
            <w:vAlign w:val="center"/>
          </w:tcPr>
          <w:p w14:paraId="6982D8EB">
            <w:pPr>
              <w:jc w:val="center"/>
              <w:rPr>
                <w:rFonts w:ascii="Arial"/>
                <w:color w:val="000000" w:themeColor="text1"/>
                <w:szCs w:val="21"/>
              </w:rPr>
            </w:pPr>
            <w:r>
              <w:rPr>
                <w:rFonts w:hint="eastAsia" w:ascii="Arial"/>
                <w:color w:val="000000" w:themeColor="text1"/>
                <w:szCs w:val="21"/>
              </w:rPr>
              <w:t>岳阳楼区城市管理和综合执法局</w:t>
            </w:r>
            <w:r>
              <w:rPr>
                <w:rFonts w:ascii="Arial"/>
                <w:color w:val="000000" w:themeColor="text1"/>
                <w:szCs w:val="21"/>
              </w:rPr>
              <w:t>项目支出</w:t>
            </w:r>
          </w:p>
        </w:tc>
      </w:tr>
      <w:tr w14:paraId="093CF2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3809A916">
            <w:pPr>
              <w:spacing w:line="202" w:lineRule="auto"/>
              <w:jc w:val="center"/>
              <w:rPr>
                <w:rFonts w:ascii="宋体" w:hAnsi="宋体" w:eastAsia="宋体" w:cs="宋体"/>
                <w:color w:val="000000" w:themeColor="text1"/>
                <w:szCs w:val="21"/>
              </w:rPr>
            </w:pPr>
            <w:r>
              <w:rPr>
                <w:rFonts w:ascii="宋体" w:hAnsi="宋体" w:eastAsia="宋体" w:cs="宋体"/>
                <w:color w:val="000000" w:themeColor="text1"/>
                <w:szCs w:val="21"/>
              </w:rPr>
              <w:t>主管部门</w:t>
            </w:r>
          </w:p>
        </w:tc>
        <w:tc>
          <w:tcPr>
            <w:tcW w:w="4520" w:type="dxa"/>
            <w:gridSpan w:val="4"/>
            <w:noWrap/>
            <w:vAlign w:val="center"/>
          </w:tcPr>
          <w:p w14:paraId="40E0270E">
            <w:pPr>
              <w:jc w:val="center"/>
              <w:rPr>
                <w:rFonts w:ascii="Arial"/>
                <w:color w:val="000000" w:themeColor="text1"/>
                <w:szCs w:val="21"/>
              </w:rPr>
            </w:pPr>
          </w:p>
        </w:tc>
        <w:tc>
          <w:tcPr>
            <w:tcW w:w="1140" w:type="dxa"/>
            <w:noWrap/>
            <w:vAlign w:val="center"/>
          </w:tcPr>
          <w:p w14:paraId="015FD4F7">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实施单位</w:t>
            </w:r>
          </w:p>
        </w:tc>
        <w:tc>
          <w:tcPr>
            <w:tcW w:w="2845" w:type="dxa"/>
            <w:gridSpan w:val="3"/>
            <w:noWrap/>
            <w:vAlign w:val="center"/>
          </w:tcPr>
          <w:p w14:paraId="502450CB">
            <w:pPr>
              <w:jc w:val="center"/>
              <w:rPr>
                <w:rFonts w:ascii="Arial"/>
                <w:color w:val="000000" w:themeColor="text1"/>
                <w:szCs w:val="21"/>
              </w:rPr>
            </w:pPr>
          </w:p>
        </w:tc>
      </w:tr>
      <w:tr w14:paraId="65E3C5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7D51BECB">
            <w:pPr>
              <w:spacing w:line="254" w:lineRule="auto"/>
              <w:jc w:val="center"/>
              <w:rPr>
                <w:rFonts w:ascii="Arial"/>
                <w:color w:val="000000" w:themeColor="text1"/>
                <w:szCs w:val="21"/>
              </w:rPr>
            </w:pPr>
          </w:p>
          <w:p w14:paraId="1D298A54">
            <w:pPr>
              <w:spacing w:line="255" w:lineRule="auto"/>
              <w:jc w:val="center"/>
              <w:rPr>
                <w:rFonts w:ascii="Arial"/>
                <w:color w:val="000000" w:themeColor="text1"/>
                <w:szCs w:val="21"/>
              </w:rPr>
            </w:pPr>
          </w:p>
          <w:p w14:paraId="76558E37">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项目资金</w:t>
            </w:r>
          </w:p>
          <w:p w14:paraId="1CF77101">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(万元)</w:t>
            </w:r>
          </w:p>
        </w:tc>
        <w:tc>
          <w:tcPr>
            <w:tcW w:w="2160" w:type="dxa"/>
            <w:gridSpan w:val="2"/>
            <w:noWrap/>
            <w:vAlign w:val="center"/>
          </w:tcPr>
          <w:p w14:paraId="4D3A4138">
            <w:pPr>
              <w:spacing w:line="300" w:lineRule="exact"/>
              <w:jc w:val="center"/>
              <w:rPr>
                <w:rFonts w:ascii="Arial"/>
                <w:color w:val="000000" w:themeColor="text1"/>
                <w:szCs w:val="21"/>
              </w:rPr>
            </w:pPr>
          </w:p>
        </w:tc>
        <w:tc>
          <w:tcPr>
            <w:tcW w:w="1229" w:type="dxa"/>
            <w:noWrap/>
            <w:vAlign w:val="center"/>
          </w:tcPr>
          <w:p w14:paraId="6EEB6456">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年初</w:t>
            </w:r>
          </w:p>
          <w:p w14:paraId="25A7013F">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预算数</w:t>
            </w:r>
          </w:p>
        </w:tc>
        <w:tc>
          <w:tcPr>
            <w:tcW w:w="1131" w:type="dxa"/>
            <w:noWrap/>
            <w:vAlign w:val="center"/>
          </w:tcPr>
          <w:p w14:paraId="1162C999">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全年</w:t>
            </w:r>
          </w:p>
          <w:p w14:paraId="675A093C">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预算数</w:t>
            </w:r>
          </w:p>
        </w:tc>
        <w:tc>
          <w:tcPr>
            <w:tcW w:w="1140" w:type="dxa"/>
            <w:noWrap/>
            <w:vAlign w:val="center"/>
          </w:tcPr>
          <w:p w14:paraId="017809F9">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全年</w:t>
            </w:r>
          </w:p>
          <w:p w14:paraId="0595B870">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执行数</w:t>
            </w:r>
          </w:p>
        </w:tc>
        <w:tc>
          <w:tcPr>
            <w:tcW w:w="685" w:type="dxa"/>
            <w:noWrap/>
            <w:vAlign w:val="center"/>
          </w:tcPr>
          <w:p w14:paraId="62511072">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分值</w:t>
            </w:r>
          </w:p>
        </w:tc>
        <w:tc>
          <w:tcPr>
            <w:tcW w:w="795" w:type="dxa"/>
            <w:noWrap/>
            <w:vAlign w:val="center"/>
          </w:tcPr>
          <w:p w14:paraId="7A941F1F">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执行率</w:t>
            </w:r>
          </w:p>
        </w:tc>
        <w:tc>
          <w:tcPr>
            <w:tcW w:w="1365" w:type="dxa"/>
            <w:noWrap/>
            <w:vAlign w:val="center"/>
          </w:tcPr>
          <w:p w14:paraId="6C2B76D0">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得分</w:t>
            </w:r>
          </w:p>
        </w:tc>
      </w:tr>
      <w:tr w14:paraId="3E7537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454676A1">
            <w:pPr>
              <w:jc w:val="center"/>
              <w:rPr>
                <w:rFonts w:ascii="Arial"/>
                <w:color w:val="000000" w:themeColor="text1"/>
                <w:szCs w:val="21"/>
              </w:rPr>
            </w:pPr>
          </w:p>
        </w:tc>
        <w:tc>
          <w:tcPr>
            <w:tcW w:w="2160" w:type="dxa"/>
            <w:gridSpan w:val="2"/>
            <w:noWrap/>
            <w:vAlign w:val="center"/>
          </w:tcPr>
          <w:p w14:paraId="7F71032A">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年度资金总额</w:t>
            </w:r>
          </w:p>
        </w:tc>
        <w:tc>
          <w:tcPr>
            <w:tcW w:w="1229" w:type="dxa"/>
            <w:noWrap/>
            <w:vAlign w:val="center"/>
          </w:tcPr>
          <w:p w14:paraId="56199865">
            <w:pPr>
              <w:rPr>
                <w:rFonts w:ascii="Arial"/>
                <w:color w:val="000000" w:themeColor="text1"/>
                <w:szCs w:val="21"/>
              </w:rPr>
            </w:pPr>
            <w:r>
              <w:rPr>
                <w:rFonts w:hint="eastAsia" w:ascii="Arial"/>
                <w:color w:val="000000" w:themeColor="text1"/>
                <w:szCs w:val="21"/>
              </w:rPr>
              <w:t>142.01</w:t>
            </w:r>
          </w:p>
        </w:tc>
        <w:tc>
          <w:tcPr>
            <w:tcW w:w="1131" w:type="dxa"/>
            <w:noWrap/>
            <w:vAlign w:val="center"/>
          </w:tcPr>
          <w:p w14:paraId="51982AEE">
            <w:pPr>
              <w:rPr>
                <w:rFonts w:ascii="Arial"/>
                <w:color w:val="000000" w:themeColor="text1"/>
                <w:szCs w:val="21"/>
              </w:rPr>
            </w:pPr>
            <w:r>
              <w:rPr>
                <w:rFonts w:hint="eastAsia" w:ascii="Arial"/>
                <w:color w:val="000000" w:themeColor="text1"/>
                <w:szCs w:val="21"/>
              </w:rPr>
              <w:t>142.01</w:t>
            </w:r>
          </w:p>
        </w:tc>
        <w:tc>
          <w:tcPr>
            <w:tcW w:w="1140" w:type="dxa"/>
            <w:noWrap/>
            <w:vAlign w:val="center"/>
          </w:tcPr>
          <w:p w14:paraId="4042CEB5">
            <w:pPr>
              <w:rPr>
                <w:rFonts w:ascii="Arial"/>
                <w:color w:val="000000" w:themeColor="text1"/>
                <w:szCs w:val="21"/>
              </w:rPr>
            </w:pPr>
            <w:r>
              <w:rPr>
                <w:rFonts w:hint="eastAsia" w:ascii="Arial"/>
                <w:color w:val="000000" w:themeColor="text1"/>
                <w:szCs w:val="21"/>
              </w:rPr>
              <w:t>142.01</w:t>
            </w:r>
          </w:p>
        </w:tc>
        <w:tc>
          <w:tcPr>
            <w:tcW w:w="685" w:type="dxa"/>
            <w:noWrap/>
            <w:vAlign w:val="center"/>
          </w:tcPr>
          <w:p w14:paraId="244C621E">
            <w:pPr>
              <w:spacing w:line="165" w:lineRule="exact"/>
              <w:jc w:val="center"/>
              <w:rPr>
                <w:rFonts w:ascii="宋体" w:hAnsi="宋体" w:eastAsia="宋体" w:cs="宋体"/>
                <w:color w:val="000000" w:themeColor="text1"/>
                <w:szCs w:val="21"/>
              </w:rPr>
            </w:pPr>
            <w:r>
              <w:rPr>
                <w:rFonts w:ascii="宋体" w:hAnsi="宋体" w:eastAsia="宋体" w:cs="宋体"/>
                <w:color w:val="000000" w:themeColor="text1"/>
                <w:position w:val="-2"/>
                <w:szCs w:val="21"/>
              </w:rPr>
              <w:t>10</w:t>
            </w:r>
          </w:p>
        </w:tc>
        <w:tc>
          <w:tcPr>
            <w:tcW w:w="795" w:type="dxa"/>
            <w:noWrap/>
            <w:vAlign w:val="center"/>
          </w:tcPr>
          <w:p w14:paraId="033AAEBC">
            <w:pPr>
              <w:jc w:val="center"/>
              <w:rPr>
                <w:rFonts w:ascii="Arial"/>
                <w:color w:val="000000" w:themeColor="text1"/>
                <w:szCs w:val="21"/>
              </w:rPr>
            </w:pPr>
            <w:r>
              <w:rPr>
                <w:rFonts w:hint="eastAsia" w:ascii="Arial"/>
                <w:color w:val="000000" w:themeColor="text1"/>
                <w:szCs w:val="21"/>
              </w:rPr>
              <w:t>100%</w:t>
            </w:r>
          </w:p>
        </w:tc>
        <w:tc>
          <w:tcPr>
            <w:tcW w:w="1365" w:type="dxa"/>
            <w:noWrap/>
            <w:vAlign w:val="center"/>
          </w:tcPr>
          <w:p w14:paraId="0D27E777">
            <w:pPr>
              <w:jc w:val="center"/>
              <w:rPr>
                <w:rFonts w:ascii="Arial"/>
                <w:color w:val="000000" w:themeColor="text1"/>
                <w:szCs w:val="21"/>
              </w:rPr>
            </w:pPr>
            <w:r>
              <w:rPr>
                <w:rFonts w:hint="eastAsia" w:ascii="Arial"/>
                <w:color w:val="000000" w:themeColor="text1"/>
                <w:szCs w:val="21"/>
              </w:rPr>
              <w:t>10</w:t>
            </w:r>
          </w:p>
        </w:tc>
      </w:tr>
      <w:tr w14:paraId="100A1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1C1B06E0">
            <w:pPr>
              <w:jc w:val="center"/>
              <w:rPr>
                <w:rFonts w:ascii="Arial"/>
                <w:color w:val="000000" w:themeColor="text1"/>
                <w:szCs w:val="21"/>
              </w:rPr>
            </w:pPr>
          </w:p>
        </w:tc>
        <w:tc>
          <w:tcPr>
            <w:tcW w:w="2160" w:type="dxa"/>
            <w:gridSpan w:val="2"/>
            <w:noWrap/>
            <w:vAlign w:val="center"/>
          </w:tcPr>
          <w:p w14:paraId="2555A351">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其中：当年财政拨款</w:t>
            </w:r>
          </w:p>
        </w:tc>
        <w:tc>
          <w:tcPr>
            <w:tcW w:w="1229" w:type="dxa"/>
            <w:noWrap/>
            <w:vAlign w:val="center"/>
          </w:tcPr>
          <w:p w14:paraId="354D5DBB">
            <w:pPr>
              <w:jc w:val="center"/>
              <w:rPr>
                <w:rFonts w:ascii="Arial"/>
                <w:color w:val="000000" w:themeColor="text1"/>
                <w:szCs w:val="21"/>
              </w:rPr>
            </w:pPr>
            <w:r>
              <w:rPr>
                <w:rFonts w:hint="eastAsia" w:ascii="Arial"/>
                <w:color w:val="000000" w:themeColor="text1"/>
                <w:szCs w:val="21"/>
              </w:rPr>
              <w:t>142.01</w:t>
            </w:r>
          </w:p>
        </w:tc>
        <w:tc>
          <w:tcPr>
            <w:tcW w:w="1131" w:type="dxa"/>
            <w:noWrap/>
            <w:vAlign w:val="center"/>
          </w:tcPr>
          <w:p w14:paraId="15EF6D59">
            <w:pPr>
              <w:jc w:val="center"/>
              <w:rPr>
                <w:rFonts w:ascii="Arial"/>
                <w:color w:val="000000" w:themeColor="text1"/>
                <w:szCs w:val="21"/>
              </w:rPr>
            </w:pPr>
            <w:r>
              <w:rPr>
                <w:rFonts w:hint="eastAsia" w:ascii="Arial"/>
                <w:color w:val="000000" w:themeColor="text1"/>
                <w:szCs w:val="21"/>
              </w:rPr>
              <w:t>142.01</w:t>
            </w:r>
          </w:p>
        </w:tc>
        <w:tc>
          <w:tcPr>
            <w:tcW w:w="1140" w:type="dxa"/>
            <w:noWrap/>
            <w:vAlign w:val="center"/>
          </w:tcPr>
          <w:p w14:paraId="18BC7B71">
            <w:pPr>
              <w:jc w:val="center"/>
              <w:rPr>
                <w:rFonts w:ascii="Arial"/>
                <w:color w:val="000000" w:themeColor="text1"/>
                <w:szCs w:val="21"/>
              </w:rPr>
            </w:pPr>
            <w:r>
              <w:rPr>
                <w:rFonts w:hint="eastAsia" w:ascii="Arial"/>
                <w:color w:val="000000" w:themeColor="text1"/>
                <w:szCs w:val="21"/>
              </w:rPr>
              <w:t>142.01</w:t>
            </w:r>
          </w:p>
        </w:tc>
        <w:tc>
          <w:tcPr>
            <w:tcW w:w="685" w:type="dxa"/>
            <w:noWrap/>
            <w:vAlign w:val="center"/>
          </w:tcPr>
          <w:p w14:paraId="7426445E">
            <w:pPr>
              <w:jc w:val="center"/>
              <w:rPr>
                <w:rFonts w:ascii="Arial"/>
                <w:color w:val="000000" w:themeColor="text1"/>
                <w:szCs w:val="21"/>
              </w:rPr>
            </w:pPr>
          </w:p>
        </w:tc>
        <w:tc>
          <w:tcPr>
            <w:tcW w:w="795" w:type="dxa"/>
            <w:noWrap/>
            <w:vAlign w:val="center"/>
          </w:tcPr>
          <w:p w14:paraId="6ED1E413">
            <w:pPr>
              <w:jc w:val="center"/>
              <w:rPr>
                <w:rFonts w:ascii="Arial"/>
                <w:color w:val="000000" w:themeColor="text1"/>
                <w:szCs w:val="21"/>
              </w:rPr>
            </w:pPr>
          </w:p>
        </w:tc>
        <w:tc>
          <w:tcPr>
            <w:tcW w:w="1365" w:type="dxa"/>
            <w:noWrap/>
            <w:vAlign w:val="center"/>
          </w:tcPr>
          <w:p w14:paraId="4B4F96CD">
            <w:pPr>
              <w:jc w:val="center"/>
              <w:rPr>
                <w:rFonts w:ascii="Arial"/>
                <w:color w:val="000000" w:themeColor="text1"/>
                <w:szCs w:val="21"/>
              </w:rPr>
            </w:pPr>
          </w:p>
        </w:tc>
      </w:tr>
      <w:tr w14:paraId="4F3AF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573EE8C8">
            <w:pPr>
              <w:jc w:val="center"/>
              <w:rPr>
                <w:rFonts w:ascii="Arial"/>
                <w:color w:val="000000" w:themeColor="text1"/>
                <w:szCs w:val="21"/>
              </w:rPr>
            </w:pPr>
          </w:p>
        </w:tc>
        <w:tc>
          <w:tcPr>
            <w:tcW w:w="2160" w:type="dxa"/>
            <w:gridSpan w:val="2"/>
            <w:noWrap/>
            <w:vAlign w:val="center"/>
          </w:tcPr>
          <w:p w14:paraId="6AD18A55">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上年结转资金</w:t>
            </w:r>
          </w:p>
        </w:tc>
        <w:tc>
          <w:tcPr>
            <w:tcW w:w="1229" w:type="dxa"/>
            <w:noWrap/>
            <w:vAlign w:val="center"/>
          </w:tcPr>
          <w:p w14:paraId="36594206">
            <w:pPr>
              <w:jc w:val="center"/>
              <w:rPr>
                <w:rFonts w:ascii="Arial"/>
                <w:color w:val="000000" w:themeColor="text1"/>
                <w:szCs w:val="21"/>
              </w:rPr>
            </w:pPr>
            <w:r>
              <w:rPr>
                <w:rFonts w:hint="eastAsia" w:ascii="Arial"/>
                <w:color w:val="000000" w:themeColor="text1"/>
                <w:szCs w:val="21"/>
              </w:rPr>
              <w:t>0</w:t>
            </w:r>
          </w:p>
        </w:tc>
        <w:tc>
          <w:tcPr>
            <w:tcW w:w="1131" w:type="dxa"/>
            <w:noWrap/>
            <w:vAlign w:val="center"/>
          </w:tcPr>
          <w:p w14:paraId="07BA692B">
            <w:pPr>
              <w:jc w:val="center"/>
              <w:rPr>
                <w:rFonts w:ascii="Arial"/>
                <w:color w:val="000000" w:themeColor="text1"/>
                <w:szCs w:val="21"/>
              </w:rPr>
            </w:pPr>
            <w:r>
              <w:rPr>
                <w:rFonts w:hint="eastAsia" w:ascii="Arial"/>
                <w:color w:val="000000" w:themeColor="text1"/>
                <w:szCs w:val="21"/>
              </w:rPr>
              <w:t>0</w:t>
            </w:r>
          </w:p>
        </w:tc>
        <w:tc>
          <w:tcPr>
            <w:tcW w:w="1140" w:type="dxa"/>
            <w:noWrap/>
            <w:vAlign w:val="center"/>
          </w:tcPr>
          <w:p w14:paraId="2050AD13">
            <w:pPr>
              <w:jc w:val="center"/>
              <w:rPr>
                <w:rFonts w:ascii="Arial"/>
                <w:color w:val="000000" w:themeColor="text1"/>
                <w:szCs w:val="21"/>
              </w:rPr>
            </w:pPr>
            <w:r>
              <w:rPr>
                <w:rFonts w:hint="eastAsia" w:ascii="Arial"/>
                <w:color w:val="000000" w:themeColor="text1"/>
                <w:szCs w:val="21"/>
              </w:rPr>
              <w:t>0</w:t>
            </w:r>
          </w:p>
        </w:tc>
        <w:tc>
          <w:tcPr>
            <w:tcW w:w="685" w:type="dxa"/>
            <w:noWrap/>
            <w:vAlign w:val="center"/>
          </w:tcPr>
          <w:p w14:paraId="3E46E02F">
            <w:pPr>
              <w:jc w:val="center"/>
              <w:rPr>
                <w:rFonts w:ascii="Arial"/>
                <w:color w:val="000000" w:themeColor="text1"/>
                <w:szCs w:val="21"/>
              </w:rPr>
            </w:pPr>
          </w:p>
        </w:tc>
        <w:tc>
          <w:tcPr>
            <w:tcW w:w="795" w:type="dxa"/>
            <w:noWrap/>
            <w:vAlign w:val="center"/>
          </w:tcPr>
          <w:p w14:paraId="4759EE00">
            <w:pPr>
              <w:jc w:val="center"/>
              <w:rPr>
                <w:rFonts w:ascii="Arial"/>
                <w:color w:val="000000" w:themeColor="text1"/>
                <w:szCs w:val="21"/>
              </w:rPr>
            </w:pPr>
          </w:p>
        </w:tc>
        <w:tc>
          <w:tcPr>
            <w:tcW w:w="1365" w:type="dxa"/>
            <w:noWrap/>
            <w:vAlign w:val="center"/>
          </w:tcPr>
          <w:p w14:paraId="4EB6CF4C">
            <w:pPr>
              <w:jc w:val="center"/>
              <w:rPr>
                <w:rFonts w:ascii="Arial"/>
                <w:color w:val="000000" w:themeColor="text1"/>
                <w:szCs w:val="21"/>
              </w:rPr>
            </w:pPr>
          </w:p>
        </w:tc>
      </w:tr>
      <w:tr w14:paraId="317151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74F97027">
            <w:pPr>
              <w:jc w:val="center"/>
              <w:rPr>
                <w:rFonts w:ascii="Arial"/>
                <w:color w:val="000000" w:themeColor="text1"/>
                <w:szCs w:val="21"/>
              </w:rPr>
            </w:pPr>
          </w:p>
        </w:tc>
        <w:tc>
          <w:tcPr>
            <w:tcW w:w="2160" w:type="dxa"/>
            <w:gridSpan w:val="2"/>
            <w:noWrap/>
            <w:vAlign w:val="center"/>
          </w:tcPr>
          <w:p w14:paraId="4BA91E7D">
            <w:pPr>
              <w:spacing w:line="200" w:lineRule="auto"/>
              <w:jc w:val="center"/>
              <w:rPr>
                <w:rFonts w:ascii="宋体" w:hAnsi="宋体" w:eastAsia="宋体" w:cs="宋体"/>
                <w:color w:val="000000" w:themeColor="text1"/>
                <w:szCs w:val="21"/>
              </w:rPr>
            </w:pPr>
            <w:r>
              <w:rPr>
                <w:rFonts w:ascii="宋体" w:hAnsi="宋体" w:eastAsia="宋体" w:cs="宋体"/>
                <w:color w:val="000000" w:themeColor="text1"/>
                <w:szCs w:val="21"/>
              </w:rPr>
              <w:t>其他资金</w:t>
            </w:r>
          </w:p>
        </w:tc>
        <w:tc>
          <w:tcPr>
            <w:tcW w:w="1229" w:type="dxa"/>
            <w:noWrap/>
            <w:vAlign w:val="center"/>
          </w:tcPr>
          <w:p w14:paraId="73F34946">
            <w:pPr>
              <w:jc w:val="center"/>
              <w:rPr>
                <w:rFonts w:ascii="Arial"/>
                <w:color w:val="000000" w:themeColor="text1"/>
                <w:szCs w:val="21"/>
              </w:rPr>
            </w:pPr>
            <w:r>
              <w:rPr>
                <w:rFonts w:hint="eastAsia" w:ascii="Arial"/>
                <w:color w:val="000000" w:themeColor="text1"/>
                <w:szCs w:val="21"/>
              </w:rPr>
              <w:t>0</w:t>
            </w:r>
          </w:p>
        </w:tc>
        <w:tc>
          <w:tcPr>
            <w:tcW w:w="1131" w:type="dxa"/>
            <w:noWrap/>
            <w:vAlign w:val="center"/>
          </w:tcPr>
          <w:p w14:paraId="421DCE6F">
            <w:pPr>
              <w:jc w:val="center"/>
              <w:rPr>
                <w:rFonts w:ascii="Arial"/>
                <w:color w:val="000000" w:themeColor="text1"/>
                <w:szCs w:val="21"/>
              </w:rPr>
            </w:pPr>
            <w:r>
              <w:rPr>
                <w:rFonts w:hint="eastAsia" w:ascii="Arial"/>
                <w:color w:val="000000" w:themeColor="text1"/>
                <w:szCs w:val="21"/>
              </w:rPr>
              <w:t>0</w:t>
            </w:r>
          </w:p>
        </w:tc>
        <w:tc>
          <w:tcPr>
            <w:tcW w:w="1140" w:type="dxa"/>
            <w:noWrap/>
            <w:vAlign w:val="center"/>
          </w:tcPr>
          <w:p w14:paraId="004988F9">
            <w:pPr>
              <w:jc w:val="center"/>
              <w:rPr>
                <w:rFonts w:ascii="Arial"/>
                <w:color w:val="000000" w:themeColor="text1"/>
                <w:szCs w:val="21"/>
              </w:rPr>
            </w:pPr>
            <w:r>
              <w:rPr>
                <w:rFonts w:hint="eastAsia" w:ascii="Arial"/>
                <w:color w:val="000000" w:themeColor="text1"/>
                <w:szCs w:val="21"/>
              </w:rPr>
              <w:t>0</w:t>
            </w:r>
          </w:p>
        </w:tc>
        <w:tc>
          <w:tcPr>
            <w:tcW w:w="685" w:type="dxa"/>
            <w:noWrap/>
            <w:vAlign w:val="center"/>
          </w:tcPr>
          <w:p w14:paraId="5E805310">
            <w:pPr>
              <w:jc w:val="center"/>
              <w:rPr>
                <w:rFonts w:ascii="Arial"/>
                <w:color w:val="000000" w:themeColor="text1"/>
                <w:szCs w:val="21"/>
              </w:rPr>
            </w:pPr>
          </w:p>
        </w:tc>
        <w:tc>
          <w:tcPr>
            <w:tcW w:w="795" w:type="dxa"/>
            <w:noWrap/>
            <w:vAlign w:val="center"/>
          </w:tcPr>
          <w:p w14:paraId="7E6B6B13">
            <w:pPr>
              <w:jc w:val="center"/>
              <w:rPr>
                <w:rFonts w:ascii="Arial"/>
                <w:color w:val="000000" w:themeColor="text1"/>
                <w:szCs w:val="21"/>
              </w:rPr>
            </w:pPr>
          </w:p>
        </w:tc>
        <w:tc>
          <w:tcPr>
            <w:tcW w:w="1365" w:type="dxa"/>
            <w:noWrap/>
            <w:vAlign w:val="center"/>
          </w:tcPr>
          <w:p w14:paraId="20206DE0">
            <w:pPr>
              <w:jc w:val="center"/>
              <w:rPr>
                <w:rFonts w:ascii="Arial"/>
                <w:color w:val="000000" w:themeColor="text1"/>
                <w:szCs w:val="21"/>
              </w:rPr>
            </w:pPr>
          </w:p>
        </w:tc>
      </w:tr>
      <w:tr w14:paraId="51042B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72CF2746">
            <w:pPr>
              <w:spacing w:line="206" w:lineRule="auto"/>
              <w:ind w:hanging="209"/>
              <w:jc w:val="center"/>
              <w:rPr>
                <w:rFonts w:ascii="宋体" w:hAnsi="宋体" w:eastAsia="宋体" w:cs="宋体"/>
                <w:color w:val="000000" w:themeColor="text1"/>
                <w:szCs w:val="21"/>
              </w:rPr>
            </w:pPr>
            <w:r>
              <w:rPr>
                <w:rFonts w:ascii="宋体" w:hAnsi="宋体" w:eastAsia="宋体" w:cs="宋体"/>
                <w:color w:val="000000" w:themeColor="text1"/>
                <w:szCs w:val="21"/>
              </w:rPr>
              <w:t>年度总体</w:t>
            </w:r>
          </w:p>
          <w:p w14:paraId="04B3B65E">
            <w:pPr>
              <w:spacing w:line="206" w:lineRule="auto"/>
              <w:ind w:hanging="209"/>
              <w:jc w:val="center"/>
              <w:rPr>
                <w:rFonts w:ascii="宋体" w:hAnsi="宋体" w:eastAsia="宋体" w:cs="宋体"/>
                <w:color w:val="000000" w:themeColor="text1"/>
                <w:szCs w:val="21"/>
              </w:rPr>
            </w:pPr>
            <w:r>
              <w:rPr>
                <w:rFonts w:ascii="宋体" w:hAnsi="宋体" w:eastAsia="宋体" w:cs="宋体"/>
                <w:color w:val="000000" w:themeColor="text1"/>
                <w:szCs w:val="21"/>
              </w:rPr>
              <w:t>目标</w:t>
            </w:r>
          </w:p>
        </w:tc>
        <w:tc>
          <w:tcPr>
            <w:tcW w:w="4520" w:type="dxa"/>
            <w:gridSpan w:val="4"/>
            <w:noWrap/>
            <w:vAlign w:val="center"/>
          </w:tcPr>
          <w:p w14:paraId="29CF9D1D">
            <w:pPr>
              <w:spacing w:line="200" w:lineRule="auto"/>
              <w:jc w:val="center"/>
              <w:rPr>
                <w:rFonts w:ascii="宋体" w:hAnsi="宋体" w:eastAsia="宋体" w:cs="宋体"/>
                <w:color w:val="000000" w:themeColor="text1"/>
                <w:szCs w:val="21"/>
              </w:rPr>
            </w:pPr>
            <w:r>
              <w:rPr>
                <w:rFonts w:ascii="宋体" w:hAnsi="宋体" w:eastAsia="宋体" w:cs="宋体"/>
                <w:color w:val="000000" w:themeColor="text1"/>
                <w:szCs w:val="21"/>
              </w:rPr>
              <w:t>预期目标</w:t>
            </w:r>
          </w:p>
        </w:tc>
        <w:tc>
          <w:tcPr>
            <w:tcW w:w="3985" w:type="dxa"/>
            <w:gridSpan w:val="4"/>
            <w:noWrap/>
            <w:vAlign w:val="center"/>
          </w:tcPr>
          <w:p w14:paraId="1BD6CE07">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实际完成情况</w:t>
            </w:r>
          </w:p>
        </w:tc>
      </w:tr>
      <w:tr w14:paraId="2700DE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310E7676">
            <w:pPr>
              <w:jc w:val="center"/>
              <w:rPr>
                <w:rFonts w:ascii="Arial"/>
                <w:color w:val="000000" w:themeColor="text1"/>
                <w:szCs w:val="21"/>
              </w:rPr>
            </w:pPr>
          </w:p>
        </w:tc>
        <w:tc>
          <w:tcPr>
            <w:tcW w:w="4520" w:type="dxa"/>
            <w:gridSpan w:val="4"/>
            <w:noWrap/>
            <w:vAlign w:val="center"/>
          </w:tcPr>
          <w:p w14:paraId="4A69DE35">
            <w:pPr>
              <w:spacing w:line="240" w:lineRule="exact"/>
              <w:jc w:val="left"/>
              <w:rPr>
                <w:rFonts w:ascii="Arial"/>
                <w:color w:val="000000" w:themeColor="text1"/>
                <w:szCs w:val="21"/>
              </w:rPr>
            </w:pPr>
            <w:r>
              <w:rPr>
                <w:rFonts w:hint="eastAsia" w:ascii="宋体" w:hAnsi="宋体"/>
                <w:sz w:val="18"/>
                <w:szCs w:val="18"/>
              </w:rPr>
              <w:t>按照市委、市政府“一核三极、两区多点”区域发展战略部署，为积极参与岳阳楼区核心引领区、核心增长极建设，充分调动全局上下工作热情，为城市发展提供优质环境保障，全面提升城市品位</w:t>
            </w:r>
          </w:p>
        </w:tc>
        <w:tc>
          <w:tcPr>
            <w:tcW w:w="3985" w:type="dxa"/>
            <w:gridSpan w:val="4"/>
            <w:noWrap/>
            <w:vAlign w:val="center"/>
          </w:tcPr>
          <w:p w14:paraId="7F644535">
            <w:pPr>
              <w:spacing w:line="240" w:lineRule="exact"/>
              <w:jc w:val="left"/>
              <w:rPr>
                <w:rFonts w:ascii="Arial"/>
                <w:color w:val="000000" w:themeColor="text1"/>
                <w:szCs w:val="21"/>
              </w:rPr>
            </w:pPr>
            <w:r>
              <w:rPr>
                <w:rFonts w:hint="eastAsia" w:ascii="宋体" w:hAnsi="宋体" w:cs="仿宋"/>
                <w:sz w:val="18"/>
                <w:szCs w:val="18"/>
              </w:rPr>
              <w:t>全年共开展马路市场执法整治行动279次、出动执法人员3762人次，拆除违建棚亭535个、劝导劝离机动车辆乱停乱放3812起、清理占道经营摊贩8252个、规范出店经营行为9546起、登记保存违规经营用品397车、引导摊点入市3809个、收缴违规设置户外灯箱274个、下达整治通知2110份</w:t>
            </w:r>
          </w:p>
        </w:tc>
      </w:tr>
      <w:tr w14:paraId="54ED9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343943C5">
            <w:pPr>
              <w:spacing w:line="217" w:lineRule="auto"/>
              <w:jc w:val="center"/>
              <w:rPr>
                <w:rFonts w:ascii="宋体" w:hAnsi="宋体" w:eastAsia="宋体" w:cs="宋体"/>
                <w:color w:val="000000" w:themeColor="text1"/>
                <w:szCs w:val="21"/>
              </w:rPr>
            </w:pPr>
            <w:r>
              <w:rPr>
                <w:rFonts w:ascii="宋体" w:hAnsi="宋体" w:eastAsia="宋体" w:cs="宋体"/>
                <w:color w:val="000000" w:themeColor="text1"/>
                <w:szCs w:val="21"/>
              </w:rPr>
              <w:t>绩效指标</w:t>
            </w:r>
          </w:p>
        </w:tc>
        <w:tc>
          <w:tcPr>
            <w:tcW w:w="1080" w:type="dxa"/>
            <w:noWrap/>
            <w:vAlign w:val="center"/>
          </w:tcPr>
          <w:p w14:paraId="206F86A8">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一级指标</w:t>
            </w:r>
          </w:p>
        </w:tc>
        <w:tc>
          <w:tcPr>
            <w:tcW w:w="1080" w:type="dxa"/>
            <w:noWrap/>
            <w:vAlign w:val="center"/>
          </w:tcPr>
          <w:p w14:paraId="7BA133C3">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二级指标</w:t>
            </w:r>
          </w:p>
        </w:tc>
        <w:tc>
          <w:tcPr>
            <w:tcW w:w="1229" w:type="dxa"/>
            <w:noWrap/>
            <w:vAlign w:val="center"/>
          </w:tcPr>
          <w:p w14:paraId="450DACB1">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三级指标</w:t>
            </w:r>
          </w:p>
        </w:tc>
        <w:tc>
          <w:tcPr>
            <w:tcW w:w="1131" w:type="dxa"/>
            <w:noWrap/>
            <w:vAlign w:val="center"/>
          </w:tcPr>
          <w:p w14:paraId="009B6847">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年度</w:t>
            </w:r>
          </w:p>
          <w:p w14:paraId="5213A19D">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指标值</w:t>
            </w:r>
          </w:p>
        </w:tc>
        <w:tc>
          <w:tcPr>
            <w:tcW w:w="1140" w:type="dxa"/>
            <w:noWrap/>
            <w:vAlign w:val="center"/>
          </w:tcPr>
          <w:p w14:paraId="1AFB9462">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实际</w:t>
            </w:r>
          </w:p>
          <w:p w14:paraId="4E77E278">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完成值</w:t>
            </w:r>
          </w:p>
        </w:tc>
        <w:tc>
          <w:tcPr>
            <w:tcW w:w="685" w:type="dxa"/>
            <w:noWrap/>
            <w:vAlign w:val="center"/>
          </w:tcPr>
          <w:p w14:paraId="6F9D4132">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分值</w:t>
            </w:r>
          </w:p>
        </w:tc>
        <w:tc>
          <w:tcPr>
            <w:tcW w:w="795" w:type="dxa"/>
            <w:noWrap/>
            <w:vAlign w:val="center"/>
          </w:tcPr>
          <w:p w14:paraId="300378AA">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得分</w:t>
            </w:r>
          </w:p>
        </w:tc>
        <w:tc>
          <w:tcPr>
            <w:tcW w:w="1365" w:type="dxa"/>
            <w:noWrap/>
            <w:vAlign w:val="center"/>
          </w:tcPr>
          <w:p w14:paraId="066B791B">
            <w:pPr>
              <w:spacing w:line="240" w:lineRule="exact"/>
              <w:ind w:hanging="99"/>
              <w:jc w:val="center"/>
              <w:rPr>
                <w:rFonts w:ascii="宋体" w:hAnsi="宋体" w:eastAsia="宋体" w:cs="宋体"/>
                <w:color w:val="000000" w:themeColor="text1"/>
                <w:szCs w:val="21"/>
              </w:rPr>
            </w:pPr>
            <w:r>
              <w:rPr>
                <w:rFonts w:ascii="宋体" w:hAnsi="宋体" w:eastAsia="宋体" w:cs="宋体"/>
                <w:color w:val="000000" w:themeColor="text1"/>
                <w:szCs w:val="21"/>
              </w:rPr>
              <w:t>偏差原因分析 及改进措施</w:t>
            </w:r>
          </w:p>
        </w:tc>
      </w:tr>
      <w:tr w14:paraId="795EF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textDirection w:val="tbRlV"/>
            <w:vAlign w:val="center"/>
          </w:tcPr>
          <w:p w14:paraId="561BC713">
            <w:pPr>
              <w:jc w:val="center"/>
              <w:rPr>
                <w:rFonts w:ascii="Arial"/>
                <w:color w:val="000000" w:themeColor="text1"/>
                <w:szCs w:val="21"/>
              </w:rPr>
            </w:pPr>
          </w:p>
        </w:tc>
        <w:tc>
          <w:tcPr>
            <w:tcW w:w="1080" w:type="dxa"/>
            <w:vMerge w:val="restart"/>
            <w:tcBorders>
              <w:bottom w:val="nil"/>
            </w:tcBorders>
            <w:noWrap/>
            <w:vAlign w:val="center"/>
          </w:tcPr>
          <w:p w14:paraId="2F07B8D6">
            <w:pPr>
              <w:spacing w:line="256" w:lineRule="auto"/>
              <w:jc w:val="center"/>
              <w:rPr>
                <w:rFonts w:ascii="Arial"/>
                <w:color w:val="000000" w:themeColor="text1"/>
                <w:szCs w:val="21"/>
              </w:rPr>
            </w:pPr>
          </w:p>
          <w:p w14:paraId="4465AA06">
            <w:pPr>
              <w:spacing w:line="257" w:lineRule="auto"/>
              <w:jc w:val="center"/>
              <w:rPr>
                <w:rFonts w:ascii="Arial"/>
                <w:color w:val="000000" w:themeColor="text1"/>
                <w:szCs w:val="21"/>
              </w:rPr>
            </w:pPr>
          </w:p>
          <w:p w14:paraId="3372D87F">
            <w:pPr>
              <w:spacing w:line="257" w:lineRule="auto"/>
              <w:jc w:val="center"/>
              <w:rPr>
                <w:rFonts w:ascii="Arial"/>
                <w:color w:val="000000" w:themeColor="text1"/>
                <w:szCs w:val="21"/>
              </w:rPr>
            </w:pPr>
          </w:p>
          <w:p w14:paraId="555AAA2E">
            <w:pPr>
              <w:spacing w:line="257" w:lineRule="auto"/>
              <w:jc w:val="center"/>
              <w:rPr>
                <w:rFonts w:ascii="Arial"/>
                <w:color w:val="000000" w:themeColor="text1"/>
                <w:szCs w:val="21"/>
              </w:rPr>
            </w:pPr>
          </w:p>
          <w:p w14:paraId="65DE1145">
            <w:pPr>
              <w:spacing w:line="500" w:lineRule="exact"/>
              <w:jc w:val="center"/>
              <w:rPr>
                <w:rFonts w:ascii="宋体" w:hAnsi="宋体" w:eastAsia="宋体" w:cs="宋体"/>
                <w:color w:val="000000" w:themeColor="text1"/>
                <w:szCs w:val="21"/>
              </w:rPr>
            </w:pPr>
            <w:r>
              <w:rPr>
                <w:rFonts w:ascii="宋体" w:hAnsi="宋体" w:eastAsia="宋体" w:cs="宋体"/>
                <w:color w:val="000000" w:themeColor="text1"/>
                <w:position w:val="22"/>
                <w:szCs w:val="21"/>
              </w:rPr>
              <w:t>产出指标</w:t>
            </w:r>
          </w:p>
          <w:p w14:paraId="7561CEB0">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(50分)</w:t>
            </w:r>
          </w:p>
        </w:tc>
        <w:tc>
          <w:tcPr>
            <w:tcW w:w="1080" w:type="dxa"/>
            <w:vMerge w:val="restart"/>
            <w:tcBorders>
              <w:bottom w:val="nil"/>
            </w:tcBorders>
            <w:noWrap/>
            <w:vAlign w:val="center"/>
          </w:tcPr>
          <w:p w14:paraId="2C7BD528">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数量指标</w:t>
            </w:r>
          </w:p>
        </w:tc>
        <w:tc>
          <w:tcPr>
            <w:tcW w:w="1229" w:type="dxa"/>
            <w:noWrap/>
            <w:vAlign w:val="center"/>
          </w:tcPr>
          <w:p w14:paraId="3EE1B31B">
            <w:pPr>
              <w:spacing w:line="219" w:lineRule="exact"/>
              <w:jc w:val="center"/>
              <w:rPr>
                <w:rFonts w:ascii="Arial"/>
                <w:color w:val="000000" w:themeColor="text1"/>
                <w:szCs w:val="21"/>
              </w:rPr>
            </w:pPr>
            <w:r>
              <w:rPr>
                <w:rFonts w:hint="eastAsia" w:ascii="宋体" w:hAnsi="宋体"/>
                <w:sz w:val="15"/>
                <w:szCs w:val="15"/>
              </w:rPr>
              <w:t>开展集中整治行动</w:t>
            </w:r>
          </w:p>
        </w:tc>
        <w:tc>
          <w:tcPr>
            <w:tcW w:w="1131" w:type="dxa"/>
            <w:noWrap/>
            <w:vAlign w:val="center"/>
          </w:tcPr>
          <w:p w14:paraId="5F4614CB">
            <w:pPr>
              <w:spacing w:line="219" w:lineRule="exact"/>
              <w:jc w:val="center"/>
              <w:rPr>
                <w:rFonts w:ascii="Arial"/>
                <w:color w:val="000000" w:themeColor="text1"/>
                <w:szCs w:val="21"/>
              </w:rPr>
            </w:pPr>
            <w:r>
              <w:rPr>
                <w:rFonts w:hint="eastAsia" w:ascii="Arial"/>
                <w:color w:val="000000" w:themeColor="text1"/>
                <w:szCs w:val="21"/>
              </w:rPr>
              <w:t>200次</w:t>
            </w:r>
          </w:p>
        </w:tc>
        <w:tc>
          <w:tcPr>
            <w:tcW w:w="1140" w:type="dxa"/>
            <w:noWrap/>
            <w:vAlign w:val="center"/>
          </w:tcPr>
          <w:p w14:paraId="55FAC34A">
            <w:pPr>
              <w:spacing w:line="219" w:lineRule="exact"/>
              <w:jc w:val="center"/>
              <w:rPr>
                <w:rFonts w:ascii="Arial"/>
                <w:color w:val="000000" w:themeColor="text1"/>
                <w:szCs w:val="21"/>
              </w:rPr>
            </w:pPr>
            <w:r>
              <w:rPr>
                <w:rFonts w:hint="eastAsia" w:ascii="Arial"/>
                <w:color w:val="000000" w:themeColor="text1"/>
                <w:szCs w:val="21"/>
              </w:rPr>
              <w:t>200次</w:t>
            </w:r>
          </w:p>
        </w:tc>
        <w:tc>
          <w:tcPr>
            <w:tcW w:w="685" w:type="dxa"/>
            <w:noWrap/>
            <w:vAlign w:val="center"/>
          </w:tcPr>
          <w:p w14:paraId="70C120E5">
            <w:pPr>
              <w:spacing w:line="219"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39AD83F2">
            <w:pPr>
              <w:spacing w:line="219" w:lineRule="exact"/>
              <w:jc w:val="center"/>
              <w:rPr>
                <w:rFonts w:ascii="Arial"/>
                <w:color w:val="000000" w:themeColor="text1"/>
                <w:szCs w:val="21"/>
              </w:rPr>
            </w:pPr>
            <w:r>
              <w:rPr>
                <w:rFonts w:hint="eastAsia" w:ascii="Arial"/>
                <w:color w:val="000000" w:themeColor="text1"/>
                <w:szCs w:val="21"/>
              </w:rPr>
              <w:t>10</w:t>
            </w:r>
          </w:p>
        </w:tc>
        <w:tc>
          <w:tcPr>
            <w:tcW w:w="1365" w:type="dxa"/>
            <w:noWrap/>
            <w:vAlign w:val="center"/>
          </w:tcPr>
          <w:p w14:paraId="17DA9B54">
            <w:pPr>
              <w:spacing w:line="219" w:lineRule="exact"/>
              <w:jc w:val="center"/>
              <w:rPr>
                <w:rFonts w:ascii="Arial"/>
                <w:color w:val="000000" w:themeColor="text1"/>
                <w:szCs w:val="21"/>
              </w:rPr>
            </w:pPr>
          </w:p>
        </w:tc>
      </w:tr>
      <w:tr w14:paraId="5EBE83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textDirection w:val="tbRlV"/>
            <w:vAlign w:val="center"/>
          </w:tcPr>
          <w:p w14:paraId="76D5E078">
            <w:pPr>
              <w:jc w:val="center"/>
              <w:rPr>
                <w:rFonts w:ascii="Arial"/>
                <w:color w:val="000000" w:themeColor="text1"/>
                <w:szCs w:val="21"/>
              </w:rPr>
            </w:pPr>
          </w:p>
        </w:tc>
        <w:tc>
          <w:tcPr>
            <w:tcW w:w="1080" w:type="dxa"/>
            <w:vMerge w:val="continue"/>
            <w:tcBorders>
              <w:top w:val="nil"/>
              <w:bottom w:val="nil"/>
            </w:tcBorders>
            <w:noWrap/>
            <w:vAlign w:val="center"/>
          </w:tcPr>
          <w:p w14:paraId="70DF3EBB">
            <w:pPr>
              <w:jc w:val="center"/>
              <w:rPr>
                <w:rFonts w:ascii="Arial"/>
                <w:color w:val="000000" w:themeColor="text1"/>
                <w:szCs w:val="21"/>
              </w:rPr>
            </w:pPr>
          </w:p>
        </w:tc>
        <w:tc>
          <w:tcPr>
            <w:tcW w:w="1080" w:type="dxa"/>
            <w:vMerge w:val="continue"/>
            <w:tcBorders>
              <w:top w:val="nil"/>
              <w:bottom w:val="nil"/>
            </w:tcBorders>
            <w:noWrap/>
            <w:vAlign w:val="center"/>
          </w:tcPr>
          <w:p w14:paraId="554FB448">
            <w:pPr>
              <w:jc w:val="center"/>
              <w:rPr>
                <w:rFonts w:ascii="Arial"/>
                <w:color w:val="000000" w:themeColor="text1"/>
                <w:szCs w:val="21"/>
              </w:rPr>
            </w:pPr>
          </w:p>
        </w:tc>
        <w:tc>
          <w:tcPr>
            <w:tcW w:w="1229" w:type="dxa"/>
            <w:noWrap/>
            <w:vAlign w:val="center"/>
          </w:tcPr>
          <w:p w14:paraId="1637D9A9">
            <w:pPr>
              <w:spacing w:line="240" w:lineRule="exact"/>
              <w:jc w:val="center"/>
              <w:rPr>
                <w:rFonts w:ascii="Arial"/>
                <w:color w:val="000000" w:themeColor="text1"/>
                <w:szCs w:val="21"/>
              </w:rPr>
            </w:pPr>
            <w:r>
              <w:rPr>
                <w:rFonts w:hint="eastAsia" w:ascii="宋体" w:hAnsi="宋体"/>
                <w:sz w:val="15"/>
                <w:szCs w:val="15"/>
              </w:rPr>
              <w:t>按预算数列支</w:t>
            </w:r>
          </w:p>
        </w:tc>
        <w:tc>
          <w:tcPr>
            <w:tcW w:w="1131" w:type="dxa"/>
            <w:noWrap/>
            <w:vAlign w:val="center"/>
          </w:tcPr>
          <w:p w14:paraId="71ED81D2">
            <w:pPr>
              <w:spacing w:line="240" w:lineRule="exact"/>
              <w:jc w:val="center"/>
              <w:rPr>
                <w:rFonts w:ascii="Arial"/>
                <w:color w:val="000000" w:themeColor="text1"/>
                <w:szCs w:val="21"/>
              </w:rPr>
            </w:pPr>
            <w:r>
              <w:rPr>
                <w:rFonts w:hint="eastAsia" w:ascii="宋体" w:hAnsi="宋体"/>
                <w:sz w:val="15"/>
                <w:szCs w:val="15"/>
              </w:rPr>
              <w:t>按进度使用</w:t>
            </w:r>
          </w:p>
        </w:tc>
        <w:tc>
          <w:tcPr>
            <w:tcW w:w="1140" w:type="dxa"/>
            <w:noWrap/>
            <w:vAlign w:val="center"/>
          </w:tcPr>
          <w:p w14:paraId="12DC893D">
            <w:pPr>
              <w:spacing w:line="240" w:lineRule="exact"/>
              <w:jc w:val="center"/>
              <w:rPr>
                <w:rFonts w:ascii="Arial"/>
                <w:color w:val="000000" w:themeColor="text1"/>
                <w:szCs w:val="21"/>
              </w:rPr>
            </w:pPr>
            <w:r>
              <w:rPr>
                <w:rFonts w:ascii="Arial"/>
                <w:color w:val="000000" w:themeColor="text1"/>
                <w:szCs w:val="21"/>
              </w:rPr>
              <w:t>全部落实</w:t>
            </w:r>
          </w:p>
        </w:tc>
        <w:tc>
          <w:tcPr>
            <w:tcW w:w="685" w:type="dxa"/>
            <w:noWrap/>
            <w:vAlign w:val="center"/>
          </w:tcPr>
          <w:p w14:paraId="631CACDC">
            <w:pPr>
              <w:spacing w:line="240"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7762392F">
            <w:pPr>
              <w:spacing w:line="240" w:lineRule="exact"/>
              <w:jc w:val="center"/>
              <w:rPr>
                <w:rFonts w:ascii="Arial"/>
                <w:color w:val="000000" w:themeColor="text1"/>
                <w:szCs w:val="21"/>
              </w:rPr>
            </w:pPr>
            <w:r>
              <w:rPr>
                <w:rFonts w:hint="eastAsia" w:ascii="Arial"/>
                <w:color w:val="000000" w:themeColor="text1"/>
                <w:szCs w:val="21"/>
              </w:rPr>
              <w:t>10</w:t>
            </w:r>
          </w:p>
        </w:tc>
        <w:tc>
          <w:tcPr>
            <w:tcW w:w="1365" w:type="dxa"/>
            <w:noWrap/>
            <w:vAlign w:val="center"/>
          </w:tcPr>
          <w:p w14:paraId="6F34D858">
            <w:pPr>
              <w:spacing w:line="240" w:lineRule="exact"/>
              <w:jc w:val="center"/>
              <w:rPr>
                <w:rFonts w:ascii="Arial"/>
                <w:color w:val="000000" w:themeColor="text1"/>
                <w:szCs w:val="21"/>
              </w:rPr>
            </w:pPr>
          </w:p>
        </w:tc>
      </w:tr>
      <w:tr w14:paraId="670D6F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3E04AAA2">
            <w:pPr>
              <w:jc w:val="center"/>
              <w:rPr>
                <w:rFonts w:ascii="Arial"/>
                <w:color w:val="000000" w:themeColor="text1"/>
                <w:szCs w:val="21"/>
              </w:rPr>
            </w:pPr>
          </w:p>
        </w:tc>
        <w:tc>
          <w:tcPr>
            <w:tcW w:w="1080" w:type="dxa"/>
            <w:vMerge w:val="continue"/>
            <w:tcBorders>
              <w:top w:val="nil"/>
              <w:bottom w:val="nil"/>
            </w:tcBorders>
            <w:noWrap/>
            <w:vAlign w:val="center"/>
          </w:tcPr>
          <w:p w14:paraId="24B8D68E">
            <w:pPr>
              <w:jc w:val="center"/>
              <w:rPr>
                <w:rFonts w:ascii="Arial"/>
                <w:color w:val="000000" w:themeColor="text1"/>
                <w:szCs w:val="21"/>
              </w:rPr>
            </w:pPr>
          </w:p>
        </w:tc>
        <w:tc>
          <w:tcPr>
            <w:tcW w:w="1080" w:type="dxa"/>
            <w:vMerge w:val="restart"/>
            <w:tcBorders>
              <w:bottom w:val="nil"/>
            </w:tcBorders>
            <w:noWrap/>
            <w:vAlign w:val="center"/>
          </w:tcPr>
          <w:p w14:paraId="6914433F">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质量指标</w:t>
            </w:r>
          </w:p>
        </w:tc>
        <w:tc>
          <w:tcPr>
            <w:tcW w:w="1229" w:type="dxa"/>
            <w:noWrap/>
            <w:vAlign w:val="center"/>
          </w:tcPr>
          <w:p w14:paraId="70DA00A6">
            <w:pPr>
              <w:spacing w:line="230" w:lineRule="exact"/>
              <w:jc w:val="center"/>
              <w:rPr>
                <w:rFonts w:ascii="Arial"/>
                <w:color w:val="000000" w:themeColor="text1"/>
                <w:szCs w:val="21"/>
              </w:rPr>
            </w:pPr>
            <w:r>
              <w:rPr>
                <w:rFonts w:hint="eastAsia" w:ascii="宋体" w:hAnsi="宋体"/>
                <w:sz w:val="15"/>
                <w:szCs w:val="15"/>
              </w:rPr>
              <w:t>按进度拨付各项经费</w:t>
            </w:r>
          </w:p>
        </w:tc>
        <w:tc>
          <w:tcPr>
            <w:tcW w:w="1131" w:type="dxa"/>
            <w:noWrap/>
            <w:vAlign w:val="center"/>
          </w:tcPr>
          <w:p w14:paraId="2520D62C">
            <w:pPr>
              <w:spacing w:line="230" w:lineRule="exact"/>
              <w:jc w:val="center"/>
              <w:rPr>
                <w:rFonts w:ascii="Arial"/>
                <w:color w:val="000000" w:themeColor="text1"/>
                <w:szCs w:val="21"/>
              </w:rPr>
            </w:pPr>
            <w:r>
              <w:rPr>
                <w:rFonts w:hint="eastAsia" w:ascii="宋体" w:hAnsi="宋体"/>
                <w:sz w:val="15"/>
                <w:szCs w:val="15"/>
              </w:rPr>
              <w:t>按进度使用</w:t>
            </w:r>
          </w:p>
        </w:tc>
        <w:tc>
          <w:tcPr>
            <w:tcW w:w="1140" w:type="dxa"/>
            <w:noWrap/>
            <w:vAlign w:val="center"/>
          </w:tcPr>
          <w:p w14:paraId="0DCC0435">
            <w:pPr>
              <w:spacing w:line="230" w:lineRule="exact"/>
              <w:jc w:val="center"/>
              <w:rPr>
                <w:rFonts w:ascii="Arial"/>
                <w:color w:val="000000" w:themeColor="text1"/>
                <w:szCs w:val="21"/>
              </w:rPr>
            </w:pPr>
            <w:r>
              <w:rPr>
                <w:rFonts w:ascii="Arial"/>
                <w:color w:val="000000" w:themeColor="text1"/>
                <w:szCs w:val="21"/>
              </w:rPr>
              <w:t>全部落实</w:t>
            </w:r>
          </w:p>
        </w:tc>
        <w:tc>
          <w:tcPr>
            <w:tcW w:w="685" w:type="dxa"/>
            <w:noWrap/>
            <w:vAlign w:val="center"/>
          </w:tcPr>
          <w:p w14:paraId="631FB7FF">
            <w:pPr>
              <w:spacing w:line="230"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15D750EB">
            <w:pPr>
              <w:spacing w:line="230" w:lineRule="exact"/>
              <w:jc w:val="center"/>
              <w:rPr>
                <w:rFonts w:ascii="Arial"/>
                <w:color w:val="000000" w:themeColor="text1"/>
                <w:szCs w:val="21"/>
              </w:rPr>
            </w:pPr>
            <w:r>
              <w:rPr>
                <w:rFonts w:hint="eastAsia" w:ascii="Arial"/>
                <w:color w:val="000000" w:themeColor="text1"/>
                <w:szCs w:val="21"/>
              </w:rPr>
              <w:t>10</w:t>
            </w:r>
          </w:p>
        </w:tc>
        <w:tc>
          <w:tcPr>
            <w:tcW w:w="1365" w:type="dxa"/>
            <w:noWrap/>
            <w:vAlign w:val="center"/>
          </w:tcPr>
          <w:p w14:paraId="4671FAAF">
            <w:pPr>
              <w:spacing w:line="230" w:lineRule="exact"/>
              <w:jc w:val="center"/>
              <w:rPr>
                <w:rFonts w:ascii="Arial"/>
                <w:color w:val="000000" w:themeColor="text1"/>
                <w:szCs w:val="21"/>
              </w:rPr>
            </w:pPr>
          </w:p>
        </w:tc>
      </w:tr>
      <w:tr w14:paraId="32192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565C3007">
            <w:pPr>
              <w:jc w:val="center"/>
              <w:rPr>
                <w:rFonts w:ascii="Arial"/>
                <w:color w:val="000000" w:themeColor="text1"/>
                <w:szCs w:val="21"/>
              </w:rPr>
            </w:pPr>
          </w:p>
        </w:tc>
        <w:tc>
          <w:tcPr>
            <w:tcW w:w="1080" w:type="dxa"/>
            <w:vMerge w:val="continue"/>
            <w:tcBorders>
              <w:top w:val="nil"/>
              <w:bottom w:val="nil"/>
            </w:tcBorders>
            <w:noWrap/>
            <w:vAlign w:val="center"/>
          </w:tcPr>
          <w:p w14:paraId="1D9E9867">
            <w:pPr>
              <w:jc w:val="center"/>
              <w:rPr>
                <w:rFonts w:ascii="Arial"/>
                <w:color w:val="000000" w:themeColor="text1"/>
                <w:szCs w:val="21"/>
              </w:rPr>
            </w:pPr>
          </w:p>
        </w:tc>
        <w:tc>
          <w:tcPr>
            <w:tcW w:w="1080" w:type="dxa"/>
            <w:vMerge w:val="continue"/>
            <w:tcBorders>
              <w:top w:val="nil"/>
              <w:bottom w:val="nil"/>
            </w:tcBorders>
            <w:noWrap/>
            <w:vAlign w:val="center"/>
          </w:tcPr>
          <w:p w14:paraId="69F1BB89">
            <w:pPr>
              <w:jc w:val="center"/>
              <w:rPr>
                <w:rFonts w:ascii="Arial"/>
                <w:color w:val="000000" w:themeColor="text1"/>
                <w:szCs w:val="21"/>
              </w:rPr>
            </w:pPr>
          </w:p>
        </w:tc>
        <w:tc>
          <w:tcPr>
            <w:tcW w:w="1229" w:type="dxa"/>
            <w:noWrap/>
            <w:vAlign w:val="center"/>
          </w:tcPr>
          <w:p w14:paraId="724C1CB7">
            <w:pPr>
              <w:spacing w:line="230" w:lineRule="exact"/>
              <w:jc w:val="center"/>
              <w:rPr>
                <w:rFonts w:ascii="Arial"/>
                <w:color w:val="000000" w:themeColor="text1"/>
                <w:szCs w:val="21"/>
              </w:rPr>
            </w:pPr>
            <w:r>
              <w:rPr>
                <w:rFonts w:hint="eastAsia" w:ascii="宋体" w:hAnsi="宋体" w:cs="仿宋"/>
                <w:sz w:val="15"/>
                <w:szCs w:val="15"/>
              </w:rPr>
              <w:t>开展“牛皮癣”专项整治工作</w:t>
            </w:r>
          </w:p>
        </w:tc>
        <w:tc>
          <w:tcPr>
            <w:tcW w:w="1131" w:type="dxa"/>
            <w:noWrap/>
            <w:vAlign w:val="center"/>
          </w:tcPr>
          <w:p w14:paraId="472324FF">
            <w:pPr>
              <w:spacing w:line="230" w:lineRule="exact"/>
              <w:jc w:val="center"/>
              <w:rPr>
                <w:rFonts w:ascii="Arial"/>
                <w:color w:val="000000" w:themeColor="text1"/>
                <w:szCs w:val="21"/>
              </w:rPr>
            </w:pPr>
            <w:r>
              <w:rPr>
                <w:rFonts w:hint="eastAsia" w:ascii="Arial"/>
                <w:color w:val="000000" w:themeColor="text1"/>
                <w:szCs w:val="21"/>
              </w:rPr>
              <w:t>100次</w:t>
            </w:r>
          </w:p>
        </w:tc>
        <w:tc>
          <w:tcPr>
            <w:tcW w:w="1140" w:type="dxa"/>
            <w:noWrap/>
            <w:vAlign w:val="center"/>
          </w:tcPr>
          <w:p w14:paraId="45DFBB92">
            <w:pPr>
              <w:spacing w:line="230" w:lineRule="exact"/>
              <w:jc w:val="center"/>
              <w:rPr>
                <w:rFonts w:ascii="Arial"/>
                <w:color w:val="000000" w:themeColor="text1"/>
                <w:szCs w:val="21"/>
              </w:rPr>
            </w:pPr>
            <w:r>
              <w:rPr>
                <w:rFonts w:hint="eastAsia" w:ascii="Arial"/>
                <w:color w:val="000000" w:themeColor="text1"/>
                <w:szCs w:val="21"/>
              </w:rPr>
              <w:t>100次</w:t>
            </w:r>
          </w:p>
        </w:tc>
        <w:tc>
          <w:tcPr>
            <w:tcW w:w="685" w:type="dxa"/>
            <w:noWrap/>
            <w:vAlign w:val="center"/>
          </w:tcPr>
          <w:p w14:paraId="7A9E9063">
            <w:pPr>
              <w:spacing w:line="230"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3012CF17">
            <w:pPr>
              <w:spacing w:line="230" w:lineRule="exact"/>
              <w:jc w:val="center"/>
              <w:rPr>
                <w:rFonts w:ascii="Arial"/>
                <w:color w:val="000000" w:themeColor="text1"/>
                <w:szCs w:val="21"/>
              </w:rPr>
            </w:pPr>
            <w:r>
              <w:rPr>
                <w:rFonts w:hint="eastAsia" w:ascii="Arial"/>
                <w:color w:val="000000" w:themeColor="text1"/>
                <w:szCs w:val="21"/>
              </w:rPr>
              <w:t>10</w:t>
            </w:r>
          </w:p>
        </w:tc>
        <w:tc>
          <w:tcPr>
            <w:tcW w:w="1365" w:type="dxa"/>
            <w:noWrap/>
            <w:vAlign w:val="center"/>
          </w:tcPr>
          <w:p w14:paraId="39841BED">
            <w:pPr>
              <w:spacing w:line="230" w:lineRule="exact"/>
              <w:jc w:val="center"/>
              <w:rPr>
                <w:rFonts w:ascii="Arial"/>
                <w:color w:val="000000" w:themeColor="text1"/>
                <w:szCs w:val="21"/>
              </w:rPr>
            </w:pPr>
          </w:p>
        </w:tc>
      </w:tr>
      <w:tr w14:paraId="6B271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textDirection w:val="tbRlV"/>
            <w:vAlign w:val="center"/>
          </w:tcPr>
          <w:p w14:paraId="2CDA9D40">
            <w:pPr>
              <w:jc w:val="center"/>
              <w:rPr>
                <w:rFonts w:ascii="Arial"/>
                <w:color w:val="000000" w:themeColor="text1"/>
                <w:szCs w:val="21"/>
              </w:rPr>
            </w:pPr>
          </w:p>
        </w:tc>
        <w:tc>
          <w:tcPr>
            <w:tcW w:w="1080" w:type="dxa"/>
            <w:vMerge w:val="continue"/>
            <w:tcBorders>
              <w:top w:val="nil"/>
              <w:bottom w:val="nil"/>
            </w:tcBorders>
            <w:noWrap/>
            <w:vAlign w:val="center"/>
          </w:tcPr>
          <w:p w14:paraId="17B2E22D">
            <w:pPr>
              <w:jc w:val="center"/>
              <w:rPr>
                <w:rFonts w:ascii="Arial"/>
                <w:color w:val="000000" w:themeColor="text1"/>
                <w:szCs w:val="21"/>
              </w:rPr>
            </w:pPr>
          </w:p>
        </w:tc>
        <w:tc>
          <w:tcPr>
            <w:tcW w:w="1080" w:type="dxa"/>
            <w:tcBorders>
              <w:bottom w:val="nil"/>
            </w:tcBorders>
            <w:noWrap/>
            <w:vAlign w:val="center"/>
          </w:tcPr>
          <w:p w14:paraId="10A9FA39">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时效指标</w:t>
            </w:r>
          </w:p>
        </w:tc>
        <w:tc>
          <w:tcPr>
            <w:tcW w:w="1229" w:type="dxa"/>
            <w:noWrap/>
            <w:vAlign w:val="center"/>
          </w:tcPr>
          <w:p w14:paraId="71067D4D">
            <w:pPr>
              <w:spacing w:line="239" w:lineRule="exact"/>
              <w:jc w:val="center"/>
              <w:rPr>
                <w:rFonts w:ascii="Arial"/>
                <w:color w:val="000000" w:themeColor="text1"/>
                <w:szCs w:val="21"/>
              </w:rPr>
            </w:pPr>
            <w:r>
              <w:rPr>
                <w:rFonts w:ascii="Arial"/>
                <w:color w:val="000000" w:themeColor="text1"/>
                <w:szCs w:val="21"/>
              </w:rPr>
              <w:t>无</w:t>
            </w:r>
          </w:p>
        </w:tc>
        <w:tc>
          <w:tcPr>
            <w:tcW w:w="1131" w:type="dxa"/>
            <w:noWrap/>
            <w:vAlign w:val="center"/>
          </w:tcPr>
          <w:p w14:paraId="2B06628A">
            <w:pPr>
              <w:spacing w:line="239" w:lineRule="exact"/>
              <w:jc w:val="center"/>
              <w:rPr>
                <w:rFonts w:ascii="Arial"/>
                <w:color w:val="000000" w:themeColor="text1"/>
                <w:szCs w:val="21"/>
              </w:rPr>
            </w:pPr>
          </w:p>
        </w:tc>
        <w:tc>
          <w:tcPr>
            <w:tcW w:w="1140" w:type="dxa"/>
            <w:noWrap/>
            <w:vAlign w:val="center"/>
          </w:tcPr>
          <w:p w14:paraId="40C802A4">
            <w:pPr>
              <w:spacing w:line="239" w:lineRule="exact"/>
              <w:jc w:val="center"/>
              <w:rPr>
                <w:rFonts w:ascii="Arial"/>
                <w:color w:val="000000" w:themeColor="text1"/>
                <w:szCs w:val="21"/>
              </w:rPr>
            </w:pPr>
          </w:p>
        </w:tc>
        <w:tc>
          <w:tcPr>
            <w:tcW w:w="685" w:type="dxa"/>
            <w:noWrap/>
            <w:vAlign w:val="center"/>
          </w:tcPr>
          <w:p w14:paraId="00F7F10B">
            <w:pPr>
              <w:spacing w:line="239" w:lineRule="exact"/>
              <w:jc w:val="center"/>
              <w:rPr>
                <w:rFonts w:ascii="Arial"/>
                <w:color w:val="000000" w:themeColor="text1"/>
                <w:szCs w:val="21"/>
              </w:rPr>
            </w:pPr>
          </w:p>
        </w:tc>
        <w:tc>
          <w:tcPr>
            <w:tcW w:w="795" w:type="dxa"/>
            <w:noWrap/>
            <w:vAlign w:val="center"/>
          </w:tcPr>
          <w:p w14:paraId="07CD9981">
            <w:pPr>
              <w:spacing w:line="239" w:lineRule="exact"/>
              <w:jc w:val="center"/>
              <w:rPr>
                <w:rFonts w:ascii="Arial"/>
                <w:color w:val="000000" w:themeColor="text1"/>
                <w:szCs w:val="21"/>
              </w:rPr>
            </w:pPr>
          </w:p>
        </w:tc>
        <w:tc>
          <w:tcPr>
            <w:tcW w:w="1365" w:type="dxa"/>
            <w:noWrap/>
            <w:vAlign w:val="center"/>
          </w:tcPr>
          <w:p w14:paraId="6DEF5D92">
            <w:pPr>
              <w:spacing w:line="239" w:lineRule="exact"/>
              <w:jc w:val="center"/>
              <w:rPr>
                <w:rFonts w:ascii="Arial"/>
                <w:color w:val="000000" w:themeColor="text1"/>
                <w:szCs w:val="21"/>
              </w:rPr>
            </w:pPr>
          </w:p>
        </w:tc>
      </w:tr>
      <w:tr w14:paraId="62C313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textDirection w:val="tbRlV"/>
            <w:vAlign w:val="center"/>
          </w:tcPr>
          <w:p w14:paraId="5BCE0EED">
            <w:pPr>
              <w:jc w:val="center"/>
              <w:rPr>
                <w:rFonts w:ascii="Arial"/>
                <w:color w:val="000000" w:themeColor="text1"/>
                <w:szCs w:val="21"/>
              </w:rPr>
            </w:pPr>
          </w:p>
        </w:tc>
        <w:tc>
          <w:tcPr>
            <w:tcW w:w="1080" w:type="dxa"/>
            <w:vMerge w:val="continue"/>
            <w:tcBorders>
              <w:top w:val="nil"/>
              <w:bottom w:val="nil"/>
            </w:tcBorders>
            <w:noWrap/>
            <w:vAlign w:val="center"/>
          </w:tcPr>
          <w:p w14:paraId="47DD7C0F">
            <w:pPr>
              <w:jc w:val="center"/>
              <w:rPr>
                <w:rFonts w:ascii="Arial"/>
                <w:color w:val="000000" w:themeColor="text1"/>
                <w:szCs w:val="21"/>
              </w:rPr>
            </w:pPr>
          </w:p>
        </w:tc>
        <w:tc>
          <w:tcPr>
            <w:tcW w:w="1080" w:type="dxa"/>
            <w:tcBorders>
              <w:bottom w:val="nil"/>
            </w:tcBorders>
            <w:noWrap/>
            <w:vAlign w:val="center"/>
          </w:tcPr>
          <w:p w14:paraId="2A7163F8">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成本指标</w:t>
            </w:r>
          </w:p>
        </w:tc>
        <w:tc>
          <w:tcPr>
            <w:tcW w:w="1229" w:type="dxa"/>
            <w:noWrap/>
            <w:vAlign w:val="center"/>
          </w:tcPr>
          <w:p w14:paraId="14B06B23">
            <w:pPr>
              <w:spacing w:line="220" w:lineRule="exact"/>
              <w:jc w:val="center"/>
              <w:rPr>
                <w:rFonts w:ascii="Arial"/>
                <w:color w:val="000000" w:themeColor="text1"/>
                <w:szCs w:val="21"/>
              </w:rPr>
            </w:pPr>
            <w:r>
              <w:rPr>
                <w:rFonts w:hint="eastAsia" w:ascii="宋体" w:hAnsi="宋体"/>
                <w:sz w:val="15"/>
                <w:szCs w:val="15"/>
              </w:rPr>
              <w:t>项目成本按计划控制</w:t>
            </w:r>
          </w:p>
        </w:tc>
        <w:tc>
          <w:tcPr>
            <w:tcW w:w="1131" w:type="dxa"/>
            <w:noWrap/>
            <w:vAlign w:val="center"/>
          </w:tcPr>
          <w:p w14:paraId="214E7DD2">
            <w:pPr>
              <w:spacing w:line="220" w:lineRule="exact"/>
              <w:jc w:val="center"/>
              <w:rPr>
                <w:rFonts w:ascii="Arial"/>
                <w:color w:val="000000" w:themeColor="text1"/>
                <w:szCs w:val="21"/>
              </w:rPr>
            </w:pPr>
            <w:r>
              <w:rPr>
                <w:rFonts w:hint="eastAsia" w:ascii="宋体" w:hAnsi="宋体"/>
                <w:sz w:val="15"/>
                <w:szCs w:val="15"/>
              </w:rPr>
              <w:t>按进度使用</w:t>
            </w:r>
          </w:p>
        </w:tc>
        <w:tc>
          <w:tcPr>
            <w:tcW w:w="1140" w:type="dxa"/>
            <w:noWrap/>
            <w:vAlign w:val="center"/>
          </w:tcPr>
          <w:p w14:paraId="3DDE27F6">
            <w:pPr>
              <w:spacing w:line="220" w:lineRule="exact"/>
              <w:jc w:val="center"/>
              <w:rPr>
                <w:rFonts w:ascii="Arial"/>
                <w:color w:val="000000" w:themeColor="text1"/>
                <w:szCs w:val="21"/>
              </w:rPr>
            </w:pPr>
            <w:r>
              <w:rPr>
                <w:rFonts w:ascii="Arial"/>
                <w:color w:val="000000" w:themeColor="text1"/>
                <w:szCs w:val="21"/>
              </w:rPr>
              <w:t>全部落实</w:t>
            </w:r>
          </w:p>
        </w:tc>
        <w:tc>
          <w:tcPr>
            <w:tcW w:w="685" w:type="dxa"/>
            <w:noWrap/>
            <w:vAlign w:val="center"/>
          </w:tcPr>
          <w:p w14:paraId="0A2E8191">
            <w:pPr>
              <w:spacing w:line="220"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530FE1C6">
            <w:pPr>
              <w:spacing w:line="220" w:lineRule="exact"/>
              <w:jc w:val="center"/>
              <w:rPr>
                <w:rFonts w:ascii="Arial"/>
                <w:color w:val="000000" w:themeColor="text1"/>
                <w:szCs w:val="21"/>
              </w:rPr>
            </w:pPr>
            <w:r>
              <w:rPr>
                <w:rFonts w:hint="eastAsia" w:ascii="Arial"/>
                <w:color w:val="000000" w:themeColor="text1"/>
                <w:szCs w:val="21"/>
              </w:rPr>
              <w:t>10</w:t>
            </w:r>
          </w:p>
        </w:tc>
        <w:tc>
          <w:tcPr>
            <w:tcW w:w="1365" w:type="dxa"/>
            <w:noWrap/>
            <w:vAlign w:val="center"/>
          </w:tcPr>
          <w:p w14:paraId="3214861D">
            <w:pPr>
              <w:spacing w:line="220" w:lineRule="exact"/>
              <w:jc w:val="center"/>
              <w:rPr>
                <w:rFonts w:ascii="Arial"/>
                <w:color w:val="000000" w:themeColor="text1"/>
                <w:szCs w:val="21"/>
              </w:rPr>
            </w:pPr>
          </w:p>
        </w:tc>
      </w:tr>
      <w:tr w14:paraId="55A2AA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textDirection w:val="tbRlV"/>
            <w:vAlign w:val="center"/>
          </w:tcPr>
          <w:p w14:paraId="56089836">
            <w:pPr>
              <w:jc w:val="center"/>
              <w:rPr>
                <w:rFonts w:ascii="Arial"/>
                <w:color w:val="000000" w:themeColor="text1"/>
                <w:szCs w:val="21"/>
              </w:rPr>
            </w:pPr>
          </w:p>
        </w:tc>
        <w:tc>
          <w:tcPr>
            <w:tcW w:w="1080" w:type="dxa"/>
            <w:vMerge w:val="restart"/>
            <w:tcBorders>
              <w:bottom w:val="nil"/>
            </w:tcBorders>
            <w:noWrap/>
            <w:vAlign w:val="center"/>
          </w:tcPr>
          <w:p w14:paraId="5FA4EAD4">
            <w:pPr>
              <w:spacing w:line="300" w:lineRule="auto"/>
              <w:jc w:val="center"/>
              <w:rPr>
                <w:rFonts w:ascii="Arial"/>
                <w:color w:val="000000" w:themeColor="text1"/>
                <w:szCs w:val="21"/>
              </w:rPr>
            </w:pPr>
          </w:p>
          <w:p w14:paraId="1C1DCCE2">
            <w:pPr>
              <w:spacing w:line="301" w:lineRule="auto"/>
              <w:jc w:val="center"/>
              <w:rPr>
                <w:rFonts w:ascii="Arial"/>
                <w:color w:val="000000" w:themeColor="text1"/>
                <w:szCs w:val="21"/>
              </w:rPr>
            </w:pPr>
          </w:p>
          <w:p w14:paraId="3F44FD22">
            <w:pPr>
              <w:spacing w:line="301" w:lineRule="auto"/>
              <w:jc w:val="center"/>
              <w:rPr>
                <w:rFonts w:ascii="Arial"/>
                <w:color w:val="000000" w:themeColor="text1"/>
                <w:szCs w:val="21"/>
              </w:rPr>
            </w:pPr>
          </w:p>
          <w:p w14:paraId="067D2033">
            <w:pPr>
              <w:spacing w:line="490" w:lineRule="exact"/>
              <w:jc w:val="center"/>
              <w:rPr>
                <w:rFonts w:ascii="宋体" w:hAnsi="宋体" w:eastAsia="宋体" w:cs="宋体"/>
                <w:color w:val="000000" w:themeColor="text1"/>
                <w:szCs w:val="21"/>
              </w:rPr>
            </w:pPr>
            <w:r>
              <w:rPr>
                <w:rFonts w:ascii="宋体" w:hAnsi="宋体" w:eastAsia="宋体" w:cs="宋体"/>
                <w:color w:val="000000" w:themeColor="text1"/>
                <w:position w:val="21"/>
                <w:szCs w:val="21"/>
              </w:rPr>
              <w:t>效益指标</w:t>
            </w:r>
          </w:p>
          <w:p w14:paraId="67E39D6E">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(30分)</w:t>
            </w:r>
          </w:p>
        </w:tc>
        <w:tc>
          <w:tcPr>
            <w:tcW w:w="1080" w:type="dxa"/>
            <w:tcBorders>
              <w:bottom w:val="nil"/>
            </w:tcBorders>
            <w:noWrap/>
            <w:vAlign w:val="center"/>
          </w:tcPr>
          <w:p w14:paraId="7E8EA9E0">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position w:val="4"/>
                <w:szCs w:val="21"/>
              </w:rPr>
              <w:t>经济效</w:t>
            </w:r>
          </w:p>
          <w:p w14:paraId="1314B5AE">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益指标</w:t>
            </w:r>
          </w:p>
        </w:tc>
        <w:tc>
          <w:tcPr>
            <w:tcW w:w="1229" w:type="dxa"/>
            <w:noWrap/>
            <w:vAlign w:val="center"/>
          </w:tcPr>
          <w:p w14:paraId="779DC78D">
            <w:pPr>
              <w:spacing w:line="239" w:lineRule="exact"/>
              <w:jc w:val="center"/>
              <w:rPr>
                <w:rFonts w:ascii="Arial"/>
                <w:color w:val="000000" w:themeColor="text1"/>
                <w:szCs w:val="21"/>
              </w:rPr>
            </w:pPr>
            <w:r>
              <w:rPr>
                <w:rFonts w:hint="eastAsia" w:ascii="宋体" w:hAnsi="宋体"/>
                <w:sz w:val="15"/>
                <w:szCs w:val="15"/>
              </w:rPr>
              <w:t>间接助力岳阳经济的发展</w:t>
            </w:r>
          </w:p>
        </w:tc>
        <w:tc>
          <w:tcPr>
            <w:tcW w:w="1131" w:type="dxa"/>
            <w:noWrap/>
            <w:vAlign w:val="center"/>
          </w:tcPr>
          <w:p w14:paraId="506396FE">
            <w:pPr>
              <w:spacing w:line="239" w:lineRule="exact"/>
              <w:jc w:val="center"/>
              <w:rPr>
                <w:rFonts w:ascii="Arial"/>
                <w:color w:val="000000" w:themeColor="text1"/>
                <w:szCs w:val="21"/>
              </w:rPr>
            </w:pPr>
            <w:r>
              <w:rPr>
                <w:rFonts w:hint="eastAsia" w:ascii="宋体" w:hAnsi="宋体"/>
                <w:sz w:val="15"/>
                <w:szCs w:val="15"/>
              </w:rPr>
              <w:t>打造优美的城市环境</w:t>
            </w:r>
          </w:p>
        </w:tc>
        <w:tc>
          <w:tcPr>
            <w:tcW w:w="1140" w:type="dxa"/>
            <w:noWrap/>
            <w:vAlign w:val="center"/>
          </w:tcPr>
          <w:p w14:paraId="4600FF02">
            <w:pPr>
              <w:spacing w:line="239" w:lineRule="exact"/>
              <w:jc w:val="center"/>
              <w:rPr>
                <w:rFonts w:ascii="Arial"/>
                <w:color w:val="000000" w:themeColor="text1"/>
                <w:szCs w:val="21"/>
              </w:rPr>
            </w:pPr>
            <w:r>
              <w:rPr>
                <w:rFonts w:hint="eastAsia" w:ascii="宋体" w:hAnsi="宋体"/>
                <w:sz w:val="15"/>
                <w:szCs w:val="15"/>
              </w:rPr>
              <w:t>间接为岳阳成为湖南发展新增长极、中国宜居宜业宜游的江湖名城贡献了力量</w:t>
            </w:r>
          </w:p>
        </w:tc>
        <w:tc>
          <w:tcPr>
            <w:tcW w:w="685" w:type="dxa"/>
            <w:noWrap/>
            <w:vAlign w:val="center"/>
          </w:tcPr>
          <w:p w14:paraId="3C83A7B1">
            <w:pPr>
              <w:spacing w:line="239"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7FFB1B50">
            <w:pPr>
              <w:spacing w:line="239" w:lineRule="exact"/>
              <w:jc w:val="center"/>
              <w:rPr>
                <w:rFonts w:ascii="Arial"/>
                <w:color w:val="000000" w:themeColor="text1"/>
                <w:szCs w:val="21"/>
              </w:rPr>
            </w:pPr>
            <w:r>
              <w:rPr>
                <w:rFonts w:hint="eastAsia" w:ascii="Arial"/>
                <w:color w:val="000000" w:themeColor="text1"/>
                <w:szCs w:val="21"/>
              </w:rPr>
              <w:t>10</w:t>
            </w:r>
          </w:p>
        </w:tc>
        <w:tc>
          <w:tcPr>
            <w:tcW w:w="1365" w:type="dxa"/>
            <w:noWrap/>
            <w:vAlign w:val="center"/>
          </w:tcPr>
          <w:p w14:paraId="422C2068">
            <w:pPr>
              <w:spacing w:line="239" w:lineRule="exact"/>
              <w:jc w:val="center"/>
              <w:rPr>
                <w:rFonts w:ascii="Arial"/>
                <w:color w:val="000000" w:themeColor="text1"/>
                <w:szCs w:val="21"/>
              </w:rPr>
            </w:pPr>
          </w:p>
        </w:tc>
      </w:tr>
      <w:tr w14:paraId="667905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28AF3B04">
            <w:pPr>
              <w:jc w:val="center"/>
              <w:rPr>
                <w:rFonts w:ascii="Arial"/>
                <w:color w:val="000000" w:themeColor="text1"/>
                <w:szCs w:val="21"/>
              </w:rPr>
            </w:pPr>
          </w:p>
        </w:tc>
        <w:tc>
          <w:tcPr>
            <w:tcW w:w="1080" w:type="dxa"/>
            <w:vMerge w:val="continue"/>
            <w:tcBorders>
              <w:top w:val="nil"/>
              <w:bottom w:val="nil"/>
            </w:tcBorders>
            <w:noWrap/>
            <w:vAlign w:val="center"/>
          </w:tcPr>
          <w:p w14:paraId="2042AD6B">
            <w:pPr>
              <w:jc w:val="center"/>
              <w:rPr>
                <w:rFonts w:ascii="Arial"/>
                <w:color w:val="000000" w:themeColor="text1"/>
                <w:szCs w:val="21"/>
              </w:rPr>
            </w:pPr>
          </w:p>
        </w:tc>
        <w:tc>
          <w:tcPr>
            <w:tcW w:w="1080" w:type="dxa"/>
            <w:tcBorders>
              <w:bottom w:val="nil"/>
            </w:tcBorders>
            <w:noWrap/>
            <w:vAlign w:val="center"/>
          </w:tcPr>
          <w:p w14:paraId="2498E775">
            <w:pPr>
              <w:spacing w:line="221" w:lineRule="auto"/>
              <w:jc w:val="center"/>
              <w:rPr>
                <w:rFonts w:ascii="宋体" w:hAnsi="宋体" w:eastAsia="宋体" w:cs="宋体"/>
                <w:color w:val="000000" w:themeColor="text1"/>
                <w:szCs w:val="21"/>
              </w:rPr>
            </w:pPr>
            <w:r>
              <w:rPr>
                <w:rFonts w:ascii="宋体" w:hAnsi="宋体" w:eastAsia="宋体" w:cs="宋体"/>
                <w:color w:val="000000" w:themeColor="text1"/>
                <w:szCs w:val="21"/>
              </w:rPr>
              <w:t>社会效</w:t>
            </w:r>
          </w:p>
          <w:p w14:paraId="6CEA1E5A">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益指标</w:t>
            </w:r>
          </w:p>
        </w:tc>
        <w:tc>
          <w:tcPr>
            <w:tcW w:w="1229" w:type="dxa"/>
            <w:noWrap/>
            <w:vAlign w:val="center"/>
          </w:tcPr>
          <w:p w14:paraId="69E37528">
            <w:pPr>
              <w:spacing w:line="230" w:lineRule="exact"/>
              <w:jc w:val="center"/>
              <w:rPr>
                <w:rFonts w:ascii="Arial"/>
                <w:color w:val="000000" w:themeColor="text1"/>
                <w:szCs w:val="21"/>
              </w:rPr>
            </w:pPr>
            <w:r>
              <w:rPr>
                <w:rFonts w:hint="eastAsia" w:ascii="宋体" w:hAnsi="宋体"/>
                <w:sz w:val="15"/>
                <w:szCs w:val="15"/>
              </w:rPr>
              <w:t>提升城市形象</w:t>
            </w:r>
          </w:p>
        </w:tc>
        <w:tc>
          <w:tcPr>
            <w:tcW w:w="1131" w:type="dxa"/>
            <w:noWrap/>
            <w:vAlign w:val="center"/>
          </w:tcPr>
          <w:p w14:paraId="564EB9A0">
            <w:pPr>
              <w:spacing w:line="230" w:lineRule="exact"/>
              <w:jc w:val="center"/>
              <w:rPr>
                <w:rFonts w:ascii="Arial"/>
                <w:color w:val="000000" w:themeColor="text1"/>
                <w:szCs w:val="21"/>
              </w:rPr>
            </w:pPr>
            <w:r>
              <w:rPr>
                <w:rFonts w:hint="eastAsia" w:ascii="宋体" w:hAnsi="宋体"/>
                <w:sz w:val="15"/>
                <w:szCs w:val="15"/>
              </w:rPr>
              <w:t>提升10%</w:t>
            </w:r>
          </w:p>
        </w:tc>
        <w:tc>
          <w:tcPr>
            <w:tcW w:w="1140" w:type="dxa"/>
            <w:noWrap/>
            <w:vAlign w:val="center"/>
          </w:tcPr>
          <w:p w14:paraId="17E57340">
            <w:pPr>
              <w:spacing w:line="230" w:lineRule="exact"/>
              <w:jc w:val="center"/>
              <w:rPr>
                <w:rFonts w:ascii="Arial"/>
                <w:color w:val="000000" w:themeColor="text1"/>
                <w:szCs w:val="21"/>
              </w:rPr>
            </w:pPr>
            <w:r>
              <w:rPr>
                <w:rFonts w:hint="eastAsia" w:ascii="宋体" w:hAnsi="宋体"/>
                <w:sz w:val="15"/>
                <w:szCs w:val="15"/>
              </w:rPr>
              <w:t>全部落实</w:t>
            </w:r>
          </w:p>
        </w:tc>
        <w:tc>
          <w:tcPr>
            <w:tcW w:w="685" w:type="dxa"/>
            <w:noWrap/>
            <w:vAlign w:val="center"/>
          </w:tcPr>
          <w:p w14:paraId="283993B4">
            <w:pPr>
              <w:spacing w:line="230"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3AF39F36">
            <w:pPr>
              <w:spacing w:line="230" w:lineRule="exact"/>
              <w:jc w:val="center"/>
              <w:rPr>
                <w:rFonts w:ascii="Arial"/>
                <w:color w:val="000000" w:themeColor="text1"/>
                <w:szCs w:val="21"/>
              </w:rPr>
            </w:pPr>
            <w:r>
              <w:rPr>
                <w:rFonts w:hint="eastAsia" w:ascii="Arial"/>
                <w:color w:val="000000" w:themeColor="text1"/>
                <w:szCs w:val="21"/>
              </w:rPr>
              <w:t>10</w:t>
            </w:r>
          </w:p>
        </w:tc>
        <w:tc>
          <w:tcPr>
            <w:tcW w:w="1365" w:type="dxa"/>
            <w:noWrap/>
            <w:vAlign w:val="center"/>
          </w:tcPr>
          <w:p w14:paraId="57F33756">
            <w:pPr>
              <w:spacing w:line="230" w:lineRule="exact"/>
              <w:jc w:val="center"/>
              <w:rPr>
                <w:rFonts w:ascii="Arial"/>
                <w:color w:val="000000" w:themeColor="text1"/>
                <w:szCs w:val="21"/>
              </w:rPr>
            </w:pPr>
          </w:p>
        </w:tc>
      </w:tr>
      <w:tr w14:paraId="3336C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47260A60">
            <w:pPr>
              <w:jc w:val="center"/>
              <w:rPr>
                <w:rFonts w:ascii="Arial"/>
                <w:color w:val="000000" w:themeColor="text1"/>
                <w:szCs w:val="21"/>
              </w:rPr>
            </w:pPr>
          </w:p>
        </w:tc>
        <w:tc>
          <w:tcPr>
            <w:tcW w:w="1080" w:type="dxa"/>
            <w:vMerge w:val="continue"/>
            <w:tcBorders>
              <w:top w:val="nil"/>
              <w:bottom w:val="nil"/>
            </w:tcBorders>
            <w:noWrap/>
            <w:vAlign w:val="center"/>
          </w:tcPr>
          <w:p w14:paraId="4416BB47">
            <w:pPr>
              <w:jc w:val="center"/>
              <w:rPr>
                <w:rFonts w:ascii="Arial"/>
                <w:color w:val="000000" w:themeColor="text1"/>
                <w:szCs w:val="21"/>
              </w:rPr>
            </w:pPr>
          </w:p>
        </w:tc>
        <w:tc>
          <w:tcPr>
            <w:tcW w:w="1080" w:type="dxa"/>
            <w:tcBorders>
              <w:bottom w:val="nil"/>
            </w:tcBorders>
            <w:noWrap/>
            <w:vAlign w:val="center"/>
          </w:tcPr>
          <w:p w14:paraId="2D7F4785">
            <w:pPr>
              <w:spacing w:line="237" w:lineRule="auto"/>
              <w:jc w:val="center"/>
              <w:rPr>
                <w:rFonts w:ascii="宋体" w:hAnsi="宋体" w:eastAsia="宋体" w:cs="宋体"/>
                <w:color w:val="000000" w:themeColor="text1"/>
                <w:szCs w:val="21"/>
              </w:rPr>
            </w:pPr>
            <w:r>
              <w:rPr>
                <w:rFonts w:ascii="宋体" w:hAnsi="宋体" w:eastAsia="宋体" w:cs="宋体"/>
                <w:color w:val="000000" w:themeColor="text1"/>
                <w:szCs w:val="21"/>
              </w:rPr>
              <w:t>生态效</w:t>
            </w:r>
          </w:p>
          <w:p w14:paraId="27D477F3">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益指标</w:t>
            </w:r>
          </w:p>
        </w:tc>
        <w:tc>
          <w:tcPr>
            <w:tcW w:w="1229" w:type="dxa"/>
            <w:noWrap/>
            <w:vAlign w:val="center"/>
          </w:tcPr>
          <w:p w14:paraId="0B3F15AB">
            <w:pPr>
              <w:spacing w:line="230" w:lineRule="exact"/>
              <w:jc w:val="center"/>
              <w:rPr>
                <w:rFonts w:ascii="Arial"/>
                <w:color w:val="000000" w:themeColor="text1"/>
                <w:szCs w:val="21"/>
              </w:rPr>
            </w:pPr>
            <w:r>
              <w:rPr>
                <w:rFonts w:hint="eastAsia" w:ascii="宋体" w:hAnsi="宋体"/>
                <w:sz w:val="15"/>
                <w:szCs w:val="15"/>
              </w:rPr>
              <w:t>减少油烟排放摊点</w:t>
            </w:r>
          </w:p>
        </w:tc>
        <w:tc>
          <w:tcPr>
            <w:tcW w:w="1131" w:type="dxa"/>
            <w:noWrap/>
            <w:vAlign w:val="center"/>
          </w:tcPr>
          <w:p w14:paraId="6AC1CE76">
            <w:pPr>
              <w:spacing w:line="230" w:lineRule="exact"/>
              <w:jc w:val="center"/>
              <w:rPr>
                <w:rFonts w:ascii="Arial"/>
                <w:color w:val="000000" w:themeColor="text1"/>
                <w:szCs w:val="21"/>
              </w:rPr>
            </w:pPr>
            <w:r>
              <w:rPr>
                <w:rFonts w:hint="eastAsia" w:ascii="宋体" w:hAnsi="宋体"/>
                <w:sz w:val="15"/>
                <w:szCs w:val="15"/>
              </w:rPr>
              <w:t>减少10%</w:t>
            </w:r>
          </w:p>
        </w:tc>
        <w:tc>
          <w:tcPr>
            <w:tcW w:w="1140" w:type="dxa"/>
            <w:noWrap/>
            <w:vAlign w:val="center"/>
          </w:tcPr>
          <w:p w14:paraId="34D60371">
            <w:pPr>
              <w:spacing w:line="230" w:lineRule="exact"/>
              <w:jc w:val="center"/>
              <w:rPr>
                <w:rFonts w:ascii="Arial"/>
                <w:color w:val="000000" w:themeColor="text1"/>
                <w:szCs w:val="21"/>
              </w:rPr>
            </w:pPr>
            <w:r>
              <w:rPr>
                <w:rFonts w:hint="eastAsia" w:ascii="宋体" w:hAnsi="宋体"/>
                <w:sz w:val="15"/>
                <w:szCs w:val="15"/>
              </w:rPr>
              <w:t>全部落实</w:t>
            </w:r>
          </w:p>
        </w:tc>
        <w:tc>
          <w:tcPr>
            <w:tcW w:w="685" w:type="dxa"/>
            <w:noWrap/>
            <w:vAlign w:val="center"/>
          </w:tcPr>
          <w:p w14:paraId="27B6C2A8">
            <w:pPr>
              <w:spacing w:line="230"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2A5884A0">
            <w:pPr>
              <w:spacing w:line="230" w:lineRule="exact"/>
              <w:jc w:val="center"/>
              <w:rPr>
                <w:rFonts w:ascii="Arial"/>
                <w:color w:val="000000" w:themeColor="text1"/>
                <w:szCs w:val="21"/>
              </w:rPr>
            </w:pPr>
            <w:r>
              <w:rPr>
                <w:rFonts w:hint="eastAsia" w:ascii="Arial"/>
                <w:color w:val="000000" w:themeColor="text1"/>
                <w:szCs w:val="21"/>
              </w:rPr>
              <w:t>10</w:t>
            </w:r>
          </w:p>
        </w:tc>
        <w:tc>
          <w:tcPr>
            <w:tcW w:w="1365" w:type="dxa"/>
            <w:noWrap/>
            <w:vAlign w:val="center"/>
          </w:tcPr>
          <w:p w14:paraId="24800FDF">
            <w:pPr>
              <w:spacing w:line="230" w:lineRule="exact"/>
              <w:jc w:val="center"/>
              <w:rPr>
                <w:rFonts w:ascii="Arial"/>
                <w:color w:val="000000" w:themeColor="text1"/>
                <w:szCs w:val="21"/>
              </w:rPr>
            </w:pPr>
          </w:p>
        </w:tc>
      </w:tr>
      <w:tr w14:paraId="5E607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0F030672">
            <w:pPr>
              <w:jc w:val="center"/>
              <w:rPr>
                <w:rFonts w:ascii="Arial"/>
                <w:color w:val="000000" w:themeColor="text1"/>
                <w:szCs w:val="21"/>
              </w:rPr>
            </w:pPr>
          </w:p>
        </w:tc>
        <w:tc>
          <w:tcPr>
            <w:tcW w:w="1080" w:type="dxa"/>
            <w:vMerge w:val="continue"/>
            <w:tcBorders>
              <w:top w:val="nil"/>
              <w:bottom w:val="nil"/>
            </w:tcBorders>
            <w:noWrap/>
            <w:vAlign w:val="center"/>
          </w:tcPr>
          <w:p w14:paraId="110393B9">
            <w:pPr>
              <w:jc w:val="center"/>
              <w:rPr>
                <w:rFonts w:ascii="Arial"/>
                <w:color w:val="000000" w:themeColor="text1"/>
                <w:szCs w:val="21"/>
              </w:rPr>
            </w:pPr>
          </w:p>
        </w:tc>
        <w:tc>
          <w:tcPr>
            <w:tcW w:w="1080" w:type="dxa"/>
            <w:tcBorders>
              <w:bottom w:val="nil"/>
            </w:tcBorders>
            <w:noWrap/>
            <w:vAlign w:val="center"/>
          </w:tcPr>
          <w:p w14:paraId="107EE546">
            <w:pPr>
              <w:spacing w:line="216" w:lineRule="auto"/>
              <w:ind w:hanging="99"/>
              <w:jc w:val="center"/>
              <w:rPr>
                <w:rFonts w:ascii="宋体" w:hAnsi="宋体" w:eastAsia="宋体" w:cs="宋体"/>
                <w:color w:val="000000" w:themeColor="text1"/>
                <w:szCs w:val="21"/>
              </w:rPr>
            </w:pPr>
            <w:r>
              <w:rPr>
                <w:rFonts w:ascii="宋体" w:hAnsi="宋体" w:eastAsia="宋体" w:cs="宋体"/>
                <w:color w:val="000000" w:themeColor="text1"/>
                <w:szCs w:val="21"/>
              </w:rPr>
              <w:t>可持续</w:t>
            </w:r>
          </w:p>
          <w:p w14:paraId="55BE28D6">
            <w:pPr>
              <w:spacing w:line="216" w:lineRule="auto"/>
              <w:ind w:hanging="99"/>
              <w:jc w:val="center"/>
              <w:rPr>
                <w:rFonts w:ascii="宋体" w:hAnsi="宋体" w:eastAsia="宋体" w:cs="宋体"/>
                <w:color w:val="000000" w:themeColor="text1"/>
                <w:szCs w:val="21"/>
              </w:rPr>
            </w:pPr>
            <w:r>
              <w:rPr>
                <w:rFonts w:ascii="宋体" w:hAnsi="宋体" w:eastAsia="宋体" w:cs="宋体"/>
                <w:color w:val="000000" w:themeColor="text1"/>
                <w:szCs w:val="21"/>
              </w:rPr>
              <w:t>影响指标</w:t>
            </w:r>
          </w:p>
        </w:tc>
        <w:tc>
          <w:tcPr>
            <w:tcW w:w="1229" w:type="dxa"/>
            <w:noWrap/>
            <w:vAlign w:val="center"/>
          </w:tcPr>
          <w:p w14:paraId="3FA4D7BC">
            <w:pPr>
              <w:spacing w:line="230" w:lineRule="exact"/>
              <w:jc w:val="center"/>
              <w:rPr>
                <w:rFonts w:ascii="Arial"/>
                <w:color w:val="000000" w:themeColor="text1"/>
                <w:szCs w:val="21"/>
              </w:rPr>
            </w:pPr>
            <w:r>
              <w:rPr>
                <w:rFonts w:ascii="Arial"/>
                <w:color w:val="000000" w:themeColor="text1"/>
                <w:szCs w:val="21"/>
              </w:rPr>
              <w:t>无</w:t>
            </w:r>
          </w:p>
        </w:tc>
        <w:tc>
          <w:tcPr>
            <w:tcW w:w="1131" w:type="dxa"/>
            <w:noWrap/>
            <w:vAlign w:val="center"/>
          </w:tcPr>
          <w:p w14:paraId="749A8BB6">
            <w:pPr>
              <w:spacing w:line="230" w:lineRule="exact"/>
              <w:jc w:val="center"/>
              <w:rPr>
                <w:rFonts w:ascii="Arial"/>
                <w:color w:val="000000" w:themeColor="text1"/>
                <w:szCs w:val="21"/>
              </w:rPr>
            </w:pPr>
          </w:p>
        </w:tc>
        <w:tc>
          <w:tcPr>
            <w:tcW w:w="1140" w:type="dxa"/>
            <w:noWrap/>
            <w:vAlign w:val="center"/>
          </w:tcPr>
          <w:p w14:paraId="7F3336AB">
            <w:pPr>
              <w:spacing w:line="230" w:lineRule="exact"/>
              <w:jc w:val="center"/>
              <w:rPr>
                <w:rFonts w:ascii="Arial"/>
                <w:color w:val="000000" w:themeColor="text1"/>
                <w:szCs w:val="21"/>
              </w:rPr>
            </w:pPr>
          </w:p>
        </w:tc>
        <w:tc>
          <w:tcPr>
            <w:tcW w:w="685" w:type="dxa"/>
            <w:noWrap/>
            <w:vAlign w:val="center"/>
          </w:tcPr>
          <w:p w14:paraId="51766B3D">
            <w:pPr>
              <w:spacing w:line="230" w:lineRule="exact"/>
              <w:jc w:val="center"/>
              <w:rPr>
                <w:rFonts w:ascii="Arial"/>
                <w:color w:val="000000" w:themeColor="text1"/>
                <w:szCs w:val="21"/>
              </w:rPr>
            </w:pPr>
          </w:p>
        </w:tc>
        <w:tc>
          <w:tcPr>
            <w:tcW w:w="795" w:type="dxa"/>
            <w:noWrap/>
            <w:vAlign w:val="center"/>
          </w:tcPr>
          <w:p w14:paraId="1FF28A05">
            <w:pPr>
              <w:spacing w:line="230" w:lineRule="exact"/>
              <w:jc w:val="center"/>
              <w:rPr>
                <w:rFonts w:ascii="Arial"/>
                <w:color w:val="000000" w:themeColor="text1"/>
                <w:szCs w:val="21"/>
              </w:rPr>
            </w:pPr>
          </w:p>
        </w:tc>
        <w:tc>
          <w:tcPr>
            <w:tcW w:w="1365" w:type="dxa"/>
            <w:noWrap/>
            <w:vAlign w:val="center"/>
          </w:tcPr>
          <w:p w14:paraId="1020533F">
            <w:pPr>
              <w:spacing w:line="230" w:lineRule="exact"/>
              <w:jc w:val="center"/>
              <w:rPr>
                <w:rFonts w:ascii="Arial"/>
                <w:color w:val="000000" w:themeColor="text1"/>
                <w:szCs w:val="21"/>
              </w:rPr>
            </w:pPr>
          </w:p>
        </w:tc>
      </w:tr>
      <w:tr w14:paraId="76290C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1075" w:type="dxa"/>
            <w:vMerge w:val="continue"/>
            <w:tcBorders>
              <w:top w:val="nil"/>
              <w:bottom w:val="nil"/>
            </w:tcBorders>
            <w:noWrap/>
            <w:textDirection w:val="tbRlV"/>
            <w:vAlign w:val="center"/>
          </w:tcPr>
          <w:p w14:paraId="7227DDB3">
            <w:pPr>
              <w:jc w:val="center"/>
              <w:rPr>
                <w:rFonts w:ascii="Arial"/>
                <w:color w:val="000000" w:themeColor="text1"/>
                <w:szCs w:val="21"/>
              </w:rPr>
            </w:pPr>
          </w:p>
        </w:tc>
        <w:tc>
          <w:tcPr>
            <w:tcW w:w="1080" w:type="dxa"/>
            <w:tcBorders>
              <w:bottom w:val="nil"/>
            </w:tcBorders>
            <w:noWrap/>
            <w:vAlign w:val="center"/>
          </w:tcPr>
          <w:p w14:paraId="55E2DCA6">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满意度</w:t>
            </w:r>
          </w:p>
          <w:p w14:paraId="2219C329">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指标</w:t>
            </w:r>
          </w:p>
          <w:p w14:paraId="3109EBF7">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(10分)</w:t>
            </w:r>
          </w:p>
        </w:tc>
        <w:tc>
          <w:tcPr>
            <w:tcW w:w="1080" w:type="dxa"/>
            <w:tcBorders>
              <w:bottom w:val="nil"/>
            </w:tcBorders>
            <w:noWrap/>
            <w:vAlign w:val="center"/>
          </w:tcPr>
          <w:p w14:paraId="3E1A9676">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服务对象</w:t>
            </w:r>
          </w:p>
          <w:p w14:paraId="1592BABF">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满意度</w:t>
            </w:r>
          </w:p>
          <w:p w14:paraId="737B1420">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指标</w:t>
            </w:r>
          </w:p>
        </w:tc>
        <w:tc>
          <w:tcPr>
            <w:tcW w:w="1229" w:type="dxa"/>
            <w:noWrap/>
            <w:vAlign w:val="center"/>
          </w:tcPr>
          <w:p w14:paraId="08DFA07F">
            <w:pPr>
              <w:spacing w:line="240" w:lineRule="exact"/>
              <w:jc w:val="center"/>
              <w:rPr>
                <w:rFonts w:ascii="Arial"/>
                <w:color w:val="000000" w:themeColor="text1"/>
                <w:szCs w:val="21"/>
              </w:rPr>
            </w:pPr>
            <w:r>
              <w:rPr>
                <w:rFonts w:hint="eastAsia" w:ascii="宋体" w:hAnsi="宋体"/>
                <w:sz w:val="15"/>
                <w:szCs w:val="15"/>
              </w:rPr>
              <w:t>服务社会公众</w:t>
            </w:r>
          </w:p>
        </w:tc>
        <w:tc>
          <w:tcPr>
            <w:tcW w:w="1131" w:type="dxa"/>
            <w:noWrap/>
            <w:vAlign w:val="center"/>
          </w:tcPr>
          <w:p w14:paraId="6332D6C0">
            <w:pPr>
              <w:spacing w:line="240" w:lineRule="exact"/>
              <w:jc w:val="center"/>
              <w:rPr>
                <w:rFonts w:ascii="Arial"/>
                <w:color w:val="000000" w:themeColor="text1"/>
                <w:szCs w:val="21"/>
              </w:rPr>
            </w:pPr>
            <w:r>
              <w:rPr>
                <w:rFonts w:hint="eastAsia" w:ascii="宋体" w:hAnsi="宋体"/>
                <w:sz w:val="15"/>
                <w:szCs w:val="15"/>
              </w:rPr>
              <w:t>90%</w:t>
            </w:r>
          </w:p>
        </w:tc>
        <w:tc>
          <w:tcPr>
            <w:tcW w:w="1140" w:type="dxa"/>
            <w:noWrap/>
            <w:vAlign w:val="center"/>
          </w:tcPr>
          <w:p w14:paraId="30BDCFFB">
            <w:pPr>
              <w:spacing w:line="240" w:lineRule="exact"/>
              <w:jc w:val="center"/>
              <w:rPr>
                <w:rFonts w:ascii="Arial"/>
                <w:color w:val="000000" w:themeColor="text1"/>
                <w:szCs w:val="21"/>
              </w:rPr>
            </w:pPr>
            <w:r>
              <w:rPr>
                <w:rFonts w:hint="eastAsia" w:ascii="Arial"/>
                <w:color w:val="000000" w:themeColor="text1"/>
                <w:szCs w:val="21"/>
              </w:rPr>
              <w:t>88%</w:t>
            </w:r>
          </w:p>
        </w:tc>
        <w:tc>
          <w:tcPr>
            <w:tcW w:w="685" w:type="dxa"/>
            <w:noWrap/>
            <w:vAlign w:val="center"/>
          </w:tcPr>
          <w:p w14:paraId="56B7F40F">
            <w:pPr>
              <w:spacing w:line="240" w:lineRule="exact"/>
              <w:jc w:val="center"/>
              <w:rPr>
                <w:rFonts w:ascii="Arial"/>
                <w:color w:val="000000" w:themeColor="text1"/>
                <w:szCs w:val="21"/>
              </w:rPr>
            </w:pPr>
            <w:r>
              <w:rPr>
                <w:rFonts w:hint="eastAsia" w:ascii="Arial"/>
                <w:color w:val="000000" w:themeColor="text1"/>
                <w:szCs w:val="21"/>
              </w:rPr>
              <w:t>10</w:t>
            </w:r>
          </w:p>
        </w:tc>
        <w:tc>
          <w:tcPr>
            <w:tcW w:w="795" w:type="dxa"/>
            <w:noWrap/>
            <w:vAlign w:val="center"/>
          </w:tcPr>
          <w:p w14:paraId="13EBB590">
            <w:pPr>
              <w:spacing w:line="240" w:lineRule="exact"/>
              <w:jc w:val="center"/>
              <w:rPr>
                <w:rFonts w:ascii="Arial"/>
                <w:color w:val="000000" w:themeColor="text1"/>
                <w:szCs w:val="21"/>
              </w:rPr>
            </w:pPr>
            <w:r>
              <w:rPr>
                <w:rFonts w:hint="eastAsia" w:ascii="Arial"/>
                <w:color w:val="000000" w:themeColor="text1"/>
                <w:szCs w:val="21"/>
              </w:rPr>
              <w:t>8</w:t>
            </w:r>
          </w:p>
        </w:tc>
        <w:tc>
          <w:tcPr>
            <w:tcW w:w="1365" w:type="dxa"/>
            <w:noWrap/>
            <w:vAlign w:val="center"/>
          </w:tcPr>
          <w:p w14:paraId="738AFE66">
            <w:pPr>
              <w:spacing w:line="240" w:lineRule="exact"/>
              <w:jc w:val="center"/>
              <w:rPr>
                <w:rFonts w:ascii="Arial"/>
                <w:color w:val="000000" w:themeColor="text1"/>
                <w:szCs w:val="21"/>
              </w:rPr>
            </w:pPr>
          </w:p>
        </w:tc>
      </w:tr>
      <w:tr w14:paraId="77AA4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ign w:val="center"/>
          </w:tcPr>
          <w:p w14:paraId="76F22A33">
            <w:pPr>
              <w:spacing w:line="260" w:lineRule="exact"/>
              <w:ind w:firstLine="3145"/>
              <w:jc w:val="center"/>
              <w:rPr>
                <w:color w:val="000000" w:themeColor="text1"/>
                <w:szCs w:val="21"/>
              </w:rPr>
            </w:pPr>
            <w:r>
              <w:rPr>
                <w:rFonts w:hint="eastAsia"/>
                <w:color w:val="000000" w:themeColor="text1"/>
                <w:szCs w:val="21"/>
              </w:rPr>
              <w:t>总分</w:t>
            </w:r>
          </w:p>
        </w:tc>
        <w:tc>
          <w:tcPr>
            <w:tcW w:w="685" w:type="dxa"/>
            <w:noWrap/>
            <w:vAlign w:val="center"/>
          </w:tcPr>
          <w:p w14:paraId="4335ABFC">
            <w:pPr>
              <w:spacing w:line="161" w:lineRule="auto"/>
              <w:jc w:val="center"/>
              <w:rPr>
                <w:rFonts w:ascii="宋体" w:hAnsi="宋体" w:eastAsia="宋体" w:cs="宋体"/>
                <w:color w:val="000000" w:themeColor="text1"/>
                <w:szCs w:val="21"/>
              </w:rPr>
            </w:pPr>
            <w:r>
              <w:rPr>
                <w:rFonts w:ascii="宋体" w:hAnsi="宋体" w:eastAsia="宋体" w:cs="宋体"/>
                <w:color w:val="000000" w:themeColor="text1"/>
                <w:szCs w:val="21"/>
              </w:rPr>
              <w:t>100</w:t>
            </w:r>
          </w:p>
        </w:tc>
        <w:tc>
          <w:tcPr>
            <w:tcW w:w="795" w:type="dxa"/>
            <w:noWrap/>
            <w:vAlign w:val="center"/>
          </w:tcPr>
          <w:p w14:paraId="62379B2E">
            <w:pPr>
              <w:jc w:val="center"/>
              <w:rPr>
                <w:rFonts w:ascii="Arial"/>
                <w:color w:val="000000" w:themeColor="text1"/>
                <w:szCs w:val="21"/>
              </w:rPr>
            </w:pPr>
            <w:r>
              <w:rPr>
                <w:rFonts w:hint="eastAsia" w:ascii="Arial"/>
                <w:color w:val="000000" w:themeColor="text1"/>
                <w:szCs w:val="21"/>
              </w:rPr>
              <w:t>98</w:t>
            </w:r>
          </w:p>
        </w:tc>
        <w:tc>
          <w:tcPr>
            <w:tcW w:w="1365" w:type="dxa"/>
            <w:noWrap/>
            <w:vAlign w:val="center"/>
          </w:tcPr>
          <w:p w14:paraId="7934106C">
            <w:pPr>
              <w:jc w:val="center"/>
              <w:rPr>
                <w:rFonts w:ascii="Arial"/>
                <w:color w:val="000000" w:themeColor="text1"/>
                <w:szCs w:val="21"/>
              </w:rPr>
            </w:pPr>
          </w:p>
        </w:tc>
      </w:tr>
    </w:tbl>
    <w:p w14:paraId="526B0A39">
      <w:pPr>
        <w:spacing w:before="75" w:line="230" w:lineRule="auto"/>
        <w:rPr>
          <w:rFonts w:ascii="仿宋_GB2312" w:hAnsi="仿宋_GB2312" w:eastAsia="仿宋_GB2312" w:cs="仿宋_GB2312"/>
          <w:color w:val="000000" w:themeColor="text1"/>
          <w:sz w:val="32"/>
          <w:szCs w:val="32"/>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rPr>
        <w:t>填表人：</w:t>
      </w:r>
      <w:r>
        <w:rPr>
          <w:rFonts w:hint="eastAsia" w:ascii="仿宋" w:hAnsi="仿宋" w:eastAsia="仿宋" w:cs="仿宋"/>
          <w:color w:val="000000" w:themeColor="text1"/>
          <w:spacing w:val="-26"/>
          <w:sz w:val="23"/>
          <w:szCs w:val="23"/>
        </w:rPr>
        <w:t xml:space="preserve">方赛      </w:t>
      </w:r>
      <w:r>
        <w:rPr>
          <w:rFonts w:ascii="仿宋" w:hAnsi="仿宋" w:eastAsia="仿宋" w:cs="仿宋"/>
          <w:color w:val="000000" w:themeColor="text1"/>
          <w:spacing w:val="-26"/>
          <w:sz w:val="23"/>
          <w:szCs w:val="23"/>
        </w:rPr>
        <w:t>联系电话：</w:t>
      </w:r>
      <w:r>
        <w:rPr>
          <w:rFonts w:hint="eastAsia" w:ascii="仿宋" w:hAnsi="仿宋" w:eastAsia="仿宋" w:cs="仿宋"/>
          <w:color w:val="000000" w:themeColor="text1"/>
          <w:spacing w:val="-26"/>
          <w:sz w:val="23"/>
          <w:szCs w:val="23"/>
        </w:rPr>
        <w:t xml:space="preserve">13471356347     </w:t>
      </w:r>
      <w:r>
        <w:rPr>
          <w:rFonts w:ascii="仿宋" w:hAnsi="仿宋" w:eastAsia="仿宋" w:cs="仿宋"/>
          <w:color w:val="000000" w:themeColor="text1"/>
          <w:spacing w:val="-26"/>
          <w:sz w:val="23"/>
          <w:szCs w:val="23"/>
        </w:rPr>
        <w:t>单位负责人签字：</w:t>
      </w:r>
      <w:r>
        <w:rPr>
          <w:rFonts w:hint="eastAsia" w:ascii="仿宋" w:hAnsi="仿宋" w:eastAsia="仿宋" w:cs="仿宋"/>
          <w:color w:val="000000" w:themeColor="text1"/>
          <w:spacing w:val="-26"/>
          <w:sz w:val="23"/>
          <w:szCs w:val="23"/>
        </w:rPr>
        <w:t xml:space="preserve">         </w:t>
      </w:r>
      <w:r>
        <w:rPr>
          <w:rFonts w:ascii="仿宋" w:hAnsi="仿宋" w:eastAsia="仿宋" w:cs="仿宋"/>
          <w:color w:val="000000" w:themeColor="text1"/>
          <w:spacing w:val="-26"/>
          <w:sz w:val="23"/>
          <w:szCs w:val="23"/>
        </w:rPr>
        <w:t>填报日期：</w:t>
      </w:r>
      <w:r>
        <w:rPr>
          <w:rFonts w:hint="eastAsia" w:ascii="仿宋" w:hAnsi="仿宋" w:eastAsia="仿宋" w:cs="仿宋"/>
          <w:color w:val="000000" w:themeColor="text1"/>
          <w:spacing w:val="-26"/>
          <w:sz w:val="23"/>
          <w:szCs w:val="23"/>
        </w:rPr>
        <w:t>2023年6月16日</w:t>
      </w:r>
    </w:p>
    <w:p w14:paraId="479A0E5D">
      <w:pPr>
        <w:rPr>
          <w:rFonts w:ascii="黑体" w:hAnsi="黑体" w:eastAsia="黑体" w:cs="黑体"/>
          <w:color w:val="000000" w:themeColor="text1"/>
          <w:spacing w:val="10"/>
          <w:sz w:val="32"/>
          <w:szCs w:val="32"/>
        </w:rPr>
      </w:pPr>
      <w:r>
        <w:rPr>
          <w:rFonts w:hint="eastAsia" w:ascii="黑体" w:hAnsi="黑体" w:eastAsia="黑体" w:cs="黑体"/>
          <w:color w:val="000000" w:themeColor="text1"/>
          <w:spacing w:val="10"/>
          <w:sz w:val="32"/>
          <w:szCs w:val="32"/>
        </w:rPr>
        <w:t>附件5</w:t>
      </w:r>
    </w:p>
    <w:p w14:paraId="41A58CE1">
      <w:pPr>
        <w:ind w:firstLine="1440" w:firstLineChars="400"/>
        <w:rPr>
          <w:rFonts w:eastAsia="方正小标宋简体"/>
          <w:sz w:val="36"/>
          <w:szCs w:val="36"/>
        </w:rPr>
      </w:pPr>
    </w:p>
    <w:p w14:paraId="1B47195A">
      <w:pPr>
        <w:ind w:firstLine="1440" w:firstLineChars="400"/>
        <w:rPr>
          <w:rFonts w:eastAsia="方正小标宋简体"/>
          <w:spacing w:val="-6"/>
          <w:sz w:val="36"/>
          <w:szCs w:val="36"/>
        </w:rPr>
      </w:pPr>
      <w:r>
        <w:rPr>
          <w:rFonts w:hint="eastAsia" w:eastAsia="方正小标宋简体"/>
          <w:sz w:val="36"/>
          <w:szCs w:val="36"/>
        </w:rPr>
        <w:t>区级</w:t>
      </w:r>
      <w:r>
        <w:rPr>
          <w:rFonts w:eastAsia="方正小标宋简体"/>
          <w:sz w:val="36"/>
          <w:szCs w:val="36"/>
        </w:rPr>
        <w:t>预算</w:t>
      </w:r>
      <w:r>
        <w:rPr>
          <w:rFonts w:hint="eastAsia" w:eastAsia="方正小标宋简体"/>
          <w:sz w:val="36"/>
          <w:szCs w:val="36"/>
        </w:rPr>
        <w:t>单位</w:t>
      </w:r>
      <w:r>
        <w:rPr>
          <w:rFonts w:eastAsia="方正小标宋简体"/>
          <w:spacing w:val="-6"/>
          <w:sz w:val="36"/>
          <w:szCs w:val="36"/>
        </w:rPr>
        <w:t>绩效自评工作考核评分表</w:t>
      </w:r>
    </w:p>
    <w:tbl>
      <w:tblPr>
        <w:tblStyle w:val="6"/>
        <w:tblW w:w="9510" w:type="dxa"/>
        <w:jc w:val="center"/>
        <w:tblLayout w:type="fixed"/>
        <w:tblCellMar>
          <w:top w:w="0" w:type="dxa"/>
          <w:left w:w="108" w:type="dxa"/>
          <w:bottom w:w="0" w:type="dxa"/>
          <w:right w:w="108" w:type="dxa"/>
        </w:tblCellMar>
      </w:tblPr>
      <w:tblGrid>
        <w:gridCol w:w="774"/>
        <w:gridCol w:w="1501"/>
        <w:gridCol w:w="6482"/>
        <w:gridCol w:w="753"/>
      </w:tblGrid>
      <w:tr w14:paraId="2E931120">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ign w:val="center"/>
          </w:tcPr>
          <w:p w14:paraId="54676257">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ign w:val="center"/>
          </w:tcPr>
          <w:p w14:paraId="17313E2B">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ign w:val="center"/>
          </w:tcPr>
          <w:p w14:paraId="0A2D5A0F">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ign w:val="center"/>
          </w:tcPr>
          <w:p w14:paraId="0FE93F35">
            <w:pPr>
              <w:spacing w:line="240" w:lineRule="exact"/>
              <w:jc w:val="center"/>
              <w:rPr>
                <w:rFonts w:eastAsia="黑体"/>
                <w:szCs w:val="21"/>
              </w:rPr>
            </w:pPr>
            <w:r>
              <w:rPr>
                <w:rFonts w:eastAsia="黑体"/>
                <w:szCs w:val="21"/>
              </w:rPr>
              <w:t>评分</w:t>
            </w:r>
          </w:p>
        </w:tc>
      </w:tr>
      <w:tr w14:paraId="0FA774F4">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ign w:val="center"/>
          </w:tcPr>
          <w:p w14:paraId="744B0828">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453DE9C4">
            <w:pPr>
              <w:spacing w:line="320" w:lineRule="exact"/>
              <w:jc w:val="center"/>
              <w:rPr>
                <w:rFonts w:asciiTheme="majorEastAsia" w:hAnsiTheme="majorEastAsia" w:eastAsiaTheme="majorEastAsia" w:cstheme="majorEastAsia"/>
                <w:szCs w:val="21"/>
              </w:rPr>
            </w:pPr>
          </w:p>
          <w:p w14:paraId="3725DB1D">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ign w:val="center"/>
          </w:tcPr>
          <w:p w14:paraId="4397141F">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单位自查</w:t>
            </w:r>
          </w:p>
          <w:p w14:paraId="325C0D42">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2F700F8F">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ign w:val="center"/>
          </w:tcPr>
          <w:p w14:paraId="610148C4">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20</w:t>
            </w:r>
          </w:p>
        </w:tc>
      </w:tr>
      <w:tr w14:paraId="1B6A5B4C">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020D0784">
            <w:pPr>
              <w:widowControl/>
              <w:jc w:val="left"/>
              <w:rPr>
                <w:rFonts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ign w:val="center"/>
          </w:tcPr>
          <w:p w14:paraId="16B663D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提交报告</w:t>
            </w:r>
          </w:p>
          <w:p w14:paraId="3EA78811">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（10分）</w:t>
            </w:r>
          </w:p>
        </w:tc>
        <w:tc>
          <w:tcPr>
            <w:tcW w:w="6482" w:type="dxa"/>
            <w:tcBorders>
              <w:top w:val="nil"/>
              <w:left w:val="nil"/>
              <w:bottom w:val="single" w:color="auto" w:sz="4" w:space="0"/>
              <w:right w:val="single" w:color="auto" w:sz="4" w:space="0"/>
            </w:tcBorders>
            <w:noWrap/>
            <w:vAlign w:val="center"/>
          </w:tcPr>
          <w:p w14:paraId="096AF13B">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按时向区财政局报送报告的得10分；每推迟一天报送报告的扣1分，最多扣10分。</w:t>
            </w:r>
          </w:p>
        </w:tc>
        <w:tc>
          <w:tcPr>
            <w:tcW w:w="753" w:type="dxa"/>
            <w:tcBorders>
              <w:top w:val="nil"/>
              <w:left w:val="nil"/>
              <w:bottom w:val="single" w:color="auto" w:sz="4" w:space="0"/>
              <w:right w:val="single" w:color="auto" w:sz="4" w:space="0"/>
            </w:tcBorders>
            <w:noWrap/>
            <w:vAlign w:val="center"/>
          </w:tcPr>
          <w:p w14:paraId="2A9FC0C7">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w:t>
            </w:r>
          </w:p>
        </w:tc>
      </w:tr>
      <w:tr w14:paraId="33DFA968">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ign w:val="center"/>
          </w:tcPr>
          <w:p w14:paraId="0D0684A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7325FA94">
            <w:pPr>
              <w:spacing w:line="240" w:lineRule="exact"/>
              <w:jc w:val="center"/>
              <w:rPr>
                <w:rFonts w:asciiTheme="majorEastAsia" w:hAnsiTheme="majorEastAsia" w:eastAsiaTheme="majorEastAsia" w:cstheme="majorEastAsia"/>
                <w:szCs w:val="21"/>
              </w:rPr>
            </w:pPr>
          </w:p>
          <w:p w14:paraId="11DC708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70分</w:t>
            </w:r>
          </w:p>
        </w:tc>
        <w:tc>
          <w:tcPr>
            <w:tcW w:w="1501" w:type="dxa"/>
            <w:tcBorders>
              <w:top w:val="single" w:color="auto" w:sz="4" w:space="0"/>
              <w:left w:val="nil"/>
              <w:bottom w:val="single" w:color="auto" w:sz="4" w:space="0"/>
              <w:right w:val="single" w:color="auto" w:sz="4" w:space="0"/>
            </w:tcBorders>
            <w:noWrap/>
            <w:vAlign w:val="center"/>
          </w:tcPr>
          <w:p w14:paraId="59386E2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329FE14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的完整性</w:t>
            </w:r>
          </w:p>
          <w:p w14:paraId="43D1876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noWrap/>
            <w:vAlign w:val="center"/>
          </w:tcPr>
          <w:p w14:paraId="5AA54A09">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1.绩效自评报告正文部分内容齐全的，得8分；否则每少一个部分扣2分，最多扣8分。</w:t>
            </w:r>
          </w:p>
          <w:p w14:paraId="4909C367">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ign w:val="center"/>
          </w:tcPr>
          <w:p w14:paraId="5808942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15</w:t>
            </w:r>
          </w:p>
        </w:tc>
      </w:tr>
      <w:tr w14:paraId="79148378">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44B62402">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ign w:val="center"/>
          </w:tcPr>
          <w:p w14:paraId="00214070">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绩效自评表</w:t>
            </w:r>
          </w:p>
          <w:p w14:paraId="0E83B29D">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65DE3938">
            <w:pPr>
              <w:adjustRightInd w:val="0"/>
              <w:snapToGrid w:val="0"/>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1.部门整体支出和项目支出绩效指标反映产出、效益、服务对象满意度方面的指标和预算执行率的权重符合《岳阳市市级预算部门绩效自评操作规程》的，得5分，否则按比例扣除相应的分数。</w:t>
            </w:r>
          </w:p>
          <w:p w14:paraId="6961B1ED">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2.部门整体支出和项目支出绩效指标全部细化到三级指标的，得5分；部分细化的，酌情扣分；没有细化的，不得分。</w:t>
            </w:r>
          </w:p>
          <w:p w14:paraId="21687C32">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ign w:val="center"/>
          </w:tcPr>
          <w:p w14:paraId="5B2E1301">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　</w:t>
            </w:r>
          </w:p>
        </w:tc>
      </w:tr>
      <w:tr w14:paraId="07611C6A">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36EFB3F1">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ign w:val="center"/>
          </w:tcPr>
          <w:p w14:paraId="6B694768">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绩效评价</w:t>
            </w:r>
          </w:p>
          <w:p w14:paraId="3BB17F81">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报告反映</w:t>
            </w:r>
          </w:p>
          <w:p w14:paraId="5071B81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问题情况</w:t>
            </w:r>
          </w:p>
          <w:p w14:paraId="51C3DD89">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64F29B77">
            <w:pPr>
              <w:spacing w:line="240" w:lineRule="exact"/>
              <w:ind w:firstLine="23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10"/>
                <w:szCs w:val="21"/>
              </w:rPr>
              <w:t>从预算和预算绩效管理，部门履职效能，资金分</w:t>
            </w:r>
            <w:r>
              <w:rPr>
                <w:rFonts w:hint="eastAsia" w:asciiTheme="majorEastAsia" w:hAnsiTheme="majorEastAsia" w:eastAsiaTheme="majorEastAsia" w:cstheme="majorEastAsia"/>
                <w:spacing w:val="9"/>
                <w:szCs w:val="21"/>
              </w:rPr>
              <w:t>配、使用和管理，资产和财务管理，政府</w:t>
            </w:r>
            <w:r>
              <w:rPr>
                <w:rFonts w:hint="eastAsia" w:asciiTheme="majorEastAsia" w:hAnsiTheme="majorEastAsia" w:eastAsiaTheme="majorEastAsia" w:cstheme="majorEastAsia"/>
                <w:spacing w:val="7"/>
                <w:szCs w:val="21"/>
              </w:rPr>
              <w:t>采购等方面归纳问题、分析原因全面的，得20分；反映问题、分析原因较</w:t>
            </w:r>
            <w:r>
              <w:rPr>
                <w:rFonts w:hint="eastAsia" w:asciiTheme="majorEastAsia" w:hAnsiTheme="majorEastAsia" w:eastAsiaTheme="majorEastAsia" w:cstheme="majorEastAsia"/>
                <w:spacing w:val="6"/>
                <w:szCs w:val="21"/>
              </w:rPr>
              <w:t>全面的，得16—18</w:t>
            </w:r>
            <w:r>
              <w:rPr>
                <w:rFonts w:hint="eastAsia" w:asciiTheme="majorEastAsia" w:hAnsiTheme="majorEastAsia" w:eastAsiaTheme="majorEastAsia" w:cstheme="majorEastAsia"/>
                <w:spacing w:val="12"/>
                <w:szCs w:val="21"/>
              </w:rPr>
              <w:t>分；反映问题、分析原因不全面的，得13—15分；问题未归纳</w:t>
            </w:r>
            <w:r>
              <w:rPr>
                <w:rFonts w:hint="eastAsia" w:asciiTheme="majorEastAsia" w:hAnsiTheme="majorEastAsia" w:eastAsiaTheme="majorEastAsia" w:cstheme="majorEastAsia"/>
                <w:spacing w:val="11"/>
                <w:szCs w:val="21"/>
              </w:rPr>
              <w:t>且过于简单的，得10—12</w:t>
            </w:r>
            <w:r>
              <w:rPr>
                <w:rFonts w:hint="eastAsia" w:asciiTheme="majorEastAsia" w:hAnsiTheme="majorEastAsia" w:eastAsiaTheme="majorEastAsia" w:cstheme="majorEastAsia"/>
                <w:spacing w:val="13"/>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ign w:val="center"/>
          </w:tcPr>
          <w:p w14:paraId="2A2FFDA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　</w:t>
            </w:r>
          </w:p>
        </w:tc>
      </w:tr>
      <w:tr w14:paraId="64417EE9">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522022A6">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ign w:val="center"/>
          </w:tcPr>
          <w:p w14:paraId="5A5750F8">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针对问题</w:t>
            </w:r>
          </w:p>
          <w:p w14:paraId="4F7A6C21">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提出可行性建议的情况</w:t>
            </w:r>
          </w:p>
          <w:p w14:paraId="4EEA2DE1">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noWrap/>
            <w:vAlign w:val="center"/>
          </w:tcPr>
          <w:p w14:paraId="33DB88FD">
            <w:pPr>
              <w:spacing w:line="240" w:lineRule="exact"/>
              <w:ind w:firstLine="216"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3"/>
                <w:szCs w:val="21"/>
              </w:rPr>
              <w:t>建议与问题对应且全面的得15分，建议比较全面的得12—14分，建议不全面的得9—11</w:t>
            </w:r>
            <w:r>
              <w:rPr>
                <w:rFonts w:hint="eastAsia" w:asciiTheme="majorEastAsia" w:hAnsiTheme="majorEastAsia" w:eastAsiaTheme="majorEastAsia" w:cstheme="majorEastAsia"/>
                <w:spacing w:val="2"/>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ign w:val="center"/>
          </w:tcPr>
          <w:p w14:paraId="6CAF3E15">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　</w:t>
            </w:r>
          </w:p>
        </w:tc>
      </w:tr>
      <w:tr w14:paraId="6CABD318">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ign w:val="center"/>
          </w:tcPr>
          <w:p w14:paraId="09A9765D">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ign w:val="center"/>
          </w:tcPr>
          <w:p w14:paraId="49BFBB59">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100分</w:t>
            </w:r>
          </w:p>
        </w:tc>
        <w:tc>
          <w:tcPr>
            <w:tcW w:w="6482" w:type="dxa"/>
            <w:tcBorders>
              <w:top w:val="single" w:color="auto" w:sz="4" w:space="0"/>
              <w:left w:val="single" w:color="auto" w:sz="4" w:space="0"/>
              <w:bottom w:val="single" w:color="auto" w:sz="4" w:space="0"/>
              <w:right w:val="single" w:color="auto" w:sz="4" w:space="0"/>
            </w:tcBorders>
            <w:noWrap/>
            <w:vAlign w:val="center"/>
          </w:tcPr>
          <w:p w14:paraId="02B6DC75">
            <w:pPr>
              <w:spacing w:line="240" w:lineRule="exact"/>
              <w:rPr>
                <w:rFonts w:asciiTheme="majorEastAsia" w:hAnsiTheme="majorEastAsia" w:eastAsiaTheme="majorEastAsia" w:cstheme="majorEastAsia"/>
                <w:szCs w:val="21"/>
              </w:rPr>
            </w:pPr>
          </w:p>
        </w:tc>
        <w:tc>
          <w:tcPr>
            <w:tcW w:w="753" w:type="dxa"/>
            <w:tcBorders>
              <w:top w:val="single" w:color="auto" w:sz="4" w:space="0"/>
              <w:left w:val="single" w:color="auto" w:sz="4" w:space="0"/>
              <w:bottom w:val="single" w:color="auto" w:sz="4" w:space="0"/>
              <w:right w:val="single" w:color="auto" w:sz="4" w:space="0"/>
            </w:tcBorders>
            <w:noWrap/>
            <w:vAlign w:val="center"/>
          </w:tcPr>
          <w:p w14:paraId="6F75DEE6">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95</w:t>
            </w:r>
          </w:p>
        </w:tc>
      </w:tr>
    </w:tbl>
    <w:p w14:paraId="09F658BA">
      <w:pPr>
        <w:ind w:firstLine="640" w:firstLineChars="200"/>
        <w:jc w:val="left"/>
        <w:rPr>
          <w:rFonts w:ascii="仿宋_GB2312" w:hAnsi="仿宋_GB2312" w:eastAsia="仿宋_GB2312" w:cs="仿宋_GB2312"/>
          <w:color w:val="000000" w:themeColor="text1"/>
          <w:sz w:val="32"/>
          <w:szCs w:val="32"/>
        </w:rPr>
      </w:pPr>
    </w:p>
    <w:sectPr>
      <w:pgSz w:w="11906" w:h="16838"/>
      <w:pgMar w:top="1701"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宋体"/>
    <w:panose1 w:val="00000000000000000000"/>
    <w:charset w:val="86"/>
    <w:family w:val="script"/>
    <w:pitch w:val="default"/>
    <w:sig w:usb0="00000000" w:usb1="00000000" w:usb2="0000001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CCA6E">
    <w:pPr>
      <w:spacing w:line="14" w:lineRule="auto"/>
      <w:rPr>
        <w:rFonts w:ascii="Arial"/>
        <w:sz w:val="2"/>
      </w:rPr>
    </w:pPr>
    <w:r>
      <w:rPr>
        <w:sz w:val="2"/>
      </w:rPr>
      <w:pict>
        <v:shape id="_x0000_s4097" o:spid="_x0000_s4097"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path/>
          <v:fill on="f" focussize="0,0"/>
          <v:stroke on="f" weight="0.5pt" joinstyle="miter"/>
          <v:imagedata o:title=""/>
          <o:lock v:ext="edit"/>
          <v:textbox inset="0mm,0mm,0mm,0mm" style="mso-fit-shape-to-text:t;">
            <w:txbxContent>
              <w:p w14:paraId="18E18734">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8</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3754C3"/>
    <w:multiLevelType w:val="multilevel"/>
    <w:tmpl w:val="613754C3"/>
    <w:lvl w:ilvl="0" w:tentative="0">
      <w:start w:val="1"/>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68C10988"/>
    <w:multiLevelType w:val="multilevel"/>
    <w:tmpl w:val="68C10988"/>
    <w:lvl w:ilvl="0" w:tentative="0">
      <w:start w:val="1"/>
      <w:numFmt w:val="japaneseCounting"/>
      <w:lvlText w:val="(%1)"/>
      <w:lvlJc w:val="left"/>
      <w:pPr>
        <w:ind w:left="1363" w:hanging="720"/>
      </w:pPr>
      <w:rPr>
        <w:rFonts w:hint="default"/>
      </w:rPr>
    </w:lvl>
    <w:lvl w:ilvl="1" w:tentative="0">
      <w:start w:val="1"/>
      <w:numFmt w:val="lowerLetter"/>
      <w:lvlText w:val="%2)"/>
      <w:lvlJc w:val="left"/>
      <w:pPr>
        <w:ind w:left="1483" w:hanging="420"/>
      </w:pPr>
    </w:lvl>
    <w:lvl w:ilvl="2" w:tentative="0">
      <w:start w:val="1"/>
      <w:numFmt w:val="lowerRoman"/>
      <w:lvlText w:val="%3."/>
      <w:lvlJc w:val="right"/>
      <w:pPr>
        <w:ind w:left="1903" w:hanging="420"/>
      </w:pPr>
    </w:lvl>
    <w:lvl w:ilvl="3" w:tentative="0">
      <w:start w:val="1"/>
      <w:numFmt w:val="decimal"/>
      <w:lvlText w:val="%4."/>
      <w:lvlJc w:val="left"/>
      <w:pPr>
        <w:ind w:left="2323" w:hanging="420"/>
      </w:pPr>
    </w:lvl>
    <w:lvl w:ilvl="4" w:tentative="0">
      <w:start w:val="1"/>
      <w:numFmt w:val="lowerLetter"/>
      <w:lvlText w:val="%5)"/>
      <w:lvlJc w:val="left"/>
      <w:pPr>
        <w:ind w:left="2743" w:hanging="420"/>
      </w:pPr>
    </w:lvl>
    <w:lvl w:ilvl="5" w:tentative="0">
      <w:start w:val="1"/>
      <w:numFmt w:val="lowerRoman"/>
      <w:lvlText w:val="%6."/>
      <w:lvlJc w:val="right"/>
      <w:pPr>
        <w:ind w:left="3163" w:hanging="420"/>
      </w:pPr>
    </w:lvl>
    <w:lvl w:ilvl="6" w:tentative="0">
      <w:start w:val="1"/>
      <w:numFmt w:val="decimal"/>
      <w:lvlText w:val="%7."/>
      <w:lvlJc w:val="left"/>
      <w:pPr>
        <w:ind w:left="3583" w:hanging="420"/>
      </w:pPr>
    </w:lvl>
    <w:lvl w:ilvl="7" w:tentative="0">
      <w:start w:val="1"/>
      <w:numFmt w:val="lowerLetter"/>
      <w:lvlText w:val="%8)"/>
      <w:lvlJc w:val="left"/>
      <w:pPr>
        <w:ind w:left="4003" w:hanging="420"/>
      </w:pPr>
    </w:lvl>
    <w:lvl w:ilvl="8" w:tentative="0">
      <w:start w:val="1"/>
      <w:numFmt w:val="lowerRoman"/>
      <w:lvlText w:val="%9."/>
      <w:lvlJc w:val="right"/>
      <w:pPr>
        <w:ind w:left="4423"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jFmZWIzNDg2MmIzZjExOTIzMmViNTBmYTMwYTk0ZWYifQ=="/>
  </w:docVars>
  <w:rsids>
    <w:rsidRoot w:val="53FC3987"/>
    <w:rsid w:val="00072502"/>
    <w:rsid w:val="00074C29"/>
    <w:rsid w:val="000837B5"/>
    <w:rsid w:val="000A3765"/>
    <w:rsid w:val="000E2DED"/>
    <w:rsid w:val="000E637E"/>
    <w:rsid w:val="00164B4E"/>
    <w:rsid w:val="00167262"/>
    <w:rsid w:val="001C5462"/>
    <w:rsid w:val="001D7282"/>
    <w:rsid w:val="001F356A"/>
    <w:rsid w:val="0034505B"/>
    <w:rsid w:val="0039081D"/>
    <w:rsid w:val="00391E15"/>
    <w:rsid w:val="003E6E64"/>
    <w:rsid w:val="004532AB"/>
    <w:rsid w:val="00510C39"/>
    <w:rsid w:val="005136A1"/>
    <w:rsid w:val="005A1F55"/>
    <w:rsid w:val="005B1472"/>
    <w:rsid w:val="005E6ECB"/>
    <w:rsid w:val="0061304E"/>
    <w:rsid w:val="00615110"/>
    <w:rsid w:val="0065389B"/>
    <w:rsid w:val="006A6383"/>
    <w:rsid w:val="006C1BB5"/>
    <w:rsid w:val="00744EA1"/>
    <w:rsid w:val="00817BAA"/>
    <w:rsid w:val="0082407B"/>
    <w:rsid w:val="00841DC8"/>
    <w:rsid w:val="008C52BD"/>
    <w:rsid w:val="008E13E1"/>
    <w:rsid w:val="009419CA"/>
    <w:rsid w:val="00955854"/>
    <w:rsid w:val="00964D97"/>
    <w:rsid w:val="009C7330"/>
    <w:rsid w:val="00A00FBB"/>
    <w:rsid w:val="00AF05D8"/>
    <w:rsid w:val="00B16817"/>
    <w:rsid w:val="00B611B4"/>
    <w:rsid w:val="00BF066A"/>
    <w:rsid w:val="00BF0721"/>
    <w:rsid w:val="00C03795"/>
    <w:rsid w:val="00C143B4"/>
    <w:rsid w:val="00CD2149"/>
    <w:rsid w:val="00CE27F8"/>
    <w:rsid w:val="00CE3756"/>
    <w:rsid w:val="00CE521C"/>
    <w:rsid w:val="00D0747C"/>
    <w:rsid w:val="00D24F57"/>
    <w:rsid w:val="00D27A74"/>
    <w:rsid w:val="00D8655B"/>
    <w:rsid w:val="00D918FA"/>
    <w:rsid w:val="00DA02AC"/>
    <w:rsid w:val="00DA5E5E"/>
    <w:rsid w:val="00DA6436"/>
    <w:rsid w:val="00DB28FB"/>
    <w:rsid w:val="00DC2F6B"/>
    <w:rsid w:val="00E00D3B"/>
    <w:rsid w:val="00E51F0F"/>
    <w:rsid w:val="00E831C8"/>
    <w:rsid w:val="00EF287A"/>
    <w:rsid w:val="00F012FA"/>
    <w:rsid w:val="00F17E5F"/>
    <w:rsid w:val="00F4642F"/>
    <w:rsid w:val="00F716D9"/>
    <w:rsid w:val="00FC61A2"/>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0430F"/>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00D5F"/>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737B91"/>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2569B"/>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C07B3"/>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5962D8"/>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5F3FE6"/>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46AD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14409"/>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autoRedefine/>
    <w:qFormat/>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uiPriority w:val="99"/>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
    <w:name w:val="Table Normal"/>
    <w:unhideWhenUsed/>
    <w:qFormat/>
    <w:uiPriority w:val="0"/>
    <w:tblPr>
      <w:tblCellMar>
        <w:top w:w="0" w:type="dxa"/>
        <w:left w:w="0" w:type="dxa"/>
        <w:bottom w:w="0" w:type="dxa"/>
        <w:right w:w="0" w:type="dxa"/>
      </w:tblCellMar>
    </w:tblPr>
  </w:style>
  <w:style w:type="character" w:customStyle="1" w:styleId="10">
    <w:name w:val="批注框文本 Char"/>
    <w:basedOn w:val="8"/>
    <w:link w:val="2"/>
    <w:qFormat/>
    <w:uiPriority w:val="0"/>
    <w:rPr>
      <w:kern w:val="2"/>
      <w:sz w:val="18"/>
      <w:szCs w:val="18"/>
    </w:rPr>
  </w:style>
  <w:style w:type="paragraph" w:styleId="11">
    <w:name w:val="List Paragraph"/>
    <w:basedOn w:val="1"/>
    <w:unhideWhenUsed/>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6780</Words>
  <Characters>7515</Characters>
  <Lines>59</Lines>
  <Paragraphs>16</Paragraphs>
  <TotalTime>15</TotalTime>
  <ScaleCrop>false</ScaleCrop>
  <LinksUpToDate>false</LinksUpToDate>
  <CharactersWithSpaces>7607</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2023-06-17T03:52:00Z</dcterms:created>
  <dc:creator>新一天</dc:creator>
  <cp:lastModifiedBy>阿朵</cp:lastModifiedBy>
  <cp:lastPrinted>2023-05-26T08:11:00Z</cp:lastPrinted>
  <dcterms:modified xsi:type="dcterms:W3CDTF">2024-06-21T03:45:08Z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50306CC149C84F98BF850919EA3E5AFB_13</vt:lpwstr>
  </property>
</Properties>
</file>