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pPr>
              <w:spacing w:before="103" w:line="219" w:lineRule="auto"/>
              <w:ind w:left="708"/>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岳阳楼区价格认证中心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pPr>
              <w:spacing w:before="103" w:line="219" w:lineRule="auto"/>
              <w:ind w:left="708"/>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7</w:t>
            </w:r>
          </w:p>
        </w:tc>
        <w:tc>
          <w:tcPr>
            <w:tcW w:w="2325" w:type="dxa"/>
            <w:gridSpan w:val="2"/>
          </w:tcPr>
          <w:p>
            <w:pPr>
              <w:jc w:val="center"/>
              <w:rPr>
                <w:rFonts w:hint="eastAsia" w:asciiTheme="majorEastAsia" w:hAnsiTheme="majorEastAsia" w:eastAsiaTheme="majorEastAsia" w:cstheme="majorEastAsia"/>
                <w:color w:val="000000" w:themeColor="text1"/>
                <w:sz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7</w:t>
            </w:r>
          </w:p>
        </w:tc>
        <w:tc>
          <w:tcPr>
            <w:tcW w:w="1679" w:type="dxa"/>
            <w:gridSpan w:val="2"/>
          </w:tcPr>
          <w:p>
            <w:pPr>
              <w:ind w:firstLine="720" w:firstLineChars="3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100</w:t>
            </w:r>
            <w:bookmarkStart w:id="1" w:name="_GoBack"/>
            <w:bookmarkEnd w:id="1"/>
            <w:r>
              <w:rPr>
                <w:rFonts w:hint="eastAsia" w:asciiTheme="majorEastAsia" w:hAnsiTheme="majorEastAsia" w:eastAsiaTheme="majorEastAsia" w:cstheme="majorEastAsia"/>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vAlign w:val="center"/>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vAlign w:val="center"/>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vAlign w:val="center"/>
          </w:tcPr>
          <w:p>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vAlign w:val="center"/>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0.27</w:t>
            </w:r>
          </w:p>
        </w:tc>
        <w:tc>
          <w:tcPr>
            <w:tcW w:w="2325" w:type="dxa"/>
            <w:gridSpan w:val="2"/>
            <w:vAlign w:val="center"/>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0.6</w:t>
            </w:r>
          </w:p>
        </w:tc>
        <w:tc>
          <w:tcPr>
            <w:tcW w:w="1679" w:type="dxa"/>
            <w:gridSpan w:val="2"/>
            <w:vAlign w:val="center"/>
          </w:tcPr>
          <w:p>
            <w:pPr>
              <w:jc w:val="center"/>
              <w:rPr>
                <w:rFonts w:hint="default"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0.27</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0.6</w:t>
            </w: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32</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32</w:t>
            </w: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价格认定专项经费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32</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32</w:t>
            </w: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8.16</w:t>
            </w:r>
          </w:p>
        </w:tc>
        <w:tc>
          <w:tcPr>
            <w:tcW w:w="2325"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10.8</w:t>
            </w: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39.76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vAlign w:val="center"/>
          </w:tcPr>
          <w:p>
            <w:pPr>
              <w:jc w:val="center"/>
              <w:rPr>
                <w:rFonts w:hint="eastAsia"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3</w:t>
            </w:r>
          </w:p>
        </w:tc>
        <w:tc>
          <w:tcPr>
            <w:tcW w:w="2325"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10.8</w:t>
            </w: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36.27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电费、</w:t>
            </w:r>
            <w:r>
              <w:rPr>
                <w:rFonts w:hint="eastAsia" w:asciiTheme="majorEastAsia" w:hAnsiTheme="majorEastAsia" w:eastAsiaTheme="majorEastAsia" w:cstheme="majorEastAsia"/>
                <w:color w:val="000000" w:themeColor="text1"/>
                <w:spacing w:val="1"/>
                <w:sz w:val="24"/>
                <w:lang w:val="en-US" w:eastAsia="zh-CN"/>
                <w14:textFill>
                  <w14:solidFill>
                    <w14:schemeClr w14:val="tx1"/>
                  </w14:solidFill>
                </w14:textFill>
              </w:rPr>
              <w:t>维修</w:t>
            </w:r>
          </w:p>
        </w:tc>
        <w:tc>
          <w:tcPr>
            <w:tcW w:w="1815"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1.08</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hint="default"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lang w:val="en-US" w:eastAsia="zh-CN"/>
                <w14:textFill>
                  <w14:solidFill>
                    <w14:schemeClr w14:val="tx1"/>
                  </w14:solidFill>
                </w14:textFill>
              </w:rPr>
              <w:t>工会经费及其他</w:t>
            </w:r>
          </w:p>
        </w:tc>
        <w:tc>
          <w:tcPr>
            <w:tcW w:w="1815"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4.08</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hint="default" w:asciiTheme="majorEastAsia" w:hAnsiTheme="majorEastAsia" w:eastAsiaTheme="majorEastAsia" w:cstheme="major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23.07</w:t>
            </w: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31.95</w:t>
            </w: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部门基本支出预算调整</w:t>
            </w:r>
          </w:p>
        </w:tc>
        <w:tc>
          <w:tcPr>
            <w:tcW w:w="181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vAlign w:val="center"/>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pPr>
              <w:jc w:val="center"/>
              <w:rPr>
                <w:rFonts w:asciiTheme="majorEastAsia" w:hAnsiTheme="majorEastAsia" w:eastAsiaTheme="majorEastAsia" w:cstheme="majorEastAsia"/>
                <w:color w:val="000000" w:themeColor="text1"/>
                <w14:textFill>
                  <w14:solidFill>
                    <w14:schemeClr w14:val="tx1"/>
                  </w14:solidFill>
                </w14:textFill>
              </w:rPr>
            </w:pPr>
          </w:p>
        </w:tc>
      </w:tr>
    </w:tbl>
    <w:p>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pPr>
        <w:jc w:val="left"/>
        <w:rPr>
          <w:rFonts w:hint="default" w:asciiTheme="majorEastAsia" w:hAnsiTheme="majorEastAsia" w:eastAsiaTheme="majorEastAsia" w:cstheme="majorEastAsia"/>
          <w:color w:val="000000" w:themeColor="text1"/>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z w:val="23"/>
          <w:szCs w:val="23"/>
          <w:lang w:eastAsia="zh-CN"/>
          <w14:textFill>
            <w14:solidFill>
              <w14:schemeClr w14:val="tx1"/>
            </w14:solidFill>
          </w14:textFill>
        </w:rPr>
        <w:t>曾志勇</w:t>
      </w: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z w:val="23"/>
          <w:szCs w:val="23"/>
          <w:lang w:val="en-US" w:eastAsia="zh-CN"/>
          <w14:textFill>
            <w14:solidFill>
              <w14:schemeClr w14:val="tx1"/>
            </w14:solidFill>
          </w14:textFill>
        </w:rPr>
        <w:t>15873089898</w:t>
      </w: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  单位负责人签字：         填报日期：</w:t>
      </w:r>
      <w:r>
        <w:rPr>
          <w:rFonts w:hint="eastAsia" w:asciiTheme="majorEastAsia" w:hAnsiTheme="majorEastAsia" w:eastAsiaTheme="majorEastAsia" w:cstheme="majorEastAsia"/>
          <w:color w:val="000000" w:themeColor="text1"/>
          <w:sz w:val="23"/>
          <w:szCs w:val="23"/>
          <w:lang w:val="en-US" w:eastAsia="zh-CN"/>
          <w14:textFill>
            <w14:solidFill>
              <w14:schemeClr w14:val="tx1"/>
            </w14:solidFill>
          </w14:textFill>
        </w:rPr>
        <w:t>2023.06.15</w:t>
      </w:r>
    </w:p>
    <w:p>
      <w:pPr>
        <w:rPr>
          <w:rFonts w:ascii="黑体" w:hAnsi="黑体" w:eastAsia="黑体" w:cs="黑体"/>
          <w:color w:val="000000" w:themeColor="text1"/>
          <w:spacing w:val="10"/>
          <w:sz w:val="32"/>
          <w:szCs w:val="32"/>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岳阳楼区价格认证鉴定中心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pPr>
              <w:spacing w:line="418" w:lineRule="auto"/>
              <w:jc w:val="center"/>
              <w:rPr>
                <w:rFonts w:ascii="Arial"/>
                <w:color w:val="000000" w:themeColor="text1"/>
                <w:szCs w:val="21"/>
                <w14:textFill>
                  <w14:solidFill>
                    <w14:schemeClr w14:val="tx1"/>
                  </w14:solidFill>
                </w14:textFill>
              </w:rPr>
            </w:pP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pPr>
              <w:spacing w:line="240" w:lineRule="exact"/>
              <w:jc w:val="center"/>
              <w:rPr>
                <w:rFonts w:ascii="Arial"/>
                <w:color w:val="000000" w:themeColor="text1"/>
                <w:sz w:val="20"/>
                <w14:textFill>
                  <w14:solidFill>
                    <w14:schemeClr w14:val="tx1"/>
                  </w14:solidFill>
                </w14:textFill>
              </w:rPr>
            </w:pPr>
          </w:p>
        </w:tc>
        <w:tc>
          <w:tcPr>
            <w:tcW w:w="126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31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25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2108" w:type="dxa"/>
            <w:gridSpan w:val="2"/>
            <w:vAlign w:val="center"/>
          </w:tcPr>
          <w:p>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6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123.91</w:t>
            </w:r>
          </w:p>
        </w:tc>
        <w:tc>
          <w:tcPr>
            <w:tcW w:w="13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r>
              <w:rPr>
                <w:rFonts w:hint="eastAsia" w:ascii="Arial"/>
                <w:color w:val="000000" w:themeColor="text1"/>
                <w:sz w:val="20"/>
                <w:lang w:val="en-US" w:eastAsia="zh-CN"/>
                <w14:textFill>
                  <w14:solidFill>
                    <w14:schemeClr w14:val="tx1"/>
                  </w14:solidFill>
                </w14:textFill>
              </w:rPr>
              <w:t>41.54</w:t>
            </w:r>
          </w:p>
        </w:tc>
        <w:tc>
          <w:tcPr>
            <w:tcW w:w="1259" w:type="dxa"/>
            <w:vAlign w:val="center"/>
          </w:tcPr>
          <w:p>
            <w:pPr>
              <w:spacing w:line="239"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1</w:t>
            </w:r>
            <w:r>
              <w:rPr>
                <w:rFonts w:hint="eastAsia" w:ascii="Arial"/>
                <w:color w:val="000000" w:themeColor="text1"/>
                <w:sz w:val="20"/>
                <w:lang w:val="en-US" w:eastAsia="zh-CN"/>
                <w14:textFill>
                  <w14:solidFill>
                    <w14:schemeClr w14:val="tx1"/>
                  </w14:solidFill>
                </w14:textFill>
              </w:rPr>
              <w:t>41.54</w:t>
            </w:r>
          </w:p>
        </w:tc>
        <w:tc>
          <w:tcPr>
            <w:tcW w:w="719" w:type="dxa"/>
            <w:vAlign w:val="center"/>
          </w:tcPr>
          <w:p>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p>
        </w:tc>
        <w:tc>
          <w:tcPr>
            <w:tcW w:w="4055"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Arial"/>
                <w:color w:val="000000" w:themeColor="text1"/>
                <w:sz w:val="20"/>
                <w14:textFill>
                  <w14:solidFill>
                    <w14:schemeClr w14:val="tx1"/>
                  </w14:solidFill>
                </w14:textFill>
              </w:rPr>
              <w:t>1</w:t>
            </w:r>
            <w:r>
              <w:rPr>
                <w:rFonts w:hint="eastAsia" w:ascii="Arial"/>
                <w:color w:val="000000" w:themeColor="text1"/>
                <w:sz w:val="20"/>
                <w:lang w:val="en-US" w:eastAsia="zh-CN"/>
                <w14:textFill>
                  <w14:solidFill>
                    <w14:schemeClr w14:val="tx1"/>
                  </w14:solidFill>
                </w14:textFill>
              </w:rPr>
              <w:t>41.54</w:t>
            </w:r>
          </w:p>
        </w:tc>
        <w:tc>
          <w:tcPr>
            <w:tcW w:w="4055" w:type="dxa"/>
            <w:gridSpan w:val="4"/>
            <w:vAlign w:val="center"/>
          </w:tcPr>
          <w:p>
            <w:pPr>
              <w:spacing w:line="194" w:lineRule="auto"/>
              <w:ind w:firstLine="210" w:firstLineChars="100"/>
              <w:jc w:val="left"/>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lang w:val="en-US" w:eastAsia="zh-CN"/>
                <w14:textFill>
                  <w14:solidFill>
                    <w14:schemeClr w14:val="tx1"/>
                  </w14:solidFill>
                </w14:textFill>
              </w:rPr>
              <w:t>116.54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p>
        </w:tc>
        <w:tc>
          <w:tcPr>
            <w:tcW w:w="4055" w:type="dxa"/>
            <w:gridSpan w:val="4"/>
            <w:vAlign w:val="center"/>
          </w:tcPr>
          <w:p>
            <w:pPr>
              <w:spacing w:line="201" w:lineRule="auto"/>
              <w:ind w:firstLine="840" w:firstLineChars="400"/>
              <w:jc w:val="left"/>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lang w:val="en-US"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p>
        </w:tc>
        <w:tc>
          <w:tcPr>
            <w:tcW w:w="4055" w:type="dxa"/>
            <w:gridSpan w:val="4"/>
            <w:vAlign w:val="center"/>
          </w:tcPr>
          <w:p>
            <w:pPr>
              <w:spacing w:line="239"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p>
        </w:tc>
        <w:tc>
          <w:tcPr>
            <w:tcW w:w="4055" w:type="dxa"/>
            <w:gridSpan w:val="4"/>
            <w:vAlign w:val="center"/>
          </w:tcPr>
          <w:p>
            <w:pPr>
              <w:spacing w:line="240"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4696"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4055"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240" w:lineRule="exact"/>
              <w:jc w:val="center"/>
              <w:rPr>
                <w:rFonts w:ascii="Arial"/>
                <w:color w:val="000000" w:themeColor="text1"/>
                <w:sz w:val="20"/>
                <w14:textFill>
                  <w14:solidFill>
                    <w14:schemeClr w14:val="tx1"/>
                  </w14:solidFill>
                </w14:textFill>
              </w:rPr>
            </w:pPr>
            <w:r>
              <w:rPr>
                <w:rFonts w:ascii="Arial"/>
                <w:color w:val="000000" w:themeColor="text1"/>
                <w:sz w:val="20"/>
                <w14:textFill>
                  <w14:solidFill>
                    <w14:schemeClr w14:val="tx1"/>
                  </w14:solidFill>
                </w14:textFill>
              </w:rPr>
              <w:t xml:space="preserve">  </w:t>
            </w:r>
            <w:r>
              <w:rPr>
                <w:rFonts w:hint="eastAsia" w:ascii="Arial"/>
                <w:color w:val="000000" w:themeColor="text1"/>
                <w:sz w:val="20"/>
                <w14:textFill>
                  <w14:solidFill>
                    <w14:schemeClr w14:val="tx1"/>
                  </w14:solidFill>
                </w14:textFill>
              </w:rPr>
              <w:t>价格认证中心在局党组的正确领导下、在上级业务主管部门的精心指导下，坚持外树形象，内强素质，以优良的工作作风、认真的工作态度、公正的认定结论，维护了当事人的合法权益，为政府提供了良好的服务，认证中心目前主要承担岳阳市公安局、岳阳楼区公安局、经开区公安分局涉案物价格认定案件认定业务。</w:t>
            </w:r>
          </w:p>
        </w:tc>
        <w:tc>
          <w:tcPr>
            <w:tcW w:w="4055" w:type="dxa"/>
            <w:gridSpan w:val="4"/>
            <w:vAlign w:val="center"/>
          </w:tcPr>
          <w:p>
            <w:pPr>
              <w:spacing w:line="240" w:lineRule="exact"/>
              <w:jc w:val="center"/>
              <w:rPr>
                <w:rFonts w:hint="eastAsia" w:ascii="Arial"/>
                <w:color w:val="000000" w:themeColor="text1"/>
                <w:sz w:val="20"/>
                <w14:textFill>
                  <w14:solidFill>
                    <w14:schemeClr w14:val="tx1"/>
                  </w14:solidFill>
                </w14:textFill>
              </w:rPr>
            </w:pPr>
            <w:r>
              <w:rPr>
                <w:rFonts w:ascii="Arial"/>
                <w:color w:val="000000" w:themeColor="text1"/>
                <w:sz w:val="20"/>
                <w14:textFill>
                  <w14:solidFill>
                    <w14:schemeClr w14:val="tx1"/>
                  </w14:solidFill>
                </w14:textFill>
              </w:rPr>
              <w:t xml:space="preserve">  </w:t>
            </w:r>
            <w:r>
              <w:rPr>
                <w:rFonts w:hint="eastAsia" w:ascii="Arial"/>
                <w:color w:val="000000" w:themeColor="text1"/>
                <w:sz w:val="20"/>
                <w14:textFill>
                  <w14:solidFill>
                    <w14:schemeClr w14:val="tx1"/>
                  </w14:solidFill>
                </w14:textFill>
              </w:rPr>
              <w:t>认证中心目前主要承担岳阳市公安局、岳阳楼区公安局、经开区公安分局涉案物价格认定案件认定业务，中心2022年共完成了公安的涉案认定案件2875起（其中楼区公安分局完成23</w:t>
            </w:r>
            <w:r>
              <w:rPr>
                <w:rFonts w:ascii="Arial"/>
                <w:color w:val="000000" w:themeColor="text1"/>
                <w:sz w:val="20"/>
                <w14:textFill>
                  <w14:solidFill>
                    <w14:schemeClr w14:val="tx1"/>
                  </w14:solidFill>
                </w14:textFill>
              </w:rPr>
              <w:t>00</w:t>
            </w:r>
            <w:r>
              <w:rPr>
                <w:rFonts w:hint="eastAsia" w:ascii="Arial"/>
                <w:color w:val="000000" w:themeColor="text1"/>
                <w:sz w:val="20"/>
                <w14:textFill>
                  <w14:solidFill>
                    <w14:schemeClr w14:val="tx1"/>
                  </w14:solidFill>
                </w14:textFill>
              </w:rPr>
              <w:t>余起、经开区公安分局4</w:t>
            </w:r>
            <w:r>
              <w:rPr>
                <w:rFonts w:ascii="Arial"/>
                <w:color w:val="000000" w:themeColor="text1"/>
                <w:sz w:val="20"/>
                <w14:textFill>
                  <w14:solidFill>
                    <w14:schemeClr w14:val="tx1"/>
                  </w14:solidFill>
                </w14:textFill>
              </w:rPr>
              <w:t>00</w:t>
            </w:r>
            <w:r>
              <w:rPr>
                <w:rFonts w:hint="eastAsia" w:ascii="Arial"/>
                <w:color w:val="000000" w:themeColor="text1"/>
                <w:sz w:val="20"/>
                <w14:textFill>
                  <w14:solidFill>
                    <w14:schemeClr w14:val="tx1"/>
                  </w14:solidFill>
                </w14:textFill>
              </w:rPr>
              <w:t>余起），涉及金额570余万元。中心今年将继续配合公检法部门开展涉案物价格认定业务，以公平、公正、科学、效率为原则，服务社会、服务司法、服务政府。</w:t>
            </w:r>
          </w:p>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pPr>
              <w:spacing w:line="367" w:lineRule="auto"/>
              <w:jc w:val="center"/>
              <w:rPr>
                <w:rFonts w:ascii="Arial"/>
                <w:color w:val="000000" w:themeColor="text1"/>
                <w:szCs w:val="21"/>
                <w14:textFill>
                  <w14:solidFill>
                    <w14:schemeClr w14:val="tx1"/>
                  </w14:solidFill>
                </w14:textFill>
              </w:rPr>
            </w:pPr>
          </w:p>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6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31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25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vAlign w:val="center"/>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bottom w:val="nil"/>
            </w:tcBorders>
            <w:vAlign w:val="center"/>
          </w:tcPr>
          <w:p>
            <w:pPr>
              <w:spacing w:line="269" w:lineRule="auto"/>
              <w:jc w:val="center"/>
              <w:rPr>
                <w:rFonts w:ascii="Arial"/>
                <w:color w:val="000000" w:themeColor="text1"/>
                <w14:textFill>
                  <w14:solidFill>
                    <w14:schemeClr w14:val="tx1"/>
                  </w14:solidFill>
                </w14:textFill>
              </w:rPr>
            </w:pPr>
          </w:p>
          <w:p>
            <w:pPr>
              <w:spacing w:line="269" w:lineRule="auto"/>
              <w:jc w:val="center"/>
              <w:rPr>
                <w:rFonts w:ascii="Arial"/>
                <w:color w:val="000000" w:themeColor="text1"/>
                <w14:textFill>
                  <w14:solidFill>
                    <w14:schemeClr w14:val="tx1"/>
                  </w14:solidFill>
                </w14:textFill>
              </w:rPr>
            </w:pPr>
          </w:p>
          <w:p>
            <w:pPr>
              <w:spacing w:line="270" w:lineRule="auto"/>
              <w:jc w:val="center"/>
              <w:rPr>
                <w:rFonts w:ascii="Arial"/>
                <w:color w:val="000000" w:themeColor="text1"/>
                <w14:textFill>
                  <w14:solidFill>
                    <w14:schemeClr w14:val="tx1"/>
                  </w14:solidFill>
                </w14:textFill>
              </w:rPr>
            </w:pPr>
          </w:p>
          <w:p>
            <w:pPr>
              <w:spacing w:line="270" w:lineRule="auto"/>
              <w:jc w:val="center"/>
              <w:rPr>
                <w:rFonts w:ascii="Arial"/>
                <w:color w:val="000000" w:themeColor="text1"/>
                <w14:textFill>
                  <w14:solidFill>
                    <w14:schemeClr w14:val="tx1"/>
                  </w14:solidFill>
                </w14:textFill>
              </w:rPr>
            </w:pPr>
          </w:p>
          <w:p>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tc>
        <w:tc>
          <w:tcPr>
            <w:tcW w:w="1029" w:type="dxa"/>
            <w:vMerge w:val="restart"/>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数量指标</w:t>
            </w:r>
          </w:p>
        </w:tc>
        <w:tc>
          <w:tcPr>
            <w:tcW w:w="126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完成价格认定案件850件</w:t>
            </w:r>
          </w:p>
        </w:tc>
        <w:tc>
          <w:tcPr>
            <w:tcW w:w="131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2875</w:t>
            </w:r>
          </w:p>
        </w:tc>
        <w:tc>
          <w:tcPr>
            <w:tcW w:w="125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2875</w:t>
            </w:r>
          </w:p>
        </w:tc>
        <w:tc>
          <w:tcPr>
            <w:tcW w:w="71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20</w:t>
            </w:r>
          </w:p>
        </w:tc>
        <w:tc>
          <w:tcPr>
            <w:tcW w:w="802"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20</w:t>
            </w:r>
          </w:p>
        </w:tc>
        <w:tc>
          <w:tcPr>
            <w:tcW w:w="1275" w:type="dxa"/>
            <w:vAlign w:val="center"/>
          </w:tcPr>
          <w:p>
            <w:pPr>
              <w:spacing w:line="23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p>
        </w:tc>
        <w:tc>
          <w:tcPr>
            <w:tcW w:w="1319" w:type="dxa"/>
            <w:vAlign w:val="center"/>
          </w:tcPr>
          <w:p>
            <w:pPr>
              <w:jc w:val="center"/>
              <w:rPr>
                <w:rFonts w:ascii="Arial"/>
                <w:color w:val="000000" w:themeColor="text1"/>
                <w14:textFill>
                  <w14:solidFill>
                    <w14:schemeClr w14:val="tx1"/>
                  </w14:solidFill>
                </w14:textFill>
              </w:rPr>
            </w:pPr>
          </w:p>
        </w:tc>
        <w:tc>
          <w:tcPr>
            <w:tcW w:w="1259" w:type="dxa"/>
            <w:vAlign w:val="center"/>
          </w:tcPr>
          <w:p>
            <w:pPr>
              <w:jc w:val="center"/>
              <w:rPr>
                <w:rFonts w:ascii="Arial"/>
                <w:color w:val="000000" w:themeColor="text1"/>
                <w14:textFill>
                  <w14:solidFill>
                    <w14:schemeClr w14:val="tx1"/>
                  </w14:solidFill>
                </w14:textFill>
              </w:rPr>
            </w:pPr>
          </w:p>
        </w:tc>
        <w:tc>
          <w:tcPr>
            <w:tcW w:w="719" w:type="dxa"/>
            <w:vAlign w:val="center"/>
          </w:tcPr>
          <w:p>
            <w:pPr>
              <w:jc w:val="center"/>
              <w:rPr>
                <w:rFonts w:ascii="Arial"/>
                <w:color w:val="000000" w:themeColor="text1"/>
                <w14:textFill>
                  <w14:solidFill>
                    <w14:schemeClr w14:val="tx1"/>
                  </w14:solidFill>
                </w14:textFill>
              </w:rPr>
            </w:pPr>
          </w:p>
        </w:tc>
        <w:tc>
          <w:tcPr>
            <w:tcW w:w="802" w:type="dxa"/>
            <w:vAlign w:val="center"/>
          </w:tcPr>
          <w:p>
            <w:pPr>
              <w:jc w:val="center"/>
              <w:rPr>
                <w:rFonts w:ascii="Arial"/>
                <w:color w:val="000000" w:themeColor="text1"/>
                <w14:textFill>
                  <w14:solidFill>
                    <w14:schemeClr w14:val="tx1"/>
                  </w14:solidFill>
                </w14:textFill>
              </w:rPr>
            </w:pP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公平公正</w:t>
            </w:r>
          </w:p>
        </w:tc>
        <w:tc>
          <w:tcPr>
            <w:tcW w:w="131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p>
        </w:tc>
        <w:tc>
          <w:tcPr>
            <w:tcW w:w="1319" w:type="dxa"/>
            <w:vAlign w:val="center"/>
          </w:tcPr>
          <w:p>
            <w:pPr>
              <w:jc w:val="center"/>
              <w:rPr>
                <w:rFonts w:ascii="Arial"/>
                <w:color w:val="000000" w:themeColor="text1"/>
                <w14:textFill>
                  <w14:solidFill>
                    <w14:schemeClr w14:val="tx1"/>
                  </w14:solidFill>
                </w14:textFill>
              </w:rPr>
            </w:pPr>
          </w:p>
        </w:tc>
        <w:tc>
          <w:tcPr>
            <w:tcW w:w="1259" w:type="dxa"/>
            <w:vAlign w:val="center"/>
          </w:tcPr>
          <w:p>
            <w:pPr>
              <w:jc w:val="center"/>
              <w:rPr>
                <w:rFonts w:ascii="Arial"/>
                <w:color w:val="000000" w:themeColor="text1"/>
                <w14:textFill>
                  <w14:solidFill>
                    <w14:schemeClr w14:val="tx1"/>
                  </w14:solidFill>
                </w14:textFill>
              </w:rPr>
            </w:pPr>
          </w:p>
        </w:tc>
        <w:tc>
          <w:tcPr>
            <w:tcW w:w="719" w:type="dxa"/>
            <w:vAlign w:val="center"/>
          </w:tcPr>
          <w:p>
            <w:pPr>
              <w:jc w:val="center"/>
              <w:rPr>
                <w:rFonts w:ascii="Arial"/>
                <w:color w:val="000000" w:themeColor="text1"/>
                <w14:textFill>
                  <w14:solidFill>
                    <w14:schemeClr w14:val="tx1"/>
                  </w14:solidFill>
                </w14:textFill>
              </w:rPr>
            </w:pPr>
          </w:p>
        </w:tc>
        <w:tc>
          <w:tcPr>
            <w:tcW w:w="802" w:type="dxa"/>
            <w:vAlign w:val="center"/>
          </w:tcPr>
          <w:p>
            <w:pPr>
              <w:jc w:val="center"/>
              <w:rPr>
                <w:rFonts w:ascii="Arial"/>
                <w:color w:val="000000" w:themeColor="text1"/>
                <w14:textFill>
                  <w14:solidFill>
                    <w14:schemeClr w14:val="tx1"/>
                  </w14:solidFill>
                </w14:textFill>
              </w:rPr>
            </w:pP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269" w:type="dxa"/>
            <w:vAlign w:val="center"/>
          </w:tcPr>
          <w:p>
            <w:pPr>
              <w:spacing w:line="239"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按时完成</w:t>
            </w:r>
          </w:p>
        </w:tc>
        <w:tc>
          <w:tcPr>
            <w:tcW w:w="1319" w:type="dxa"/>
            <w:vAlign w:val="center"/>
          </w:tcPr>
          <w:p>
            <w:pPr>
              <w:spacing w:line="239"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2022年</w:t>
            </w:r>
          </w:p>
        </w:tc>
        <w:tc>
          <w:tcPr>
            <w:tcW w:w="1259" w:type="dxa"/>
            <w:vAlign w:val="center"/>
          </w:tcPr>
          <w:p>
            <w:pPr>
              <w:spacing w:line="239"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26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按年初预算控制成本</w:t>
            </w:r>
          </w:p>
        </w:tc>
        <w:tc>
          <w:tcPr>
            <w:tcW w:w="1319" w:type="dxa"/>
            <w:vAlign w:val="center"/>
          </w:tcPr>
          <w:p>
            <w:pPr>
              <w:spacing w:line="239"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有效控制</w:t>
            </w:r>
          </w:p>
        </w:tc>
        <w:tc>
          <w:tcPr>
            <w:tcW w:w="1259" w:type="dxa"/>
            <w:vAlign w:val="center"/>
          </w:tcPr>
          <w:p>
            <w:pPr>
              <w:spacing w:line="239"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bottom w:val="nil"/>
            </w:tcBorders>
            <w:vAlign w:val="center"/>
          </w:tcPr>
          <w:p>
            <w:pPr>
              <w:spacing w:line="250"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29" w:type="dxa"/>
            <w:tcBorders>
              <w:bottom w:val="nil"/>
            </w:tcBorders>
            <w:vAlign w:val="center"/>
          </w:tcPr>
          <w:p>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创造营商环境</w:t>
            </w:r>
          </w:p>
        </w:tc>
        <w:tc>
          <w:tcPr>
            <w:tcW w:w="131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1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打击犯罪</w:t>
            </w:r>
          </w:p>
        </w:tc>
        <w:tc>
          <w:tcPr>
            <w:tcW w:w="131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深入打好污染防治攻坚战</w:t>
            </w:r>
          </w:p>
        </w:tc>
        <w:tc>
          <w:tcPr>
            <w:tcW w:w="131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vAlign w:val="center"/>
          </w:tcPr>
          <w:p>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p>
        </w:tc>
        <w:tc>
          <w:tcPr>
            <w:tcW w:w="1319" w:type="dxa"/>
            <w:vAlign w:val="center"/>
          </w:tcPr>
          <w:p>
            <w:pPr>
              <w:jc w:val="center"/>
              <w:rPr>
                <w:rFonts w:ascii="Arial"/>
                <w:color w:val="000000" w:themeColor="text1"/>
                <w14:textFill>
                  <w14:solidFill>
                    <w14:schemeClr w14:val="tx1"/>
                  </w14:solidFill>
                </w14:textFill>
              </w:rPr>
            </w:pPr>
          </w:p>
        </w:tc>
        <w:tc>
          <w:tcPr>
            <w:tcW w:w="1259" w:type="dxa"/>
            <w:vAlign w:val="center"/>
          </w:tcPr>
          <w:p>
            <w:pPr>
              <w:jc w:val="center"/>
              <w:rPr>
                <w:rFonts w:ascii="Arial"/>
                <w:color w:val="000000" w:themeColor="text1"/>
                <w14:textFill>
                  <w14:solidFill>
                    <w14:schemeClr w14:val="tx1"/>
                  </w14:solidFill>
                </w14:textFill>
              </w:rPr>
            </w:pPr>
          </w:p>
        </w:tc>
        <w:tc>
          <w:tcPr>
            <w:tcW w:w="719" w:type="dxa"/>
            <w:vAlign w:val="center"/>
          </w:tcPr>
          <w:p>
            <w:pPr>
              <w:jc w:val="center"/>
              <w:rPr>
                <w:rFonts w:ascii="Arial"/>
                <w:color w:val="000000" w:themeColor="text1"/>
                <w14:textFill>
                  <w14:solidFill>
                    <w14:schemeClr w14:val="tx1"/>
                  </w14:solidFill>
                </w14:textFill>
              </w:rPr>
            </w:pPr>
          </w:p>
        </w:tc>
        <w:tc>
          <w:tcPr>
            <w:tcW w:w="802" w:type="dxa"/>
            <w:vAlign w:val="center"/>
          </w:tcPr>
          <w:p>
            <w:pPr>
              <w:jc w:val="center"/>
              <w:rPr>
                <w:rFonts w:ascii="Arial"/>
                <w:color w:val="000000" w:themeColor="text1"/>
                <w14:textFill>
                  <w14:solidFill>
                    <w14:schemeClr w14:val="tx1"/>
                  </w14:solidFill>
                </w14:textFill>
              </w:rPr>
            </w:pP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有序推进服务水平</w:t>
            </w:r>
          </w:p>
        </w:tc>
        <w:tc>
          <w:tcPr>
            <w:tcW w:w="1319"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eastAsia" w:ascii="Arial"/>
                <w:color w:val="000000" w:themeColor="text1"/>
                <w:lang w:val="en-US" w:eastAsia="zh-CN"/>
                <w14:textFill>
                  <w14:solidFill>
                    <w14:schemeClr w14:val="tx1"/>
                  </w14:solidFill>
                </w14:textFill>
              </w:rPr>
              <w:t>100%</w:t>
            </w:r>
          </w:p>
        </w:tc>
        <w:tc>
          <w:tcPr>
            <w:tcW w:w="1259"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eastAsia" w:ascii="Arial"/>
                <w:color w:val="000000" w:themeColor="text1"/>
                <w:lang w:val="en-US" w:eastAsia="zh-CN"/>
                <w14:textFill>
                  <w14:solidFill>
                    <w14:schemeClr w14:val="tx1"/>
                  </w14:solidFill>
                </w14:textFill>
              </w:rPr>
              <w:t>100%</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29" w:type="dxa"/>
            <w:tcBorders>
              <w:bottom w:val="nil"/>
            </w:tcBorders>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没有复核案件</w:t>
            </w:r>
          </w:p>
        </w:tc>
        <w:tc>
          <w:tcPr>
            <w:tcW w:w="1319"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eastAsia" w:ascii="Arial"/>
                <w:color w:val="000000" w:themeColor="text1"/>
                <w:lang w:val="en-US" w:eastAsia="zh-CN"/>
                <w14:textFill>
                  <w14:solidFill>
                    <w14:schemeClr w14:val="tx1"/>
                  </w14:solidFill>
                </w14:textFill>
              </w:rPr>
              <w:t>公众满意度</w:t>
            </w:r>
          </w:p>
        </w:tc>
        <w:tc>
          <w:tcPr>
            <w:tcW w:w="1259"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default" w:ascii="Arial" w:hAnsi="Arial" w:cs="Arial"/>
                <w:color w:val="000000" w:themeColor="text1"/>
                <w14:textFill>
                  <w14:solidFill>
                    <w14:schemeClr w14:val="tx1"/>
                  </w14:solidFill>
                </w14:textFill>
              </w:rPr>
              <w:t>≥</w:t>
            </w:r>
            <w:r>
              <w:rPr>
                <w:rFonts w:hint="eastAsia" w:ascii="Arial"/>
                <w:color w:val="000000" w:themeColor="text1"/>
                <w:lang w:val="en-US" w:eastAsia="zh-CN"/>
                <w14:textFill>
                  <w14:solidFill>
                    <w14:schemeClr w14:val="tx1"/>
                  </w14:solidFill>
                </w14:textFill>
              </w:rPr>
              <w:t>99.8</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02"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eastAsia" w:ascii="Arial"/>
                <w:color w:val="000000" w:themeColor="text1"/>
                <w:lang w:val="en-US" w:eastAsia="zh-CN"/>
                <w14:textFill>
                  <w14:solidFill>
                    <w14:schemeClr w14:val="tx1"/>
                  </w14:solidFill>
                </w14:textFill>
              </w:rPr>
              <w:t>9.8</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vAlign w:val="center"/>
          </w:tcPr>
          <w:p>
            <w:pPr>
              <w:jc w:val="center"/>
              <w:rPr>
                <w:rFonts w:hint="default" w:ascii="Arial" w:eastAsiaTheme="minorEastAsia"/>
                <w:color w:val="000000" w:themeColor="text1"/>
                <w:lang w:val="en-US" w:eastAsia="zh-CN"/>
                <w14:textFill>
                  <w14:solidFill>
                    <w14:schemeClr w14:val="tx1"/>
                  </w14:solidFill>
                </w14:textFill>
              </w:rPr>
            </w:pPr>
            <w:r>
              <w:rPr>
                <w:rFonts w:hint="eastAsia" w:ascii="Arial"/>
                <w:color w:val="000000" w:themeColor="text1"/>
                <w:lang w:val="en-US" w:eastAsia="zh-CN"/>
                <w14:textFill>
                  <w14:solidFill>
                    <w14:schemeClr w14:val="tx1"/>
                  </w14:solidFill>
                </w14:textFill>
              </w:rPr>
              <w:t>99.8</w:t>
            </w:r>
          </w:p>
        </w:tc>
        <w:tc>
          <w:tcPr>
            <w:tcW w:w="1275" w:type="dxa"/>
            <w:vAlign w:val="center"/>
          </w:tcPr>
          <w:p>
            <w:pPr>
              <w:jc w:val="center"/>
              <w:rPr>
                <w:rFonts w:ascii="Arial"/>
                <w:color w:val="000000" w:themeColor="text1"/>
                <w14:textFill>
                  <w14:solidFill>
                    <w14:schemeClr w14:val="tx1"/>
                  </w14:solidFill>
                </w14:textFill>
              </w:rPr>
            </w:pPr>
          </w:p>
        </w:tc>
      </w:tr>
    </w:tbl>
    <w:p>
      <w:pPr>
        <w:jc w:val="left"/>
        <w:rPr>
          <w:rFonts w:ascii="仿宋" w:hAnsi="仿宋" w:eastAsia="仿宋" w:cs="仿宋"/>
          <w:color w:val="000000" w:themeColor="text1"/>
          <w:sz w:val="22"/>
          <w:szCs w:val="22"/>
          <w14:textFill>
            <w14:solidFill>
              <w14:schemeClr w14:val="tx1"/>
            </w14:solidFill>
          </w14:textFill>
        </w:rPr>
        <w:sectPr>
          <w:pgSz w:w="11906" w:h="16838"/>
          <w:pgMar w:top="1134" w:right="1417" w:bottom="1134" w:left="1134" w:header="851" w:footer="992" w:gutter="0"/>
          <w:cols w:space="0" w:num="1"/>
          <w:docGrid w:type="lines" w:linePitch="312" w:charSpace="0"/>
        </w:sect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9"/>
          <w:sz w:val="22"/>
          <w:szCs w:val="22"/>
          <w:lang w:val="en-US" w:eastAsia="zh-CN"/>
          <w14:textFill>
            <w14:solidFill>
              <w14:schemeClr w14:val="tx1"/>
            </w14:solidFill>
          </w14:textFill>
        </w:rPr>
        <w:t xml:space="preserve">曾志勇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2"/>
          <w:sz w:val="22"/>
          <w:szCs w:val="22"/>
          <w:lang w:val="en-US" w:eastAsia="zh-CN"/>
          <w14:textFill>
            <w14:solidFill>
              <w14:schemeClr w14:val="tx1"/>
            </w14:solidFill>
          </w14:textFill>
        </w:rPr>
        <w:t>15873089898</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3"/>
          <w:sz w:val="22"/>
          <w:szCs w:val="22"/>
          <w:lang w:val="en-US" w:eastAsia="zh-CN"/>
          <w14:textFill>
            <w14:solidFill>
              <w14:schemeClr w14:val="tx1"/>
            </w14:solidFill>
          </w14:textFill>
        </w:rPr>
        <w:t>2023.06.15</w:t>
      </w:r>
      <w:r>
        <w:rPr>
          <w:rFonts w:hint="eastAsia" w:ascii="仿宋" w:hAnsi="仿宋" w:eastAsia="仿宋" w:cs="仿宋"/>
          <w:color w:val="000000" w:themeColor="text1"/>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价格认证</w:t>
      </w:r>
      <w:r>
        <w:rPr>
          <w:rFonts w:hint="eastAsia" w:ascii="方正小标宋简体" w:hAnsi="方正小标宋简体" w:eastAsia="方正小标宋简体" w:cs="方正小标宋简体"/>
          <w:color w:val="000000" w:themeColor="text1"/>
          <w:spacing w:val="2"/>
          <w:sz w:val="44"/>
          <w:szCs w:val="44"/>
          <w:lang w:val="en-US" w:eastAsia="zh-CN"/>
          <w14:textFill>
            <w14:solidFill>
              <w14:schemeClr w14:val="tx1"/>
            </w14:solidFill>
          </w14:textFill>
        </w:rPr>
        <w:t>鉴定</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中心</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整体支出</w:t>
      </w: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2023</w:t>
      </w:r>
      <w:r>
        <w:rPr>
          <w:rFonts w:hint="eastAsia" w:ascii="楷体_GB2312" w:hAnsi="楷体_GB2312" w:eastAsia="楷体_GB2312" w:cs="楷体_GB2312"/>
          <w:color w:val="000000" w:themeColor="text1"/>
          <w:sz w:val="36"/>
          <w:szCs w:val="36"/>
          <w14:textFill>
            <w14:solidFill>
              <w14:schemeClr w14:val="tx1"/>
            </w14:solidFill>
          </w14:textFill>
        </w:rPr>
        <w:t>年</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06</w:t>
      </w:r>
      <w:r>
        <w:rPr>
          <w:rFonts w:hint="eastAsia" w:ascii="楷体_GB2312" w:hAnsi="楷体_GB2312" w:eastAsia="楷体_GB2312" w:cs="楷体_GB2312"/>
          <w:color w:val="000000" w:themeColor="text1"/>
          <w:sz w:val="36"/>
          <w:szCs w:val="36"/>
          <w14:textFill>
            <w14:solidFill>
              <w14:schemeClr w14:val="tx1"/>
            </w14:solidFill>
          </w14:textFill>
        </w:rPr>
        <w:t>月</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15</w:t>
      </w:r>
      <w:r>
        <w:rPr>
          <w:rFonts w:hint="eastAsia" w:ascii="楷体_GB2312" w:hAnsi="楷体_GB2312" w:eastAsia="楷体_GB2312" w:cs="楷体_GB2312"/>
          <w:color w:val="000000" w:themeColor="text1"/>
          <w:sz w:val="36"/>
          <w:szCs w:val="36"/>
          <w14:textFill>
            <w14:solidFill>
              <w14:schemeClr w14:val="tx1"/>
            </w14:solidFill>
          </w14:textFill>
        </w:rPr>
        <w:t>日</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2022年度岳阳楼区</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价格认证</w:t>
      </w:r>
      <w:r>
        <w:rPr>
          <w:rFonts w:hint="eastAsia" w:ascii="方正小标宋简体" w:hAnsi="方正小标宋简体" w:eastAsia="方正小标宋简体" w:cs="方正小标宋简体"/>
          <w:color w:val="000000" w:themeColor="text1"/>
          <w:spacing w:val="2"/>
          <w:sz w:val="44"/>
          <w:szCs w:val="44"/>
          <w:lang w:val="en-US" w:eastAsia="zh-CN"/>
          <w14:textFill>
            <w14:solidFill>
              <w14:schemeClr w14:val="tx1"/>
            </w14:solidFill>
          </w14:textFill>
        </w:rPr>
        <w:t>鉴定</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中心</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pStyle w:val="11"/>
        <w:numPr>
          <w:ilvl w:val="0"/>
          <w:numId w:val="1"/>
        </w:numPr>
        <w:ind w:firstLineChars="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pPr>
        <w:widowControl/>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负责对涉嫌违纪案件，刑事案件，行政诉讼与处罚，行政征收、征用与执法活动，国家赔偿、补偿事项及法律、法规规定的其他情形中，涉及的有行产品、无形资产和各类有偿服务价格不明或有争议的价格进行认定；负责受理社会经济活动中价格行为合理、合法性鉴定认定业务；为政府价格管理和经济决策提供服务；负责受理单位和个人其它涉及价格方面的事务性工作。</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（二）机构设置</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jc w:val="left"/>
        <w:rPr>
          <w:rFonts w:ascii="仿宋" w:hAnsi="仿宋" w:eastAsia="仿宋" w:cs="仿宋_GB2312"/>
          <w:sz w:val="32"/>
          <w:szCs w:val="32"/>
        </w:rPr>
      </w:pPr>
      <w:r>
        <w:rPr>
          <w:rFonts w:hint="eastAsia" w:ascii="仿宋" w:hAnsi="仿宋" w:eastAsia="仿宋" w:cs="仿宋_GB2312"/>
          <w:sz w:val="32"/>
          <w:szCs w:val="32"/>
        </w:rPr>
        <w:t>本部门是政府工作部门，全额拨款事业单位，</w:t>
      </w:r>
      <w:r>
        <w:rPr>
          <w:rFonts w:eastAsia="仿宋_GB2312"/>
          <w:bCs/>
          <w:sz w:val="32"/>
          <w:szCs w:val="32"/>
        </w:rPr>
        <w:t>内设机构包括：</w:t>
      </w:r>
      <w:r>
        <w:rPr>
          <w:rFonts w:ascii="仿宋_GB2312" w:hAnsi="Calibri" w:eastAsia="仿宋_GB2312"/>
          <w:kern w:val="2"/>
          <w:sz w:val="32"/>
          <w:szCs w:val="32"/>
          <w:lang w:val="en-US"/>
        </w:rPr>
        <w:t>办公室、</w:t>
      </w:r>
      <w:r>
        <w:rPr>
          <w:rFonts w:hint="eastAsia" w:ascii="仿宋_GB2312" w:hAnsi="Calibri" w:eastAsia="仿宋_GB2312"/>
          <w:kern w:val="2"/>
          <w:sz w:val="32"/>
          <w:szCs w:val="32"/>
          <w:lang w:val="en-US"/>
        </w:rPr>
        <w:t>价格认定一室</w:t>
      </w:r>
      <w:r>
        <w:rPr>
          <w:rFonts w:ascii="仿宋_GB2312" w:hAnsi="Calibri" w:eastAsia="仿宋_GB2312"/>
          <w:kern w:val="2"/>
          <w:sz w:val="32"/>
          <w:szCs w:val="32"/>
          <w:lang w:val="en-US"/>
        </w:rPr>
        <w:t>、</w:t>
      </w:r>
      <w:r>
        <w:rPr>
          <w:rFonts w:hint="eastAsia" w:ascii="仿宋_GB2312" w:hAnsi="Calibri" w:eastAsia="仿宋_GB2312"/>
          <w:kern w:val="2"/>
          <w:sz w:val="32"/>
          <w:szCs w:val="32"/>
          <w:lang w:val="en-US"/>
        </w:rPr>
        <w:t>价格认定二室</w:t>
      </w:r>
      <w:r>
        <w:rPr>
          <w:rFonts w:ascii="仿宋_GB2312" w:hAnsi="Calibri" w:eastAsia="仿宋_GB2312"/>
          <w:kern w:val="2"/>
          <w:sz w:val="32"/>
          <w:szCs w:val="32"/>
          <w:lang w:val="en-US"/>
        </w:rPr>
        <w:t>。</w:t>
      </w:r>
      <w:r>
        <w:rPr>
          <w:rFonts w:hint="eastAsia" w:ascii="仿宋" w:hAnsi="仿宋" w:eastAsia="仿宋" w:cs="仿宋_GB2312"/>
          <w:sz w:val="32"/>
          <w:szCs w:val="32"/>
        </w:rPr>
        <w:t>本单位共有11人，其中在职人员7人，退休人员4人</w:t>
      </w:r>
      <w:bookmarkStart w:id="0" w:name="_Hlk113550976"/>
      <w:r>
        <w:rPr>
          <w:rFonts w:hint="eastAsia" w:ascii="仿宋" w:hAnsi="仿宋" w:eastAsia="仿宋" w:cs="仿宋_GB2312"/>
          <w:sz w:val="32"/>
          <w:szCs w:val="32"/>
        </w:rPr>
        <w:t>。</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（三）部门预算单位构成</w:t>
      </w:r>
    </w:p>
    <w:bookmarkEnd w:id="0"/>
    <w:p>
      <w:pPr>
        <w:widowControl/>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本单位无下属单位，本次2022年部门预算公开范围仅包含本单位本级。</w:t>
      </w:r>
    </w:p>
    <w:p>
      <w:pPr>
        <w:ind w:firstLine="800" w:firstLineChars="25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基本支出：2022年基本支出年初预算数为91.91万元，其中：人员经费81.11万元，主要包括：基本工资、津贴补贴、奖金、绩效工资、机关事业单位基本养老保险缴费、职业年金缴费、职工基本医疗保险缴费、其他社会保障缴费、住房公积金、退休费、其他对个人和家庭的补助；商品和服务支出10.80万元，主要包括：办公费、水费、电费、工会经费、维修(护)费、公务接待费、其他交通费用、其他商品和服务支出。</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(二)项目支出情况</w:t>
      </w:r>
    </w:p>
    <w:p>
      <w:pPr>
        <w:widowControl/>
        <w:spacing w:line="600" w:lineRule="exact"/>
        <w:ind w:firstLine="660"/>
        <w:jc w:val="left"/>
        <w:rPr>
          <w:rFonts w:ascii="仿宋" w:hAnsi="仿宋" w:eastAsia="仿宋"/>
          <w:sz w:val="32"/>
          <w:szCs w:val="32"/>
        </w:rPr>
      </w:pPr>
      <w:r>
        <w:rPr>
          <w:rFonts w:hint="eastAsia" w:ascii="仿宋" w:hAnsi="仿宋" w:eastAsia="仿宋" w:cs="仿宋_GB2312"/>
          <w:kern w:val="0"/>
          <w:sz w:val="32"/>
          <w:szCs w:val="32"/>
        </w:rPr>
        <w:t>（二）项目支出：2022年项目支出年初预算数为32.00万元，</w:t>
      </w:r>
      <w:r>
        <w:rPr>
          <w:rFonts w:hint="eastAsia" w:ascii="仿宋" w:hAnsi="仿宋" w:eastAsia="仿宋"/>
          <w:sz w:val="32"/>
          <w:szCs w:val="32"/>
        </w:rPr>
        <w:t>其中：业务工作经费支出</w:t>
      </w:r>
      <w:r>
        <w:rPr>
          <w:rFonts w:hint="eastAsia" w:ascii="仿宋" w:hAnsi="仿宋" w:eastAsia="仿宋" w:cs="仿宋_GB2312"/>
          <w:kern w:val="0"/>
          <w:sz w:val="32"/>
          <w:szCs w:val="32"/>
        </w:rPr>
        <w:t>32.00</w:t>
      </w:r>
      <w:r>
        <w:rPr>
          <w:rFonts w:hint="eastAsia" w:ascii="仿宋" w:hAnsi="仿宋" w:eastAsia="仿宋"/>
          <w:sz w:val="32"/>
          <w:szCs w:val="32"/>
        </w:rPr>
        <w:t>万元，</w:t>
      </w:r>
      <w:r>
        <w:rPr>
          <w:rFonts w:hint="eastAsia" w:ascii="仿宋" w:hAnsi="仿宋" w:eastAsia="仿宋" w:cs="仿宋_GB2312"/>
          <w:kern w:val="0"/>
          <w:sz w:val="32"/>
          <w:szCs w:val="32"/>
        </w:rPr>
        <w:t>主要用于部门为完成特定行政工作任务或事业发展目标而发生的支出，包括有关事业发展专项、专项业务费、基本建设支出等，其中：其他发展与改革事务支出32.00万元，主要用于用于涉嫌违纪案件，涉嫌刑事案件，行政诉讼、复议及处罚案件，行政征收、征用及执法活动，国家赔偿、补偿事项等方面</w:t>
      </w:r>
      <w:r>
        <w:rPr>
          <w:rFonts w:ascii="宋体" w:hAnsi="宋体" w:eastAsia="宋体" w:cs="宋体"/>
          <w:color w:val="000000"/>
          <w:sz w:val="32"/>
          <w:szCs w:val="32"/>
          <w:shd w:val="clear" w:color="auto" w:fill="FFFFFF"/>
        </w:rPr>
        <w:t>。</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三、政府性基金预算支出情况</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2022年度本单位无政府性基金安排的支出。</w:t>
      </w:r>
    </w:p>
    <w:p>
      <w:pPr>
        <w:ind w:firstLine="640" w:firstLineChars="20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四、国有资本经营预算支出情况</w:t>
      </w:r>
    </w:p>
    <w:p>
      <w:pPr>
        <w:pStyle w:val="2"/>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本单位无国有资本经营预算支出</w:t>
      </w:r>
    </w:p>
    <w:p>
      <w:pPr>
        <w:ind w:firstLine="640" w:firstLineChars="200"/>
        <w:jc w:val="left"/>
        <w:rPr>
          <w:rFonts w:ascii="黑体" w:hAnsi="黑体" w:eastAsia="黑体" w:cs="黑体"/>
          <w:color w:val="000000" w:themeColor="text1"/>
          <w:sz w:val="32"/>
          <w:szCs w:val="32"/>
          <w14:textFill>
            <w14:solidFill>
              <w14:schemeClr w14:val="tx1"/>
            </w14:solidFill>
          </w14:textFill>
        </w:rPr>
      </w:pPr>
    </w:p>
    <w:p>
      <w:pPr>
        <w:ind w:firstLine="640" w:firstLineChars="20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五、社会保险基金预算支出情况</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仿宋" w:hAnsi="仿宋" w:eastAsia="仿宋"/>
          <w:sz w:val="32"/>
          <w:szCs w:val="32"/>
        </w:rPr>
        <w:t>社会保障和就业支出8.87万元，卫生健康支出2.57万元，住房保障支出6.26万元。</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价格认证中心在局党组的正确领导下、在上级业务主管部门的精心指导下，坚持外树形象，内强素质，以优良的工作作风、认真的工作态度、公正的认定结论，维护了当事人的合法权益，为政府提供了良好的服务，现将2023年度工作汇报如下：</w:t>
      </w:r>
    </w:p>
    <w:p>
      <w:pPr>
        <w:numPr>
          <w:ilvl w:val="0"/>
          <w:numId w:val="2"/>
        </w:numPr>
        <w:spacing w:line="560" w:lineRule="exact"/>
        <w:rPr>
          <w:rFonts w:ascii="仿宋" w:hAnsi="仿宋" w:eastAsia="仿宋" w:cs="Times New Roman"/>
          <w:b/>
          <w:sz w:val="32"/>
          <w:szCs w:val="32"/>
        </w:rPr>
      </w:pPr>
      <w:r>
        <w:rPr>
          <w:rFonts w:hint="eastAsia" w:ascii="仿宋" w:hAnsi="仿宋" w:eastAsia="仿宋" w:cs="Times New Roman"/>
          <w:b/>
          <w:sz w:val="32"/>
          <w:szCs w:val="32"/>
        </w:rPr>
        <w:t>目标任务：</w:t>
      </w:r>
    </w:p>
    <w:p>
      <w:pPr>
        <w:rPr>
          <w:rFonts w:hint="eastAsia"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认证中心目前主要承担岳阳市公安局、岳阳楼区公安局、经开区公安分局涉案物价格认定案件认定业务，中心2022年共完成了公安的涉案认定案件2875起（其中楼区公安分局完成23</w:t>
      </w:r>
      <w:r>
        <w:rPr>
          <w:rFonts w:ascii="仿宋" w:hAnsi="仿宋" w:eastAsia="仿宋" w:cs="Times New Roman"/>
          <w:sz w:val="32"/>
          <w:szCs w:val="32"/>
        </w:rPr>
        <w:t>00</w:t>
      </w:r>
      <w:r>
        <w:rPr>
          <w:rFonts w:hint="eastAsia" w:ascii="仿宋" w:hAnsi="仿宋" w:eastAsia="仿宋" w:cs="Times New Roman"/>
          <w:sz w:val="32"/>
          <w:szCs w:val="32"/>
        </w:rPr>
        <w:t>余起、经开区公安分局4</w:t>
      </w:r>
      <w:r>
        <w:rPr>
          <w:rFonts w:ascii="仿宋" w:hAnsi="仿宋" w:eastAsia="仿宋" w:cs="Times New Roman"/>
          <w:sz w:val="32"/>
          <w:szCs w:val="32"/>
        </w:rPr>
        <w:t>00</w:t>
      </w:r>
      <w:r>
        <w:rPr>
          <w:rFonts w:hint="eastAsia" w:ascii="仿宋" w:hAnsi="仿宋" w:eastAsia="仿宋" w:cs="Times New Roman"/>
          <w:sz w:val="32"/>
          <w:szCs w:val="32"/>
        </w:rPr>
        <w:t>余起），涉及金额570余万元。中心今年将继续配合公检法部门开展涉案物价格认定业务，以公平、公正、科学、效率为原则，服务社会、服务司法、服务政府。</w:t>
      </w:r>
    </w:p>
    <w:p>
      <w:pPr>
        <w:ind w:firstLine="482" w:firstLineChars="150"/>
        <w:rPr>
          <w:rFonts w:ascii="仿宋" w:hAnsi="仿宋" w:eastAsia="仿宋" w:cs="Times New Roman"/>
          <w:sz w:val="32"/>
          <w:szCs w:val="32"/>
        </w:rPr>
      </w:pPr>
      <w:r>
        <w:rPr>
          <w:rFonts w:hint="eastAsia" w:ascii="仿宋" w:hAnsi="仿宋" w:eastAsia="仿宋" w:cs="Times New Roman"/>
          <w:b/>
          <w:sz w:val="32"/>
          <w:szCs w:val="32"/>
        </w:rPr>
        <w:t>二、工作计划</w:t>
      </w:r>
      <w:r>
        <w:rPr>
          <w:rFonts w:hint="eastAsia" w:ascii="仿宋" w:hAnsi="仿宋" w:eastAsia="仿宋" w:cs="Times New Roman"/>
          <w:sz w:val="32"/>
          <w:szCs w:val="32"/>
        </w:rPr>
        <w:t>：</w:t>
      </w:r>
    </w:p>
    <w:p>
      <w:pPr>
        <w:ind w:firstLine="480" w:firstLineChars="150"/>
        <w:rPr>
          <w:rFonts w:hint="eastAsia"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1</w:t>
      </w:r>
      <w:r>
        <w:rPr>
          <w:rFonts w:hint="eastAsia" w:ascii="仿宋" w:hAnsi="仿宋" w:eastAsia="仿宋" w:cs="Times New Roman"/>
          <w:sz w:val="32"/>
          <w:szCs w:val="32"/>
        </w:rPr>
        <w:t>、积极认真的抓好各种学习，提高团队的专业素养。（1）、安排工作人员参加各种价格认定知识培训课程和活动，提高工作人员的知识水平，丰富知识结构，确保可以将所学的内容科学运用到实际工作中；（</w:t>
      </w:r>
      <w:r>
        <w:rPr>
          <w:rFonts w:ascii="仿宋" w:hAnsi="仿宋" w:eastAsia="仿宋" w:cs="Times New Roman"/>
          <w:sz w:val="32"/>
          <w:szCs w:val="32"/>
        </w:rPr>
        <w:t>2</w:t>
      </w:r>
      <w:r>
        <w:rPr>
          <w:rFonts w:hint="eastAsia" w:ascii="仿宋" w:hAnsi="仿宋" w:eastAsia="仿宋" w:cs="Times New Roman"/>
          <w:sz w:val="32"/>
          <w:szCs w:val="32"/>
        </w:rPr>
        <w:t>）、加强价格认定业务平台的学习和实践，从点到面，</w:t>
      </w:r>
      <w:r>
        <w:rPr>
          <w:rFonts w:ascii="仿宋" w:hAnsi="仿宋" w:eastAsia="仿宋" w:cs="Times New Roman"/>
          <w:sz w:val="32"/>
          <w:szCs w:val="32"/>
        </w:rPr>
        <w:t>以练代训，用真实案例进行</w:t>
      </w:r>
      <w:r>
        <w:rPr>
          <w:rFonts w:hint="eastAsia" w:ascii="仿宋" w:hAnsi="仿宋" w:eastAsia="仿宋" w:cs="Times New Roman"/>
          <w:sz w:val="32"/>
          <w:szCs w:val="32"/>
        </w:rPr>
        <w:t>上机</w:t>
      </w:r>
      <w:r>
        <w:rPr>
          <w:rFonts w:ascii="仿宋" w:hAnsi="仿宋" w:eastAsia="仿宋" w:cs="Times New Roman"/>
          <w:sz w:val="32"/>
          <w:szCs w:val="32"/>
        </w:rPr>
        <w:t>操练，在实际操作中发现难点问题，确保中心人员能够熟练掌握和应用平台系统操作。</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、完善价格认定的程序，协助好各执法部门及行政部门的价格认定工作，以涉案价格认定工作为重点，严要求、严标准，公正、客观做好价格认定工作。</w:t>
      </w:r>
    </w:p>
    <w:p>
      <w:pPr>
        <w:ind w:firstLine="640" w:firstLineChars="200"/>
        <w:rPr>
          <w:rFonts w:hint="eastAsia"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加强队伍管理，抓好作风纪律，严格考勤制度，明确重大疑难案件集体审议制度、学习制度、文档管理制度、廉政勤政制度等，全面提高办案质量。同时，学习和借鉴兄弟县市区的好做法、好经验，不断推动工作更上一层楼。</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八、下一步改进措施</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九、部门整体支出绩效自评结果拟应用和公开情况</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其他需要说明的情况</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报告需要以下附件：</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1、部门整体支出绩效评价基础数据表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2、部门整体支出绩效自评表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4、政府性基金预算支出情况表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5、国有资本经营预算支出情况表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6、社会保险基金预算支出情况表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spacing w:before="169" w:line="776" w:lineRule="exact"/>
        <w:ind w:left="372"/>
        <w:rPr>
          <w:rFonts w:ascii="宋体" w:hAnsi="宋体" w:eastAsia="宋体" w:cs="宋体"/>
          <w:b/>
          <w:bCs/>
          <w:color w:val="000000" w:themeColor="text1"/>
          <w:spacing w:val="19"/>
          <w:position w:val="17"/>
          <w:sz w:val="36"/>
          <w:szCs w:val="36"/>
          <w14:textFill>
            <w14:solidFill>
              <w14:schemeClr w14:val="tx1"/>
            </w14:solidFill>
          </w14:textFill>
        </w:rPr>
        <w:sectPr>
          <w:pgSz w:w="11906" w:h="16838"/>
          <w:pgMar w:top="1701" w:right="1701" w:bottom="1701" w:left="1701" w:header="851" w:footer="992" w:gutter="0"/>
          <w:cols w:space="0" w:num="1"/>
          <w:docGrid w:type="lines" w:linePitch="312" w:charSpace="0"/>
        </w:sectPr>
      </w:pP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214"/>
        <w:gridCol w:w="917"/>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9"/>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价格认定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主管部门</w:t>
            </w:r>
          </w:p>
        </w:tc>
        <w:tc>
          <w:tcPr>
            <w:tcW w:w="4520" w:type="dxa"/>
            <w:gridSpan w:val="5"/>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发展和改革局</w:t>
            </w:r>
          </w:p>
        </w:tc>
        <w:tc>
          <w:tcPr>
            <w:tcW w:w="1140" w:type="dxa"/>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实施单位</w:t>
            </w:r>
          </w:p>
        </w:tc>
        <w:tc>
          <w:tcPr>
            <w:tcW w:w="2845" w:type="dxa"/>
            <w:gridSpan w:val="3"/>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14:textFill>
                  <w14:solidFill>
                    <w14:schemeClr w14:val="tx1"/>
                  </w14:solidFill>
                </w14:textFill>
              </w:rPr>
            </w:pPr>
          </w:p>
          <w:p>
            <w:pPr>
              <w:spacing w:line="255" w:lineRule="auto"/>
              <w:jc w:val="center"/>
              <w:rPr>
                <w:rFonts w:ascii="Arial"/>
                <w:color w:val="000000" w:themeColor="text1"/>
                <w:szCs w:val="21"/>
                <w14:textFill>
                  <w14:solidFill>
                    <w14:schemeClr w14:val="tx1"/>
                  </w14:solidFill>
                </w14:textFill>
              </w:rPr>
            </w:pP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项目资金</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(万元)</w:t>
            </w:r>
          </w:p>
        </w:tc>
        <w:tc>
          <w:tcPr>
            <w:tcW w:w="2160" w:type="dxa"/>
            <w:gridSpan w:val="2"/>
            <w:vAlign w:val="center"/>
          </w:tcPr>
          <w:p>
            <w:pPr>
              <w:spacing w:line="300" w:lineRule="exact"/>
              <w:jc w:val="center"/>
              <w:rPr>
                <w:rFonts w:ascii="Arial"/>
                <w:color w:val="000000" w:themeColor="text1"/>
                <w:szCs w:val="21"/>
                <w14:textFill>
                  <w14:solidFill>
                    <w14:schemeClr w14:val="tx1"/>
                  </w14:solidFill>
                </w14:textFill>
              </w:rPr>
            </w:pP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31" w:type="dxa"/>
            <w:gridSpan w:val="2"/>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执行数</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29" w:type="dxa"/>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32</w:t>
            </w:r>
          </w:p>
        </w:tc>
        <w:tc>
          <w:tcPr>
            <w:tcW w:w="1131" w:type="dxa"/>
            <w:gridSpan w:val="2"/>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32</w:t>
            </w:r>
          </w:p>
        </w:tc>
        <w:tc>
          <w:tcPr>
            <w:tcW w:w="1140" w:type="dxa"/>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32</w:t>
            </w:r>
          </w:p>
        </w:tc>
        <w:tc>
          <w:tcPr>
            <w:tcW w:w="685" w:type="dxa"/>
            <w:vAlign w:val="center"/>
          </w:tcPr>
          <w:p>
            <w:pPr>
              <w:spacing w:line="165"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
                <w:szCs w:val="21"/>
                <w14:textFill>
                  <w14:solidFill>
                    <w14:schemeClr w14:val="tx1"/>
                  </w14:solidFill>
                </w14:textFill>
              </w:rPr>
              <w:t>10</w:t>
            </w:r>
          </w:p>
        </w:tc>
        <w:tc>
          <w:tcPr>
            <w:tcW w:w="795" w:type="dxa"/>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100%</w:t>
            </w:r>
          </w:p>
        </w:tc>
        <w:tc>
          <w:tcPr>
            <w:tcW w:w="1365" w:type="dxa"/>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其中：当年财政拨款</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gridSpan w:val="2"/>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上年结转资金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gridSpan w:val="2"/>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其他资金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gridSpan w:val="2"/>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年度总体</w:t>
            </w:r>
          </w:p>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目标</w:t>
            </w:r>
          </w:p>
        </w:tc>
        <w:tc>
          <w:tcPr>
            <w:tcW w:w="4520" w:type="dxa"/>
            <w:gridSpan w:val="5"/>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985" w:type="dxa"/>
            <w:gridSpan w:val="4"/>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4520" w:type="dxa"/>
            <w:gridSpan w:val="5"/>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 w:val="20"/>
                <w14:textFill>
                  <w14:solidFill>
                    <w14:schemeClr w14:val="tx1"/>
                  </w14:solidFill>
                </w14:textFill>
              </w:rPr>
              <w:t>价格认证中心在局党组的正确领导下、在上级业务主管部门的精心指导下，坚持外树形象，内强素质，以优良的工作作风、认真的工作态度、公正的认定结论，维护了当事人的合法权益，为政府提供了良好的服务，认证中心目前主要承担岳阳市公安局、岳阳楼区公安局、经开区公安分局涉案物价格认定案件认定业务。</w:t>
            </w:r>
          </w:p>
        </w:tc>
        <w:tc>
          <w:tcPr>
            <w:tcW w:w="3985" w:type="dxa"/>
            <w:gridSpan w:val="4"/>
            <w:vAlign w:val="center"/>
          </w:tcPr>
          <w:p>
            <w:pPr>
              <w:spacing w:line="240"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认证中心目前主要承担岳阳市公安局、岳阳楼区公安局、经开区公安分局涉案物价格认定案件认定业务，中心2022年共完成了公安的涉案认定案件2875起（其中楼区公安分局完成23</w:t>
            </w:r>
            <w:r>
              <w:rPr>
                <w:rFonts w:ascii="Arial"/>
                <w:color w:val="000000" w:themeColor="text1"/>
                <w:sz w:val="20"/>
                <w14:textFill>
                  <w14:solidFill>
                    <w14:schemeClr w14:val="tx1"/>
                  </w14:solidFill>
                </w14:textFill>
              </w:rPr>
              <w:t>00</w:t>
            </w:r>
            <w:r>
              <w:rPr>
                <w:rFonts w:hint="eastAsia" w:ascii="Arial"/>
                <w:color w:val="000000" w:themeColor="text1"/>
                <w:sz w:val="20"/>
                <w14:textFill>
                  <w14:solidFill>
                    <w14:schemeClr w14:val="tx1"/>
                  </w14:solidFill>
                </w14:textFill>
              </w:rPr>
              <w:t>余起、经开区公安分局4</w:t>
            </w:r>
            <w:r>
              <w:rPr>
                <w:rFonts w:ascii="Arial"/>
                <w:color w:val="000000" w:themeColor="text1"/>
                <w:sz w:val="20"/>
                <w14:textFill>
                  <w14:solidFill>
                    <w14:schemeClr w14:val="tx1"/>
                  </w14:solidFill>
                </w14:textFill>
              </w:rPr>
              <w:t>00</w:t>
            </w:r>
            <w:r>
              <w:rPr>
                <w:rFonts w:hint="eastAsia" w:ascii="Arial"/>
                <w:color w:val="000000" w:themeColor="text1"/>
                <w:sz w:val="20"/>
                <w14:textFill>
                  <w14:solidFill>
                    <w14:schemeClr w14:val="tx1"/>
                  </w14:solidFill>
                </w14:textFill>
              </w:rPr>
              <w:t>余起），涉及金额570余万元。中心今年将继续配合公检法部门开展涉案物价格认定业务，以公平、公正、科学、效率为原则，服务社会、服务司法、服务政府。</w:t>
            </w:r>
          </w:p>
          <w:p>
            <w:pPr>
              <w:spacing w:line="24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效</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指</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443" w:type="dxa"/>
            <w:gridSpan w:val="2"/>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917"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指标值</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完成值</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365" w:type="dxa"/>
            <w:vAlign w:val="center"/>
          </w:tcPr>
          <w:p>
            <w:pPr>
              <w:spacing w:line="240" w:lineRule="exact"/>
              <w:ind w:hanging="99"/>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56"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50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2"/>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(50分)</w:t>
            </w: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数量指标</w:t>
            </w:r>
          </w:p>
        </w:tc>
        <w:tc>
          <w:tcPr>
            <w:tcW w:w="1443" w:type="dxa"/>
            <w:gridSpan w:val="2"/>
            <w:vAlign w:val="center"/>
          </w:tcPr>
          <w:p>
            <w:pPr>
              <w:spacing w:line="21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2875</w:t>
            </w:r>
          </w:p>
        </w:tc>
        <w:tc>
          <w:tcPr>
            <w:tcW w:w="917" w:type="dxa"/>
            <w:vAlign w:val="center"/>
          </w:tcPr>
          <w:p>
            <w:pPr>
              <w:spacing w:line="21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2875</w:t>
            </w:r>
          </w:p>
        </w:tc>
        <w:tc>
          <w:tcPr>
            <w:tcW w:w="1140" w:type="dxa"/>
            <w:vAlign w:val="center"/>
          </w:tcPr>
          <w:p>
            <w:pPr>
              <w:spacing w:line="21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100%</w:t>
            </w:r>
          </w:p>
        </w:tc>
        <w:tc>
          <w:tcPr>
            <w:tcW w:w="685" w:type="dxa"/>
            <w:vAlign w:val="center"/>
          </w:tcPr>
          <w:p>
            <w:pPr>
              <w:spacing w:line="21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20</w:t>
            </w:r>
          </w:p>
        </w:tc>
        <w:tc>
          <w:tcPr>
            <w:tcW w:w="795" w:type="dxa"/>
            <w:vAlign w:val="center"/>
          </w:tcPr>
          <w:p>
            <w:pPr>
              <w:spacing w:line="21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20</w:t>
            </w:r>
          </w:p>
        </w:tc>
        <w:tc>
          <w:tcPr>
            <w:tcW w:w="1365" w:type="dxa"/>
            <w:vAlign w:val="center"/>
          </w:tcPr>
          <w:p>
            <w:pPr>
              <w:spacing w:line="21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质量指标</w:t>
            </w:r>
          </w:p>
        </w:tc>
        <w:tc>
          <w:tcPr>
            <w:tcW w:w="1443" w:type="dxa"/>
            <w:gridSpan w:val="2"/>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公平公正</w:t>
            </w:r>
          </w:p>
        </w:tc>
        <w:tc>
          <w:tcPr>
            <w:tcW w:w="917" w:type="dxa"/>
            <w:vAlign w:val="center"/>
          </w:tcPr>
          <w:p>
            <w:pPr>
              <w:spacing w:line="23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100%</w:t>
            </w:r>
          </w:p>
        </w:tc>
        <w:tc>
          <w:tcPr>
            <w:tcW w:w="1140" w:type="dxa"/>
            <w:vAlign w:val="center"/>
          </w:tcPr>
          <w:p>
            <w:pPr>
              <w:spacing w:line="23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100%</w:t>
            </w:r>
          </w:p>
        </w:tc>
        <w:tc>
          <w:tcPr>
            <w:tcW w:w="68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1443" w:type="dxa"/>
            <w:gridSpan w:val="2"/>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按时完成</w:t>
            </w:r>
          </w:p>
        </w:tc>
        <w:tc>
          <w:tcPr>
            <w:tcW w:w="917" w:type="dxa"/>
            <w:vAlign w:val="center"/>
          </w:tcPr>
          <w:p>
            <w:pPr>
              <w:spacing w:line="239"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年底完成</w:t>
            </w:r>
          </w:p>
        </w:tc>
        <w:tc>
          <w:tcPr>
            <w:tcW w:w="1140" w:type="dxa"/>
            <w:vAlign w:val="center"/>
          </w:tcPr>
          <w:p>
            <w:pPr>
              <w:spacing w:line="239"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100%</w:t>
            </w:r>
          </w:p>
        </w:tc>
        <w:tc>
          <w:tcPr>
            <w:tcW w:w="685" w:type="dxa"/>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成本指标</w:t>
            </w:r>
          </w:p>
        </w:tc>
        <w:tc>
          <w:tcPr>
            <w:tcW w:w="1443" w:type="dxa"/>
            <w:gridSpan w:val="2"/>
            <w:vAlign w:val="center"/>
          </w:tcPr>
          <w:p>
            <w:pPr>
              <w:spacing w:line="22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32万元</w:t>
            </w:r>
          </w:p>
        </w:tc>
        <w:tc>
          <w:tcPr>
            <w:tcW w:w="917" w:type="dxa"/>
            <w:vAlign w:val="center"/>
          </w:tcPr>
          <w:p>
            <w:pPr>
              <w:spacing w:line="22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资金到位</w:t>
            </w:r>
          </w:p>
        </w:tc>
        <w:tc>
          <w:tcPr>
            <w:tcW w:w="1140" w:type="dxa"/>
            <w:vAlign w:val="center"/>
          </w:tcPr>
          <w:p>
            <w:pPr>
              <w:spacing w:line="22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100%</w:t>
            </w:r>
          </w:p>
        </w:tc>
        <w:tc>
          <w:tcPr>
            <w:tcW w:w="685" w:type="dxa"/>
            <w:vAlign w:val="center"/>
          </w:tcPr>
          <w:p>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300"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4"/>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43" w:type="dxa"/>
            <w:gridSpan w:val="2"/>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创造好的营商环境</w:t>
            </w:r>
          </w:p>
        </w:tc>
        <w:tc>
          <w:tcPr>
            <w:tcW w:w="917" w:type="dxa"/>
            <w:vAlign w:val="center"/>
          </w:tcPr>
          <w:p>
            <w:pPr>
              <w:spacing w:line="239" w:lineRule="exact"/>
              <w:jc w:val="center"/>
              <w:rPr>
                <w:rFonts w:ascii="Arial"/>
                <w:color w:val="000000" w:themeColor="text1"/>
                <w:szCs w:val="21"/>
                <w14:textFill>
                  <w14:solidFill>
                    <w14:schemeClr w14:val="tx1"/>
                  </w14:solidFill>
                </w14:textFill>
              </w:rPr>
            </w:pPr>
          </w:p>
        </w:tc>
        <w:tc>
          <w:tcPr>
            <w:tcW w:w="1140" w:type="dxa"/>
            <w:vAlign w:val="center"/>
          </w:tcPr>
          <w:p>
            <w:pPr>
              <w:spacing w:line="239" w:lineRule="exact"/>
              <w:jc w:val="center"/>
              <w:rPr>
                <w:rFonts w:ascii="Arial"/>
                <w:color w:val="000000" w:themeColor="text1"/>
                <w:szCs w:val="21"/>
                <w14:textFill>
                  <w14:solidFill>
                    <w14:schemeClr w14:val="tx1"/>
                  </w14:solidFill>
                </w14:textFill>
              </w:rPr>
            </w:pPr>
          </w:p>
        </w:tc>
        <w:tc>
          <w:tcPr>
            <w:tcW w:w="685" w:type="dxa"/>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43" w:type="dxa"/>
            <w:gridSpan w:val="2"/>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打击犯罪</w:t>
            </w:r>
          </w:p>
        </w:tc>
        <w:tc>
          <w:tcPr>
            <w:tcW w:w="917" w:type="dxa"/>
            <w:vAlign w:val="center"/>
          </w:tcPr>
          <w:p>
            <w:pPr>
              <w:spacing w:line="230" w:lineRule="exact"/>
              <w:jc w:val="center"/>
              <w:rPr>
                <w:rFonts w:hint="default" w:ascii="Arial" w:eastAsiaTheme="minorEastAsia"/>
                <w:color w:val="000000" w:themeColor="text1"/>
                <w:szCs w:val="21"/>
                <w:lang w:val="en-US" w:eastAsia="zh-CN"/>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43" w:type="dxa"/>
            <w:gridSpan w:val="2"/>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打造生态环境</w:t>
            </w:r>
          </w:p>
        </w:tc>
        <w:tc>
          <w:tcPr>
            <w:tcW w:w="917"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5</w:t>
            </w:r>
          </w:p>
        </w:tc>
        <w:tc>
          <w:tcPr>
            <w:tcW w:w="79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5</w:t>
            </w: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可持续</w:t>
            </w:r>
          </w:p>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影响指标</w:t>
            </w:r>
          </w:p>
        </w:tc>
        <w:tc>
          <w:tcPr>
            <w:tcW w:w="1443" w:type="dxa"/>
            <w:gridSpan w:val="2"/>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保持业务水平</w:t>
            </w:r>
          </w:p>
        </w:tc>
        <w:tc>
          <w:tcPr>
            <w:tcW w:w="917"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5</w:t>
            </w:r>
          </w:p>
        </w:tc>
        <w:tc>
          <w:tcPr>
            <w:tcW w:w="795" w:type="dxa"/>
            <w:vAlign w:val="center"/>
          </w:tcPr>
          <w:p>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5</w:t>
            </w: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服务对象</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tc>
        <w:tc>
          <w:tcPr>
            <w:tcW w:w="1443" w:type="dxa"/>
            <w:gridSpan w:val="2"/>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无复核案件</w:t>
            </w:r>
          </w:p>
        </w:tc>
        <w:tc>
          <w:tcPr>
            <w:tcW w:w="917" w:type="dxa"/>
            <w:vAlign w:val="center"/>
          </w:tcPr>
          <w:p>
            <w:pPr>
              <w:spacing w:line="24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公众满意度</w:t>
            </w:r>
          </w:p>
        </w:tc>
        <w:tc>
          <w:tcPr>
            <w:tcW w:w="1140" w:type="dxa"/>
            <w:vAlign w:val="center"/>
          </w:tcPr>
          <w:p>
            <w:pPr>
              <w:spacing w:line="240" w:lineRule="exact"/>
              <w:jc w:val="center"/>
              <w:rPr>
                <w:rFonts w:hint="default" w:ascii="Arial" w:eastAsiaTheme="minorEastAsia"/>
                <w:color w:val="000000" w:themeColor="text1"/>
                <w:szCs w:val="21"/>
                <w:lang w:val="en-US" w:eastAsia="zh-CN"/>
                <w14:textFill>
                  <w14:solidFill>
                    <w14:schemeClr w14:val="tx1"/>
                  </w14:solidFill>
                </w14:textFill>
              </w:rPr>
            </w:pPr>
            <w:r>
              <w:rPr>
                <w:rFonts w:hint="default" w:ascii="Arial" w:hAnsi="Arial" w:cs="Arial"/>
                <w:color w:val="000000" w:themeColor="text1"/>
                <w:szCs w:val="21"/>
                <w14:textFill>
                  <w14:solidFill>
                    <w14:schemeClr w14:val="tx1"/>
                  </w14:solidFill>
                </w14:textFill>
              </w:rPr>
              <w:t>≥</w:t>
            </w:r>
            <w:r>
              <w:rPr>
                <w:rFonts w:hint="eastAsia" w:ascii="Arial"/>
                <w:color w:val="000000" w:themeColor="text1"/>
                <w:szCs w:val="21"/>
                <w:lang w:val="en-US" w:eastAsia="zh-CN"/>
                <w14:textFill>
                  <w14:solidFill>
                    <w14:schemeClr w14:val="tx1"/>
                  </w14:solidFill>
                </w14:textFill>
              </w:rPr>
              <w:t>99.8</w:t>
            </w:r>
          </w:p>
        </w:tc>
        <w:tc>
          <w:tcPr>
            <w:tcW w:w="685" w:type="dxa"/>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10</w:t>
            </w:r>
          </w:p>
        </w:tc>
        <w:tc>
          <w:tcPr>
            <w:tcW w:w="795" w:type="dxa"/>
            <w:vAlign w:val="center"/>
          </w:tcPr>
          <w:p>
            <w:pPr>
              <w:spacing w:line="240" w:lineRule="exact"/>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9.8</w:t>
            </w:r>
          </w:p>
        </w:tc>
        <w:tc>
          <w:tcPr>
            <w:tcW w:w="1365" w:type="dxa"/>
            <w:vAlign w:val="center"/>
          </w:tcPr>
          <w:p>
            <w:pPr>
              <w:spacing w:line="24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7"/>
            <w:vAlign w:val="center"/>
          </w:tcPr>
          <w:p>
            <w:pPr>
              <w:spacing w:line="260" w:lineRule="exact"/>
              <w:ind w:firstLine="314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总分</w:t>
            </w:r>
          </w:p>
        </w:tc>
        <w:tc>
          <w:tcPr>
            <w:tcW w:w="685" w:type="dxa"/>
            <w:vAlign w:val="center"/>
          </w:tcPr>
          <w:p>
            <w:pPr>
              <w:spacing w:line="16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795" w:type="dxa"/>
            <w:vAlign w:val="center"/>
          </w:tcPr>
          <w:p>
            <w:pPr>
              <w:jc w:val="center"/>
              <w:rPr>
                <w:rFonts w:hint="default" w:ascii="Arial" w:eastAsiaTheme="minorEastAsia"/>
                <w:color w:val="000000" w:themeColor="text1"/>
                <w:szCs w:val="21"/>
                <w:lang w:val="en-US" w:eastAsia="zh-CN"/>
                <w14:textFill>
                  <w14:solidFill>
                    <w14:schemeClr w14:val="tx1"/>
                  </w14:solidFill>
                </w14:textFill>
              </w:rPr>
            </w:pPr>
            <w:r>
              <w:rPr>
                <w:rFonts w:hint="eastAsia" w:ascii="Arial"/>
                <w:color w:val="000000" w:themeColor="text1"/>
                <w:szCs w:val="21"/>
                <w:lang w:val="en-US" w:eastAsia="zh-CN"/>
                <w14:textFill>
                  <w14:solidFill>
                    <w14:schemeClr w14:val="tx1"/>
                  </w14:solidFill>
                </w14:textFill>
              </w:rPr>
              <w:t>99.8</w:t>
            </w:r>
          </w:p>
        </w:tc>
        <w:tc>
          <w:tcPr>
            <w:tcW w:w="1365" w:type="dxa"/>
            <w:vAlign w:val="center"/>
          </w:tcPr>
          <w:p>
            <w:pPr>
              <w:jc w:val="center"/>
              <w:rPr>
                <w:rFonts w:ascii="Arial"/>
                <w:color w:val="000000" w:themeColor="text1"/>
                <w:szCs w:val="21"/>
                <w14:textFill>
                  <w14:solidFill>
                    <w14:schemeClr w14:val="tx1"/>
                  </w14:solidFill>
                </w14:textFill>
              </w:rPr>
            </w:pPr>
          </w:p>
        </w:tc>
      </w:tr>
    </w:tbl>
    <w:p>
      <w:pPr>
        <w:spacing w:line="252" w:lineRule="auto"/>
        <w:rPr>
          <w:rFonts w:ascii="Arial"/>
          <w:color w:val="000000" w:themeColor="text1"/>
          <w14:textFill>
            <w14:solidFill>
              <w14:schemeClr w14:val="tx1"/>
            </w14:solidFill>
          </w14:textFill>
        </w:rPr>
      </w:pPr>
    </w:p>
    <w:p>
      <w:pPr>
        <w:spacing w:before="75" w:line="230" w:lineRule="auto"/>
        <w:rPr>
          <w:rFonts w:ascii="仿宋_GB2312" w:hAnsi="仿宋_GB2312" w:eastAsia="仿宋_GB2312" w:cs="仿宋_GB2312"/>
          <w:color w:val="000000" w:themeColor="text1"/>
          <w:sz w:val="32"/>
          <w:szCs w:val="32"/>
          <w14:textFill>
            <w14:solidFill>
              <w14:schemeClr w14:val="tx1"/>
            </w14:solidFill>
          </w14:textFill>
        </w:rPr>
        <w:sectPr>
          <w:pgSz w:w="11906" w:h="16838"/>
          <w:pgMar w:top="1134" w:right="1417" w:bottom="1134" w:left="1417" w:header="851" w:footer="992" w:gutter="0"/>
          <w:cols w:space="0" w:num="1"/>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曾志勇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15873089898</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14:textFill>
            <w14:solidFill>
              <w14:schemeClr w14:val="tx1"/>
            </w14:solidFill>
          </w14:textFill>
        </w:rPr>
        <w:t xml:space="preserve">       </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hint="eastAsia" w:ascii="仿宋" w:hAnsi="仿宋" w:eastAsia="仿宋" w:cs="仿宋"/>
          <w:color w:val="000000" w:themeColor="text1"/>
          <w:spacing w:val="-26"/>
          <w:sz w:val="23"/>
          <w:szCs w:val="23"/>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hint="eastAsia" w:ascii="仿宋" w:hAnsi="仿宋" w:eastAsia="仿宋" w:cs="仿宋"/>
          <w:color w:val="000000" w:themeColor="text1"/>
          <w:spacing w:val="-26"/>
          <w:sz w:val="23"/>
          <w:szCs w:val="23"/>
          <w:lang w:val="en-US" w:eastAsia="zh-CN"/>
          <w14:textFill>
            <w14:solidFill>
              <w14:schemeClr w14:val="tx1"/>
            </w14:solidFill>
          </w14:textFill>
        </w:rPr>
        <w:t>2023.06.15</w:t>
      </w:r>
      <w:r>
        <w:rPr>
          <w:rFonts w:ascii="仿宋" w:hAnsi="仿宋" w:eastAsia="仿宋" w:cs="仿宋"/>
          <w:color w:val="000000" w:themeColor="text1"/>
          <w:spacing w:val="4"/>
          <w:sz w:val="23"/>
          <w:szCs w:val="23"/>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99</w:t>
            </w:r>
          </w:p>
        </w:tc>
      </w:tr>
    </w:tbl>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822FA"/>
    <w:multiLevelType w:val="multilevel"/>
    <w:tmpl w:val="2C7822F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73574E9"/>
    <w:multiLevelType w:val="multilevel"/>
    <w:tmpl w:val="473574E9"/>
    <w:lvl w:ilvl="0" w:tentative="0">
      <w:start w:val="1"/>
      <w:numFmt w:val="japaneseCounting"/>
      <w:lvlText w:val="%1、"/>
      <w:lvlJc w:val="left"/>
      <w:pPr>
        <w:tabs>
          <w:tab w:val="left" w:pos="1470"/>
        </w:tabs>
        <w:ind w:left="1470" w:hanging="720"/>
      </w:pPr>
      <w:rPr>
        <w:rFonts w:hint="default" w:cs="Times New Roman"/>
        <w:b/>
      </w:rPr>
    </w:lvl>
    <w:lvl w:ilvl="1" w:tentative="0">
      <w:start w:val="1"/>
      <w:numFmt w:val="lowerLetter"/>
      <w:lvlText w:val="%2)"/>
      <w:lvlJc w:val="left"/>
      <w:pPr>
        <w:tabs>
          <w:tab w:val="left" w:pos="1590"/>
        </w:tabs>
        <w:ind w:left="1590" w:hanging="420"/>
      </w:pPr>
      <w:rPr>
        <w:rFonts w:cs="Times New Roman"/>
      </w:rPr>
    </w:lvl>
    <w:lvl w:ilvl="2" w:tentative="0">
      <w:start w:val="1"/>
      <w:numFmt w:val="lowerRoman"/>
      <w:lvlText w:val="%3."/>
      <w:lvlJc w:val="right"/>
      <w:pPr>
        <w:tabs>
          <w:tab w:val="left" w:pos="2010"/>
        </w:tabs>
        <w:ind w:left="2010" w:hanging="420"/>
      </w:pPr>
      <w:rPr>
        <w:rFonts w:cs="Times New Roman"/>
      </w:rPr>
    </w:lvl>
    <w:lvl w:ilvl="3" w:tentative="0">
      <w:start w:val="1"/>
      <w:numFmt w:val="decimal"/>
      <w:lvlText w:val="%4."/>
      <w:lvlJc w:val="left"/>
      <w:pPr>
        <w:tabs>
          <w:tab w:val="left" w:pos="2430"/>
        </w:tabs>
        <w:ind w:left="2430" w:hanging="420"/>
      </w:pPr>
      <w:rPr>
        <w:rFonts w:cs="Times New Roman"/>
      </w:rPr>
    </w:lvl>
    <w:lvl w:ilvl="4" w:tentative="0">
      <w:start w:val="1"/>
      <w:numFmt w:val="lowerLetter"/>
      <w:lvlText w:val="%5)"/>
      <w:lvlJc w:val="left"/>
      <w:pPr>
        <w:tabs>
          <w:tab w:val="left" w:pos="2850"/>
        </w:tabs>
        <w:ind w:left="2850" w:hanging="420"/>
      </w:pPr>
      <w:rPr>
        <w:rFonts w:cs="Times New Roman"/>
      </w:rPr>
    </w:lvl>
    <w:lvl w:ilvl="5" w:tentative="0">
      <w:start w:val="1"/>
      <w:numFmt w:val="lowerRoman"/>
      <w:lvlText w:val="%6."/>
      <w:lvlJc w:val="right"/>
      <w:pPr>
        <w:tabs>
          <w:tab w:val="left" w:pos="3270"/>
        </w:tabs>
        <w:ind w:left="3270" w:hanging="420"/>
      </w:pPr>
      <w:rPr>
        <w:rFonts w:cs="Times New Roman"/>
      </w:rPr>
    </w:lvl>
    <w:lvl w:ilvl="6" w:tentative="0">
      <w:start w:val="1"/>
      <w:numFmt w:val="decimal"/>
      <w:lvlText w:val="%7."/>
      <w:lvlJc w:val="left"/>
      <w:pPr>
        <w:tabs>
          <w:tab w:val="left" w:pos="3690"/>
        </w:tabs>
        <w:ind w:left="3690" w:hanging="420"/>
      </w:pPr>
      <w:rPr>
        <w:rFonts w:cs="Times New Roman"/>
      </w:rPr>
    </w:lvl>
    <w:lvl w:ilvl="7" w:tentative="0">
      <w:start w:val="1"/>
      <w:numFmt w:val="lowerLetter"/>
      <w:lvlText w:val="%8)"/>
      <w:lvlJc w:val="left"/>
      <w:pPr>
        <w:tabs>
          <w:tab w:val="left" w:pos="4110"/>
        </w:tabs>
        <w:ind w:left="4110" w:hanging="420"/>
      </w:pPr>
      <w:rPr>
        <w:rFonts w:cs="Times New Roman"/>
      </w:rPr>
    </w:lvl>
    <w:lvl w:ilvl="8" w:tentative="0">
      <w:start w:val="1"/>
      <w:numFmt w:val="lowerRoman"/>
      <w:lvlText w:val="%9."/>
      <w:lvlJc w:val="right"/>
      <w:pPr>
        <w:tabs>
          <w:tab w:val="left" w:pos="4530"/>
        </w:tabs>
        <w:ind w:left="453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 w:name="KSO_WPS_MARK_KEY" w:val="8391d755-deed-493f-bb64-2291dd742342"/>
  </w:docVars>
  <w:rsids>
    <w:rsidRoot w:val="53FC3987"/>
    <w:rsid w:val="000A3765"/>
    <w:rsid w:val="00121A73"/>
    <w:rsid w:val="00135E66"/>
    <w:rsid w:val="001D7282"/>
    <w:rsid w:val="00246079"/>
    <w:rsid w:val="002A3A81"/>
    <w:rsid w:val="002B161B"/>
    <w:rsid w:val="002C2122"/>
    <w:rsid w:val="003176ED"/>
    <w:rsid w:val="0039081D"/>
    <w:rsid w:val="003C1434"/>
    <w:rsid w:val="0046179D"/>
    <w:rsid w:val="00590188"/>
    <w:rsid w:val="00590377"/>
    <w:rsid w:val="005A040A"/>
    <w:rsid w:val="005E6ECB"/>
    <w:rsid w:val="006105C9"/>
    <w:rsid w:val="006C482D"/>
    <w:rsid w:val="00720A0F"/>
    <w:rsid w:val="00744EA1"/>
    <w:rsid w:val="007E40E2"/>
    <w:rsid w:val="00826846"/>
    <w:rsid w:val="00870511"/>
    <w:rsid w:val="00873398"/>
    <w:rsid w:val="009419CA"/>
    <w:rsid w:val="00955854"/>
    <w:rsid w:val="00985D9C"/>
    <w:rsid w:val="009C7330"/>
    <w:rsid w:val="009E5AC9"/>
    <w:rsid w:val="00A00FBB"/>
    <w:rsid w:val="00A32033"/>
    <w:rsid w:val="00A44BAC"/>
    <w:rsid w:val="00B54B0D"/>
    <w:rsid w:val="00BF0721"/>
    <w:rsid w:val="00C03795"/>
    <w:rsid w:val="00CE3756"/>
    <w:rsid w:val="00CF33A5"/>
    <w:rsid w:val="00D1588B"/>
    <w:rsid w:val="00D27A74"/>
    <w:rsid w:val="00DD341F"/>
    <w:rsid w:val="00DE582F"/>
    <w:rsid w:val="00E17C82"/>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56034"/>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CE225F"/>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67824"/>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4FB1616"/>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0F83"/>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5A07B9"/>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B7539F"/>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AE7127"/>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65A40"/>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87465F"/>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E2961"/>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18C9"/>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7D7870"/>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批注框文本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正文1"/>
    <w:basedOn w:val="1"/>
    <w:qFormat/>
    <w:uiPriority w:val="0"/>
    <w:pPr>
      <w:widowControl/>
    </w:pPr>
    <w:rPr>
      <w:rFonts w:ascii="Times New Roman" w:hAnsi="Times New Roman" w:eastAsia="Times New Roman" w:cs="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4167</Words>
  <Characters>4629</Characters>
  <Lines>36</Lines>
  <Paragraphs>10</Paragraphs>
  <TotalTime>0</TotalTime>
  <ScaleCrop>false</ScaleCrop>
  <LinksUpToDate>false</LinksUpToDate>
  <CharactersWithSpaces>4762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2023-05-31T02:05:00Z</dcterms:created>
  <dc:creator>新一天</dc:creator>
  <cp:lastModifiedBy>necrolyte</cp:lastModifiedBy>
  <cp:lastPrinted>2023-05-26T08:11:00Z</cp:lastPrinted>
  <dcterms:modified xsi:type="dcterms:W3CDTF">2024-06-27T07:59:49Z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