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岳阳楼区粮食物资储备服务中心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7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7</w:t>
            </w: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</w:t>
            </w: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</w:t>
            </w: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24.3</w:t>
            </w: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23.85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5.37</w:t>
            </w: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4.33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0.78</w:t>
            </w: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3.6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填表人：万璐 联系电话：13873002884单位负责人签字： 陈承 填报日期：2023年6月10日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ind w:firstLine="1272" w:firstLineChars="300"/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</w:rPr>
              <w:t>单位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  <w:noWrap/>
          </w:tcPr>
          <w:p>
            <w:pPr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岳阳楼区粮食物资储备服务中心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</w:rPr>
              <w:t>99.34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125.67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125.67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 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125.67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125.67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政府性基金拨款：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其他资金：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目标1：全区粮食供应安全指数100%目标；2：2022年粮食企业维稳工作率不低于99%目标3：2022年粮食储备工作数据清晰真实度不低于99%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1、全区粮食供应安全指数100%；2、2022年粮食企业维稳工作率不低于10%%；3、2022年粮食储备工作数据清晰真实度不低于100%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i/>
                <w:iCs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产出指标（5</w:t>
            </w:r>
            <w:r>
              <w:rPr>
                <w:rFonts w:ascii="Arial"/>
                <w:color w:val="000000" w:themeColor="text1"/>
              </w:rPr>
              <w:t>0</w:t>
            </w:r>
            <w:r>
              <w:rPr>
                <w:rFonts w:hint="eastAsia" w:ascii="Arial"/>
                <w:color w:val="000000" w:themeColor="text1"/>
              </w:rPr>
              <w:t>分）</w:t>
            </w: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ascii="Arial"/>
                <w:color w:val="000000" w:themeColor="text1"/>
              </w:rPr>
            </w:pPr>
          </w:p>
          <w:p>
            <w:pPr>
              <w:jc w:val="center"/>
              <w:rPr>
                <w:rFonts w:hint="eastAsia"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效</w:t>
            </w:r>
          </w:p>
          <w:p>
            <w:pPr>
              <w:jc w:val="center"/>
              <w:rPr>
                <w:rFonts w:hint="eastAsia"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益指标（3</w:t>
            </w:r>
            <w:r>
              <w:rPr>
                <w:rFonts w:ascii="Arial"/>
                <w:color w:val="000000" w:themeColor="text1"/>
              </w:rPr>
              <w:t>0</w:t>
            </w:r>
            <w:r>
              <w:rPr>
                <w:rFonts w:hint="eastAsia" w:ascii="Arial"/>
                <w:color w:val="000000" w:themeColor="text1"/>
              </w:rPr>
              <w:t>））</w:t>
            </w: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数量指标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</w:rPr>
              <w:t>粮食维稳企业数量</w:t>
            </w: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/>
                <w:color w:val="000000" w:themeColor="text1"/>
              </w:rPr>
              <w:t>2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/>
                <w:color w:val="000000" w:themeColor="text1"/>
              </w:rPr>
              <w:t>2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/>
                <w:color w:val="000000" w:themeColor="text1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/>
                <w:color w:val="000000" w:themeColor="text1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</w:rPr>
              <w:t>粮食储备及军粮管理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24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24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全区粮食安全率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100%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粮食企业维稳率</w:t>
            </w: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/>
                <w:color w:val="000000" w:themeColor="text1"/>
              </w:rPr>
              <w:t>99%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</w:t>
            </w:r>
            <w:r>
              <w:rPr>
                <w:rFonts w:ascii="Arial"/>
                <w:color w:val="000000" w:themeColor="text1"/>
              </w:rPr>
              <w:t>00</w:t>
            </w:r>
            <w:r>
              <w:rPr>
                <w:rFonts w:hint="eastAsia" w:ascii="Arial"/>
                <w:color w:val="000000" w:themeColor="text1"/>
              </w:rPr>
              <w:t>%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粮食储备及军粮管理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9</w:t>
            </w:r>
            <w:r>
              <w:rPr>
                <w:rFonts w:ascii="Arial"/>
                <w:color w:val="000000" w:themeColor="text1"/>
                <w:sz w:val="19"/>
              </w:rPr>
              <w:t>9</w:t>
            </w:r>
            <w:r>
              <w:rPr>
                <w:rFonts w:hint="eastAsia" w:ascii="Arial"/>
                <w:color w:val="000000" w:themeColor="text1"/>
                <w:sz w:val="19"/>
              </w:rPr>
              <w:t>%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1</w:t>
            </w:r>
            <w:r>
              <w:rPr>
                <w:rFonts w:ascii="Arial"/>
                <w:color w:val="000000" w:themeColor="text1"/>
                <w:sz w:val="19"/>
              </w:rPr>
              <w:t>00</w:t>
            </w:r>
            <w:r>
              <w:rPr>
                <w:rFonts w:hint="eastAsia" w:ascii="Arial"/>
                <w:color w:val="000000" w:themeColor="text1"/>
                <w:sz w:val="19"/>
              </w:rPr>
              <w:t>%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</w:rPr>
              <w:t>粮食企业维稳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2022年1月1日-2022年12月3131日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2022年1月1日-2022年12月3131日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粮食储备及军粮管理</w:t>
            </w: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2022年1月1日-2022年12月3131日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2022年1月1日-2022年12月3131日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总成本控制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不超过年度投入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  <w:r>
              <w:rPr>
                <w:rFonts w:hint="eastAsia" w:ascii="Arial"/>
                <w:color w:val="000000" w:themeColor="text1"/>
                <w:sz w:val="19"/>
              </w:rPr>
              <w:t>1</w:t>
            </w:r>
            <w:r>
              <w:rPr>
                <w:rFonts w:ascii="Arial"/>
                <w:color w:val="000000" w:themeColor="text1"/>
                <w:sz w:val="19"/>
              </w:rPr>
              <w:t>25.67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</w:t>
            </w:r>
            <w:r>
              <w:rPr>
                <w:rFonts w:ascii="Arial"/>
                <w:color w:val="000000" w:themeColor="text1"/>
                <w:sz w:val="20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1</w:t>
            </w:r>
            <w:r>
              <w:rPr>
                <w:rFonts w:ascii="Arial"/>
                <w:color w:val="000000" w:themeColor="text1"/>
                <w:sz w:val="20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有效地发挥了储备粮的调控作用，对维护本地区粮食市场稳定、保障粮食安全有一定的社会效益。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持续发挥调控作用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</w:rPr>
              <w:t>持续发挥调控作用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30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/>
                <w:color w:val="000000" w:themeColor="text1"/>
                <w:sz w:val="20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</w:tcPr>
          <w:p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粮食企业</w:t>
            </w: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hint="eastAsia" w:ascii="Arial"/>
                <w:color w:val="000000" w:themeColor="text1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</w:rPr>
        <w:t xml:space="preserve">万璐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</w:rPr>
        <w:t xml:space="preserve">13873002884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 xml:space="preserve">  陈承   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</w:rPr>
        <w:t xml:space="preserve">2023年6月10日                        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岳阳楼区粮食物资储备服务中心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单位整体支出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部门：岳阳楼区粮食物资储备服务中心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2023年6月10日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2022年度岳阳楼区岳阳楼区粮食物资储备服务中心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单位整体支出绩效自评报告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560" w:lineRule="exact"/>
        <w:rPr>
          <w:rFonts w:ascii="宋体" w:hAnsi="宋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>
      <w:pPr>
        <w:pStyle w:val="5"/>
        <w:shd w:val="clear" w:color="auto" w:fill="FFFFFF"/>
        <w:ind w:firstLine="411" w:firstLineChars="147"/>
        <w:jc w:val="both"/>
        <w:rPr>
          <w:sz w:val="28"/>
          <w:szCs w:val="28"/>
        </w:rPr>
      </w:pPr>
      <w:r>
        <w:rPr>
          <w:rFonts w:hint="eastAsia" w:cs="Arial"/>
          <w:color w:val="333333"/>
          <w:sz w:val="28"/>
          <w:szCs w:val="28"/>
          <w:shd w:val="clear" w:color="auto" w:fill="FFFFFF"/>
        </w:rPr>
        <w:t>粮食物资储备服务中心为全额拨款事业单位编制</w:t>
      </w:r>
      <w:r>
        <w:rPr>
          <w:rFonts w:hint="eastAsia"/>
          <w:sz w:val="28"/>
          <w:szCs w:val="28"/>
        </w:rPr>
        <w:t>人数</w:t>
      </w:r>
      <w:r>
        <w:rPr>
          <w:rFonts w:hint="eastAsia"/>
          <w:color w:val="000000"/>
          <w:sz w:val="28"/>
          <w:szCs w:val="28"/>
        </w:rPr>
        <w:t>7</w:t>
      </w:r>
      <w:r>
        <w:rPr>
          <w:rFonts w:hint="eastAsia"/>
          <w:sz w:val="28"/>
          <w:szCs w:val="28"/>
        </w:rPr>
        <w:t>人，其中：在职编制</w:t>
      </w:r>
      <w:r>
        <w:rPr>
          <w:rFonts w:hint="eastAsia"/>
          <w:color w:val="000000"/>
          <w:sz w:val="28"/>
          <w:szCs w:val="28"/>
        </w:rPr>
        <w:t>7</w:t>
      </w:r>
      <w:r>
        <w:rPr>
          <w:rFonts w:hint="eastAsia"/>
          <w:sz w:val="28"/>
          <w:szCs w:val="28"/>
        </w:rPr>
        <w:t>人；离退休</w:t>
      </w:r>
      <w:r>
        <w:rPr>
          <w:rFonts w:hint="eastAsia"/>
          <w:color w:val="000000"/>
          <w:sz w:val="28"/>
          <w:szCs w:val="28"/>
        </w:rPr>
        <w:t>0</w:t>
      </w:r>
      <w:r>
        <w:rPr>
          <w:rFonts w:hint="eastAsia"/>
          <w:sz w:val="28"/>
          <w:szCs w:val="28"/>
        </w:rPr>
        <w:t>人。负责全区粮食物资储备及粮食经营行业的发展和粮食数据统计工作。</w:t>
      </w:r>
      <w:r>
        <w:rPr>
          <w:rFonts w:hint="eastAsia"/>
          <w:color w:val="000000"/>
          <w:sz w:val="28"/>
          <w:szCs w:val="28"/>
        </w:rPr>
        <w:t>粮食库存监督检查；承担粮食监测预警和应急责任，保障军队粮食供应。</w:t>
      </w:r>
      <w:r>
        <w:rPr>
          <w:rFonts w:hint="eastAsia"/>
          <w:bCs/>
          <w:sz w:val="28"/>
          <w:szCs w:val="28"/>
        </w:rPr>
        <w:t>负责为原粮食局机关退休干部职工提供服务，承担已改制粮食企业“双协解”人员的维稳事项办理工作。</w:t>
      </w:r>
    </w:p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>
      <w:pPr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>
      <w:pPr>
        <w:spacing w:line="560" w:lineRule="exact"/>
        <w:ind w:firstLine="420" w:firstLineChars="150"/>
        <w:rPr>
          <w:rFonts w:ascii="宋体" w:hAnsi="宋体" w:cs="黑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 xml:space="preserve">  2022年基本支出125.67万元，其中人员经费支出91.12万元，日常公用经费支出34.55万元。2022年无“三公”经费、无公务用车购置费及运行维护费，无因公出国（境）费。</w:t>
      </w:r>
      <w:r>
        <w:rPr>
          <w:rFonts w:hint="eastAsia" w:ascii="宋体" w:hAnsi="宋体" w:cs="黑体"/>
          <w:bCs/>
          <w:sz w:val="28"/>
          <w:szCs w:val="28"/>
        </w:rPr>
        <w:t xml:space="preserve"> </w:t>
      </w:r>
    </w:p>
    <w:p>
      <w:pPr>
        <w:spacing w:line="560" w:lineRule="exac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（二）项目支出情况</w:t>
      </w:r>
    </w:p>
    <w:p>
      <w:pPr>
        <w:spacing w:line="560" w:lineRule="exact"/>
        <w:ind w:firstLine="420" w:firstLineChars="150"/>
        <w:rPr>
          <w:rFonts w:ascii="宋体" w:hAnsi="宋体" w:cs="黑体"/>
          <w:bCs/>
          <w:sz w:val="28"/>
          <w:szCs w:val="28"/>
        </w:rPr>
      </w:pPr>
      <w:r>
        <w:rPr>
          <w:rFonts w:hint="eastAsia" w:ascii="宋体" w:hAnsi="宋体" w:cs="黑体"/>
          <w:bCs/>
          <w:sz w:val="28"/>
          <w:szCs w:val="28"/>
        </w:rPr>
        <w:t xml:space="preserve"> 本单位无项目支出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>
      <w:pPr>
        <w:pStyle w:val="11"/>
        <w:ind w:left="160" w:leftChars="76" w:firstLineChars="150"/>
        <w:jc w:val="left"/>
        <w:rPr>
          <w:rFonts w:cs="黑体" w:asciiTheme="majorEastAsia" w:hAnsiTheme="majorEastAsia" w:eastAsiaTheme="majorEastAsia"/>
          <w:color w:val="000000" w:themeColor="text1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color w:val="000000" w:themeColor="text1"/>
          <w:sz w:val="28"/>
          <w:szCs w:val="28"/>
        </w:rPr>
        <w:t>本单位无政府性基金预算支出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>
      <w:pPr>
        <w:pStyle w:val="11"/>
        <w:ind w:firstLine="560"/>
        <w:jc w:val="left"/>
        <w:rPr>
          <w:rFonts w:cs="黑体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黑体" w:asciiTheme="minorEastAsia" w:hAnsiTheme="minorEastAsia"/>
          <w:color w:val="000000" w:themeColor="text1"/>
          <w:sz w:val="28"/>
          <w:szCs w:val="28"/>
        </w:rPr>
        <w:t>本单位无国有资本经营预算支出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>
      <w:pPr>
        <w:pStyle w:val="11"/>
        <w:ind w:firstLine="560"/>
        <w:jc w:val="left"/>
        <w:rPr>
          <w:rFonts w:cs="黑体" w:asciiTheme="majorEastAsia" w:hAnsiTheme="majorEastAsia" w:eastAsiaTheme="majorEastAsia"/>
          <w:color w:val="000000" w:themeColor="text1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color w:val="000000" w:themeColor="text1"/>
          <w:sz w:val="28"/>
          <w:szCs w:val="28"/>
        </w:rPr>
        <w:t>本单位无社会保险基金预算支出</w:t>
      </w:r>
    </w:p>
    <w:p>
      <w:pPr>
        <w:widowControl/>
        <w:spacing w:line="600" w:lineRule="exact"/>
        <w:ind w:firstLine="160" w:firstLineChars="5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>
      <w:pPr>
        <w:widowControl/>
        <w:spacing w:line="600" w:lineRule="exact"/>
        <w:ind w:firstLine="562" w:firstLineChars="200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楷体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楷体"/>
          <w:bCs/>
          <w:color w:val="000000"/>
          <w:kern w:val="0"/>
          <w:sz w:val="28"/>
          <w:szCs w:val="28"/>
        </w:rPr>
        <w:t>粮食安全落实到位</w:t>
      </w:r>
      <w:r>
        <w:rPr>
          <w:rFonts w:hint="eastAsia" w:ascii="宋体" w:hAnsi="宋体" w:cs="楷体"/>
          <w:b/>
          <w:bCs/>
          <w:color w:val="000000"/>
          <w:kern w:val="0"/>
          <w:sz w:val="28"/>
          <w:szCs w:val="28"/>
        </w:rPr>
        <w:t>,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组织开展世界粮食日、粮食科技活动周、安全生产月等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主题宣传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活动，积极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开展政策性粮食收购、库存、销售和粮食流通市场监督检查，落实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/>
        </w:rPr>
        <w:t>好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辖区内各级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储备粮监管任务。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/>
        </w:rPr>
        <w:t>做好原</w:t>
      </w:r>
      <w:r>
        <w:rPr>
          <w:rFonts w:hint="eastAsia"/>
          <w:bCs/>
          <w:sz w:val="28"/>
          <w:szCs w:val="28"/>
        </w:rPr>
        <w:t>粮食局机关退休干部职工提供服务及改制粮食企业“双协解”人员的维稳事项办理工作。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在区政府指导下，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细化责任，层层落实，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/>
        </w:rPr>
        <w:t>较好的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完成了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2022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年度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粮安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考核目标任务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/>
        </w:rPr>
        <w:t>和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TW" w:eastAsia="zh-TW"/>
        </w:rPr>
        <w:t>粮食库存区级自查、市级抽查工作。</w:t>
      </w:r>
    </w:p>
    <w:p>
      <w:pPr>
        <w:pStyle w:val="5"/>
        <w:spacing w:line="33" w:lineRule="atLeast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pStyle w:val="5"/>
        <w:spacing w:line="33" w:lineRule="atLeast"/>
        <w:ind w:firstLine="560" w:firstLineChars="200"/>
        <w:jc w:val="both"/>
        <w:rPr>
          <w:rFonts w:cs="仿宋_GB2312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1、加强绩效管理，完善绩效管理制度。</w:t>
      </w:r>
    </w:p>
    <w:p>
      <w:pPr>
        <w:pStyle w:val="5"/>
        <w:spacing w:line="33" w:lineRule="atLeast"/>
        <w:ind w:firstLine="560" w:firstLineChars="200"/>
        <w:jc w:val="both"/>
        <w:rPr>
          <w:rFonts w:cs="仿宋_GB2312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2、严格执行财务预算管理制度，重视日常财务收支管理，建立健全各项财务制度，对一切开支严格按财务制度办理，极大地提高资金的使用效益，达到节约支出的目的。</w:t>
      </w:r>
    </w:p>
    <w:p>
      <w:pPr>
        <w:pStyle w:val="5"/>
        <w:spacing w:line="33" w:lineRule="atLeast"/>
        <w:ind w:firstLine="560" w:firstLineChars="200"/>
        <w:jc w:val="both"/>
        <w:rPr>
          <w:rFonts w:cs="仿宋_GB2312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3、强化监督，不断提高专项资金使用效益。</w:t>
      </w:r>
    </w:p>
    <w:p>
      <w:pPr>
        <w:pStyle w:val="5"/>
        <w:spacing w:line="33" w:lineRule="atLeast"/>
        <w:ind w:firstLine="560" w:firstLineChars="200"/>
        <w:jc w:val="both"/>
        <w:rPr>
          <w:rFonts w:cs="仿宋_GB2312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4、持续抓好‘三公经费’的管理和使用。</w:t>
      </w:r>
    </w:p>
    <w:p>
      <w:pPr>
        <w:pStyle w:val="5"/>
        <w:spacing w:line="33" w:lineRule="atLeast"/>
        <w:ind w:firstLine="560" w:firstLineChars="200"/>
        <w:jc w:val="both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5、针对项目经费的使用，严把支出关，做到不挪用、不截留</w:t>
      </w:r>
    </w:p>
    <w:p>
      <w:pPr>
        <w:pStyle w:val="5"/>
        <w:spacing w:line="33" w:lineRule="atLeast"/>
        <w:ind w:firstLine="160" w:firstLineChars="5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八、下一步改进措施</w:t>
      </w:r>
    </w:p>
    <w:p>
      <w:pPr>
        <w:pStyle w:val="5"/>
        <w:spacing w:line="33" w:lineRule="atLeast"/>
        <w:ind w:firstLine="980" w:firstLineChars="350"/>
        <w:jc w:val="both"/>
        <w:rPr>
          <w:rFonts w:cs="黑体"/>
          <w:bCs/>
          <w:sz w:val="28"/>
          <w:szCs w:val="28"/>
        </w:rPr>
      </w:pPr>
      <w:r>
        <w:rPr>
          <w:rFonts w:hint="eastAsia" w:cs="仿宋_GB2312"/>
          <w:bCs/>
          <w:sz w:val="28"/>
          <w:szCs w:val="28"/>
        </w:rPr>
        <w:t>绩效考核意识有待进一步加强，内部绩效管理制度还不够完善，评价体系有待进一步健全。预算编制工作不够细化。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无其他需要说明的情况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6、社会保险基金预算支出情况表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9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</w:rPr>
        <w:t xml:space="preserve">万璐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</w:rPr>
        <w:t xml:space="preserve">13873002884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</w:rPr>
        <w:t xml:space="preserve">陈承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填报日期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</w:rPr>
        <w:t>2023年6月10日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D2298"/>
    <w:multiLevelType w:val="multilevel"/>
    <w:tmpl w:val="1A5D2298"/>
    <w:lvl w:ilvl="0" w:tentative="0">
      <w:start w:val="3"/>
      <w:numFmt w:val="japaneseCounting"/>
      <w:lvlText w:val="%1、"/>
      <w:lvlJc w:val="left"/>
      <w:pPr>
        <w:ind w:left="8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00" w:hanging="420"/>
      </w:pPr>
    </w:lvl>
    <w:lvl w:ilvl="2" w:tentative="0">
      <w:start w:val="1"/>
      <w:numFmt w:val="lowerRoman"/>
      <w:lvlText w:val="%3."/>
      <w:lvlJc w:val="right"/>
      <w:pPr>
        <w:ind w:left="1420" w:hanging="420"/>
      </w:pPr>
    </w:lvl>
    <w:lvl w:ilvl="3" w:tentative="0">
      <w:start w:val="1"/>
      <w:numFmt w:val="decimal"/>
      <w:lvlText w:val="%4."/>
      <w:lvlJc w:val="left"/>
      <w:pPr>
        <w:ind w:left="1840" w:hanging="420"/>
      </w:pPr>
    </w:lvl>
    <w:lvl w:ilvl="4" w:tentative="0">
      <w:start w:val="1"/>
      <w:numFmt w:val="lowerLetter"/>
      <w:lvlText w:val="%5)"/>
      <w:lvlJc w:val="left"/>
      <w:pPr>
        <w:ind w:left="2260" w:hanging="420"/>
      </w:pPr>
    </w:lvl>
    <w:lvl w:ilvl="5" w:tentative="0">
      <w:start w:val="1"/>
      <w:numFmt w:val="lowerRoman"/>
      <w:lvlText w:val="%6."/>
      <w:lvlJc w:val="right"/>
      <w:pPr>
        <w:ind w:left="2680" w:hanging="420"/>
      </w:pPr>
    </w:lvl>
    <w:lvl w:ilvl="6" w:tentative="0">
      <w:start w:val="1"/>
      <w:numFmt w:val="decimal"/>
      <w:lvlText w:val="%7."/>
      <w:lvlJc w:val="left"/>
      <w:pPr>
        <w:ind w:left="3100" w:hanging="420"/>
      </w:pPr>
    </w:lvl>
    <w:lvl w:ilvl="7" w:tentative="0">
      <w:start w:val="1"/>
      <w:numFmt w:val="lowerLetter"/>
      <w:lvlText w:val="%8)"/>
      <w:lvlJc w:val="left"/>
      <w:pPr>
        <w:ind w:left="3520" w:hanging="420"/>
      </w:pPr>
    </w:lvl>
    <w:lvl w:ilvl="8" w:tentative="0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xM2I1Y2E5MTg1NzJhN2FkNjlmNDg5OTI5OGY3ZTQifQ=="/>
    <w:docVar w:name="KSO_WPS_MARK_KEY" w:val="1c5a5d5e-2d1b-4eee-89e6-2a2810a863f1"/>
  </w:docVars>
  <w:rsids>
    <w:rsidRoot w:val="53FC3987"/>
    <w:rsid w:val="00042335"/>
    <w:rsid w:val="0005159A"/>
    <w:rsid w:val="0005607A"/>
    <w:rsid w:val="00083B5A"/>
    <w:rsid w:val="000A3765"/>
    <w:rsid w:val="000B7C03"/>
    <w:rsid w:val="000E7D7B"/>
    <w:rsid w:val="001629FA"/>
    <w:rsid w:val="001A5FF8"/>
    <w:rsid w:val="001A744B"/>
    <w:rsid w:val="001D1E0E"/>
    <w:rsid w:val="001D7282"/>
    <w:rsid w:val="001F5619"/>
    <w:rsid w:val="00246327"/>
    <w:rsid w:val="00273824"/>
    <w:rsid w:val="0027492E"/>
    <w:rsid w:val="00361869"/>
    <w:rsid w:val="003852FC"/>
    <w:rsid w:val="0039081D"/>
    <w:rsid w:val="003D6D78"/>
    <w:rsid w:val="00401ACC"/>
    <w:rsid w:val="00411B5D"/>
    <w:rsid w:val="004B2C68"/>
    <w:rsid w:val="004E0ABD"/>
    <w:rsid w:val="004E750F"/>
    <w:rsid w:val="00591906"/>
    <w:rsid w:val="005C1744"/>
    <w:rsid w:val="005E6ECB"/>
    <w:rsid w:val="00605935"/>
    <w:rsid w:val="006203B0"/>
    <w:rsid w:val="00622EAE"/>
    <w:rsid w:val="00665B8F"/>
    <w:rsid w:val="006668E0"/>
    <w:rsid w:val="00695A91"/>
    <w:rsid w:val="006A71A8"/>
    <w:rsid w:val="006C6258"/>
    <w:rsid w:val="006F6C89"/>
    <w:rsid w:val="00714026"/>
    <w:rsid w:val="00721504"/>
    <w:rsid w:val="007433C8"/>
    <w:rsid w:val="00744EA1"/>
    <w:rsid w:val="0075277D"/>
    <w:rsid w:val="007F5D07"/>
    <w:rsid w:val="008063EB"/>
    <w:rsid w:val="00881017"/>
    <w:rsid w:val="00881613"/>
    <w:rsid w:val="008B6917"/>
    <w:rsid w:val="008C0A4E"/>
    <w:rsid w:val="008C4E5D"/>
    <w:rsid w:val="008F16FF"/>
    <w:rsid w:val="0091519D"/>
    <w:rsid w:val="009419CA"/>
    <w:rsid w:val="00955854"/>
    <w:rsid w:val="00981D2A"/>
    <w:rsid w:val="009C7330"/>
    <w:rsid w:val="009D5924"/>
    <w:rsid w:val="009E3690"/>
    <w:rsid w:val="00A00FBB"/>
    <w:rsid w:val="00A01462"/>
    <w:rsid w:val="00A11082"/>
    <w:rsid w:val="00A37DC0"/>
    <w:rsid w:val="00A751BF"/>
    <w:rsid w:val="00A94D97"/>
    <w:rsid w:val="00AF055D"/>
    <w:rsid w:val="00B27FEB"/>
    <w:rsid w:val="00BC7BF9"/>
    <w:rsid w:val="00BF0721"/>
    <w:rsid w:val="00C03795"/>
    <w:rsid w:val="00C06EA3"/>
    <w:rsid w:val="00C529A8"/>
    <w:rsid w:val="00C56584"/>
    <w:rsid w:val="00C91F6A"/>
    <w:rsid w:val="00CB2723"/>
    <w:rsid w:val="00CC5FC4"/>
    <w:rsid w:val="00CE3756"/>
    <w:rsid w:val="00D06E80"/>
    <w:rsid w:val="00D1239C"/>
    <w:rsid w:val="00D14454"/>
    <w:rsid w:val="00D27A74"/>
    <w:rsid w:val="00D51217"/>
    <w:rsid w:val="00D5672E"/>
    <w:rsid w:val="00D86C6C"/>
    <w:rsid w:val="00DC2032"/>
    <w:rsid w:val="00E0301A"/>
    <w:rsid w:val="00E072E8"/>
    <w:rsid w:val="00E831C8"/>
    <w:rsid w:val="00EA4385"/>
    <w:rsid w:val="00ED5B72"/>
    <w:rsid w:val="00EE0904"/>
    <w:rsid w:val="00EF287A"/>
    <w:rsid w:val="00EF5AE9"/>
    <w:rsid w:val="00F21ABA"/>
    <w:rsid w:val="00F27DA5"/>
    <w:rsid w:val="00F53855"/>
    <w:rsid w:val="00FD30C5"/>
    <w:rsid w:val="00FD53F4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2100A2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jc w:val="left"/>
      <w:textAlignment w:val="center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3020</Words>
  <Characters>3337</Characters>
  <Lines>30</Lines>
  <Paragraphs>8</Paragraphs>
  <TotalTime>854</TotalTime>
  <ScaleCrop>false</ScaleCrop>
  <LinksUpToDate>false</LinksUpToDate>
  <CharactersWithSpaces>3433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necrolyte</cp:lastModifiedBy>
  <cp:lastPrinted>2023-06-12T02:06:00Z</cp:lastPrinted>
  <dcterms:modified xsi:type="dcterms:W3CDTF">2024-06-24T03:22:51Z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