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B386B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28F9790D">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0C66F21B">
      <w:pPr>
        <w:spacing w:line="115" w:lineRule="exact"/>
        <w:rPr>
          <w:color w:val="000000" w:themeColor="text1"/>
          <w14:textFill>
            <w14:solidFill>
              <w14:schemeClr w14:val="tx1"/>
            </w14:solidFill>
          </w14:textFill>
        </w:rPr>
      </w:pPr>
    </w:p>
    <w:tbl>
      <w:tblPr>
        <w:tblStyle w:val="9"/>
        <w:tblW w:w="9615" w:type="dxa"/>
        <w:tblInd w:w="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96"/>
        <w:gridCol w:w="825"/>
        <w:gridCol w:w="990"/>
        <w:gridCol w:w="1140"/>
        <w:gridCol w:w="1185"/>
        <w:gridCol w:w="810"/>
        <w:gridCol w:w="869"/>
      </w:tblGrid>
      <w:tr w14:paraId="238B2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796" w:type="dxa"/>
            <w:tcBorders>
              <w:bottom w:val="nil"/>
            </w:tcBorders>
            <w:noWrap w:val="0"/>
            <w:vAlign w:val="center"/>
          </w:tcPr>
          <w:p w14:paraId="3997990C">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01FC7D1F">
            <w:pPr>
              <w:spacing w:before="103" w:line="219" w:lineRule="auto"/>
              <w:ind w:left="708"/>
              <w:jc w:val="center"/>
              <w:rPr>
                <w:rFonts w:hint="default"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val="en-US" w:eastAsia="zh-CN"/>
                <w14:textFill>
                  <w14:solidFill>
                    <w14:schemeClr w14:val="tx1"/>
                  </w14:solidFill>
                </w14:textFill>
              </w:rPr>
              <w:t>岳阳楼区库区移民服务中心</w:t>
            </w:r>
          </w:p>
        </w:tc>
      </w:tr>
      <w:tr w14:paraId="11F18C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796" w:type="dxa"/>
            <w:vMerge w:val="restart"/>
            <w:tcBorders>
              <w:bottom w:val="nil"/>
            </w:tcBorders>
            <w:noWrap w:val="0"/>
            <w:vAlign w:val="top"/>
          </w:tcPr>
          <w:p w14:paraId="2D28A9D1">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54FFDD74">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1F3A0436">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1B6FD5F0">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020FD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796" w:type="dxa"/>
            <w:vMerge w:val="continue"/>
            <w:tcBorders>
              <w:top w:val="nil"/>
            </w:tcBorders>
            <w:noWrap w:val="0"/>
            <w:vAlign w:val="top"/>
          </w:tcPr>
          <w:p w14:paraId="7E963602">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76B3AFC8">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13</w:t>
            </w:r>
          </w:p>
        </w:tc>
        <w:tc>
          <w:tcPr>
            <w:tcW w:w="2325" w:type="dxa"/>
            <w:gridSpan w:val="2"/>
            <w:noWrap w:val="0"/>
            <w:vAlign w:val="top"/>
          </w:tcPr>
          <w:p w14:paraId="5A51323A">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w:t>
            </w:r>
          </w:p>
        </w:tc>
        <w:tc>
          <w:tcPr>
            <w:tcW w:w="1679" w:type="dxa"/>
            <w:gridSpan w:val="2"/>
            <w:noWrap w:val="0"/>
            <w:vAlign w:val="top"/>
          </w:tcPr>
          <w:p w14:paraId="42C0869B">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77%</w:t>
            </w:r>
          </w:p>
        </w:tc>
      </w:tr>
      <w:tr w14:paraId="2DAF1A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796" w:type="dxa"/>
            <w:noWrap w:val="0"/>
            <w:vAlign w:val="top"/>
          </w:tcPr>
          <w:p w14:paraId="5C1632A2">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39ED4C48">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31786C40">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440887C6">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744E0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796" w:type="dxa"/>
            <w:noWrap w:val="0"/>
            <w:vAlign w:val="top"/>
          </w:tcPr>
          <w:p w14:paraId="7D576876">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74C62FA6">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0.04</w:t>
            </w:r>
          </w:p>
        </w:tc>
        <w:tc>
          <w:tcPr>
            <w:tcW w:w="2325" w:type="dxa"/>
            <w:gridSpan w:val="2"/>
            <w:noWrap w:val="0"/>
            <w:vAlign w:val="top"/>
          </w:tcPr>
          <w:p w14:paraId="0601BBF6">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w:t>
            </w:r>
          </w:p>
        </w:tc>
        <w:tc>
          <w:tcPr>
            <w:tcW w:w="1679" w:type="dxa"/>
            <w:gridSpan w:val="2"/>
            <w:noWrap w:val="0"/>
            <w:vAlign w:val="top"/>
          </w:tcPr>
          <w:p w14:paraId="3B0718C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0.88</w:t>
            </w:r>
          </w:p>
        </w:tc>
      </w:tr>
      <w:tr w14:paraId="04C522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796" w:type="dxa"/>
            <w:noWrap w:val="0"/>
            <w:vAlign w:val="top"/>
          </w:tcPr>
          <w:p w14:paraId="29BFC3AB">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22BA5D7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DDDD32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5F9537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391C4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796" w:type="dxa"/>
            <w:noWrap w:val="0"/>
            <w:vAlign w:val="top"/>
          </w:tcPr>
          <w:p w14:paraId="5E06826B">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3C958CF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30BEDD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6548B9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51081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796" w:type="dxa"/>
            <w:noWrap w:val="0"/>
            <w:vAlign w:val="top"/>
          </w:tcPr>
          <w:p w14:paraId="624B56E1">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1336B95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C48D02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C48109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BA17D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796" w:type="dxa"/>
            <w:noWrap w:val="0"/>
            <w:vAlign w:val="top"/>
          </w:tcPr>
          <w:p w14:paraId="3EC51225">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020D029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941CB7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712CAF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05C1A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796" w:type="dxa"/>
            <w:noWrap w:val="0"/>
            <w:vAlign w:val="top"/>
          </w:tcPr>
          <w:p w14:paraId="7E3C0ADC">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4C7455D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0.04</w:t>
            </w:r>
          </w:p>
        </w:tc>
        <w:tc>
          <w:tcPr>
            <w:tcW w:w="2325" w:type="dxa"/>
            <w:gridSpan w:val="2"/>
            <w:noWrap w:val="0"/>
            <w:vAlign w:val="top"/>
          </w:tcPr>
          <w:p w14:paraId="5BE4F62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top"/>
          </w:tcPr>
          <w:p w14:paraId="2F6D1D4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0.88</w:t>
            </w:r>
          </w:p>
        </w:tc>
      </w:tr>
      <w:tr w14:paraId="110668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796" w:type="dxa"/>
            <w:noWrap w:val="0"/>
            <w:vAlign w:val="top"/>
          </w:tcPr>
          <w:p w14:paraId="4ED44B97">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64D5E68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1716.21</w:t>
            </w:r>
          </w:p>
        </w:tc>
        <w:tc>
          <w:tcPr>
            <w:tcW w:w="2325" w:type="dxa"/>
            <w:gridSpan w:val="2"/>
            <w:noWrap w:val="0"/>
            <w:vAlign w:val="top"/>
          </w:tcPr>
          <w:p w14:paraId="2C3A66A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48</w:t>
            </w:r>
          </w:p>
        </w:tc>
        <w:tc>
          <w:tcPr>
            <w:tcW w:w="1679" w:type="dxa"/>
            <w:gridSpan w:val="2"/>
            <w:noWrap w:val="0"/>
            <w:vAlign w:val="top"/>
          </w:tcPr>
          <w:p w14:paraId="5EC75B1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766.46</w:t>
            </w:r>
          </w:p>
        </w:tc>
      </w:tr>
      <w:tr w14:paraId="0D2B1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796" w:type="dxa"/>
            <w:noWrap w:val="0"/>
            <w:vAlign w:val="top"/>
          </w:tcPr>
          <w:p w14:paraId="60A8E9D9">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4B5B4E2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2F0683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43</w:t>
            </w:r>
          </w:p>
        </w:tc>
        <w:tc>
          <w:tcPr>
            <w:tcW w:w="1679" w:type="dxa"/>
            <w:gridSpan w:val="2"/>
            <w:noWrap w:val="0"/>
            <w:vAlign w:val="top"/>
          </w:tcPr>
          <w:p w14:paraId="74E2F42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1C068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796" w:type="dxa"/>
            <w:noWrap w:val="0"/>
            <w:vAlign w:val="top"/>
          </w:tcPr>
          <w:p w14:paraId="2083765C">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4B9AD23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2143A3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c>
          <w:tcPr>
            <w:tcW w:w="1679" w:type="dxa"/>
            <w:gridSpan w:val="2"/>
            <w:noWrap w:val="0"/>
            <w:vAlign w:val="top"/>
          </w:tcPr>
          <w:p w14:paraId="39AC8C3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13F930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796" w:type="dxa"/>
            <w:noWrap w:val="0"/>
            <w:vAlign w:val="top"/>
          </w:tcPr>
          <w:p w14:paraId="7B878EC0">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08469A3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5AE1FC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37D6CA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2F2C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796" w:type="dxa"/>
            <w:noWrap w:val="0"/>
            <w:vAlign w:val="top"/>
          </w:tcPr>
          <w:p w14:paraId="5BB22E26">
            <w:pPr>
              <w:spacing w:before="93" w:line="219" w:lineRule="auto"/>
              <w:ind w:firstLine="492"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55019EB9">
            <w:pPr>
              <w:jc w:val="cente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1716.21</w:t>
            </w:r>
          </w:p>
        </w:tc>
        <w:tc>
          <w:tcPr>
            <w:tcW w:w="2325" w:type="dxa"/>
            <w:gridSpan w:val="2"/>
            <w:noWrap w:val="0"/>
            <w:vAlign w:val="top"/>
          </w:tcPr>
          <w:p w14:paraId="5B8959DC">
            <w:pPr>
              <w:jc w:val="cente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F1E408D">
            <w:pPr>
              <w:jc w:val="center"/>
              <w:rPr>
                <w:rFonts w:hint="default" w:asciiTheme="majorEastAsia" w:hAnsiTheme="majorEastAsia" w:eastAsiaTheme="majorEastAsia" w:cstheme="majorEastAsia"/>
                <w:color w:val="000000" w:themeColor="text1"/>
                <w:sz w:val="21"/>
                <w:lang w:val="en-US"/>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766.46</w:t>
            </w:r>
          </w:p>
        </w:tc>
      </w:tr>
      <w:tr w14:paraId="60A14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796" w:type="dxa"/>
            <w:noWrap w:val="0"/>
            <w:vAlign w:val="top"/>
          </w:tcPr>
          <w:p w14:paraId="30E1A4BB">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大中型水库移民后期扶持资金</w:t>
            </w:r>
          </w:p>
        </w:tc>
        <w:tc>
          <w:tcPr>
            <w:tcW w:w="1815" w:type="dxa"/>
            <w:gridSpan w:val="2"/>
            <w:noWrap w:val="0"/>
            <w:vAlign w:val="top"/>
          </w:tcPr>
          <w:p w14:paraId="43B2EA2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1716.21</w:t>
            </w:r>
          </w:p>
        </w:tc>
        <w:tc>
          <w:tcPr>
            <w:tcW w:w="2325" w:type="dxa"/>
            <w:gridSpan w:val="2"/>
            <w:noWrap w:val="0"/>
            <w:vAlign w:val="top"/>
          </w:tcPr>
          <w:p w14:paraId="1A4A0FB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FED5EC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766.46</w:t>
            </w:r>
          </w:p>
        </w:tc>
      </w:tr>
      <w:tr w14:paraId="658450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796" w:type="dxa"/>
            <w:noWrap w:val="0"/>
            <w:vAlign w:val="top"/>
          </w:tcPr>
          <w:p w14:paraId="288434ED">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p>
        </w:tc>
        <w:tc>
          <w:tcPr>
            <w:tcW w:w="1815" w:type="dxa"/>
            <w:gridSpan w:val="2"/>
            <w:noWrap w:val="0"/>
            <w:vAlign w:val="top"/>
          </w:tcPr>
          <w:p w14:paraId="1A0E485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2DE45B5E">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2F074C57">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745F0E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796" w:type="dxa"/>
            <w:noWrap w:val="0"/>
            <w:vAlign w:val="top"/>
          </w:tcPr>
          <w:p w14:paraId="5145B286">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30D8A2C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47.57</w:t>
            </w:r>
          </w:p>
        </w:tc>
        <w:tc>
          <w:tcPr>
            <w:tcW w:w="2325" w:type="dxa"/>
            <w:gridSpan w:val="2"/>
            <w:noWrap w:val="0"/>
            <w:vAlign w:val="top"/>
          </w:tcPr>
          <w:p w14:paraId="765E5DA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w:t>
            </w:r>
          </w:p>
        </w:tc>
        <w:tc>
          <w:tcPr>
            <w:tcW w:w="1679" w:type="dxa"/>
            <w:gridSpan w:val="2"/>
            <w:noWrap w:val="0"/>
            <w:vAlign w:val="top"/>
          </w:tcPr>
          <w:p w14:paraId="7960B1C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67.93</w:t>
            </w:r>
          </w:p>
        </w:tc>
      </w:tr>
      <w:tr w14:paraId="0426A5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796" w:type="dxa"/>
            <w:noWrap w:val="0"/>
            <w:vAlign w:val="top"/>
          </w:tcPr>
          <w:p w14:paraId="313C9965">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08FB2DC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w:t>
            </w:r>
          </w:p>
        </w:tc>
        <w:tc>
          <w:tcPr>
            <w:tcW w:w="2325" w:type="dxa"/>
            <w:gridSpan w:val="2"/>
            <w:noWrap w:val="0"/>
            <w:vAlign w:val="top"/>
          </w:tcPr>
          <w:p w14:paraId="45AA938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11.85</w:t>
            </w:r>
          </w:p>
        </w:tc>
        <w:tc>
          <w:tcPr>
            <w:tcW w:w="1679" w:type="dxa"/>
            <w:gridSpan w:val="2"/>
            <w:noWrap w:val="0"/>
            <w:vAlign w:val="top"/>
          </w:tcPr>
          <w:p w14:paraId="509D1A7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14.9</w:t>
            </w:r>
          </w:p>
        </w:tc>
      </w:tr>
      <w:tr w14:paraId="4FEC7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796" w:type="dxa"/>
            <w:noWrap w:val="0"/>
            <w:vAlign w:val="top"/>
          </w:tcPr>
          <w:p w14:paraId="0FBEE2C7">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1CA0CA6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w:t>
            </w:r>
          </w:p>
        </w:tc>
        <w:tc>
          <w:tcPr>
            <w:tcW w:w="2325" w:type="dxa"/>
            <w:gridSpan w:val="2"/>
            <w:noWrap w:val="0"/>
            <w:vAlign w:val="top"/>
          </w:tcPr>
          <w:p w14:paraId="52281DB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1.95</w:t>
            </w:r>
          </w:p>
        </w:tc>
        <w:tc>
          <w:tcPr>
            <w:tcW w:w="1679" w:type="dxa"/>
            <w:gridSpan w:val="2"/>
            <w:noWrap w:val="0"/>
            <w:vAlign w:val="top"/>
          </w:tcPr>
          <w:p w14:paraId="47D36CEB">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w:t>
            </w:r>
          </w:p>
        </w:tc>
      </w:tr>
      <w:tr w14:paraId="0BED53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796" w:type="dxa"/>
            <w:noWrap w:val="0"/>
            <w:vAlign w:val="top"/>
          </w:tcPr>
          <w:p w14:paraId="6E039EAB">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6CE0DAC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0.71</w:t>
            </w:r>
          </w:p>
        </w:tc>
        <w:tc>
          <w:tcPr>
            <w:tcW w:w="2325" w:type="dxa"/>
            <w:gridSpan w:val="2"/>
            <w:noWrap w:val="0"/>
            <w:vAlign w:val="top"/>
          </w:tcPr>
          <w:p w14:paraId="7C8AFE4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832C40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5BFC8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796" w:type="dxa"/>
            <w:noWrap w:val="0"/>
            <w:vAlign w:val="top"/>
          </w:tcPr>
          <w:p w14:paraId="39AE544B">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bookmarkStart w:id="0" w:name="_GoBack"/>
            <w:bookmarkEnd w:id="0"/>
          </w:p>
        </w:tc>
        <w:tc>
          <w:tcPr>
            <w:tcW w:w="1815" w:type="dxa"/>
            <w:gridSpan w:val="2"/>
            <w:noWrap w:val="0"/>
            <w:vAlign w:val="top"/>
          </w:tcPr>
          <w:p w14:paraId="2D536D1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253.81</w:t>
            </w:r>
          </w:p>
        </w:tc>
        <w:tc>
          <w:tcPr>
            <w:tcW w:w="2325" w:type="dxa"/>
            <w:gridSpan w:val="2"/>
            <w:noWrap w:val="0"/>
            <w:vAlign w:val="top"/>
          </w:tcPr>
          <w:p w14:paraId="7C3E0E0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92.05</w:t>
            </w:r>
          </w:p>
        </w:tc>
        <w:tc>
          <w:tcPr>
            <w:tcW w:w="1679" w:type="dxa"/>
            <w:gridSpan w:val="2"/>
            <w:noWrap w:val="0"/>
            <w:vAlign w:val="top"/>
          </w:tcPr>
          <w:p w14:paraId="67D5261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88.58</w:t>
            </w:r>
          </w:p>
        </w:tc>
      </w:tr>
      <w:tr w14:paraId="76D3DA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796" w:type="dxa"/>
            <w:noWrap w:val="0"/>
            <w:vAlign w:val="top"/>
          </w:tcPr>
          <w:p w14:paraId="59E73CFE">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5EF4B58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204.31</w:t>
            </w:r>
          </w:p>
        </w:tc>
        <w:tc>
          <w:tcPr>
            <w:tcW w:w="2325" w:type="dxa"/>
            <w:gridSpan w:val="2"/>
            <w:noWrap w:val="0"/>
            <w:vAlign w:val="top"/>
          </w:tcPr>
          <w:p w14:paraId="6FE3045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154.89</w:t>
            </w:r>
          </w:p>
        </w:tc>
        <w:tc>
          <w:tcPr>
            <w:tcW w:w="1679" w:type="dxa"/>
            <w:gridSpan w:val="2"/>
            <w:noWrap w:val="0"/>
            <w:vAlign w:val="top"/>
          </w:tcPr>
          <w:p w14:paraId="706D907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832.13</w:t>
            </w:r>
          </w:p>
        </w:tc>
      </w:tr>
      <w:tr w14:paraId="77C171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796" w:type="dxa"/>
            <w:vMerge w:val="restart"/>
            <w:tcBorders>
              <w:bottom w:val="nil"/>
            </w:tcBorders>
            <w:noWrap w:val="0"/>
            <w:vAlign w:val="center"/>
          </w:tcPr>
          <w:p w14:paraId="5A71CD26">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068FD5FF">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40AF658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76B214A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5CD583C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1898303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2B5F6AF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185962C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40A8ADA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724C9F6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2534588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6BFAFCA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1216653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652163E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3C90949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48410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796" w:type="dxa"/>
            <w:vMerge w:val="continue"/>
            <w:tcBorders>
              <w:top w:val="nil"/>
            </w:tcBorders>
            <w:noWrap w:val="0"/>
            <w:vAlign w:val="top"/>
          </w:tcPr>
          <w:p w14:paraId="4B2CA084">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51C3829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1B23172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14EA321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14:paraId="6F5F1CF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14:paraId="69658CE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14:paraId="1102712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184E92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796" w:type="dxa"/>
            <w:noWrap w:val="0"/>
            <w:vAlign w:val="top"/>
          </w:tcPr>
          <w:p w14:paraId="7BC59FAB">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05284F20">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1、压缩公务接待预算。2、办公经费厉行节约</w:t>
            </w:r>
          </w:p>
        </w:tc>
      </w:tr>
    </w:tbl>
    <w:p w14:paraId="1FA225CE">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7837200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杨婧</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18274038699</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2023.6.6</w:t>
      </w:r>
    </w:p>
    <w:p w14:paraId="08BA365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14:paraId="7154D818">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705E12C9">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07AA1A08">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0BE70F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tcBorders>
              <w:tl2br w:val="nil"/>
              <w:tr2bl w:val="nil"/>
            </w:tcBorders>
            <w:noWrap w:val="0"/>
            <w:vAlign w:val="top"/>
          </w:tcPr>
          <w:p w14:paraId="6B4606C2">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tcBorders>
              <w:tl2br w:val="nil"/>
              <w:tr2bl w:val="nil"/>
            </w:tcBorders>
            <w:noWrap w:val="0"/>
            <w:vAlign w:val="top"/>
          </w:tcPr>
          <w:p w14:paraId="02FF5DA1">
            <w:pPr>
              <w:jc w:val="center"/>
              <w:rPr>
                <w:rFonts w:hint="default" w:ascii="Arial" w:eastAsiaTheme="minorEastAsia"/>
                <w:color w:val="000000" w:themeColor="text1"/>
                <w:sz w:val="21"/>
                <w:lang w:val="en-US" w:eastAsia="zh-CN"/>
                <w14:textFill>
                  <w14:solidFill>
                    <w14:schemeClr w14:val="tx1"/>
                  </w14:solidFill>
                </w14:textFill>
              </w:rPr>
            </w:pPr>
            <w:r>
              <w:rPr>
                <w:rFonts w:hint="eastAsia" w:ascii="Arial"/>
                <w:b/>
                <w:bCs/>
                <w:color w:val="000000" w:themeColor="text1"/>
                <w:sz w:val="21"/>
                <w:lang w:val="en-US" w:eastAsia="zh-CN"/>
                <w14:textFill>
                  <w14:solidFill>
                    <w14:schemeClr w14:val="tx1"/>
                  </w14:solidFill>
                </w14:textFill>
              </w:rPr>
              <w:t>岳阳楼区库区移民服务中心</w:t>
            </w:r>
          </w:p>
        </w:tc>
      </w:tr>
      <w:tr w14:paraId="043F1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tl2br w:val="nil"/>
              <w:tr2bl w:val="nil"/>
            </w:tcBorders>
            <w:noWrap w:val="0"/>
            <w:vAlign w:val="top"/>
          </w:tcPr>
          <w:p w14:paraId="081EF185">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5A05A81E">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32CDD935">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3C8DEE57">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tcBorders>
              <w:tl2br w:val="nil"/>
              <w:tr2bl w:val="nil"/>
            </w:tcBorders>
            <w:noWrap w:val="0"/>
            <w:vAlign w:val="center"/>
          </w:tcPr>
          <w:p w14:paraId="4B279D9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tcBorders>
              <w:tl2br w:val="nil"/>
              <w:tr2bl w:val="nil"/>
            </w:tcBorders>
            <w:noWrap w:val="0"/>
            <w:vAlign w:val="center"/>
          </w:tcPr>
          <w:p w14:paraId="71223C31">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tcBorders>
              <w:tl2br w:val="nil"/>
              <w:tr2bl w:val="nil"/>
            </w:tcBorders>
            <w:noWrap w:val="0"/>
            <w:vAlign w:val="center"/>
          </w:tcPr>
          <w:p w14:paraId="38BD67DB">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tcBorders>
              <w:tl2br w:val="nil"/>
              <w:tr2bl w:val="nil"/>
            </w:tcBorders>
            <w:noWrap w:val="0"/>
            <w:vAlign w:val="center"/>
          </w:tcPr>
          <w:p w14:paraId="37C935E1">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tcBorders>
              <w:tl2br w:val="nil"/>
              <w:tr2bl w:val="nil"/>
            </w:tcBorders>
            <w:noWrap w:val="0"/>
            <w:vAlign w:val="center"/>
          </w:tcPr>
          <w:p w14:paraId="6B6BE480">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tcBorders>
              <w:tl2br w:val="nil"/>
              <w:tr2bl w:val="nil"/>
            </w:tcBorders>
            <w:noWrap w:val="0"/>
            <w:vAlign w:val="center"/>
          </w:tcPr>
          <w:p w14:paraId="1484B6FB">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tcBorders>
              <w:tl2br w:val="nil"/>
              <w:tr2bl w:val="nil"/>
            </w:tcBorders>
            <w:noWrap w:val="0"/>
            <w:vAlign w:val="center"/>
          </w:tcPr>
          <w:p w14:paraId="7D96CF7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0E7AC4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vAlign w:val="top"/>
          </w:tcPr>
          <w:p w14:paraId="6D9DFC39">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tcBorders>
              <w:tl2br w:val="nil"/>
              <w:tr2bl w:val="nil"/>
            </w:tcBorders>
            <w:noWrap w:val="0"/>
            <w:vAlign w:val="center"/>
          </w:tcPr>
          <w:p w14:paraId="13EEE56A">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tcBorders>
              <w:tl2br w:val="nil"/>
              <w:tr2bl w:val="nil"/>
            </w:tcBorders>
            <w:noWrap w:val="0"/>
            <w:vAlign w:val="center"/>
          </w:tcPr>
          <w:p w14:paraId="3E1B205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202.89</w:t>
            </w:r>
          </w:p>
        </w:tc>
        <w:tc>
          <w:tcPr>
            <w:tcW w:w="1319" w:type="dxa"/>
            <w:tcBorders>
              <w:tl2br w:val="nil"/>
              <w:tr2bl w:val="nil"/>
            </w:tcBorders>
            <w:noWrap w:val="0"/>
            <w:vAlign w:val="center"/>
          </w:tcPr>
          <w:p w14:paraId="420F8BF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1598.59</w:t>
            </w:r>
          </w:p>
        </w:tc>
        <w:tc>
          <w:tcPr>
            <w:tcW w:w="1259" w:type="dxa"/>
            <w:tcBorders>
              <w:tl2br w:val="nil"/>
              <w:tr2bl w:val="nil"/>
            </w:tcBorders>
            <w:noWrap w:val="0"/>
            <w:vAlign w:val="center"/>
          </w:tcPr>
          <w:p w14:paraId="60BD3E6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1598.59</w:t>
            </w:r>
          </w:p>
        </w:tc>
        <w:tc>
          <w:tcPr>
            <w:tcW w:w="719" w:type="dxa"/>
            <w:tcBorders>
              <w:tl2br w:val="nil"/>
              <w:tr2bl w:val="nil"/>
            </w:tcBorders>
            <w:noWrap w:val="0"/>
            <w:vAlign w:val="center"/>
          </w:tcPr>
          <w:p w14:paraId="3225648E">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tcBorders>
              <w:tl2br w:val="nil"/>
              <w:tr2bl w:val="nil"/>
            </w:tcBorders>
            <w:noWrap w:val="0"/>
            <w:vAlign w:val="center"/>
          </w:tcPr>
          <w:p w14:paraId="524D04C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tcBorders>
              <w:tl2br w:val="nil"/>
              <w:tr2bl w:val="nil"/>
            </w:tcBorders>
            <w:noWrap w:val="0"/>
            <w:vAlign w:val="center"/>
          </w:tcPr>
          <w:p w14:paraId="72DCCF6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11178E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l2br w:val="nil"/>
              <w:tr2bl w:val="nil"/>
            </w:tcBorders>
            <w:noWrap w:val="0"/>
            <w:vAlign w:val="top"/>
          </w:tcPr>
          <w:p w14:paraId="6FC88F5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l2br w:val="nil"/>
              <w:tr2bl w:val="nil"/>
            </w:tcBorders>
            <w:noWrap w:val="0"/>
            <w:vAlign w:val="center"/>
          </w:tcPr>
          <w:p w14:paraId="44B74C28">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tcBorders>
              <w:tl2br w:val="nil"/>
              <w:tr2bl w:val="nil"/>
            </w:tcBorders>
            <w:noWrap w:val="0"/>
            <w:vAlign w:val="center"/>
          </w:tcPr>
          <w:p w14:paraId="3FD0AA64">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56D5C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l2br w:val="nil"/>
              <w:tr2bl w:val="nil"/>
            </w:tcBorders>
            <w:noWrap w:val="0"/>
            <w:vAlign w:val="top"/>
          </w:tcPr>
          <w:p w14:paraId="5216C7B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l2br w:val="nil"/>
              <w:tr2bl w:val="nil"/>
            </w:tcBorders>
            <w:noWrap w:val="0"/>
            <w:vAlign w:val="center"/>
          </w:tcPr>
          <w:p w14:paraId="1D5076B1">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207.4</w:t>
            </w:r>
          </w:p>
        </w:tc>
        <w:tc>
          <w:tcPr>
            <w:tcW w:w="4055" w:type="dxa"/>
            <w:gridSpan w:val="4"/>
            <w:tcBorders>
              <w:tl2br w:val="nil"/>
              <w:tr2bl w:val="nil"/>
            </w:tcBorders>
            <w:noWrap w:val="0"/>
            <w:vAlign w:val="center"/>
          </w:tcPr>
          <w:p w14:paraId="716B6AD2">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832.13</w:t>
            </w:r>
          </w:p>
        </w:tc>
      </w:tr>
      <w:tr w14:paraId="19366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l2br w:val="nil"/>
              <w:tr2bl w:val="nil"/>
            </w:tcBorders>
            <w:noWrap w:val="0"/>
            <w:vAlign w:val="top"/>
          </w:tcPr>
          <w:p w14:paraId="751C7D30">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l2br w:val="nil"/>
              <w:tr2bl w:val="nil"/>
            </w:tcBorders>
            <w:noWrap w:val="0"/>
            <w:vAlign w:val="center"/>
          </w:tcPr>
          <w:p w14:paraId="7A325926">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766.46</w:t>
            </w:r>
          </w:p>
        </w:tc>
        <w:tc>
          <w:tcPr>
            <w:tcW w:w="4055" w:type="dxa"/>
            <w:gridSpan w:val="4"/>
            <w:tcBorders>
              <w:tl2br w:val="nil"/>
              <w:tr2bl w:val="nil"/>
            </w:tcBorders>
            <w:noWrap w:val="0"/>
            <w:vAlign w:val="center"/>
          </w:tcPr>
          <w:p w14:paraId="3EABE6A7">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766.46</w:t>
            </w:r>
          </w:p>
        </w:tc>
      </w:tr>
      <w:tr w14:paraId="0BE992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vAlign w:val="top"/>
          </w:tcPr>
          <w:p w14:paraId="2D42E161">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l2br w:val="nil"/>
              <w:tr2bl w:val="nil"/>
            </w:tcBorders>
            <w:noWrap w:val="0"/>
            <w:vAlign w:val="center"/>
          </w:tcPr>
          <w:p w14:paraId="63AE865E">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tcBorders>
              <w:tl2br w:val="nil"/>
              <w:tr2bl w:val="nil"/>
            </w:tcBorders>
            <w:noWrap w:val="0"/>
            <w:vAlign w:val="center"/>
          </w:tcPr>
          <w:p w14:paraId="28175F3E">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6B07A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l2br w:val="nil"/>
              <w:tr2bl w:val="nil"/>
            </w:tcBorders>
            <w:noWrap w:val="0"/>
            <w:vAlign w:val="top"/>
          </w:tcPr>
          <w:p w14:paraId="1702BB5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l2br w:val="nil"/>
              <w:tr2bl w:val="nil"/>
            </w:tcBorders>
            <w:noWrap w:val="0"/>
            <w:vAlign w:val="center"/>
          </w:tcPr>
          <w:p w14:paraId="11A9C31C">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624.73</w:t>
            </w:r>
          </w:p>
        </w:tc>
        <w:tc>
          <w:tcPr>
            <w:tcW w:w="4055" w:type="dxa"/>
            <w:gridSpan w:val="4"/>
            <w:tcBorders>
              <w:tl2br w:val="nil"/>
              <w:tr2bl w:val="nil"/>
            </w:tcBorders>
            <w:noWrap w:val="0"/>
            <w:vAlign w:val="center"/>
          </w:tcPr>
          <w:p w14:paraId="6712B1F9">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623DA2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tl2br w:val="nil"/>
              <w:tr2bl w:val="nil"/>
            </w:tcBorders>
            <w:noWrap w:val="0"/>
            <w:vAlign w:val="top"/>
          </w:tcPr>
          <w:p w14:paraId="6AE5A4FC">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tcBorders>
              <w:tl2br w:val="nil"/>
              <w:tr2bl w:val="nil"/>
            </w:tcBorders>
            <w:noWrap w:val="0"/>
            <w:vAlign w:val="center"/>
          </w:tcPr>
          <w:p w14:paraId="3110371C">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tcBorders>
              <w:tl2br w:val="nil"/>
              <w:tr2bl w:val="nil"/>
            </w:tcBorders>
            <w:noWrap w:val="0"/>
            <w:vAlign w:val="center"/>
          </w:tcPr>
          <w:p w14:paraId="211D4296">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37959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l2br w:val="nil"/>
              <w:tr2bl w:val="nil"/>
            </w:tcBorders>
            <w:noWrap w:val="0"/>
            <w:vAlign w:val="top"/>
          </w:tcPr>
          <w:p w14:paraId="25A6B6AF">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tcBorders>
              <w:tl2br w:val="nil"/>
              <w:tr2bl w:val="nil"/>
            </w:tcBorders>
            <w:noWrap w:val="0"/>
            <w:vAlign w:val="center"/>
          </w:tcPr>
          <w:p w14:paraId="16E85BC8">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指标1：坚持党建引领，重视政治理论学习，强化内部管理，营造文化氛围。</w:t>
            </w:r>
          </w:p>
          <w:p w14:paraId="2851F9F7">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指标2：对我区移民进行年检年审工作，按要求做好移民人口的核减工作。</w:t>
            </w:r>
          </w:p>
          <w:p w14:paraId="19171EA4">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指标3：做好全区移民的就业技能培训和产业扶持工作。</w:t>
            </w:r>
          </w:p>
          <w:p w14:paraId="595BC6BE">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指标4：做好贫困移民的帮扶解困及维稳工作。                                                指标5：对我区移民聚居区的移民工程项目实施监督管理，确保工程质量。</w:t>
            </w:r>
          </w:p>
        </w:tc>
        <w:tc>
          <w:tcPr>
            <w:tcW w:w="4055" w:type="dxa"/>
            <w:gridSpan w:val="4"/>
            <w:tcBorders>
              <w:tl2br w:val="nil"/>
              <w:tr2bl w:val="nil"/>
            </w:tcBorders>
            <w:noWrap w:val="0"/>
            <w:vAlign w:val="center"/>
          </w:tcPr>
          <w:p w14:paraId="1A30001B">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目标1：完成投入362.22万元，发放移民后扶人口直补资金；</w:t>
            </w:r>
          </w:p>
          <w:p w14:paraId="30EC2999">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目标2：完成实施移民美丽家园项目14个；</w:t>
            </w:r>
          </w:p>
          <w:p w14:paraId="0E14FC66">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目标3：完成83个生产开发及配套设施项目（包括产业、基础设施）；</w:t>
            </w:r>
          </w:p>
          <w:p w14:paraId="175A6232">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目标4：完成培训移民103人次；</w:t>
            </w:r>
          </w:p>
          <w:p w14:paraId="18D875C4">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目标5：采取银行“一卡通”足额发放移民直补到人资金；</w:t>
            </w:r>
          </w:p>
          <w:p w14:paraId="24736170">
            <w:pPr>
              <w:keepNext w:val="0"/>
              <w:keepLines w:val="0"/>
              <w:pageBreakBefore w:val="0"/>
              <w:widowControl w:val="0"/>
              <w:kinsoku/>
              <w:wordWrap/>
              <w:overflowPunct/>
              <w:topLinePunct w:val="0"/>
              <w:autoSpaceDE/>
              <w:autoSpaceDN/>
              <w:bidi w:val="0"/>
              <w:adjustRightInd/>
              <w:snapToGrid/>
              <w:spacing w:line="191" w:lineRule="auto"/>
              <w:jc w:val="left"/>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目标6:定期组织中心全体干部职工集中学习习近平新时代中国特色社会主义思想以及中央、省、市相关文件、会议精神，每次不少于60分钟。</w:t>
            </w:r>
          </w:p>
        </w:tc>
      </w:tr>
      <w:tr w14:paraId="7C76D4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tl2br w:val="nil"/>
              <w:tr2bl w:val="nil"/>
            </w:tcBorders>
            <w:noWrap w:val="0"/>
            <w:textDirection w:val="tbRlV"/>
            <w:vAlign w:val="top"/>
          </w:tcPr>
          <w:p w14:paraId="351C96E8">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2762A2DC">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tcBorders>
              <w:tl2br w:val="nil"/>
              <w:tr2bl w:val="nil"/>
            </w:tcBorders>
            <w:noWrap w:val="0"/>
            <w:vAlign w:val="center"/>
          </w:tcPr>
          <w:p w14:paraId="51C0B2C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tcBorders>
              <w:tl2br w:val="nil"/>
              <w:tr2bl w:val="nil"/>
            </w:tcBorders>
            <w:noWrap w:val="0"/>
            <w:vAlign w:val="center"/>
          </w:tcPr>
          <w:p w14:paraId="14A9751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tcBorders>
              <w:tl2br w:val="nil"/>
              <w:tr2bl w:val="nil"/>
            </w:tcBorders>
            <w:noWrap w:val="0"/>
            <w:vAlign w:val="center"/>
          </w:tcPr>
          <w:p w14:paraId="115AB39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tcBorders>
              <w:tl2br w:val="nil"/>
              <w:tr2bl w:val="nil"/>
            </w:tcBorders>
            <w:noWrap w:val="0"/>
            <w:vAlign w:val="center"/>
          </w:tcPr>
          <w:p w14:paraId="71E49A0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tcBorders>
              <w:tl2br w:val="nil"/>
              <w:tr2bl w:val="nil"/>
            </w:tcBorders>
            <w:noWrap w:val="0"/>
            <w:vAlign w:val="center"/>
          </w:tcPr>
          <w:p w14:paraId="0FF5B59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tcBorders>
              <w:tl2br w:val="nil"/>
              <w:tr2bl w:val="nil"/>
            </w:tcBorders>
            <w:noWrap w:val="0"/>
            <w:vAlign w:val="center"/>
          </w:tcPr>
          <w:p w14:paraId="20811D2E">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tcBorders>
              <w:tl2br w:val="nil"/>
              <w:tr2bl w:val="nil"/>
            </w:tcBorders>
            <w:noWrap w:val="0"/>
            <w:vAlign w:val="center"/>
          </w:tcPr>
          <w:p w14:paraId="7693196C">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tcBorders>
              <w:tl2br w:val="nil"/>
              <w:tr2bl w:val="nil"/>
            </w:tcBorders>
            <w:noWrap w:val="0"/>
            <w:vAlign w:val="center"/>
          </w:tcPr>
          <w:p w14:paraId="378AF669">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67465EB1">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649731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6" w:hRule="atLeast"/>
        </w:trPr>
        <w:tc>
          <w:tcPr>
            <w:tcW w:w="1084" w:type="dxa"/>
            <w:vMerge w:val="continue"/>
            <w:tcBorders>
              <w:tl2br w:val="nil"/>
              <w:tr2bl w:val="nil"/>
            </w:tcBorders>
            <w:noWrap w:val="0"/>
            <w:textDirection w:val="tbRlV"/>
            <w:vAlign w:val="top"/>
          </w:tcPr>
          <w:p w14:paraId="3CDDB420">
            <w:pPr>
              <w:rPr>
                <w:rFonts w:ascii="Arial"/>
                <w:color w:val="000000" w:themeColor="text1"/>
                <w:sz w:val="21"/>
                <w14:textFill>
                  <w14:solidFill>
                    <w14:schemeClr w14:val="tx1"/>
                  </w14:solidFill>
                </w14:textFill>
              </w:rPr>
            </w:pPr>
          </w:p>
        </w:tc>
        <w:tc>
          <w:tcPr>
            <w:tcW w:w="1079" w:type="dxa"/>
            <w:vMerge w:val="restart"/>
            <w:tcBorders>
              <w:tl2br w:val="nil"/>
              <w:tr2bl w:val="nil"/>
            </w:tcBorders>
            <w:noWrap w:val="0"/>
            <w:vAlign w:val="center"/>
          </w:tcPr>
          <w:p w14:paraId="26D972DC">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755ADA03">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6718DE93">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7641CE49">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629BA234">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31AC00C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tcBorders>
              <w:tl2br w:val="nil"/>
              <w:tr2bl w:val="nil"/>
            </w:tcBorders>
            <w:noWrap w:val="0"/>
            <w:vAlign w:val="center"/>
          </w:tcPr>
          <w:p w14:paraId="21C5DB5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tcBorders>
              <w:tl2br w:val="nil"/>
              <w:tr2bl w:val="nil"/>
            </w:tcBorders>
            <w:noWrap w:val="0"/>
            <w:vAlign w:val="center"/>
          </w:tcPr>
          <w:p w14:paraId="4BDA0F07">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rPr>
            </w:pPr>
            <w:r>
              <w:rPr>
                <w:rFonts w:hint="eastAsia" w:ascii="仿宋" w:hAnsi="仿宋" w:eastAsia="仿宋" w:cs="仿宋"/>
                <w:sz w:val="18"/>
                <w:szCs w:val="18"/>
              </w:rPr>
              <w:t>资金直补方式、两者结合方式、</w:t>
            </w:r>
          </w:p>
          <w:p w14:paraId="52358DE3">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项目扶持的移民人数</w:t>
            </w:r>
          </w:p>
        </w:tc>
        <w:tc>
          <w:tcPr>
            <w:tcW w:w="1319" w:type="dxa"/>
            <w:tcBorders>
              <w:tl2br w:val="nil"/>
              <w:tr2bl w:val="nil"/>
            </w:tcBorders>
            <w:noWrap w:val="0"/>
            <w:vAlign w:val="center"/>
          </w:tcPr>
          <w:p w14:paraId="02B3C8D2">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≥12000人</w:t>
            </w:r>
          </w:p>
        </w:tc>
        <w:tc>
          <w:tcPr>
            <w:tcW w:w="1259" w:type="dxa"/>
            <w:tcBorders>
              <w:tl2br w:val="nil"/>
              <w:tr2bl w:val="nil"/>
            </w:tcBorders>
            <w:noWrap w:val="0"/>
            <w:vAlign w:val="center"/>
          </w:tcPr>
          <w:p w14:paraId="09059157">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12741人</w:t>
            </w:r>
          </w:p>
        </w:tc>
        <w:tc>
          <w:tcPr>
            <w:tcW w:w="719" w:type="dxa"/>
            <w:tcBorders>
              <w:tl2br w:val="nil"/>
              <w:tr2bl w:val="nil"/>
            </w:tcBorders>
            <w:noWrap w:val="0"/>
            <w:vAlign w:val="center"/>
          </w:tcPr>
          <w:p w14:paraId="697F6992">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802" w:type="dxa"/>
            <w:tcBorders>
              <w:tl2br w:val="nil"/>
              <w:tr2bl w:val="nil"/>
            </w:tcBorders>
            <w:noWrap w:val="0"/>
            <w:vAlign w:val="center"/>
          </w:tcPr>
          <w:p w14:paraId="58EC8DD2">
            <w:pPr>
              <w:keepNext w:val="0"/>
              <w:keepLines w:val="0"/>
              <w:pageBreakBefore w:val="0"/>
              <w:widowControl w:val="0"/>
              <w:kinsoku/>
              <w:wordWrap/>
              <w:overflowPunct/>
              <w:topLinePunct w:val="0"/>
              <w:autoSpaceDE/>
              <w:autoSpaceDN/>
              <w:bidi w:val="0"/>
              <w:adjustRightInd/>
              <w:snapToGrid/>
              <w:spacing w:line="219"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275" w:type="dxa"/>
            <w:tcBorders>
              <w:tl2br w:val="nil"/>
              <w:tr2bl w:val="nil"/>
            </w:tcBorders>
            <w:noWrap w:val="0"/>
            <w:vAlign w:val="center"/>
          </w:tcPr>
          <w:p w14:paraId="40C28DE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0C05AE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l2br w:val="nil"/>
              <w:tr2bl w:val="nil"/>
            </w:tcBorders>
            <w:noWrap w:val="0"/>
            <w:textDirection w:val="tbRlV"/>
            <w:vAlign w:val="top"/>
          </w:tcPr>
          <w:p w14:paraId="6362824D">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3C875BC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24552AC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tl2br w:val="nil"/>
              <w:tr2bl w:val="nil"/>
            </w:tcBorders>
            <w:noWrap w:val="0"/>
            <w:vAlign w:val="center"/>
          </w:tcPr>
          <w:p w14:paraId="41D179B5">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left"/>
              <w:textAlignment w:val="baseline"/>
              <w:rPr>
                <w:rFonts w:hint="eastAsia" w:ascii="仿宋" w:hAnsi="仿宋" w:eastAsia="仿宋" w:cs="仿宋"/>
                <w:sz w:val="18"/>
                <w:szCs w:val="18"/>
              </w:rPr>
            </w:pPr>
            <w:r>
              <w:rPr>
                <w:rFonts w:hint="eastAsia" w:ascii="仿宋" w:hAnsi="仿宋" w:eastAsia="仿宋" w:cs="仿宋"/>
                <w:sz w:val="18"/>
                <w:szCs w:val="18"/>
              </w:rPr>
              <w:t>美丽家园类（基础设施、社会事业</w:t>
            </w:r>
          </w:p>
          <w:p w14:paraId="3F1952EF">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left"/>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、生态建设及环境保护等）项目个数</w:t>
            </w:r>
          </w:p>
        </w:tc>
        <w:tc>
          <w:tcPr>
            <w:tcW w:w="1319" w:type="dxa"/>
            <w:tcBorders>
              <w:tl2br w:val="nil"/>
              <w:tr2bl w:val="nil"/>
            </w:tcBorders>
            <w:noWrap w:val="0"/>
            <w:vAlign w:val="center"/>
          </w:tcPr>
          <w:p w14:paraId="07AA0DA7">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14个</w:t>
            </w:r>
          </w:p>
        </w:tc>
        <w:tc>
          <w:tcPr>
            <w:tcW w:w="1259" w:type="dxa"/>
            <w:tcBorders>
              <w:tl2br w:val="nil"/>
              <w:tr2bl w:val="nil"/>
            </w:tcBorders>
            <w:noWrap w:val="0"/>
            <w:vAlign w:val="center"/>
          </w:tcPr>
          <w:p w14:paraId="5B083225">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14个</w:t>
            </w:r>
          </w:p>
        </w:tc>
        <w:tc>
          <w:tcPr>
            <w:tcW w:w="719" w:type="dxa"/>
            <w:tcBorders>
              <w:tl2br w:val="nil"/>
              <w:tr2bl w:val="nil"/>
            </w:tcBorders>
            <w:noWrap w:val="0"/>
            <w:vAlign w:val="center"/>
          </w:tcPr>
          <w:p w14:paraId="5F8E7E42">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802" w:type="dxa"/>
            <w:tcBorders>
              <w:tl2br w:val="nil"/>
              <w:tr2bl w:val="nil"/>
            </w:tcBorders>
            <w:noWrap w:val="0"/>
            <w:vAlign w:val="center"/>
          </w:tcPr>
          <w:p w14:paraId="13590213">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275" w:type="dxa"/>
            <w:tcBorders>
              <w:tl2br w:val="nil"/>
              <w:tr2bl w:val="nil"/>
            </w:tcBorders>
            <w:noWrap w:val="0"/>
            <w:vAlign w:val="center"/>
          </w:tcPr>
          <w:p w14:paraId="7715F99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C9BF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textDirection w:val="tbRlV"/>
            <w:vAlign w:val="top"/>
          </w:tcPr>
          <w:p w14:paraId="515A50F3">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350FEDA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189F3DE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tl2br w:val="nil"/>
              <w:tr2bl w:val="nil"/>
            </w:tcBorders>
            <w:noWrap w:val="0"/>
            <w:vAlign w:val="center"/>
          </w:tcPr>
          <w:p w14:paraId="1936FEB5">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rPr>
            </w:pPr>
            <w:r>
              <w:rPr>
                <w:rFonts w:hint="eastAsia" w:ascii="仿宋" w:hAnsi="仿宋" w:eastAsia="仿宋" w:cs="仿宋"/>
                <w:sz w:val="18"/>
                <w:szCs w:val="18"/>
              </w:rPr>
              <w:t>生产开发及配套设施类</w:t>
            </w:r>
          </w:p>
          <w:p w14:paraId="50B71AB6">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rPr>
              <w:t>（基本口粮田及水利设施配套、生产开发等）项目个数</w:t>
            </w:r>
          </w:p>
        </w:tc>
        <w:tc>
          <w:tcPr>
            <w:tcW w:w="1319" w:type="dxa"/>
            <w:tcBorders>
              <w:tl2br w:val="nil"/>
              <w:tr2bl w:val="nil"/>
            </w:tcBorders>
            <w:noWrap w:val="0"/>
            <w:vAlign w:val="center"/>
          </w:tcPr>
          <w:p w14:paraId="30B007D8">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84个</w:t>
            </w:r>
          </w:p>
        </w:tc>
        <w:tc>
          <w:tcPr>
            <w:tcW w:w="1259" w:type="dxa"/>
            <w:tcBorders>
              <w:tl2br w:val="nil"/>
              <w:tr2bl w:val="nil"/>
            </w:tcBorders>
            <w:noWrap w:val="0"/>
            <w:vAlign w:val="center"/>
          </w:tcPr>
          <w:p w14:paraId="280E7D9F">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83个</w:t>
            </w:r>
          </w:p>
        </w:tc>
        <w:tc>
          <w:tcPr>
            <w:tcW w:w="719" w:type="dxa"/>
            <w:tcBorders>
              <w:tl2br w:val="nil"/>
              <w:tr2bl w:val="nil"/>
            </w:tcBorders>
            <w:noWrap w:val="0"/>
            <w:vAlign w:val="center"/>
          </w:tcPr>
          <w:p w14:paraId="6D6237C5">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802" w:type="dxa"/>
            <w:tcBorders>
              <w:tl2br w:val="nil"/>
              <w:tr2bl w:val="nil"/>
            </w:tcBorders>
            <w:noWrap w:val="0"/>
            <w:vAlign w:val="center"/>
          </w:tcPr>
          <w:p w14:paraId="78B8005A">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3.95</w:t>
            </w:r>
          </w:p>
        </w:tc>
        <w:tc>
          <w:tcPr>
            <w:tcW w:w="1275" w:type="dxa"/>
            <w:tcBorders>
              <w:tl2br w:val="nil"/>
              <w:tr2bl w:val="nil"/>
            </w:tcBorders>
            <w:noWrap w:val="0"/>
            <w:vAlign w:val="center"/>
          </w:tcPr>
          <w:p w14:paraId="361851A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项目走结算评审手续中</w:t>
            </w:r>
          </w:p>
        </w:tc>
      </w:tr>
      <w:tr w14:paraId="502A4A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textDirection w:val="tbRlV"/>
            <w:vAlign w:val="top"/>
          </w:tcPr>
          <w:p w14:paraId="777085F6">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52D732A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7791EA2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tl2br w:val="nil"/>
              <w:tr2bl w:val="nil"/>
            </w:tcBorders>
            <w:noWrap w:val="0"/>
            <w:vAlign w:val="center"/>
          </w:tcPr>
          <w:p w14:paraId="16FA4BE8">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rPr>
              <w:t>开展移民技能培训次数</w:t>
            </w:r>
          </w:p>
        </w:tc>
        <w:tc>
          <w:tcPr>
            <w:tcW w:w="1319" w:type="dxa"/>
            <w:tcBorders>
              <w:tl2br w:val="nil"/>
              <w:tr2bl w:val="nil"/>
            </w:tcBorders>
            <w:noWrap w:val="0"/>
            <w:vAlign w:val="center"/>
          </w:tcPr>
          <w:p w14:paraId="10DE5753">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2次</w:t>
            </w:r>
          </w:p>
        </w:tc>
        <w:tc>
          <w:tcPr>
            <w:tcW w:w="1259" w:type="dxa"/>
            <w:tcBorders>
              <w:tl2br w:val="nil"/>
              <w:tr2bl w:val="nil"/>
            </w:tcBorders>
            <w:noWrap w:val="0"/>
            <w:vAlign w:val="center"/>
          </w:tcPr>
          <w:p w14:paraId="4D6F0C4F">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2次</w:t>
            </w:r>
          </w:p>
        </w:tc>
        <w:tc>
          <w:tcPr>
            <w:tcW w:w="719" w:type="dxa"/>
            <w:tcBorders>
              <w:tl2br w:val="nil"/>
              <w:tr2bl w:val="nil"/>
            </w:tcBorders>
            <w:noWrap w:val="0"/>
            <w:vAlign w:val="center"/>
          </w:tcPr>
          <w:p w14:paraId="3E22F700">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802" w:type="dxa"/>
            <w:tcBorders>
              <w:tl2br w:val="nil"/>
              <w:tr2bl w:val="nil"/>
            </w:tcBorders>
            <w:noWrap w:val="0"/>
            <w:vAlign w:val="center"/>
          </w:tcPr>
          <w:p w14:paraId="5D294641">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275" w:type="dxa"/>
            <w:tcBorders>
              <w:tl2br w:val="nil"/>
              <w:tr2bl w:val="nil"/>
            </w:tcBorders>
            <w:noWrap w:val="0"/>
            <w:vAlign w:val="center"/>
          </w:tcPr>
          <w:p w14:paraId="1F49294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1649ED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l2br w:val="nil"/>
              <w:tr2bl w:val="nil"/>
            </w:tcBorders>
            <w:noWrap w:val="0"/>
            <w:textDirection w:val="tbRlV"/>
            <w:vAlign w:val="top"/>
          </w:tcPr>
          <w:p w14:paraId="65A2B1DE">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640335C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tl2br w:val="nil"/>
              <w:tr2bl w:val="nil"/>
            </w:tcBorders>
            <w:noWrap w:val="0"/>
            <w:vAlign w:val="center"/>
          </w:tcPr>
          <w:p w14:paraId="721A775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tcBorders>
              <w:tl2br w:val="nil"/>
              <w:tr2bl w:val="nil"/>
            </w:tcBorders>
            <w:noWrap w:val="0"/>
            <w:vAlign w:val="center"/>
          </w:tcPr>
          <w:p w14:paraId="61287966">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 xml:space="preserve"> 移民培训合格率</w:t>
            </w:r>
          </w:p>
        </w:tc>
        <w:tc>
          <w:tcPr>
            <w:tcW w:w="1319" w:type="dxa"/>
            <w:tcBorders>
              <w:tl2br w:val="nil"/>
              <w:tr2bl w:val="nil"/>
            </w:tcBorders>
            <w:noWrap w:val="0"/>
            <w:vAlign w:val="center"/>
          </w:tcPr>
          <w:p w14:paraId="270B9095">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100%</w:t>
            </w:r>
          </w:p>
        </w:tc>
        <w:tc>
          <w:tcPr>
            <w:tcW w:w="1259" w:type="dxa"/>
            <w:tcBorders>
              <w:tl2br w:val="nil"/>
              <w:tr2bl w:val="nil"/>
            </w:tcBorders>
            <w:noWrap w:val="0"/>
            <w:vAlign w:val="center"/>
          </w:tcPr>
          <w:p w14:paraId="5117C03A">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100%</w:t>
            </w:r>
          </w:p>
        </w:tc>
        <w:tc>
          <w:tcPr>
            <w:tcW w:w="719" w:type="dxa"/>
            <w:tcBorders>
              <w:tl2br w:val="nil"/>
              <w:tr2bl w:val="nil"/>
            </w:tcBorders>
            <w:noWrap w:val="0"/>
            <w:vAlign w:val="center"/>
          </w:tcPr>
          <w:p w14:paraId="49DE4383">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802" w:type="dxa"/>
            <w:tcBorders>
              <w:tl2br w:val="nil"/>
              <w:tr2bl w:val="nil"/>
            </w:tcBorders>
            <w:noWrap w:val="0"/>
            <w:vAlign w:val="center"/>
          </w:tcPr>
          <w:p w14:paraId="0B1B2CB5">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275" w:type="dxa"/>
            <w:tcBorders>
              <w:tl2br w:val="nil"/>
              <w:tr2bl w:val="nil"/>
            </w:tcBorders>
            <w:noWrap w:val="0"/>
            <w:vAlign w:val="center"/>
          </w:tcPr>
          <w:p w14:paraId="3FF11B0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36AA8A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l2br w:val="nil"/>
              <w:tr2bl w:val="nil"/>
            </w:tcBorders>
            <w:noWrap w:val="0"/>
            <w:textDirection w:val="tbRlV"/>
            <w:vAlign w:val="top"/>
          </w:tcPr>
          <w:p w14:paraId="48713668">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7612F33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7C2ED41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tl2br w:val="nil"/>
              <w:tr2bl w:val="nil"/>
            </w:tcBorders>
            <w:noWrap w:val="0"/>
            <w:vAlign w:val="center"/>
          </w:tcPr>
          <w:p w14:paraId="78616BA7">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直补资金发放精准率</w:t>
            </w:r>
          </w:p>
        </w:tc>
        <w:tc>
          <w:tcPr>
            <w:tcW w:w="1319" w:type="dxa"/>
            <w:tcBorders>
              <w:tl2br w:val="nil"/>
              <w:tr2bl w:val="nil"/>
            </w:tcBorders>
            <w:noWrap w:val="0"/>
            <w:vAlign w:val="center"/>
          </w:tcPr>
          <w:p w14:paraId="357D7E21">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100%</w:t>
            </w:r>
          </w:p>
        </w:tc>
        <w:tc>
          <w:tcPr>
            <w:tcW w:w="1259" w:type="dxa"/>
            <w:tcBorders>
              <w:tl2br w:val="nil"/>
              <w:tr2bl w:val="nil"/>
            </w:tcBorders>
            <w:noWrap w:val="0"/>
            <w:vAlign w:val="center"/>
          </w:tcPr>
          <w:p w14:paraId="5F23F973">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100%</w:t>
            </w:r>
          </w:p>
        </w:tc>
        <w:tc>
          <w:tcPr>
            <w:tcW w:w="719" w:type="dxa"/>
            <w:tcBorders>
              <w:tl2br w:val="nil"/>
              <w:tr2bl w:val="nil"/>
            </w:tcBorders>
            <w:noWrap w:val="0"/>
            <w:vAlign w:val="center"/>
          </w:tcPr>
          <w:p w14:paraId="429AA130">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802" w:type="dxa"/>
            <w:tcBorders>
              <w:tl2br w:val="nil"/>
              <w:tr2bl w:val="nil"/>
            </w:tcBorders>
            <w:noWrap w:val="0"/>
            <w:vAlign w:val="center"/>
          </w:tcPr>
          <w:p w14:paraId="0B2FEC5A">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275" w:type="dxa"/>
            <w:tcBorders>
              <w:tl2br w:val="nil"/>
              <w:tr2bl w:val="nil"/>
            </w:tcBorders>
            <w:noWrap w:val="0"/>
            <w:vAlign w:val="center"/>
          </w:tcPr>
          <w:p w14:paraId="43FF4C1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7BC6F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l2br w:val="nil"/>
              <w:tr2bl w:val="nil"/>
            </w:tcBorders>
            <w:noWrap w:val="0"/>
            <w:textDirection w:val="tbRlV"/>
            <w:vAlign w:val="top"/>
          </w:tcPr>
          <w:p w14:paraId="085070FA">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4F15AA8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66F53D0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tl2br w:val="nil"/>
              <w:tr2bl w:val="nil"/>
            </w:tcBorders>
            <w:noWrap w:val="0"/>
            <w:vAlign w:val="center"/>
          </w:tcPr>
          <w:p w14:paraId="3A2EC89B">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项目验收合格率</w:t>
            </w:r>
          </w:p>
        </w:tc>
        <w:tc>
          <w:tcPr>
            <w:tcW w:w="1319" w:type="dxa"/>
            <w:tcBorders>
              <w:tl2br w:val="nil"/>
              <w:tr2bl w:val="nil"/>
            </w:tcBorders>
            <w:noWrap w:val="0"/>
            <w:vAlign w:val="center"/>
          </w:tcPr>
          <w:p w14:paraId="1E9127E8">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100%</w:t>
            </w:r>
          </w:p>
        </w:tc>
        <w:tc>
          <w:tcPr>
            <w:tcW w:w="1259" w:type="dxa"/>
            <w:tcBorders>
              <w:tl2br w:val="nil"/>
              <w:tr2bl w:val="nil"/>
            </w:tcBorders>
            <w:noWrap w:val="0"/>
            <w:vAlign w:val="center"/>
          </w:tcPr>
          <w:p w14:paraId="2D6DB8E5">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100%</w:t>
            </w:r>
          </w:p>
        </w:tc>
        <w:tc>
          <w:tcPr>
            <w:tcW w:w="719" w:type="dxa"/>
            <w:tcBorders>
              <w:tl2br w:val="nil"/>
              <w:tr2bl w:val="nil"/>
            </w:tcBorders>
            <w:noWrap w:val="0"/>
            <w:vAlign w:val="center"/>
          </w:tcPr>
          <w:p w14:paraId="273AF5E9">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802" w:type="dxa"/>
            <w:tcBorders>
              <w:tl2br w:val="nil"/>
              <w:tr2bl w:val="nil"/>
            </w:tcBorders>
            <w:noWrap w:val="0"/>
            <w:vAlign w:val="center"/>
          </w:tcPr>
          <w:p w14:paraId="0296402C">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4</w:t>
            </w:r>
          </w:p>
        </w:tc>
        <w:tc>
          <w:tcPr>
            <w:tcW w:w="1275" w:type="dxa"/>
            <w:tcBorders>
              <w:tl2br w:val="nil"/>
              <w:tr2bl w:val="nil"/>
            </w:tcBorders>
            <w:noWrap w:val="0"/>
            <w:vAlign w:val="center"/>
          </w:tcPr>
          <w:p w14:paraId="1C6C721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44589A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l2br w:val="nil"/>
              <w:tr2bl w:val="nil"/>
            </w:tcBorders>
            <w:noWrap w:val="0"/>
            <w:textDirection w:val="tbRlV"/>
            <w:vAlign w:val="top"/>
          </w:tcPr>
          <w:p w14:paraId="0F054416">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2FE9DDA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780B6CB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tl2br w:val="nil"/>
              <w:tr2bl w:val="nil"/>
            </w:tcBorders>
            <w:noWrap w:val="0"/>
            <w:vAlign w:val="center"/>
          </w:tcPr>
          <w:p w14:paraId="30CFC3C8">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 xml:space="preserve"> 移民上访事件发生数量</w:t>
            </w:r>
          </w:p>
        </w:tc>
        <w:tc>
          <w:tcPr>
            <w:tcW w:w="1319" w:type="dxa"/>
            <w:tcBorders>
              <w:tl2br w:val="nil"/>
              <w:tr2bl w:val="nil"/>
            </w:tcBorders>
            <w:noWrap w:val="0"/>
            <w:vAlign w:val="center"/>
          </w:tcPr>
          <w:p w14:paraId="44D9E41F">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0起</w:t>
            </w:r>
          </w:p>
        </w:tc>
        <w:tc>
          <w:tcPr>
            <w:tcW w:w="1259" w:type="dxa"/>
            <w:tcBorders>
              <w:tl2br w:val="nil"/>
              <w:tr2bl w:val="nil"/>
            </w:tcBorders>
            <w:noWrap w:val="0"/>
            <w:vAlign w:val="center"/>
          </w:tcPr>
          <w:p w14:paraId="63A4E8B5">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0起</w:t>
            </w:r>
          </w:p>
        </w:tc>
        <w:tc>
          <w:tcPr>
            <w:tcW w:w="719" w:type="dxa"/>
            <w:tcBorders>
              <w:tl2br w:val="nil"/>
              <w:tr2bl w:val="nil"/>
            </w:tcBorders>
            <w:noWrap w:val="0"/>
            <w:vAlign w:val="center"/>
          </w:tcPr>
          <w:p w14:paraId="63AA6B80">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802" w:type="dxa"/>
            <w:tcBorders>
              <w:tl2br w:val="nil"/>
              <w:tr2bl w:val="nil"/>
            </w:tcBorders>
            <w:noWrap w:val="0"/>
            <w:vAlign w:val="center"/>
          </w:tcPr>
          <w:p w14:paraId="2E7A3B3C">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275" w:type="dxa"/>
            <w:tcBorders>
              <w:tl2br w:val="nil"/>
              <w:tr2bl w:val="nil"/>
            </w:tcBorders>
            <w:noWrap w:val="0"/>
            <w:vAlign w:val="center"/>
          </w:tcPr>
          <w:p w14:paraId="675D813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34BFF9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textDirection w:val="tbRlV"/>
            <w:vAlign w:val="top"/>
          </w:tcPr>
          <w:p w14:paraId="7510F524">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6F1D510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tl2br w:val="nil"/>
              <w:tr2bl w:val="nil"/>
            </w:tcBorders>
            <w:noWrap w:val="0"/>
            <w:vAlign w:val="center"/>
          </w:tcPr>
          <w:p w14:paraId="7D0F5B4C">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tcBorders>
              <w:tl2br w:val="nil"/>
              <w:tr2bl w:val="nil"/>
            </w:tcBorders>
            <w:noWrap w:val="0"/>
            <w:vAlign w:val="center"/>
          </w:tcPr>
          <w:p w14:paraId="42C766A7">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直补资金发放时间</w:t>
            </w:r>
          </w:p>
        </w:tc>
        <w:tc>
          <w:tcPr>
            <w:tcW w:w="1319" w:type="dxa"/>
            <w:tcBorders>
              <w:tl2br w:val="nil"/>
              <w:tr2bl w:val="nil"/>
            </w:tcBorders>
            <w:noWrap w:val="0"/>
            <w:vAlign w:val="center"/>
          </w:tcPr>
          <w:p w14:paraId="312B08DE">
            <w:pPr>
              <w:keepNext w:val="0"/>
              <w:keepLines w:val="0"/>
              <w:pageBreakBefore w:val="0"/>
              <w:widowControl/>
              <w:kinsoku w:val="0"/>
              <w:wordWrap/>
              <w:overflowPunct/>
              <w:topLinePunct w:val="0"/>
              <w:autoSpaceDE w:val="0"/>
              <w:autoSpaceDN w:val="0"/>
              <w:bidi w:val="0"/>
              <w:adjustRightInd w:val="0"/>
              <w:snapToGrid w:val="0"/>
              <w:spacing w:line="179"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2022年7月以前</w:t>
            </w:r>
          </w:p>
        </w:tc>
        <w:tc>
          <w:tcPr>
            <w:tcW w:w="1259" w:type="dxa"/>
            <w:tcBorders>
              <w:tl2br w:val="nil"/>
              <w:tr2bl w:val="nil"/>
            </w:tcBorders>
            <w:noWrap w:val="0"/>
            <w:vAlign w:val="center"/>
          </w:tcPr>
          <w:p w14:paraId="79DDF014">
            <w:pPr>
              <w:keepNext w:val="0"/>
              <w:keepLines w:val="0"/>
              <w:pageBreakBefore w:val="0"/>
              <w:widowControl/>
              <w:kinsoku w:val="0"/>
              <w:wordWrap/>
              <w:overflowPunct/>
              <w:topLinePunct w:val="0"/>
              <w:autoSpaceDE w:val="0"/>
              <w:autoSpaceDN w:val="0"/>
              <w:bidi w:val="0"/>
              <w:adjustRightInd w:val="0"/>
              <w:snapToGrid w:val="0"/>
              <w:spacing w:line="179"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2022年6月9日</w:t>
            </w:r>
          </w:p>
        </w:tc>
        <w:tc>
          <w:tcPr>
            <w:tcW w:w="719" w:type="dxa"/>
            <w:tcBorders>
              <w:tl2br w:val="nil"/>
              <w:tr2bl w:val="nil"/>
            </w:tcBorders>
            <w:noWrap w:val="0"/>
            <w:vAlign w:val="center"/>
          </w:tcPr>
          <w:p w14:paraId="33BC5035">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802" w:type="dxa"/>
            <w:tcBorders>
              <w:tl2br w:val="nil"/>
              <w:tr2bl w:val="nil"/>
            </w:tcBorders>
            <w:noWrap w:val="0"/>
            <w:vAlign w:val="center"/>
          </w:tcPr>
          <w:p w14:paraId="34F464D7">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275" w:type="dxa"/>
            <w:tcBorders>
              <w:tl2br w:val="nil"/>
              <w:tr2bl w:val="nil"/>
            </w:tcBorders>
            <w:noWrap w:val="0"/>
            <w:vAlign w:val="center"/>
          </w:tcPr>
          <w:p w14:paraId="1FEB384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42B12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textDirection w:val="tbRlV"/>
            <w:vAlign w:val="top"/>
          </w:tcPr>
          <w:p w14:paraId="4279C10F">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7175B94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64B330B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tcBorders>
              <w:tl2br w:val="nil"/>
              <w:tr2bl w:val="nil"/>
            </w:tcBorders>
            <w:noWrap w:val="0"/>
            <w:vAlign w:val="center"/>
          </w:tcPr>
          <w:p w14:paraId="63FA83F6">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lang w:val="en-US" w:eastAsia="zh-CN"/>
              </w:rPr>
              <w:t>中央移民资金存量每月向上级申报及时率</w:t>
            </w:r>
          </w:p>
        </w:tc>
        <w:tc>
          <w:tcPr>
            <w:tcW w:w="1319" w:type="dxa"/>
            <w:tcBorders>
              <w:tl2br w:val="nil"/>
              <w:tr2bl w:val="nil"/>
            </w:tcBorders>
            <w:noWrap w:val="0"/>
            <w:vAlign w:val="center"/>
          </w:tcPr>
          <w:p w14:paraId="0D87AE31">
            <w:pPr>
              <w:keepNext w:val="0"/>
              <w:keepLines w:val="0"/>
              <w:pageBreakBefore w:val="0"/>
              <w:widowControl/>
              <w:kinsoku w:val="0"/>
              <w:wordWrap/>
              <w:overflowPunct/>
              <w:topLinePunct w:val="0"/>
              <w:autoSpaceDE w:val="0"/>
              <w:autoSpaceDN w:val="0"/>
              <w:bidi w:val="0"/>
              <w:adjustRightInd w:val="0"/>
              <w:snapToGrid w:val="0"/>
              <w:spacing w:line="179"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100%</w:t>
            </w:r>
          </w:p>
        </w:tc>
        <w:tc>
          <w:tcPr>
            <w:tcW w:w="1259" w:type="dxa"/>
            <w:tcBorders>
              <w:tl2br w:val="nil"/>
              <w:tr2bl w:val="nil"/>
            </w:tcBorders>
            <w:noWrap w:val="0"/>
            <w:vAlign w:val="center"/>
          </w:tcPr>
          <w:p w14:paraId="17682492">
            <w:pPr>
              <w:keepNext w:val="0"/>
              <w:keepLines w:val="0"/>
              <w:pageBreakBefore w:val="0"/>
              <w:widowControl/>
              <w:kinsoku w:val="0"/>
              <w:wordWrap/>
              <w:overflowPunct/>
              <w:topLinePunct w:val="0"/>
              <w:autoSpaceDE w:val="0"/>
              <w:autoSpaceDN w:val="0"/>
              <w:bidi w:val="0"/>
              <w:adjustRightInd w:val="0"/>
              <w:snapToGrid w:val="0"/>
              <w:spacing w:line="179" w:lineRule="exact"/>
              <w:ind w:left="0" w:leftChars="0" w:right="0" w:rightChars="0"/>
              <w:jc w:val="center"/>
              <w:textAlignment w:val="baseline"/>
              <w:rPr>
                <w:rFonts w:hint="eastAsia" w:ascii="仿宋" w:hAnsi="仿宋" w:eastAsia="仿宋" w:cs="仿宋"/>
                <w:sz w:val="18"/>
                <w:szCs w:val="18"/>
              </w:rPr>
            </w:pPr>
            <w:r>
              <w:rPr>
                <w:rFonts w:hint="eastAsia" w:ascii="仿宋" w:hAnsi="仿宋" w:eastAsia="仿宋" w:cs="仿宋"/>
                <w:sz w:val="18"/>
                <w:szCs w:val="18"/>
              </w:rPr>
              <w:t>100%</w:t>
            </w:r>
          </w:p>
        </w:tc>
        <w:tc>
          <w:tcPr>
            <w:tcW w:w="719" w:type="dxa"/>
            <w:tcBorders>
              <w:tl2br w:val="nil"/>
              <w:tr2bl w:val="nil"/>
            </w:tcBorders>
            <w:noWrap w:val="0"/>
            <w:vAlign w:val="center"/>
          </w:tcPr>
          <w:p w14:paraId="4FBDB7E8">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802" w:type="dxa"/>
            <w:tcBorders>
              <w:tl2br w:val="nil"/>
              <w:tr2bl w:val="nil"/>
            </w:tcBorders>
            <w:noWrap w:val="0"/>
            <w:vAlign w:val="center"/>
          </w:tcPr>
          <w:p w14:paraId="1AE63B39">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default"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w:t>
            </w:r>
          </w:p>
        </w:tc>
        <w:tc>
          <w:tcPr>
            <w:tcW w:w="1275" w:type="dxa"/>
            <w:tcBorders>
              <w:tl2br w:val="nil"/>
              <w:tr2bl w:val="nil"/>
            </w:tcBorders>
            <w:noWrap w:val="0"/>
            <w:vAlign w:val="center"/>
          </w:tcPr>
          <w:p w14:paraId="6382963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08F0D0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textDirection w:val="tbRlV"/>
            <w:vAlign w:val="top"/>
          </w:tcPr>
          <w:p w14:paraId="73F00F81">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0A2F0E6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l2br w:val="nil"/>
              <w:tr2bl w:val="nil"/>
            </w:tcBorders>
            <w:noWrap w:val="0"/>
            <w:vAlign w:val="center"/>
          </w:tcPr>
          <w:p w14:paraId="7759A98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tcBorders>
              <w:tl2br w:val="nil"/>
              <w:tr2bl w:val="nil"/>
            </w:tcBorders>
            <w:noWrap w:val="0"/>
            <w:vAlign w:val="center"/>
          </w:tcPr>
          <w:p w14:paraId="2647348F">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rPr>
            </w:pPr>
            <w:r>
              <w:rPr>
                <w:rFonts w:hint="eastAsia" w:ascii="仿宋" w:hAnsi="仿宋" w:eastAsia="仿宋" w:cs="仿宋"/>
                <w:sz w:val="18"/>
                <w:szCs w:val="18"/>
                <w:lang w:val="en-US" w:eastAsia="zh-CN"/>
              </w:rPr>
              <w:t>开展移民技能培训时间</w:t>
            </w:r>
          </w:p>
        </w:tc>
        <w:tc>
          <w:tcPr>
            <w:tcW w:w="1319" w:type="dxa"/>
            <w:tcBorders>
              <w:tl2br w:val="nil"/>
              <w:tr2bl w:val="nil"/>
            </w:tcBorders>
            <w:noWrap w:val="0"/>
            <w:vAlign w:val="center"/>
          </w:tcPr>
          <w:p w14:paraId="5C01FDAA">
            <w:pPr>
              <w:keepNext w:val="0"/>
              <w:keepLines w:val="0"/>
              <w:pageBreakBefore w:val="0"/>
              <w:widowControl/>
              <w:kinsoku w:val="0"/>
              <w:wordWrap/>
              <w:overflowPunct/>
              <w:topLinePunct w:val="0"/>
              <w:autoSpaceDE w:val="0"/>
              <w:autoSpaceDN w:val="0"/>
              <w:bidi w:val="0"/>
              <w:adjustRightInd w:val="0"/>
              <w:snapToGrid w:val="0"/>
              <w:spacing w:line="179"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2022年4月</w:t>
            </w:r>
          </w:p>
        </w:tc>
        <w:tc>
          <w:tcPr>
            <w:tcW w:w="1259" w:type="dxa"/>
            <w:tcBorders>
              <w:tl2br w:val="nil"/>
              <w:tr2bl w:val="nil"/>
            </w:tcBorders>
            <w:noWrap w:val="0"/>
            <w:vAlign w:val="center"/>
          </w:tcPr>
          <w:p w14:paraId="26B04788">
            <w:pPr>
              <w:keepNext w:val="0"/>
              <w:keepLines w:val="0"/>
              <w:pageBreakBefore w:val="0"/>
              <w:widowControl/>
              <w:kinsoku w:val="0"/>
              <w:wordWrap/>
              <w:overflowPunct/>
              <w:topLinePunct w:val="0"/>
              <w:autoSpaceDE w:val="0"/>
              <w:autoSpaceDN w:val="0"/>
              <w:bidi w:val="0"/>
              <w:adjustRightInd w:val="0"/>
              <w:snapToGrid w:val="0"/>
              <w:spacing w:line="179"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2022年4月20日</w:t>
            </w:r>
          </w:p>
        </w:tc>
        <w:tc>
          <w:tcPr>
            <w:tcW w:w="719" w:type="dxa"/>
            <w:tcBorders>
              <w:tl2br w:val="nil"/>
              <w:tr2bl w:val="nil"/>
            </w:tcBorders>
            <w:noWrap w:val="0"/>
            <w:vAlign w:val="center"/>
          </w:tcPr>
          <w:p w14:paraId="35CE4C06">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w:t>
            </w:r>
          </w:p>
        </w:tc>
        <w:tc>
          <w:tcPr>
            <w:tcW w:w="802" w:type="dxa"/>
            <w:tcBorders>
              <w:tl2br w:val="nil"/>
              <w:tr2bl w:val="nil"/>
            </w:tcBorders>
            <w:noWrap w:val="0"/>
            <w:vAlign w:val="center"/>
          </w:tcPr>
          <w:p w14:paraId="1263C2B1">
            <w:pPr>
              <w:keepNext w:val="0"/>
              <w:keepLines w:val="0"/>
              <w:pageBreakBefore w:val="0"/>
              <w:widowControl w:val="0"/>
              <w:kinsoku/>
              <w:wordWrap/>
              <w:overflowPunct/>
              <w:topLinePunct w:val="0"/>
              <w:autoSpaceDE/>
              <w:autoSpaceDN/>
              <w:bidi w:val="0"/>
              <w:adjustRightInd/>
              <w:snapToGrid/>
              <w:spacing w:line="239"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w:t>
            </w:r>
          </w:p>
        </w:tc>
        <w:tc>
          <w:tcPr>
            <w:tcW w:w="1275" w:type="dxa"/>
            <w:tcBorders>
              <w:tl2br w:val="nil"/>
              <w:tr2bl w:val="nil"/>
            </w:tcBorders>
            <w:noWrap w:val="0"/>
            <w:vAlign w:val="center"/>
          </w:tcPr>
          <w:p w14:paraId="3D47960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09782E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l2br w:val="nil"/>
              <w:tr2bl w:val="nil"/>
            </w:tcBorders>
            <w:noWrap w:val="0"/>
            <w:textDirection w:val="tbRlV"/>
            <w:vAlign w:val="top"/>
          </w:tcPr>
          <w:p w14:paraId="634CD273">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1E81E31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l2br w:val="nil"/>
              <w:tr2bl w:val="nil"/>
            </w:tcBorders>
            <w:noWrap w:val="0"/>
            <w:vAlign w:val="center"/>
          </w:tcPr>
          <w:p w14:paraId="0887D44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tcBorders>
              <w:tl2br w:val="nil"/>
              <w:tr2bl w:val="nil"/>
            </w:tcBorders>
            <w:noWrap w:val="0"/>
            <w:vAlign w:val="center"/>
          </w:tcPr>
          <w:p w14:paraId="73328DDC">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rPr>
              <w:t xml:space="preserve"> 总成本控制</w:t>
            </w:r>
          </w:p>
        </w:tc>
        <w:tc>
          <w:tcPr>
            <w:tcW w:w="1319" w:type="dxa"/>
            <w:tcBorders>
              <w:tl2br w:val="nil"/>
              <w:tr2bl w:val="nil"/>
            </w:tcBorders>
            <w:noWrap w:val="0"/>
            <w:vAlign w:val="center"/>
          </w:tcPr>
          <w:p w14:paraId="1E966EF8">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不超过预算</w:t>
            </w:r>
          </w:p>
        </w:tc>
        <w:tc>
          <w:tcPr>
            <w:tcW w:w="1259" w:type="dxa"/>
            <w:tcBorders>
              <w:tl2br w:val="nil"/>
              <w:tr2bl w:val="nil"/>
            </w:tcBorders>
            <w:noWrap w:val="0"/>
            <w:vAlign w:val="center"/>
          </w:tcPr>
          <w:p w14:paraId="64CF7E4F">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不超过预算</w:t>
            </w:r>
          </w:p>
        </w:tc>
        <w:tc>
          <w:tcPr>
            <w:tcW w:w="719" w:type="dxa"/>
            <w:tcBorders>
              <w:tl2br w:val="nil"/>
              <w:tr2bl w:val="nil"/>
            </w:tcBorders>
            <w:noWrap w:val="0"/>
            <w:vAlign w:val="center"/>
          </w:tcPr>
          <w:p w14:paraId="7EFEF68F">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802" w:type="dxa"/>
            <w:tcBorders>
              <w:tl2br w:val="nil"/>
              <w:tr2bl w:val="nil"/>
            </w:tcBorders>
            <w:noWrap w:val="0"/>
            <w:vAlign w:val="center"/>
          </w:tcPr>
          <w:p w14:paraId="3A0C2DF0">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275" w:type="dxa"/>
            <w:tcBorders>
              <w:tl2br w:val="nil"/>
              <w:tr2bl w:val="nil"/>
            </w:tcBorders>
            <w:noWrap w:val="0"/>
            <w:vAlign w:val="center"/>
          </w:tcPr>
          <w:p w14:paraId="4094D0B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3D713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l2br w:val="nil"/>
              <w:tr2bl w:val="nil"/>
            </w:tcBorders>
            <w:noWrap w:val="0"/>
            <w:textDirection w:val="tbRlV"/>
            <w:vAlign w:val="top"/>
          </w:tcPr>
          <w:p w14:paraId="1725D4AF">
            <w:pPr>
              <w:rPr>
                <w:rFonts w:ascii="Arial"/>
                <w:color w:val="000000" w:themeColor="text1"/>
                <w:sz w:val="21"/>
                <w14:textFill>
                  <w14:solidFill>
                    <w14:schemeClr w14:val="tx1"/>
                  </w14:solidFill>
                </w14:textFill>
              </w:rPr>
            </w:pPr>
          </w:p>
        </w:tc>
        <w:tc>
          <w:tcPr>
            <w:tcW w:w="1079" w:type="dxa"/>
            <w:vMerge w:val="restart"/>
            <w:tcBorders>
              <w:tl2br w:val="nil"/>
              <w:tr2bl w:val="nil"/>
            </w:tcBorders>
            <w:noWrap w:val="0"/>
            <w:vAlign w:val="center"/>
          </w:tcPr>
          <w:p w14:paraId="5AE15C0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1"/>
                <w14:textFill>
                  <w14:solidFill>
                    <w14:schemeClr w14:val="tx1"/>
                  </w14:solidFill>
                </w14:textFill>
              </w:rPr>
              <w:t>效益指标（30分）</w:t>
            </w:r>
          </w:p>
        </w:tc>
        <w:tc>
          <w:tcPr>
            <w:tcW w:w="1029" w:type="dxa"/>
            <w:tcBorders>
              <w:tl2br w:val="nil"/>
              <w:tr2bl w:val="nil"/>
            </w:tcBorders>
            <w:noWrap w:val="0"/>
            <w:vAlign w:val="center"/>
          </w:tcPr>
          <w:p w14:paraId="29E9652B">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61E4043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tcBorders>
              <w:tl2br w:val="nil"/>
              <w:tr2bl w:val="nil"/>
            </w:tcBorders>
            <w:noWrap w:val="0"/>
            <w:vAlign w:val="center"/>
          </w:tcPr>
          <w:p w14:paraId="27D17C82">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rPr>
            </w:pPr>
            <w:r>
              <w:rPr>
                <w:rFonts w:hint="eastAsia" w:ascii="仿宋" w:hAnsi="仿宋" w:eastAsia="仿宋" w:cs="仿宋"/>
                <w:sz w:val="18"/>
                <w:szCs w:val="18"/>
              </w:rPr>
              <w:t>增加移民就业人数</w:t>
            </w:r>
          </w:p>
        </w:tc>
        <w:tc>
          <w:tcPr>
            <w:tcW w:w="1319" w:type="dxa"/>
            <w:tcBorders>
              <w:tl2br w:val="nil"/>
              <w:tr2bl w:val="nil"/>
            </w:tcBorders>
            <w:noWrap w:val="0"/>
            <w:vAlign w:val="center"/>
          </w:tcPr>
          <w:p w14:paraId="33D750AD">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default"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50人</w:t>
            </w:r>
          </w:p>
        </w:tc>
        <w:tc>
          <w:tcPr>
            <w:tcW w:w="1259" w:type="dxa"/>
            <w:tcBorders>
              <w:tl2br w:val="nil"/>
              <w:tr2bl w:val="nil"/>
            </w:tcBorders>
            <w:noWrap w:val="0"/>
            <w:vAlign w:val="center"/>
          </w:tcPr>
          <w:p w14:paraId="5A643B14">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80人</w:t>
            </w:r>
          </w:p>
        </w:tc>
        <w:tc>
          <w:tcPr>
            <w:tcW w:w="719" w:type="dxa"/>
            <w:tcBorders>
              <w:tl2br w:val="nil"/>
              <w:tr2bl w:val="nil"/>
            </w:tcBorders>
            <w:noWrap w:val="0"/>
            <w:vAlign w:val="center"/>
          </w:tcPr>
          <w:p w14:paraId="7751D955">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802" w:type="dxa"/>
            <w:tcBorders>
              <w:tl2br w:val="nil"/>
              <w:tr2bl w:val="nil"/>
            </w:tcBorders>
            <w:noWrap w:val="0"/>
            <w:vAlign w:val="center"/>
          </w:tcPr>
          <w:p w14:paraId="4B0085FE">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275" w:type="dxa"/>
            <w:tcBorders>
              <w:tl2br w:val="nil"/>
              <w:tr2bl w:val="nil"/>
            </w:tcBorders>
            <w:noWrap w:val="0"/>
            <w:vAlign w:val="center"/>
          </w:tcPr>
          <w:p w14:paraId="4A90BD1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0DED20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l2br w:val="nil"/>
              <w:tr2bl w:val="nil"/>
            </w:tcBorders>
            <w:noWrap w:val="0"/>
            <w:textDirection w:val="tbRlV"/>
            <w:vAlign w:val="top"/>
          </w:tcPr>
          <w:p w14:paraId="03CAE358">
            <w:pPr>
              <w:rPr>
                <w:rFonts w:ascii="Arial"/>
                <w:color w:val="000000" w:themeColor="text1"/>
                <w:sz w:val="21"/>
                <w14:textFill>
                  <w14:solidFill>
                    <w14:schemeClr w14:val="tx1"/>
                  </w14:solidFill>
                </w14:textFill>
              </w:rPr>
            </w:pPr>
          </w:p>
        </w:tc>
        <w:tc>
          <w:tcPr>
            <w:tcW w:w="1079" w:type="dxa"/>
            <w:vMerge w:val="continue"/>
            <w:tcBorders>
              <w:tl2br w:val="nil"/>
              <w:tr2bl w:val="nil"/>
            </w:tcBorders>
            <w:noWrap w:val="0"/>
            <w:vAlign w:val="center"/>
          </w:tcPr>
          <w:p w14:paraId="05A22CA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tl2br w:val="nil"/>
              <w:tr2bl w:val="nil"/>
            </w:tcBorders>
            <w:noWrap w:val="0"/>
            <w:vAlign w:val="center"/>
          </w:tcPr>
          <w:p w14:paraId="4E96F620">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5766022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tcBorders>
              <w:tl2br w:val="nil"/>
              <w:tr2bl w:val="nil"/>
            </w:tcBorders>
            <w:noWrap w:val="0"/>
            <w:vAlign w:val="center"/>
          </w:tcPr>
          <w:p w14:paraId="6F436E59">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rPr>
            </w:pPr>
            <w:r>
              <w:rPr>
                <w:rFonts w:hint="eastAsia" w:ascii="仿宋" w:hAnsi="仿宋" w:eastAsia="仿宋" w:cs="仿宋"/>
                <w:sz w:val="18"/>
                <w:szCs w:val="18"/>
              </w:rPr>
              <w:t>维护移民合法权益，确保库区大局稳定</w:t>
            </w:r>
          </w:p>
        </w:tc>
        <w:tc>
          <w:tcPr>
            <w:tcW w:w="1319" w:type="dxa"/>
            <w:tcBorders>
              <w:tl2br w:val="nil"/>
              <w:tr2bl w:val="nil"/>
            </w:tcBorders>
            <w:noWrap w:val="0"/>
            <w:vAlign w:val="center"/>
          </w:tcPr>
          <w:p w14:paraId="6F80B9A4">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《岳阳楼区大中型水库移民资金项目管理办法》《岳阳楼区库区移民服务中心移民资金报帐制实施办法》《岳阳楼区大中型水库移民资金项目管理办法》</w:t>
            </w:r>
          </w:p>
        </w:tc>
        <w:tc>
          <w:tcPr>
            <w:tcW w:w="1259" w:type="dxa"/>
            <w:tcBorders>
              <w:tl2br w:val="nil"/>
              <w:tr2bl w:val="nil"/>
            </w:tcBorders>
            <w:noWrap w:val="0"/>
            <w:vAlign w:val="center"/>
          </w:tcPr>
          <w:p w14:paraId="6C6C3C69">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已出台</w:t>
            </w:r>
          </w:p>
        </w:tc>
        <w:tc>
          <w:tcPr>
            <w:tcW w:w="719" w:type="dxa"/>
            <w:tcBorders>
              <w:tl2br w:val="nil"/>
              <w:tr2bl w:val="nil"/>
            </w:tcBorders>
            <w:noWrap w:val="0"/>
            <w:vAlign w:val="center"/>
          </w:tcPr>
          <w:p w14:paraId="39346DBF">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802" w:type="dxa"/>
            <w:tcBorders>
              <w:tl2br w:val="nil"/>
              <w:tr2bl w:val="nil"/>
            </w:tcBorders>
            <w:noWrap w:val="0"/>
            <w:vAlign w:val="center"/>
          </w:tcPr>
          <w:p w14:paraId="5E5F0647">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1275" w:type="dxa"/>
            <w:tcBorders>
              <w:tl2br w:val="nil"/>
              <w:tr2bl w:val="nil"/>
            </w:tcBorders>
            <w:noWrap w:val="0"/>
            <w:vAlign w:val="center"/>
          </w:tcPr>
          <w:p w14:paraId="01183A2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234B60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l2br w:val="nil"/>
              <w:tr2bl w:val="nil"/>
            </w:tcBorders>
            <w:noWrap w:val="0"/>
            <w:textDirection w:val="tbRlV"/>
            <w:vAlign w:val="top"/>
          </w:tcPr>
          <w:p w14:paraId="27E39CD5">
            <w:pPr>
              <w:rPr>
                <w:rFonts w:ascii="Arial"/>
                <w:color w:val="000000" w:themeColor="text1"/>
                <w:sz w:val="21"/>
                <w14:textFill>
                  <w14:solidFill>
                    <w14:schemeClr w14:val="tx1"/>
                  </w14:solidFill>
                </w14:textFill>
              </w:rPr>
            </w:pPr>
          </w:p>
        </w:tc>
        <w:tc>
          <w:tcPr>
            <w:tcW w:w="1079" w:type="dxa"/>
            <w:tcBorders>
              <w:tl2br w:val="nil"/>
              <w:tr2bl w:val="nil"/>
            </w:tcBorders>
            <w:noWrap w:val="0"/>
            <w:vAlign w:val="center"/>
          </w:tcPr>
          <w:p w14:paraId="4F8E84C5">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1FB950A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14B7179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tl2br w:val="nil"/>
              <w:tr2bl w:val="nil"/>
            </w:tcBorders>
            <w:noWrap w:val="0"/>
            <w:vAlign w:val="center"/>
          </w:tcPr>
          <w:p w14:paraId="5618F62D">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2147EF0B">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7D1209E3">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tcBorders>
              <w:tl2br w:val="nil"/>
              <w:tr2bl w:val="nil"/>
            </w:tcBorders>
            <w:noWrap w:val="0"/>
            <w:vAlign w:val="center"/>
          </w:tcPr>
          <w:p w14:paraId="1FD54C4E">
            <w:pPr>
              <w:keepNext w:val="0"/>
              <w:keepLines w:val="0"/>
              <w:pageBreakBefore w:val="0"/>
              <w:widowControl/>
              <w:kinsoku w:val="0"/>
              <w:wordWrap/>
              <w:overflowPunct/>
              <w:topLinePunct w:val="0"/>
              <w:autoSpaceDE w:val="0"/>
              <w:autoSpaceDN w:val="0"/>
              <w:bidi w:val="0"/>
              <w:adjustRightInd w:val="0"/>
              <w:snapToGrid w:val="0"/>
              <w:spacing w:line="190" w:lineRule="exact"/>
              <w:ind w:left="0" w:leftChars="0" w:right="0" w:rightChars="0"/>
              <w:jc w:val="left"/>
              <w:textAlignment w:val="baseline"/>
              <w:rPr>
                <w:rFonts w:hint="eastAsia" w:ascii="仿宋" w:hAnsi="仿宋" w:eastAsia="仿宋" w:cs="仿宋"/>
                <w:sz w:val="18"/>
                <w:szCs w:val="18"/>
                <w:lang w:val="en-US" w:eastAsia="zh-CN"/>
              </w:rPr>
            </w:pPr>
            <w:r>
              <w:rPr>
                <w:rFonts w:hint="eastAsia" w:ascii="仿宋" w:hAnsi="仿宋" w:eastAsia="仿宋" w:cs="仿宋"/>
                <w:sz w:val="18"/>
                <w:szCs w:val="18"/>
              </w:rPr>
              <w:t>移民对后期扶持政策实施满意度</w:t>
            </w:r>
          </w:p>
        </w:tc>
        <w:tc>
          <w:tcPr>
            <w:tcW w:w="1319" w:type="dxa"/>
            <w:tcBorders>
              <w:tl2br w:val="nil"/>
              <w:tr2bl w:val="nil"/>
            </w:tcBorders>
            <w:noWrap w:val="0"/>
            <w:vAlign w:val="center"/>
          </w:tcPr>
          <w:p w14:paraId="628ABD3C">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rPr>
              <w:t>≥90%</w:t>
            </w:r>
          </w:p>
        </w:tc>
        <w:tc>
          <w:tcPr>
            <w:tcW w:w="1259" w:type="dxa"/>
            <w:tcBorders>
              <w:tl2br w:val="nil"/>
              <w:tr2bl w:val="nil"/>
            </w:tcBorders>
            <w:noWrap w:val="0"/>
            <w:vAlign w:val="center"/>
          </w:tcPr>
          <w:p w14:paraId="792C770B">
            <w:pPr>
              <w:keepNext w:val="0"/>
              <w:keepLines w:val="0"/>
              <w:pageBreakBefore w:val="0"/>
              <w:widowControl/>
              <w:kinsoku w:val="0"/>
              <w:wordWrap/>
              <w:overflowPunct/>
              <w:topLinePunct w:val="0"/>
              <w:autoSpaceDE w:val="0"/>
              <w:autoSpaceDN w:val="0"/>
              <w:bidi w:val="0"/>
              <w:adjustRightInd w:val="0"/>
              <w:snapToGrid w:val="0"/>
              <w:spacing w:line="180" w:lineRule="exact"/>
              <w:ind w:left="0" w:leftChars="0" w:right="0" w:rightChars="0"/>
              <w:jc w:val="center"/>
              <w:textAlignment w:val="baseline"/>
              <w:rPr>
                <w:rFonts w:hint="eastAsia" w:ascii="仿宋" w:hAnsi="仿宋" w:eastAsia="仿宋" w:cs="仿宋"/>
                <w:kern w:val="2"/>
                <w:sz w:val="18"/>
                <w:szCs w:val="18"/>
                <w:lang w:val="en-US" w:eastAsia="zh-CN" w:bidi="ar-SA"/>
              </w:rPr>
            </w:pPr>
            <w:r>
              <w:rPr>
                <w:rFonts w:hint="eastAsia" w:ascii="仿宋" w:hAnsi="仿宋" w:eastAsia="仿宋" w:cs="仿宋"/>
                <w:sz w:val="18"/>
                <w:szCs w:val="18"/>
                <w:lang w:val="en-US" w:eastAsia="zh-CN"/>
              </w:rPr>
              <w:t>100%</w:t>
            </w:r>
          </w:p>
        </w:tc>
        <w:tc>
          <w:tcPr>
            <w:tcW w:w="719" w:type="dxa"/>
            <w:tcBorders>
              <w:tl2br w:val="nil"/>
              <w:tr2bl w:val="nil"/>
            </w:tcBorders>
            <w:noWrap w:val="0"/>
            <w:vAlign w:val="center"/>
          </w:tcPr>
          <w:p w14:paraId="5E0F1572">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802" w:type="dxa"/>
            <w:tcBorders>
              <w:tl2br w:val="nil"/>
              <w:tr2bl w:val="nil"/>
            </w:tcBorders>
            <w:noWrap w:val="0"/>
            <w:vAlign w:val="center"/>
          </w:tcPr>
          <w:p w14:paraId="4B44CD31">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stheme="minorBidi"/>
                <w:color w:val="000000" w:themeColor="text1"/>
                <w:spacing w:val="0"/>
                <w:kern w:val="2"/>
                <w:sz w:val="21"/>
                <w:szCs w:val="21"/>
                <w:lang w:val="en-US" w:eastAsia="zh-CN" w:bidi="ar-SA"/>
                <w14:textFill>
                  <w14:solidFill>
                    <w14:schemeClr w14:val="tx1"/>
                  </w14:solidFill>
                </w14:textFill>
              </w:rPr>
              <w:t>10</w:t>
            </w:r>
          </w:p>
        </w:tc>
        <w:tc>
          <w:tcPr>
            <w:tcW w:w="1275" w:type="dxa"/>
            <w:tcBorders>
              <w:tl2br w:val="nil"/>
              <w:tr2bl w:val="nil"/>
            </w:tcBorders>
            <w:noWrap w:val="0"/>
            <w:vAlign w:val="center"/>
          </w:tcPr>
          <w:p w14:paraId="05C32DB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0F1C6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tcBorders>
              <w:tl2br w:val="nil"/>
              <w:tr2bl w:val="nil"/>
            </w:tcBorders>
            <w:noWrap w:val="0"/>
            <w:vAlign w:val="center"/>
          </w:tcPr>
          <w:p w14:paraId="3EA19F2E">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tcBorders>
              <w:tl2br w:val="nil"/>
              <w:tr2bl w:val="nil"/>
            </w:tcBorders>
            <w:noWrap w:val="0"/>
            <w:vAlign w:val="center"/>
          </w:tcPr>
          <w:p w14:paraId="3AA6FB14">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tcBorders>
              <w:tl2br w:val="nil"/>
              <w:tr2bl w:val="nil"/>
            </w:tcBorders>
            <w:noWrap w:val="0"/>
            <w:vAlign w:val="center"/>
          </w:tcPr>
          <w:p w14:paraId="41B1E148">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99.95</w:t>
            </w:r>
          </w:p>
        </w:tc>
        <w:tc>
          <w:tcPr>
            <w:tcW w:w="1275" w:type="dxa"/>
            <w:tcBorders>
              <w:tl2br w:val="nil"/>
              <w:tr2bl w:val="nil"/>
            </w:tcBorders>
            <w:noWrap w:val="0"/>
            <w:vAlign w:val="center"/>
          </w:tcPr>
          <w:p w14:paraId="09BECEC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1137CBE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3" w:type="default"/>
          <w:pgSz w:w="11906" w:h="16838"/>
          <w:pgMar w:top="1134" w:right="1417" w:bottom="1134" w:left="1134"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9"/>
          <w:sz w:val="22"/>
          <w:szCs w:val="22"/>
          <w:lang w:val="en-US" w:eastAsia="zh-CN"/>
          <w14:textFill>
            <w14:solidFill>
              <w14:schemeClr w14:val="tx1"/>
            </w14:solidFill>
          </w14:textFill>
        </w:rPr>
        <w:t>杨婧</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18274038699</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hint="eastAsia" w:ascii="仿宋" w:hAnsi="仿宋" w:eastAsia="仿宋" w:cs="仿宋"/>
          <w:color w:val="000000" w:themeColor="text1"/>
          <w:spacing w:val="3"/>
          <w:sz w:val="22"/>
          <w:szCs w:val="22"/>
          <w:lang w:val="en-US" w:eastAsia="zh-CN"/>
          <w14:textFill>
            <w14:solidFill>
              <w14:schemeClr w14:val="tx1"/>
            </w14:solidFill>
          </w14:textFill>
        </w:rPr>
        <w:t>2023.6.6</w:t>
      </w: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7E9057D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146AB57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70905D14">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t>岳阳楼区库区移民服务中心</w:t>
      </w:r>
      <w:r>
        <w:rPr>
          <w:rFonts w:hint="default"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t>整体支出</w:t>
      </w:r>
    </w:p>
    <w:p w14:paraId="6413010D">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t>绩效自评报告</w:t>
      </w:r>
    </w:p>
    <w:p w14:paraId="7174A86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CEB17D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777774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862866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DBC37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DA9456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25429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4EA520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611E29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4EDC6B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67BFDA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471F5E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911967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6E0BC4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ADEE0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B3C48A1">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D176BF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F25370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18AA6D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4A3C2D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8ADDAF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2AAC7F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FF5812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3A1A83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B0ABE8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2CA9B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E4557C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14:paraId="322AFF7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2023年6月7日</w:t>
      </w:r>
    </w:p>
    <w:p w14:paraId="1170FF5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5FCB11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F70942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73E48E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D7EED1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36"/>
          <w:szCs w:val="36"/>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36"/>
          <w:szCs w:val="36"/>
          <w:lang w:val="en-US" w:eastAsia="zh-CN"/>
          <w14:textFill>
            <w14:solidFill>
              <w14:schemeClr w14:val="tx1"/>
            </w14:solidFill>
          </w14:textFill>
        </w:rPr>
        <w:t>岳阳楼区库区移民服务中心</w:t>
      </w:r>
    </w:p>
    <w:p w14:paraId="563A62FF">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36"/>
          <w:szCs w:val="36"/>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36"/>
          <w:szCs w:val="36"/>
          <w:lang w:val="en-US" w:eastAsia="zh-CN"/>
          <w14:textFill>
            <w14:solidFill>
              <w14:schemeClr w14:val="tx1"/>
            </w14:solidFill>
          </w14:textFill>
        </w:rPr>
        <w:t>整体支出绩效自评报告</w:t>
      </w:r>
    </w:p>
    <w:p w14:paraId="41010BF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B1F99D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BD651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5EA8BE3">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22B5C23A">
      <w:pPr>
        <w:ind w:firstLine="600" w:firstLineChars="200"/>
        <w:rPr>
          <w:rFonts w:hint="eastAsia" w:ascii="仿宋" w:hAnsi="仿宋" w:eastAsia="仿宋"/>
          <w:sz w:val="30"/>
          <w:szCs w:val="30"/>
          <w:lang w:val="en-US" w:eastAsia="zh-CN"/>
        </w:rPr>
      </w:pPr>
      <w:r>
        <w:rPr>
          <w:rFonts w:hint="eastAsia" w:ascii="仿宋" w:hAnsi="仿宋" w:eastAsia="仿宋" w:cs="Times New Roman"/>
          <w:sz w:val="30"/>
          <w:szCs w:val="30"/>
        </w:rPr>
        <w:t>我</w:t>
      </w:r>
      <w:r>
        <w:rPr>
          <w:rFonts w:hint="eastAsia" w:ascii="仿宋" w:hAnsi="仿宋" w:eastAsia="仿宋" w:cs="Times New Roman"/>
          <w:sz w:val="30"/>
          <w:szCs w:val="30"/>
          <w:lang w:val="en-US" w:eastAsia="zh-CN"/>
        </w:rPr>
        <w:t>中心</w:t>
      </w:r>
      <w:r>
        <w:rPr>
          <w:rFonts w:hint="eastAsia" w:ascii="仿宋" w:hAnsi="仿宋" w:eastAsia="仿宋" w:cs="Times New Roman"/>
          <w:sz w:val="30"/>
          <w:szCs w:val="30"/>
        </w:rPr>
        <w:t>为负责全区水库移民安置和开发管理工作的正科级单位。财政预算全额拨款，财务核算适用事业单位会计制度。根据岳阳楼区的整体部署，预决算均在岳阳楼区政府门户网站进行了公开披露。根据相关职责，我</w:t>
      </w:r>
      <w:r>
        <w:rPr>
          <w:rFonts w:hint="eastAsia" w:ascii="仿宋" w:hAnsi="仿宋" w:eastAsia="仿宋" w:cs="Times New Roman"/>
          <w:sz w:val="30"/>
          <w:szCs w:val="30"/>
          <w:lang w:val="en-US" w:eastAsia="zh-CN"/>
        </w:rPr>
        <w:t>中心</w:t>
      </w:r>
      <w:r>
        <w:rPr>
          <w:rFonts w:hint="eastAsia" w:ascii="仿宋" w:hAnsi="仿宋" w:eastAsia="仿宋" w:cs="Times New Roman"/>
          <w:sz w:val="30"/>
          <w:szCs w:val="30"/>
        </w:rPr>
        <w:t>内设四个机构，具体有：办公室、政策法规股、计划工程股、财务股。</w:t>
      </w:r>
      <w:r>
        <w:rPr>
          <w:rFonts w:hint="eastAsia" w:ascii="仿宋" w:hAnsi="仿宋" w:eastAsia="仿宋"/>
          <w:sz w:val="30"/>
          <w:szCs w:val="30"/>
        </w:rPr>
        <w:t>我</w:t>
      </w:r>
      <w:r>
        <w:rPr>
          <w:rFonts w:hint="eastAsia" w:ascii="仿宋" w:hAnsi="仿宋" w:eastAsia="仿宋"/>
          <w:sz w:val="30"/>
          <w:szCs w:val="30"/>
          <w:lang w:val="en-US" w:eastAsia="zh-CN"/>
        </w:rPr>
        <w:t>中心2022</w:t>
      </w:r>
      <w:r>
        <w:rPr>
          <w:rFonts w:hint="eastAsia" w:ascii="仿宋" w:hAnsi="仿宋" w:eastAsia="仿宋"/>
          <w:sz w:val="30"/>
          <w:szCs w:val="30"/>
        </w:rPr>
        <w:t>年初预算中，人员总计</w:t>
      </w:r>
      <w:r>
        <w:rPr>
          <w:rFonts w:hint="eastAsia" w:ascii="仿宋" w:hAnsi="仿宋" w:eastAsia="仿宋"/>
          <w:sz w:val="30"/>
          <w:szCs w:val="30"/>
          <w:lang w:val="en-US" w:eastAsia="zh-CN"/>
        </w:rPr>
        <w:t>14</w:t>
      </w:r>
      <w:r>
        <w:rPr>
          <w:rFonts w:hint="eastAsia" w:ascii="仿宋" w:hAnsi="仿宋" w:eastAsia="仿宋"/>
          <w:sz w:val="30"/>
          <w:szCs w:val="30"/>
        </w:rPr>
        <w:t>人</w:t>
      </w:r>
      <w:r>
        <w:rPr>
          <w:rFonts w:hint="eastAsia" w:ascii="仿宋" w:hAnsi="仿宋" w:eastAsia="仿宋"/>
          <w:sz w:val="30"/>
          <w:szCs w:val="30"/>
          <w:lang w:eastAsia="zh-CN"/>
        </w:rPr>
        <w:t>，</w:t>
      </w:r>
      <w:r>
        <w:rPr>
          <w:rFonts w:hint="eastAsia" w:ascii="仿宋" w:hAnsi="仿宋" w:eastAsia="仿宋"/>
          <w:sz w:val="30"/>
          <w:szCs w:val="30"/>
        </w:rPr>
        <w:t>其中在职全额编制</w:t>
      </w:r>
      <w:r>
        <w:rPr>
          <w:rFonts w:hint="eastAsia" w:ascii="仿宋" w:hAnsi="仿宋" w:eastAsia="仿宋"/>
          <w:sz w:val="30"/>
          <w:szCs w:val="30"/>
          <w:lang w:val="en-US" w:eastAsia="zh-CN"/>
        </w:rPr>
        <w:t>10</w:t>
      </w:r>
      <w:r>
        <w:rPr>
          <w:rFonts w:hint="eastAsia" w:ascii="仿宋" w:hAnsi="仿宋" w:eastAsia="仿宋"/>
          <w:sz w:val="30"/>
          <w:szCs w:val="30"/>
        </w:rPr>
        <w:t>人，退休4人</w:t>
      </w:r>
      <w:r>
        <w:rPr>
          <w:rFonts w:hint="eastAsia" w:ascii="仿宋" w:hAnsi="仿宋" w:eastAsia="仿宋"/>
          <w:sz w:val="30"/>
          <w:szCs w:val="30"/>
          <w:lang w:eastAsia="zh-CN"/>
        </w:rPr>
        <w:t>。</w:t>
      </w:r>
      <w:r>
        <w:rPr>
          <w:rFonts w:hint="eastAsia" w:ascii="仿宋" w:hAnsi="仿宋" w:eastAsia="仿宋"/>
          <w:sz w:val="30"/>
          <w:szCs w:val="30"/>
        </w:rPr>
        <w:t>在职人员数少于编制核定数。</w:t>
      </w:r>
      <w:r>
        <w:rPr>
          <w:rFonts w:hint="eastAsia" w:ascii="仿宋" w:hAnsi="仿宋" w:eastAsia="仿宋"/>
          <w:sz w:val="30"/>
          <w:szCs w:val="30"/>
          <w:lang w:val="en-US" w:eastAsia="zh-CN"/>
        </w:rPr>
        <w:t>单位基本职能职责如下：</w:t>
      </w:r>
    </w:p>
    <w:p w14:paraId="02AB1068">
      <w:pPr>
        <w:pStyle w:val="10"/>
        <w:spacing w:before="0" w:beforeAutospacing="0" w:after="2" w:afterAutospacing="0"/>
        <w:ind w:left="0" w:firstLine="641"/>
        <w:rPr>
          <w:rFonts w:hint="eastAsia"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 xml:space="preserve">1、贯彻执行党和国家的移民工作方针、政策，拟定全区移民工作规章和政策。 </w:t>
      </w:r>
    </w:p>
    <w:p w14:paraId="2DEF280C">
      <w:pPr>
        <w:pStyle w:val="10"/>
        <w:spacing w:before="0" w:beforeAutospacing="0" w:after="2" w:afterAutospacing="0"/>
        <w:ind w:left="0" w:firstLine="641"/>
        <w:rPr>
          <w:rFonts w:hint="eastAsia"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 xml:space="preserve">2、综合编制移民安置规划。 </w:t>
      </w:r>
    </w:p>
    <w:p w14:paraId="3022AAFC">
      <w:pPr>
        <w:pStyle w:val="10"/>
        <w:spacing w:before="0" w:beforeAutospacing="0" w:after="2" w:afterAutospacing="0"/>
        <w:ind w:left="0" w:firstLine="641"/>
        <w:rPr>
          <w:rFonts w:hint="eastAsia"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 xml:space="preserve">3、会同有关部门拟定移民资金管理办法。 </w:t>
      </w:r>
    </w:p>
    <w:p w14:paraId="486A57B1">
      <w:pPr>
        <w:pStyle w:val="10"/>
        <w:spacing w:before="0" w:beforeAutospacing="0" w:after="2" w:afterAutospacing="0"/>
        <w:ind w:left="0" w:firstLine="641"/>
        <w:rPr>
          <w:rFonts w:hint="eastAsia"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 xml:space="preserve">4、负责协调处理大中型水利水电工程迁入我区的移民有关工作，指导其生活安置、生产和开发工作。 </w:t>
      </w:r>
    </w:p>
    <w:p w14:paraId="4F36EE78">
      <w:pPr>
        <w:pStyle w:val="10"/>
        <w:spacing w:before="0" w:beforeAutospacing="0" w:after="2" w:afterAutospacing="0"/>
        <w:ind w:left="0" w:firstLine="641"/>
        <w:rPr>
          <w:rFonts w:hint="eastAsia"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 xml:space="preserve">5、负责移民口粮补贴款的拨付与管理工作。 </w:t>
      </w:r>
    </w:p>
    <w:p w14:paraId="0BBDAE85">
      <w:pPr>
        <w:pStyle w:val="10"/>
        <w:spacing w:before="0" w:beforeAutospacing="0" w:after="2" w:afterAutospacing="0"/>
        <w:ind w:left="0" w:firstLine="641"/>
        <w:rPr>
          <w:rFonts w:hint="eastAsia" w:ascii="仿宋" w:hAnsi="仿宋" w:eastAsia="仿宋" w:cs="Times New Roman"/>
          <w:kern w:val="2"/>
          <w:sz w:val="30"/>
          <w:szCs w:val="30"/>
          <w:lang w:val="en-US" w:eastAsia="zh-CN" w:bidi="ar-SA"/>
        </w:rPr>
      </w:pPr>
      <w:r>
        <w:rPr>
          <w:rFonts w:hint="eastAsia" w:ascii="仿宋" w:hAnsi="仿宋" w:eastAsia="仿宋" w:cs="Times New Roman"/>
          <w:kern w:val="2"/>
          <w:sz w:val="30"/>
          <w:szCs w:val="30"/>
          <w:lang w:val="en-US" w:eastAsia="zh-CN" w:bidi="ar-SA"/>
        </w:rPr>
        <w:t xml:space="preserve">6、负责全区移民信访接待工作和移民工作的政策及业务指导。 </w:t>
      </w:r>
    </w:p>
    <w:p w14:paraId="0851C4E2">
      <w:pPr>
        <w:pStyle w:val="10"/>
        <w:spacing w:before="0" w:beforeAutospacing="0" w:after="2" w:afterAutospacing="0"/>
        <w:ind w:left="0" w:firstLine="641"/>
        <w:rPr>
          <w:rFonts w:hint="default" w:ascii="仿宋" w:hAnsi="仿宋" w:eastAsia="仿宋"/>
          <w:sz w:val="30"/>
          <w:szCs w:val="30"/>
          <w:lang w:val="en-US" w:eastAsia="zh-CN"/>
        </w:rPr>
      </w:pPr>
      <w:r>
        <w:rPr>
          <w:rFonts w:hint="eastAsia" w:ascii="仿宋" w:hAnsi="仿宋" w:eastAsia="仿宋" w:cs="Times New Roman"/>
          <w:kern w:val="2"/>
          <w:sz w:val="30"/>
          <w:szCs w:val="30"/>
          <w:lang w:val="en-US" w:eastAsia="zh-CN" w:bidi="ar-SA"/>
        </w:rPr>
        <w:t xml:space="preserve">7、负责区直有关部门和各乡（办事处）有关移民工作协调，承办区委、区人民政府交办的其他事项。 </w:t>
      </w:r>
    </w:p>
    <w:p w14:paraId="0D12FD0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134F634F">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 w:hAnsi="仿宋" w:eastAsia="仿宋" w:cstheme="minorBidi"/>
          <w:bCs w:val="0"/>
          <w:kern w:val="2"/>
          <w:sz w:val="30"/>
          <w:szCs w:val="30"/>
          <w:lang w:val="en-US" w:eastAsia="zh-CN" w:bidi="ar-SA"/>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r>
        <w:rPr>
          <w:rFonts w:hint="eastAsia" w:ascii="仿宋" w:hAnsi="仿宋" w:eastAsia="仿宋" w:cstheme="minorBidi"/>
          <w:bCs w:val="0"/>
          <w:kern w:val="2"/>
          <w:sz w:val="30"/>
          <w:szCs w:val="30"/>
          <w:lang w:val="en-US" w:eastAsia="zh-CN" w:bidi="ar-SA"/>
        </w:rPr>
        <w:t>我中心2022年初基本支出预算154.89万元，其中：人员经费136.89万元；公用经费18万元。2022年基本支出决算数832.13万元，其中人员经费144.74万元，较年初增长7.85万元，原因是职工工资晋级提标；公用经费687.39万元，较年初增长669.39万元，原因是有中央移民专项资金619.46万元在公用经费大中型水库移民后期扶持专项支出中核算和49.93万元机关运行维护费在公用经费中核算。</w:t>
      </w:r>
    </w:p>
    <w:p w14:paraId="1F1EFA16">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default"/>
          <w:lang w:val="en-US" w:eastAsia="zh-CN"/>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r>
        <w:rPr>
          <w:rFonts w:hint="eastAsia" w:ascii="仿宋" w:hAnsi="仿宋" w:eastAsia="仿宋" w:cstheme="minorBidi"/>
          <w:bCs w:val="0"/>
          <w:kern w:val="2"/>
          <w:sz w:val="30"/>
          <w:szCs w:val="30"/>
          <w:lang w:val="en-US" w:eastAsia="zh-CN" w:bidi="ar-SA"/>
        </w:rPr>
        <w:t>我中心2022年初项目支出预算48万元。2022年项目支出决算数766.46万元，原因是运行维护费和业务工作经费48万元在机关公用经费里核算，有中央移民专项资金766.46万元在项目支出科目核算。</w:t>
      </w:r>
    </w:p>
    <w:p w14:paraId="69C08508">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23527E1A">
      <w:pPr>
        <w:pStyle w:val="3"/>
        <w:keepNext/>
        <w:keepLines/>
        <w:pageBreakBefore w:val="0"/>
        <w:widowControl w:val="0"/>
        <w:kinsoku/>
        <w:wordWrap/>
        <w:overflowPunct/>
        <w:topLinePunct w:val="0"/>
        <w:autoSpaceDE/>
        <w:autoSpaceDN/>
        <w:bidi w:val="0"/>
        <w:adjustRightInd/>
        <w:snapToGrid/>
        <w:ind w:firstLine="600" w:firstLineChars="200"/>
        <w:textAlignment w:val="auto"/>
        <w:rPr>
          <w:rFonts w:hint="default" w:ascii="仿宋" w:hAnsi="仿宋" w:eastAsia="仿宋" w:cstheme="minorBidi"/>
          <w:bCs w:val="0"/>
          <w:kern w:val="2"/>
          <w:sz w:val="30"/>
          <w:szCs w:val="30"/>
          <w:lang w:val="en-US" w:eastAsia="zh-CN" w:bidi="ar-SA"/>
        </w:rPr>
      </w:pPr>
      <w:r>
        <w:rPr>
          <w:rFonts w:hint="eastAsia" w:ascii="仿宋" w:hAnsi="仿宋" w:eastAsia="仿宋" w:cstheme="minorBidi"/>
          <w:bCs w:val="0"/>
          <w:kern w:val="2"/>
          <w:sz w:val="30"/>
          <w:szCs w:val="30"/>
          <w:lang w:val="en-US" w:eastAsia="zh-CN" w:bidi="ar-SA"/>
        </w:rPr>
        <w:t>我中心2022年初政府性基金预算0万元，2022年决算政府性基金766.46万元，原因是中央移民专项资金766.46万元属上级拨付，在年中确认资金金额，故未纳入本级财政年初预算。</w:t>
      </w:r>
    </w:p>
    <w:p w14:paraId="7D991D18">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14:paraId="5F857856">
      <w:pPr>
        <w:pStyle w:val="3"/>
        <w:keepNext/>
        <w:keepLines/>
        <w:pageBreakBefore w:val="0"/>
        <w:widowControl w:val="0"/>
        <w:kinsoku/>
        <w:wordWrap/>
        <w:overflowPunct/>
        <w:topLinePunct w:val="0"/>
        <w:autoSpaceDE/>
        <w:autoSpaceDN/>
        <w:bidi w:val="0"/>
        <w:adjustRightInd/>
        <w:snapToGrid/>
        <w:ind w:firstLine="600" w:firstLineChars="200"/>
        <w:textAlignment w:val="auto"/>
        <w:rPr>
          <w:rFonts w:hint="default" w:ascii="仿宋" w:hAnsi="仿宋" w:eastAsia="仿宋" w:cstheme="minorBidi"/>
          <w:bCs w:val="0"/>
          <w:kern w:val="2"/>
          <w:sz w:val="30"/>
          <w:szCs w:val="30"/>
          <w:lang w:val="en-US" w:eastAsia="zh-CN" w:bidi="ar-SA"/>
        </w:rPr>
      </w:pPr>
      <w:r>
        <w:rPr>
          <w:rFonts w:hint="eastAsia" w:ascii="仿宋" w:hAnsi="仿宋" w:eastAsia="仿宋" w:cstheme="minorBidi"/>
          <w:bCs w:val="0"/>
          <w:kern w:val="2"/>
          <w:sz w:val="30"/>
          <w:szCs w:val="30"/>
          <w:lang w:val="en-US" w:eastAsia="zh-CN" w:bidi="ar-SA"/>
        </w:rPr>
        <w:t>我中心2022年没有国有资本经营预算支出情况。</w:t>
      </w:r>
    </w:p>
    <w:p w14:paraId="77B92D65">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五、社会保险基金预算支出情况</w:t>
      </w:r>
    </w:p>
    <w:p w14:paraId="32F6CC07">
      <w:pPr>
        <w:pStyle w:val="3"/>
        <w:keepNext/>
        <w:keepLines/>
        <w:pageBreakBefore w:val="0"/>
        <w:widowControl w:val="0"/>
        <w:kinsoku/>
        <w:wordWrap/>
        <w:overflowPunct/>
        <w:topLinePunct w:val="0"/>
        <w:autoSpaceDE/>
        <w:autoSpaceDN/>
        <w:bidi w:val="0"/>
        <w:adjustRightInd/>
        <w:snapToGrid/>
        <w:ind w:firstLine="600" w:firstLineChars="200"/>
        <w:textAlignment w:val="auto"/>
        <w:rPr>
          <w:rFonts w:hint="default" w:ascii="仿宋" w:hAnsi="仿宋" w:eastAsia="仿宋" w:cstheme="minorBidi"/>
          <w:bCs w:val="0"/>
          <w:kern w:val="2"/>
          <w:sz w:val="30"/>
          <w:szCs w:val="30"/>
          <w:lang w:val="en-US" w:eastAsia="zh-CN" w:bidi="ar-SA"/>
        </w:rPr>
      </w:pPr>
      <w:r>
        <w:rPr>
          <w:rFonts w:hint="eastAsia" w:ascii="仿宋" w:hAnsi="仿宋" w:eastAsia="仿宋" w:cstheme="minorBidi"/>
          <w:bCs w:val="0"/>
          <w:kern w:val="2"/>
          <w:sz w:val="30"/>
          <w:szCs w:val="30"/>
          <w:lang w:val="en-US" w:eastAsia="zh-CN" w:bidi="ar-SA"/>
        </w:rPr>
        <w:t>我中心2022年没有社会保险基金预算支出情况</w:t>
      </w:r>
    </w:p>
    <w:p w14:paraId="64AE9A5C">
      <w:pPr>
        <w:keepNext w:val="0"/>
        <w:keepLines w:val="0"/>
        <w:pageBreakBefore w:val="0"/>
        <w:widowControl w:val="0"/>
        <w:numPr>
          <w:ilvl w:val="0"/>
          <w:numId w:val="0"/>
        </w:numPr>
        <w:kinsoku/>
        <w:wordWrap/>
        <w:overflowPunct/>
        <w:topLinePunct w:val="0"/>
        <w:autoSpaceDE/>
        <w:autoSpaceDN/>
        <w:bidi w:val="0"/>
        <w:adjustRightInd/>
        <w:snapToGrid/>
        <w:ind w:left="420"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kern w:val="2"/>
          <w:position w:val="0"/>
          <w:sz w:val="32"/>
          <w:szCs w:val="32"/>
          <w:lang w:val="en-US" w:eastAsia="zh-CN" w:bidi="ar-SA"/>
          <w14:textFill>
            <w14:solidFill>
              <w14:schemeClr w14:val="tx1"/>
            </w14:solidFill>
          </w14:textFill>
        </w:rPr>
        <w:t>六、</w:t>
      </w: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部门整体支出绩效情况</w:t>
      </w:r>
    </w:p>
    <w:p w14:paraId="1DD027B6">
      <w:pPr>
        <w:pStyle w:val="3"/>
        <w:keepNext/>
        <w:keepLines/>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岳阳楼区库区移民服务中心从运行成本、管理效率、履职效能、社会效应、可持续发展能力和服务对象满意度等方面，对2022年整体支出绩效进行了评价，具体情况如下：</w:t>
      </w:r>
    </w:p>
    <w:p w14:paraId="4888E441">
      <w:pPr>
        <w:pageBreakBefore w:val="0"/>
        <w:widowControl w:val="0"/>
        <w:numPr>
          <w:ilvl w:val="0"/>
          <w:numId w:val="0"/>
        </w:numPr>
        <w:kinsoku/>
        <w:wordWrap/>
        <w:overflowPunct/>
        <w:topLinePunct w:val="0"/>
        <w:autoSpaceDE/>
        <w:autoSpaceDN/>
        <w:bidi w:val="0"/>
        <w:adjustRightInd/>
        <w:snapToGrid/>
        <w:ind w:firstLine="643" w:firstLineChars="200"/>
        <w:textAlignment w:val="auto"/>
        <w:rPr>
          <w:rFonts w:hint="eastAsia" w:ascii="Times New Roman" w:hAnsi="Times New Roman" w:eastAsia="仿宋" w:cs="Times New Roman"/>
          <w:b/>
          <w:bCs/>
          <w:kern w:val="2"/>
          <w:sz w:val="32"/>
          <w:szCs w:val="32"/>
          <w:lang w:val="en-US" w:eastAsia="zh-CN" w:bidi="ar-SA"/>
        </w:rPr>
      </w:pPr>
      <w:r>
        <w:rPr>
          <w:rFonts w:hint="eastAsia" w:ascii="Times New Roman" w:hAnsi="Times New Roman" w:eastAsia="仿宋" w:cs="Times New Roman"/>
          <w:b/>
          <w:bCs/>
          <w:kern w:val="2"/>
          <w:sz w:val="32"/>
          <w:szCs w:val="32"/>
          <w:lang w:val="en-US" w:eastAsia="zh-CN" w:bidi="ar-SA"/>
        </w:rPr>
        <w:t>（一）运行成本方面</w:t>
      </w:r>
    </w:p>
    <w:p w14:paraId="31A0F758">
      <w:pPr>
        <w:pStyle w:val="3"/>
        <w:pageBreakBefore w:val="0"/>
        <w:widowControl w:val="0"/>
        <w:numPr>
          <w:ilvl w:val="0"/>
          <w:numId w:val="0"/>
        </w:numPr>
        <w:kinsoku/>
        <w:wordWrap/>
        <w:overflowPunct/>
        <w:topLinePunct w:val="0"/>
        <w:autoSpaceDE/>
        <w:autoSpaceDN/>
        <w:bidi w:val="0"/>
        <w:adjustRightInd/>
        <w:snapToGrid/>
        <w:ind w:firstLine="643" w:firstLineChars="200"/>
        <w:textAlignment w:val="auto"/>
        <w:rPr>
          <w:rFonts w:hint="eastAsia" w:ascii="Times New Roman" w:hAnsi="Times New Roman" w:eastAsia="仿宋" w:cs="Times New Roman"/>
          <w:b/>
          <w:bCs/>
          <w:kern w:val="2"/>
          <w:sz w:val="32"/>
          <w:szCs w:val="32"/>
          <w:lang w:val="en-US" w:eastAsia="zh-CN" w:bidi="ar-SA"/>
        </w:rPr>
      </w:pPr>
      <w:r>
        <w:rPr>
          <w:rFonts w:hint="eastAsia" w:ascii="Times New Roman" w:hAnsi="Times New Roman" w:eastAsia="仿宋" w:cs="Times New Roman"/>
          <w:b/>
          <w:bCs/>
          <w:kern w:val="2"/>
          <w:sz w:val="32"/>
          <w:szCs w:val="32"/>
          <w:lang w:val="en-US" w:eastAsia="zh-CN" w:bidi="ar-SA"/>
        </w:rPr>
        <w:t>1、建立健全各项管理制度</w:t>
      </w:r>
    </w:p>
    <w:p w14:paraId="0268FC96">
      <w:pPr>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为加强和规范水库移民后期扶持项目与资金管理，维护移民合法权益，确保库区大局的稳定，我中心严格执行《湖南省水库移民资金财务管理办法》和《湖南省水库移民资金会计核算办法》，并出台了《岳阳楼区大中型水库移民资金项目管理办法》、《岳阳楼区库区移民服务中心移民资金报帐制实施办法》、《岳阳楼区大中型水库移民资金项目管理办法》等资金管理文件，对中央水库移民扶持基金的拨付、管理、使用严格把关。</w:t>
      </w:r>
    </w:p>
    <w:p w14:paraId="58D6A7BD">
      <w:pPr>
        <w:pStyle w:val="3"/>
        <w:pageBreakBefore w:val="0"/>
        <w:widowControl w:val="0"/>
        <w:numPr>
          <w:ilvl w:val="0"/>
          <w:numId w:val="0"/>
        </w:numPr>
        <w:kinsoku/>
        <w:wordWrap/>
        <w:overflowPunct/>
        <w:topLinePunct w:val="0"/>
        <w:autoSpaceDE/>
        <w:autoSpaceDN/>
        <w:bidi w:val="0"/>
        <w:adjustRightInd/>
        <w:snapToGrid/>
        <w:ind w:left="0" w:leftChars="0" w:firstLine="643" w:firstLineChars="200"/>
        <w:textAlignment w:val="auto"/>
        <w:rPr>
          <w:rFonts w:hint="eastAsia" w:ascii="Times New Roman" w:hAnsi="Times New Roman" w:eastAsia="仿宋" w:cs="Times New Roman"/>
          <w:b/>
          <w:bCs/>
          <w:kern w:val="2"/>
          <w:sz w:val="32"/>
          <w:szCs w:val="32"/>
          <w:lang w:val="en-US" w:eastAsia="zh-CN" w:bidi="ar-SA"/>
        </w:rPr>
      </w:pPr>
      <w:r>
        <w:rPr>
          <w:rFonts w:hint="eastAsia" w:ascii="Times New Roman" w:hAnsi="Times New Roman" w:eastAsia="仿宋" w:cs="Times New Roman"/>
          <w:b/>
          <w:bCs/>
          <w:kern w:val="2"/>
          <w:sz w:val="32"/>
          <w:szCs w:val="32"/>
          <w:lang w:val="en-US" w:eastAsia="zh-CN" w:bidi="ar-SA"/>
        </w:rPr>
        <w:t>2、在职人员在编制控制范围内</w:t>
      </w:r>
    </w:p>
    <w:p w14:paraId="3CB14D06">
      <w:pPr>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2022年在职人员控制率77%=（在职人员数10人/编制数13人）*100%</w:t>
      </w:r>
    </w:p>
    <w:p w14:paraId="52CD107C">
      <w:pPr>
        <w:pStyle w:val="3"/>
        <w:pageBreakBefore w:val="0"/>
        <w:widowControl w:val="0"/>
        <w:numPr>
          <w:ilvl w:val="0"/>
          <w:numId w:val="0"/>
        </w:numPr>
        <w:kinsoku/>
        <w:wordWrap/>
        <w:overflowPunct/>
        <w:topLinePunct w:val="0"/>
        <w:autoSpaceDE/>
        <w:autoSpaceDN/>
        <w:bidi w:val="0"/>
        <w:adjustRightInd/>
        <w:snapToGrid/>
        <w:ind w:left="0" w:leftChars="0" w:firstLine="643" w:firstLineChars="200"/>
        <w:textAlignment w:val="auto"/>
        <w:rPr>
          <w:rFonts w:hint="eastAsia" w:ascii="Times New Roman" w:hAnsi="Times New Roman" w:eastAsia="仿宋" w:cs="Times New Roman"/>
          <w:b/>
          <w:bCs/>
          <w:kern w:val="2"/>
          <w:sz w:val="32"/>
          <w:szCs w:val="32"/>
          <w:lang w:val="en-US" w:eastAsia="zh-CN" w:bidi="ar-SA"/>
        </w:rPr>
      </w:pPr>
      <w:r>
        <w:rPr>
          <w:rFonts w:hint="eastAsia" w:ascii="Times New Roman" w:hAnsi="Times New Roman" w:eastAsia="仿宋" w:cs="Times New Roman"/>
          <w:b/>
          <w:bCs/>
          <w:kern w:val="2"/>
          <w:sz w:val="32"/>
          <w:szCs w:val="32"/>
          <w:lang w:val="en-US" w:eastAsia="zh-CN" w:bidi="ar-SA"/>
        </w:rPr>
        <w:t>3、严格控制“三公”经费</w:t>
      </w:r>
    </w:p>
    <w:p w14:paraId="0CF69EF4">
      <w:pPr>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eastAsia"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三公”经费年初预算较上年基本持平。“三公”经费支出控制在预算内。2022年“三公”经费预算3万元，实际支出数0.88万元，其中：因公出国（境）费支出0万元，公务接待费支出0.88万元，公车运行维护费支出0万元。“三公”经费控制率为29%。</w:t>
      </w:r>
    </w:p>
    <w:p w14:paraId="13677063">
      <w:pPr>
        <w:pStyle w:val="3"/>
        <w:pageBreakBefore w:val="0"/>
        <w:widowControl w:val="0"/>
        <w:numPr>
          <w:ilvl w:val="0"/>
          <w:numId w:val="0"/>
        </w:numPr>
        <w:kinsoku/>
        <w:wordWrap/>
        <w:overflowPunct/>
        <w:topLinePunct w:val="0"/>
        <w:autoSpaceDE/>
        <w:autoSpaceDN/>
        <w:bidi w:val="0"/>
        <w:adjustRightInd/>
        <w:snapToGrid/>
        <w:ind w:left="0" w:leftChars="0" w:firstLine="643" w:firstLineChars="200"/>
        <w:textAlignment w:val="auto"/>
        <w:rPr>
          <w:rFonts w:hint="eastAsia" w:ascii="Times New Roman" w:hAnsi="Times New Roman" w:eastAsia="仿宋" w:cs="Times New Roman"/>
          <w:b/>
          <w:bCs/>
          <w:kern w:val="2"/>
          <w:sz w:val="32"/>
          <w:szCs w:val="32"/>
          <w:lang w:val="en-US" w:eastAsia="zh-CN" w:bidi="ar-SA"/>
        </w:rPr>
      </w:pPr>
      <w:r>
        <w:rPr>
          <w:rFonts w:hint="eastAsia" w:ascii="Times New Roman" w:hAnsi="Times New Roman" w:eastAsia="仿宋" w:cs="Times New Roman"/>
          <w:b/>
          <w:bCs/>
          <w:kern w:val="2"/>
          <w:sz w:val="32"/>
          <w:szCs w:val="32"/>
          <w:lang w:val="en-US" w:eastAsia="zh-CN" w:bidi="ar-SA"/>
        </w:rPr>
        <w:t>（二）管理效率方面</w:t>
      </w:r>
    </w:p>
    <w:p w14:paraId="0C49630E">
      <w:pPr>
        <w:pageBreakBefore w:val="0"/>
        <w:widowControl w:val="0"/>
        <w:numPr>
          <w:ilvl w:val="0"/>
          <w:numId w:val="2"/>
        </w:numPr>
        <w:kinsoku/>
        <w:wordWrap/>
        <w:overflowPunct/>
        <w:topLinePunct w:val="0"/>
        <w:autoSpaceDE/>
        <w:autoSpaceDN/>
        <w:bidi w:val="0"/>
        <w:adjustRightInd/>
        <w:snapToGrid/>
        <w:ind w:leftChars="0" w:firstLine="640" w:firstLineChars="200"/>
        <w:textAlignment w:val="auto"/>
        <w:rPr>
          <w:rFonts w:hint="eastAsia"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预算执行率100%</w:t>
      </w:r>
    </w:p>
    <w:p w14:paraId="41AA1888">
      <w:pPr>
        <w:pStyle w:val="3"/>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2022年全年预算数1598.59，预算执行数1598.59万元，预算执行率100%。</w:t>
      </w:r>
    </w:p>
    <w:p w14:paraId="79C50CC6">
      <w:pPr>
        <w:pageBreakBefore w:val="0"/>
        <w:widowControl w:val="0"/>
        <w:numPr>
          <w:ilvl w:val="0"/>
          <w:numId w:val="2"/>
        </w:numPr>
        <w:kinsoku/>
        <w:wordWrap/>
        <w:overflowPunct/>
        <w:topLinePunct w:val="0"/>
        <w:autoSpaceDE/>
        <w:autoSpaceDN/>
        <w:bidi w:val="0"/>
        <w:adjustRightInd/>
        <w:snapToGrid/>
        <w:ind w:left="0" w:leftChars="0" w:firstLine="640" w:firstLineChars="200"/>
        <w:textAlignment w:val="auto"/>
        <w:rPr>
          <w:rFonts w:hint="eastAsia"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政府采购按程序和要求执行</w:t>
      </w:r>
    </w:p>
    <w:p w14:paraId="035CE776">
      <w:pPr>
        <w:pStyle w:val="3"/>
        <w:pageBreakBefore w:val="0"/>
        <w:widowControl w:val="0"/>
        <w:numPr>
          <w:ilvl w:val="0"/>
          <w:numId w:val="0"/>
        </w:numPr>
        <w:kinsoku/>
        <w:wordWrap/>
        <w:overflowPunct/>
        <w:topLinePunct w:val="0"/>
        <w:autoSpaceDE/>
        <w:autoSpaceDN/>
        <w:bidi w:val="0"/>
        <w:adjustRightInd/>
        <w:snapToGrid/>
        <w:ind w:leftChars="0" w:firstLine="640" w:firstLineChars="200"/>
        <w:textAlignment w:val="auto"/>
        <w:rPr>
          <w:rFonts w:hint="default" w:ascii="Times New Roman" w:hAnsi="Times New Roman" w:eastAsia="仿宋" w:cs="Times New Roman"/>
          <w:bCs w:val="0"/>
          <w:kern w:val="2"/>
          <w:sz w:val="32"/>
          <w:szCs w:val="32"/>
          <w:lang w:val="en-US" w:eastAsia="zh-CN" w:bidi="ar-SA"/>
        </w:rPr>
      </w:pPr>
      <w:r>
        <w:rPr>
          <w:rFonts w:hint="eastAsia" w:ascii="Times New Roman" w:hAnsi="Times New Roman" w:eastAsia="仿宋" w:cs="Times New Roman"/>
          <w:bCs w:val="0"/>
          <w:kern w:val="2"/>
          <w:sz w:val="32"/>
          <w:szCs w:val="32"/>
          <w:lang w:val="en-US" w:eastAsia="zh-CN" w:bidi="ar-SA"/>
        </w:rPr>
        <w:t>全年严格执行政府采购以及电子卖场采购等管理要求，政府采购程序符合规定。政府采购2022年预算数92.05万元。实际采购金额88.58万元，政府采购执行率96.23%，基本执行完毕。</w:t>
      </w:r>
    </w:p>
    <w:p w14:paraId="2A492801">
      <w:pPr>
        <w:pStyle w:val="3"/>
        <w:pageBreakBefore w:val="0"/>
        <w:widowControl w:val="0"/>
        <w:numPr>
          <w:ilvl w:val="0"/>
          <w:numId w:val="0"/>
        </w:numPr>
        <w:kinsoku/>
        <w:wordWrap/>
        <w:overflowPunct/>
        <w:topLinePunct w:val="0"/>
        <w:autoSpaceDE/>
        <w:autoSpaceDN/>
        <w:bidi w:val="0"/>
        <w:adjustRightInd/>
        <w:snapToGrid/>
        <w:ind w:left="0" w:leftChars="0" w:firstLine="643" w:firstLineChars="200"/>
        <w:textAlignment w:val="auto"/>
        <w:rPr>
          <w:rFonts w:hint="eastAsia" w:ascii="Times New Roman" w:hAnsi="Times New Roman" w:eastAsia="仿宋" w:cs="Times New Roman"/>
          <w:b/>
          <w:bCs/>
          <w:kern w:val="2"/>
          <w:sz w:val="32"/>
          <w:szCs w:val="32"/>
          <w:lang w:val="en-US" w:eastAsia="zh-CN" w:bidi="ar-SA"/>
        </w:rPr>
      </w:pPr>
      <w:r>
        <w:rPr>
          <w:rFonts w:hint="eastAsia" w:ascii="Times New Roman" w:hAnsi="Times New Roman" w:eastAsia="仿宋" w:cs="Times New Roman"/>
          <w:b/>
          <w:bCs/>
          <w:kern w:val="2"/>
          <w:sz w:val="32"/>
          <w:szCs w:val="32"/>
          <w:lang w:val="en-US" w:eastAsia="zh-CN" w:bidi="ar-SA"/>
        </w:rPr>
        <w:t>（三）履职效能和社会效应等方面</w:t>
      </w:r>
    </w:p>
    <w:p w14:paraId="6DFC599A">
      <w:pPr>
        <w:ind w:firstLine="643" w:firstLineChars="200"/>
        <w:rPr>
          <w:rFonts w:hint="eastAsia" w:ascii="仿宋" w:hAnsi="仿宋" w:eastAsia="仿宋" w:cs="仿宋"/>
          <w:sz w:val="32"/>
          <w:szCs w:val="32"/>
        </w:rPr>
      </w:pPr>
      <w:r>
        <w:rPr>
          <w:rFonts w:hint="eastAsia" w:ascii="仿宋" w:hAnsi="仿宋" w:eastAsia="仿宋" w:cs="仿宋"/>
          <w:b/>
          <w:bCs/>
          <w:sz w:val="32"/>
          <w:szCs w:val="32"/>
        </w:rPr>
        <w:t>1.聚焦主责主业，移民服务队伍更有担当。</w:t>
      </w:r>
      <w:r>
        <w:rPr>
          <w:rFonts w:hint="eastAsia" w:ascii="仿宋" w:hAnsi="仿宋" w:eastAsia="仿宋" w:cs="仿宋"/>
          <w:bCs/>
          <w:sz w:val="32"/>
          <w:szCs w:val="32"/>
        </w:rPr>
        <w:t>一直以来，我中心以“建一流队伍、做一流服务、创一流业绩，树一流形象”为目标，坚持高起点定位，高标准要求，紧紧围绕提升服务理念、服务手段、服务能力和服务形象，不断加强自身建设，强化履职能力，努力打造一支忠诚、干净、担当的移民干部队伍。</w:t>
      </w:r>
      <w:r>
        <w:rPr>
          <w:rFonts w:hint="eastAsia" w:ascii="仿宋" w:hAnsi="仿宋" w:eastAsia="仿宋" w:cs="仿宋"/>
          <w:b/>
          <w:sz w:val="32"/>
          <w:szCs w:val="32"/>
        </w:rPr>
        <w:t>一是坚持党建引领。</w:t>
      </w:r>
      <w:r>
        <w:rPr>
          <w:rFonts w:hint="eastAsia" w:ascii="仿宋" w:hAnsi="仿宋" w:eastAsia="仿宋" w:cs="仿宋"/>
          <w:bCs/>
          <w:sz w:val="32"/>
          <w:szCs w:val="32"/>
        </w:rPr>
        <w:t>中心党组高度重视政治理论学习，定期组织中心全体干部职工集中学习习近平新时代中国特色社会主义思想以及中央、省、市相关文件、会议精神，每次不少于60分钟。严格党内组织生活，坚持三会一课制度，定期开展民主生活会，认真开展批评与自我批评，使民主生活会成为交心会、团结会和鼓劲会。坚持民主集中制决策，三重一大问题按照先民主再集中程序进行研究决策，增强了班子的凝聚力、战斗力。</w:t>
      </w:r>
      <w:r>
        <w:rPr>
          <w:rFonts w:hint="eastAsia" w:ascii="仿宋" w:hAnsi="仿宋" w:eastAsia="仿宋" w:cs="仿宋"/>
          <w:b/>
          <w:sz w:val="32"/>
          <w:szCs w:val="32"/>
        </w:rPr>
        <w:t>二是强化内部管理。</w:t>
      </w:r>
      <w:r>
        <w:rPr>
          <w:rFonts w:hint="eastAsia" w:ascii="仿宋" w:hAnsi="仿宋" w:eastAsia="仿宋" w:cs="仿宋"/>
          <w:bCs/>
          <w:sz w:val="32"/>
          <w:szCs w:val="32"/>
        </w:rPr>
        <w:t>按照年初区委组织开展的作风建设培训班要求，坚持用制度管人、用制度管事，完善了《坐班值班制度》《项目管理制度》《财务管理制度》《档案管理制度》《收发文管理制度》等制度，促进了人、财、物规范管理。近年来，在区纪委开展的作风督查中，我中心数次通报表扬。</w:t>
      </w:r>
      <w:r>
        <w:rPr>
          <w:rFonts w:hint="eastAsia" w:ascii="仿宋" w:hAnsi="仿宋" w:eastAsia="仿宋" w:cs="仿宋"/>
          <w:b/>
          <w:sz w:val="32"/>
          <w:szCs w:val="32"/>
        </w:rPr>
        <w:t>三是营造文化氛围。</w:t>
      </w:r>
      <w:r>
        <w:rPr>
          <w:rFonts w:hint="eastAsia" w:ascii="仿宋" w:hAnsi="仿宋" w:eastAsia="仿宋" w:cs="仿宋"/>
          <w:bCs/>
          <w:sz w:val="32"/>
          <w:szCs w:val="32"/>
        </w:rPr>
        <w:t>充分利用工会、党建等载体开展丰富多彩的户外活动，在活动中活跃气氛、融洽感情、增进友谊。现在，中心的干部职工，不管是工作、还是生活，只要遇到困难，大家都会争先恐后来帮忙，形成了一种浓厚的家的氛围。</w:t>
      </w:r>
    </w:p>
    <w:p w14:paraId="52A2A6FD">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2.聚焦监督管理，移民服务作风更加务实。</w:t>
      </w:r>
    </w:p>
    <w:p w14:paraId="1F8DC21B">
      <w:pPr>
        <w:ind w:firstLine="640" w:firstLineChars="200"/>
        <w:rPr>
          <w:rFonts w:hint="eastAsia" w:ascii="仿宋" w:hAnsi="仿宋" w:eastAsia="仿宋" w:cs="仿宋"/>
          <w:sz w:val="32"/>
          <w:szCs w:val="32"/>
        </w:rPr>
      </w:pPr>
      <w:r>
        <w:rPr>
          <w:rFonts w:hint="eastAsia" w:ascii="仿宋" w:hAnsi="仿宋" w:eastAsia="仿宋" w:cs="仿宋"/>
          <w:bCs/>
          <w:sz w:val="32"/>
          <w:szCs w:val="32"/>
        </w:rPr>
        <w:t>就业务工作而言，主要是落实移民培训、后扶项目、产业扶持等工作。我们突出项目建设与项目监管两个重点，在务实的工作作风中提升移民服务水平。</w:t>
      </w:r>
      <w:r>
        <w:rPr>
          <w:rFonts w:hint="eastAsia" w:ascii="仿宋" w:hAnsi="仿宋" w:eastAsia="仿宋" w:cs="仿宋"/>
          <w:b/>
          <w:bCs/>
          <w:sz w:val="32"/>
          <w:szCs w:val="32"/>
        </w:rPr>
        <w:t>一是</w:t>
      </w:r>
      <w:r>
        <w:rPr>
          <w:rFonts w:hint="eastAsia" w:ascii="仿宋" w:hAnsi="仿宋" w:eastAsia="仿宋" w:cs="仿宋"/>
          <w:sz w:val="32"/>
          <w:szCs w:val="32"/>
        </w:rPr>
        <w:t>按照“突出重点、精准扶持”的原则，提升专项资金使用效益。落实项目申报。项目申报做到前期踏勘、精准测量、基本预算等三项工作准确到位，项目实施做到了移民中心、街道（乡）、社区（村）、移民等四个层次监管到位，确保了有限资金发挥有效作用产生更大效益。今年，我区申报移民后扶项目做到了按时申报、按时办结，无一项目超出规划。同时，实施项目建设进度管理和项目库更新电子化，严格根据项目的轻重缓急，解决移民及移民村急难愁盼的实际问题，受到了移民及相关街道（乡）、社区（村）的高度肯定。</w:t>
      </w:r>
      <w:r>
        <w:rPr>
          <w:rFonts w:hint="eastAsia" w:ascii="仿宋" w:hAnsi="仿宋" w:eastAsia="仿宋" w:cs="仿宋"/>
          <w:b/>
          <w:sz w:val="32"/>
          <w:szCs w:val="32"/>
        </w:rPr>
        <w:t>二是</w:t>
      </w:r>
      <w:r>
        <w:rPr>
          <w:rFonts w:hint="eastAsia" w:ascii="仿宋" w:hAnsi="仿宋" w:eastAsia="仿宋" w:cs="仿宋"/>
          <w:sz w:val="32"/>
          <w:szCs w:val="32"/>
        </w:rPr>
        <w:t>按照“项目监管全程化、资金监管专项化、资金效益最大化”的原则，我中心对20万以下的后扶项目全部实施社会评审，对20万以上（含20万）的后扶项目实施财政结算评审，对40万以上（含40万）的项目做财政预决算评审，对60万以上（含60万）的项目做竞争性磋商，实施招投标，有效加强了项目实施的公开透明度。一个具体项目的实施，从项目前期踏勘、施工管理、质量把控、竣工验收等多个环节全面介入监管，实现了前期踏勘、施工抽查、竣工验收、移民监督等覆盖率四个100%，有效克服移民后扶项目“资金量小、项目类别杂、施工环境差”等困难，做到了移民后扶项目无一起安全责任事故、无一个工程质量问题。</w:t>
      </w:r>
      <w:r>
        <w:rPr>
          <w:rFonts w:hint="eastAsia" w:ascii="仿宋" w:hAnsi="仿宋" w:eastAsia="仿宋" w:cs="仿宋"/>
          <w:b/>
          <w:sz w:val="32"/>
          <w:szCs w:val="32"/>
        </w:rPr>
        <w:t>三是</w:t>
      </w:r>
      <w:r>
        <w:rPr>
          <w:rFonts w:hint="eastAsia" w:ascii="仿宋" w:hAnsi="仿宋" w:eastAsia="仿宋" w:cs="仿宋"/>
          <w:sz w:val="32"/>
          <w:szCs w:val="32"/>
        </w:rPr>
        <w:t>狠抓项目进度。为抓好后扶项目建设，中心多措并举推进项目进度：一是建立项目月报工作制，建立项目进度工作群，及时联系各乡街移民专干，每月10号前完成项目进度汇总，了解项目进度和工程质量。中心每周五向市局汇报项目总进度。二是下达月度工作提示单，根据每月进度表，针对呈现的问题形成月度工作提示单，下发到各乡街，积极协助解决存在的问题。同时，对上月的工作完成情况进行回头看，保证高效有序推进项目建设。三是加强常态化现场督察，项目开始施工后，通过实地查看，监督项目，更加直观的了解项目实施情况，确保项目无隐患开工建设。</w:t>
      </w:r>
    </w:p>
    <w:p w14:paraId="7949DF04">
      <w:pPr>
        <w:ind w:firstLine="710" w:firstLineChars="221"/>
        <w:rPr>
          <w:rFonts w:hint="eastAsia" w:ascii="仿宋" w:hAnsi="仿宋" w:eastAsia="仿宋" w:cs="仿宋"/>
          <w:b/>
          <w:bCs/>
          <w:sz w:val="32"/>
          <w:szCs w:val="32"/>
        </w:rPr>
      </w:pPr>
      <w:r>
        <w:rPr>
          <w:rFonts w:hint="eastAsia" w:ascii="仿宋" w:hAnsi="仿宋" w:eastAsia="仿宋" w:cs="仿宋"/>
          <w:b/>
          <w:bCs/>
          <w:sz w:val="32"/>
          <w:szCs w:val="32"/>
        </w:rPr>
        <w:t>3.聚焦困难帮扶，移民服务受益更加广泛。</w:t>
      </w:r>
    </w:p>
    <w:p w14:paraId="72EDB7A5">
      <w:pPr>
        <w:ind w:firstLine="710" w:firstLineChars="221"/>
        <w:rPr>
          <w:rFonts w:hint="eastAsia" w:ascii="仿宋" w:hAnsi="仿宋" w:eastAsia="仿宋" w:cs="仿宋"/>
          <w:bCs w:val="0"/>
          <w:kern w:val="2"/>
          <w:sz w:val="32"/>
          <w:szCs w:val="32"/>
          <w:lang w:val="en-US" w:eastAsia="zh-CN" w:bidi="ar-SA"/>
        </w:rPr>
      </w:pPr>
      <w:r>
        <w:rPr>
          <w:rFonts w:hint="eastAsia" w:ascii="仿宋" w:hAnsi="仿宋" w:eastAsia="仿宋" w:cs="仿宋"/>
          <w:b/>
          <w:kern w:val="0"/>
          <w:sz w:val="32"/>
          <w:szCs w:val="32"/>
        </w:rPr>
        <w:t>一方面</w:t>
      </w:r>
      <w:r>
        <w:rPr>
          <w:rFonts w:hint="eastAsia" w:ascii="仿宋" w:hAnsi="仿宋" w:eastAsia="仿宋" w:cs="仿宋"/>
          <w:sz w:val="32"/>
          <w:szCs w:val="32"/>
        </w:rPr>
        <w:t>加大了困难移民扶助力度，</w:t>
      </w:r>
      <w:r>
        <w:rPr>
          <w:rFonts w:hint="eastAsia" w:ascii="仿宋" w:hAnsi="仿宋" w:eastAsia="仿宋" w:cs="仿宋"/>
          <w:bCs/>
          <w:sz w:val="32"/>
          <w:szCs w:val="32"/>
        </w:rPr>
        <w:t>我区移民培训申报、移民困难救、移民奖励扶持、移民年检年审等所有移民服务事项全部实现社区（村）一站式服务，网上审核，全程接受社会监督。</w:t>
      </w:r>
      <w:r>
        <w:rPr>
          <w:rFonts w:hint="eastAsia" w:ascii="仿宋" w:hAnsi="仿宋" w:eastAsia="仿宋" w:cs="仿宋"/>
          <w:sz w:val="32"/>
          <w:szCs w:val="32"/>
        </w:rPr>
        <w:t>根据最多跑一次的要求，我们将所有移民服务审批程序全部纳入楼区公共服务平台管理，实行社区（村）一个窗口服务一站式办理，做到了“信息多跑路，移民少跑腿”。根据省市工作要求，结合移民年检年审实际，今年</w:t>
      </w:r>
      <w:r>
        <w:rPr>
          <w:rFonts w:hint="eastAsia" w:ascii="仿宋" w:hAnsi="仿宋" w:eastAsia="仿宋" w:cs="仿宋"/>
          <w:bCs/>
          <w:sz w:val="32"/>
          <w:szCs w:val="32"/>
        </w:rPr>
        <w:t>年初在乡街上报的基础上，主动与财政、民政、社保、教育、卫生健康等单位相关人口信息进行比对，及时完成年度人口复核工作。今年共核减移民直补人口68人，其中死亡22人，其他46人，我区现有直补移民5931人。目前，对全区5931</w:t>
      </w:r>
      <w:r>
        <w:rPr>
          <w:rFonts w:hint="eastAsia" w:ascii="仿宋" w:hAnsi="仿宋" w:eastAsia="仿宋" w:cs="仿宋"/>
          <w:sz w:val="32"/>
          <w:szCs w:val="32"/>
        </w:rPr>
        <w:t>名库区移民一次性打卡发放直补金工作正在进行中。</w:t>
      </w:r>
      <w:r>
        <w:rPr>
          <w:rFonts w:hint="eastAsia" w:ascii="仿宋" w:hAnsi="仿宋" w:eastAsia="仿宋" w:cs="仿宋"/>
          <w:b/>
          <w:kern w:val="0"/>
          <w:sz w:val="32"/>
          <w:szCs w:val="32"/>
        </w:rPr>
        <w:t>另一方面</w:t>
      </w:r>
      <w:r>
        <w:rPr>
          <w:rFonts w:hint="eastAsia" w:ascii="仿宋" w:hAnsi="仿宋" w:eastAsia="仿宋" w:cs="仿宋"/>
          <w:sz w:val="32"/>
          <w:szCs w:val="32"/>
        </w:rPr>
        <w:t>加大了项目建设力度</w:t>
      </w:r>
      <w:r>
        <w:rPr>
          <w:rFonts w:hint="eastAsia" w:ascii="仿宋" w:hAnsi="仿宋" w:eastAsia="仿宋" w:cs="仿宋"/>
          <w:sz w:val="32"/>
          <w:szCs w:val="32"/>
          <w:lang w:eastAsia="zh-CN"/>
        </w:rPr>
        <w:t>，</w:t>
      </w:r>
      <w:r>
        <w:rPr>
          <w:rFonts w:hint="eastAsia" w:ascii="仿宋" w:hAnsi="仿宋" w:eastAsia="仿宋" w:cs="仿宋"/>
          <w:b/>
          <w:sz w:val="32"/>
          <w:szCs w:val="32"/>
        </w:rPr>
        <w:t>同时</w:t>
      </w:r>
      <w:r>
        <w:rPr>
          <w:rFonts w:hint="eastAsia" w:ascii="仿宋" w:hAnsi="仿宋" w:eastAsia="仿宋" w:cs="仿宋"/>
          <w:sz w:val="32"/>
          <w:szCs w:val="32"/>
        </w:rPr>
        <w:t>，加大了就业创业扶持力度。今年开展移民培训工作，以务实、创新、服务为原则，以提高移民综合素质为目的，以提升移民转移就业能力为重点，主要做好政策宣传、培训组织、课程设计、推荐就业等方面的工作。今年共组织移民培训80人次。其中，3月份申报一人次2000元自主培训补助，4月份组织了一期家政短期技能培训，共培训50人，全部考取职业资格证书，考证率100%；5月份组织了一期健康管理师技术培训，共培训30人。9月份补助困难移民9人，金额2万1千元。自主培训移民2人，领取补助金额6千元。全区未出现一例与移民后扶有关的非正常进京越级上访事件，所有移民困难及诉求均在区内及街道社区予以合理解决，信访事项及时处理率100%。</w:t>
      </w:r>
    </w:p>
    <w:p w14:paraId="4617DE90">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461A9CC5">
      <w:pPr>
        <w:keepNext w:val="0"/>
        <w:keepLines w:val="0"/>
        <w:pageBreakBefore w:val="0"/>
        <w:widowControl w:val="0"/>
        <w:numPr>
          <w:ilvl w:val="0"/>
          <w:numId w:val="3"/>
        </w:numPr>
        <w:kinsoku/>
        <w:wordWrap/>
        <w:overflowPunct/>
        <w:topLinePunct w:val="0"/>
        <w:autoSpaceDE/>
        <w:autoSpaceDN/>
        <w:bidi w:val="0"/>
        <w:adjustRightInd/>
        <w:snapToGrid/>
        <w:ind w:firstLine="640" w:firstLineChars="200"/>
        <w:textAlignment w:val="auto"/>
        <w:rPr>
          <w:rFonts w:hint="eastAsia" w:ascii="仿宋" w:hAnsi="仿宋" w:eastAsia="仿宋" w:cs="仿宋"/>
          <w:i w:val="0"/>
          <w:iCs w:val="0"/>
          <w:caps w:val="0"/>
          <w:color w:val="3D3D3D"/>
          <w:spacing w:val="0"/>
          <w:sz w:val="32"/>
          <w:szCs w:val="32"/>
          <w:shd w:val="clear" w:color="auto" w:fill="FFFFFF"/>
        </w:rPr>
      </w:pPr>
      <w:r>
        <w:rPr>
          <w:rFonts w:hint="eastAsia" w:ascii="仿宋" w:hAnsi="仿宋" w:eastAsia="仿宋" w:cs="仿宋"/>
          <w:i w:val="0"/>
          <w:iCs w:val="0"/>
          <w:caps w:val="0"/>
          <w:color w:val="3D3D3D"/>
          <w:spacing w:val="0"/>
          <w:sz w:val="32"/>
          <w:szCs w:val="32"/>
          <w:shd w:val="clear" w:color="auto" w:fill="FFFFFF"/>
        </w:rPr>
        <w:t>预算编制有待进一步优化和细化</w:t>
      </w:r>
      <w:r>
        <w:rPr>
          <w:rFonts w:hint="eastAsia" w:ascii="仿宋" w:hAnsi="仿宋" w:eastAsia="仿宋" w:cs="仿宋"/>
          <w:i w:val="0"/>
          <w:iCs w:val="0"/>
          <w:caps w:val="0"/>
          <w:color w:val="3D3D3D"/>
          <w:spacing w:val="0"/>
          <w:sz w:val="32"/>
          <w:szCs w:val="32"/>
          <w:shd w:val="clear" w:color="auto" w:fill="FFFFFF"/>
          <w:lang w:eastAsia="zh-CN"/>
        </w:rPr>
        <w:t>，</w:t>
      </w:r>
      <w:r>
        <w:rPr>
          <w:rFonts w:hint="eastAsia" w:ascii="仿宋" w:hAnsi="仿宋" w:eastAsia="仿宋" w:cs="仿宋"/>
          <w:i w:val="0"/>
          <w:iCs w:val="0"/>
          <w:caps w:val="0"/>
          <w:color w:val="3D3D3D"/>
          <w:spacing w:val="0"/>
          <w:sz w:val="32"/>
          <w:szCs w:val="32"/>
          <w:shd w:val="clear" w:color="auto" w:fill="FFFFFF"/>
          <w:lang w:val="en-US" w:eastAsia="zh-CN"/>
        </w:rPr>
        <w:t>单位预算与实际支出存在一定差异。</w:t>
      </w:r>
    </w:p>
    <w:p w14:paraId="641C1F4B">
      <w:pPr>
        <w:keepNext w:val="0"/>
        <w:keepLines w:val="0"/>
        <w:pageBreakBefore w:val="0"/>
        <w:widowControl w:val="0"/>
        <w:numPr>
          <w:ilvl w:val="0"/>
          <w:numId w:val="3"/>
        </w:numPr>
        <w:kinsoku/>
        <w:wordWrap/>
        <w:overflowPunct/>
        <w:topLinePunct w:val="0"/>
        <w:autoSpaceDE/>
        <w:autoSpaceDN/>
        <w:bidi w:val="0"/>
        <w:adjustRightInd/>
        <w:snapToGrid/>
        <w:ind w:firstLine="640" w:firstLineChars="200"/>
        <w:textAlignment w:val="auto"/>
        <w:rPr>
          <w:rFonts w:hint="eastAsia" w:ascii="仿宋" w:hAnsi="仿宋" w:eastAsia="仿宋" w:cs="仿宋"/>
          <w:i w:val="0"/>
          <w:iCs w:val="0"/>
          <w:caps w:val="0"/>
          <w:color w:val="3D3D3D"/>
          <w:spacing w:val="0"/>
          <w:sz w:val="32"/>
          <w:szCs w:val="32"/>
          <w:shd w:val="clear" w:color="auto" w:fill="FFFFFF"/>
          <w:lang w:val="en-US"/>
        </w:rPr>
      </w:pPr>
      <w:r>
        <w:rPr>
          <w:rFonts w:hint="eastAsia" w:ascii="仿宋" w:hAnsi="仿宋" w:eastAsia="仿宋" w:cs="仿宋"/>
          <w:i w:val="0"/>
          <w:iCs w:val="0"/>
          <w:caps w:val="0"/>
          <w:color w:val="3D3D3D"/>
          <w:spacing w:val="0"/>
          <w:sz w:val="32"/>
          <w:szCs w:val="32"/>
          <w:shd w:val="clear" w:color="auto" w:fill="FFFFFF"/>
          <w:lang w:val="en-US" w:eastAsia="zh-CN"/>
        </w:rPr>
        <w:t>绩效评价工作有待优化。一是绩效评价工作认识不够深入，绩效评价各业务部门配合有待提高。二是人员素质有待提高，由于绩效管理工作开展涉及面广、专业性强，加上缺乏系统的培训，导致预算绩效业务不精通。</w:t>
      </w:r>
    </w:p>
    <w:p w14:paraId="55176E0E">
      <w:pPr>
        <w:keepNext w:val="0"/>
        <w:keepLines w:val="0"/>
        <w:pageBreakBefore w:val="0"/>
        <w:widowControl w:val="0"/>
        <w:numPr>
          <w:ilvl w:val="0"/>
          <w:numId w:val="3"/>
        </w:numPr>
        <w:kinsoku/>
        <w:wordWrap/>
        <w:overflowPunct/>
        <w:topLinePunct w:val="0"/>
        <w:autoSpaceDE/>
        <w:autoSpaceDN/>
        <w:bidi w:val="0"/>
        <w:adjustRightInd/>
        <w:snapToGrid/>
        <w:ind w:firstLine="640" w:firstLineChars="200"/>
        <w:textAlignment w:val="auto"/>
        <w:rPr>
          <w:rFonts w:hint="eastAsia" w:ascii="仿宋" w:hAnsi="仿宋" w:eastAsia="仿宋" w:cs="仿宋"/>
          <w:i w:val="0"/>
          <w:iCs w:val="0"/>
          <w:caps w:val="0"/>
          <w:color w:val="3D3D3D"/>
          <w:spacing w:val="0"/>
          <w:sz w:val="32"/>
          <w:szCs w:val="32"/>
          <w:shd w:val="clear" w:color="auto" w:fill="FFFFFF"/>
          <w:lang w:val="en-US"/>
        </w:rPr>
      </w:pPr>
      <w:r>
        <w:rPr>
          <w:rFonts w:hint="eastAsia" w:ascii="仿宋" w:hAnsi="仿宋" w:eastAsia="仿宋" w:cs="仿宋"/>
          <w:i w:val="0"/>
          <w:iCs w:val="0"/>
          <w:caps w:val="0"/>
          <w:color w:val="3D3D3D"/>
          <w:spacing w:val="0"/>
          <w:sz w:val="32"/>
          <w:szCs w:val="32"/>
          <w:shd w:val="clear" w:color="auto" w:fill="FFFFFF"/>
          <w:lang w:val="en-US" w:eastAsia="zh-CN"/>
        </w:rPr>
        <w:t>“三公”经费预算执行率过低，预算编制不合理。</w:t>
      </w:r>
    </w:p>
    <w:p w14:paraId="792F768C">
      <w:pPr>
        <w:keepNext w:val="0"/>
        <w:keepLines w:val="0"/>
        <w:pageBreakBefore w:val="0"/>
        <w:widowControl w:val="0"/>
        <w:numPr>
          <w:ilvl w:val="0"/>
          <w:numId w:val="3"/>
        </w:numPr>
        <w:kinsoku/>
        <w:wordWrap/>
        <w:overflowPunct/>
        <w:topLinePunct w:val="0"/>
        <w:autoSpaceDE/>
        <w:autoSpaceDN/>
        <w:bidi w:val="0"/>
        <w:adjustRightInd/>
        <w:snapToGrid/>
        <w:ind w:firstLine="640" w:firstLineChars="200"/>
        <w:textAlignment w:val="auto"/>
        <w:rPr>
          <w:rFonts w:hint="eastAsia" w:ascii="仿宋" w:hAnsi="仿宋" w:eastAsia="仿宋" w:cs="仿宋"/>
          <w:i w:val="0"/>
          <w:iCs w:val="0"/>
          <w:caps w:val="0"/>
          <w:color w:val="3D3D3D"/>
          <w:spacing w:val="0"/>
          <w:sz w:val="32"/>
          <w:szCs w:val="32"/>
          <w:shd w:val="clear" w:color="auto" w:fill="FFFFFF"/>
        </w:rPr>
      </w:pPr>
      <w:r>
        <w:rPr>
          <w:rFonts w:hint="eastAsia" w:ascii="仿宋" w:hAnsi="仿宋" w:eastAsia="仿宋" w:cs="仿宋"/>
          <w:i w:val="0"/>
          <w:iCs w:val="0"/>
          <w:caps w:val="0"/>
          <w:color w:val="3D3D3D"/>
          <w:spacing w:val="0"/>
          <w:sz w:val="32"/>
          <w:szCs w:val="32"/>
          <w:shd w:val="clear" w:color="auto" w:fill="FFFFFF"/>
          <w:lang w:val="en-US" w:eastAsia="zh-CN"/>
        </w:rPr>
        <w:t>项目建设缺乏亮点，移民增收保障有待进一步提升。</w:t>
      </w:r>
    </w:p>
    <w:p w14:paraId="76402760">
      <w:pPr>
        <w:keepNext w:val="0"/>
        <w:keepLines w:val="0"/>
        <w:pageBreakBefore w:val="0"/>
        <w:widowControl w:val="0"/>
        <w:numPr>
          <w:ilvl w:val="0"/>
          <w:numId w:val="3"/>
        </w:numPr>
        <w:kinsoku/>
        <w:wordWrap/>
        <w:overflowPunct/>
        <w:topLinePunct w:val="0"/>
        <w:autoSpaceDE/>
        <w:autoSpaceDN/>
        <w:bidi w:val="0"/>
        <w:adjustRightInd/>
        <w:snapToGrid/>
        <w:ind w:firstLine="640" w:firstLineChars="200"/>
        <w:textAlignment w:val="auto"/>
        <w:rPr>
          <w:rFonts w:hint="eastAsia" w:ascii="仿宋" w:hAnsi="仿宋" w:eastAsia="仿宋" w:cs="仿宋"/>
          <w:i w:val="0"/>
          <w:iCs w:val="0"/>
          <w:caps w:val="0"/>
          <w:color w:val="3D3D3D"/>
          <w:spacing w:val="0"/>
          <w:sz w:val="32"/>
          <w:szCs w:val="32"/>
          <w:shd w:val="clear" w:color="auto" w:fill="FFFFFF"/>
        </w:rPr>
      </w:pPr>
      <w:r>
        <w:rPr>
          <w:rFonts w:hint="eastAsia" w:ascii="仿宋" w:hAnsi="仿宋" w:eastAsia="仿宋" w:cs="仿宋"/>
          <w:i w:val="0"/>
          <w:iCs w:val="0"/>
          <w:caps w:val="0"/>
          <w:color w:val="3D3D3D"/>
          <w:spacing w:val="0"/>
          <w:sz w:val="32"/>
          <w:szCs w:val="32"/>
          <w:shd w:val="clear" w:color="auto" w:fill="FFFFFF"/>
          <w:lang w:val="en-US" w:eastAsia="zh-CN"/>
        </w:rPr>
        <w:t>政府采购预算编制执行有待进一步提升。</w:t>
      </w:r>
    </w:p>
    <w:p w14:paraId="261771D1">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14:paraId="4CD2B970">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kern w:val="2"/>
          <w:position w:val="0"/>
          <w:sz w:val="32"/>
          <w:szCs w:val="32"/>
          <w:lang w:val="en-US" w:eastAsia="zh-CN" w:bidi="ar-SA"/>
          <w14:textFill>
            <w14:solidFill>
              <w14:schemeClr w14:val="tx1"/>
            </w14:solidFill>
          </w14:textFill>
        </w:rPr>
        <w:t>（一）</w:t>
      </w: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加强预算法制化观念，增强预算约束力，提高财务管理预见性，自觉维护预算编制的严肃性，到年底应当将单位预算和决算进行审核对比，按收支科目及各明细项目逐一查对预算与决算之间的差额，发现问题分析问题，制定具体改进措施，“三公”经费预算编制要合理并且厉行节约。</w:t>
      </w:r>
    </w:p>
    <w:p w14:paraId="4F1B7D52">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kern w:val="2"/>
          <w:position w:val="0"/>
          <w:sz w:val="32"/>
          <w:szCs w:val="32"/>
          <w:lang w:val="en-US" w:eastAsia="zh-CN" w:bidi="ar-SA"/>
          <w14:textFill>
            <w14:solidFill>
              <w14:schemeClr w14:val="tx1"/>
            </w14:solidFill>
          </w14:textFill>
        </w:rPr>
        <w:t>（二）</w:t>
      </w: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在今年的绩效评价工作上找不足找差距，向上级部门或兄弟单位学习好的经验，争取下年提升绩效评价水平。</w:t>
      </w:r>
    </w:p>
    <w:p w14:paraId="075D3BFF">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ascii="仿宋" w:hAnsi="仿宋" w:eastAsia="仿宋" w:cs="仿宋"/>
          <w:bCs/>
          <w:sz w:val="32"/>
          <w:szCs w:val="32"/>
        </w:rPr>
      </w:pPr>
      <w:r>
        <w:rPr>
          <w:rFonts w:hint="eastAsia" w:ascii="仿宋" w:hAnsi="仿宋" w:eastAsia="仿宋" w:cs="仿宋"/>
          <w:bCs/>
          <w:kern w:val="2"/>
          <w:sz w:val="32"/>
          <w:szCs w:val="32"/>
          <w:lang w:val="en-US" w:eastAsia="zh-CN" w:bidi="ar-SA"/>
        </w:rPr>
        <w:t>（三）</w:t>
      </w:r>
      <w:r>
        <w:rPr>
          <w:rFonts w:hint="eastAsia" w:ascii="仿宋" w:hAnsi="仿宋" w:eastAsia="仿宋" w:cs="仿宋"/>
          <w:bCs/>
          <w:sz w:val="32"/>
          <w:szCs w:val="32"/>
        </w:rPr>
        <w:t>严格按照区委的统一部署抓好各项工作落实，在推动工作、难题破解等方面出实招、出硬招。有效推动“整村推进”项目的有效实施，在蔡家重点移民村打造出楼区移民工作亮点，实现工作亮点连点成线。</w:t>
      </w:r>
    </w:p>
    <w:p w14:paraId="2BF81B50">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 w:hAnsi="仿宋" w:eastAsia="仿宋" w:cs="仿宋"/>
          <w:bCs/>
          <w:sz w:val="32"/>
          <w:szCs w:val="32"/>
        </w:rPr>
      </w:pPr>
      <w:r>
        <w:rPr>
          <w:rFonts w:hint="eastAsia" w:ascii="仿宋" w:hAnsi="仿宋" w:eastAsia="仿宋" w:cs="仿宋"/>
          <w:bCs/>
          <w:sz w:val="32"/>
          <w:szCs w:val="32"/>
          <w:lang w:val="en-US" w:eastAsia="zh-CN"/>
        </w:rPr>
        <w:t>（四）</w:t>
      </w:r>
      <w:r>
        <w:rPr>
          <w:rFonts w:hint="eastAsia" w:ascii="仿宋" w:hAnsi="仿宋" w:eastAsia="仿宋" w:cs="仿宋"/>
          <w:bCs/>
          <w:sz w:val="32"/>
          <w:szCs w:val="32"/>
        </w:rPr>
        <w:t>进一步加大对重点移民社区（村）投入力度，根据其实际需要，大力实施美好家园建设，着力解决移民集聚区生活环境问题，提升移民生活质量。全力扶持发展移民产业，通过以奖代投、贴息贷款、税费补贴等方式加大创业培训和创业投入，进一步提升移民自身造血功能，进而形成一条“培训—创业—扶持—发展”的移民产业扶持模式。</w:t>
      </w:r>
    </w:p>
    <w:p w14:paraId="2DF2C18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仿宋" w:hAnsi="仿宋" w:eastAsia="仿宋" w:cs="仿宋"/>
          <w:bCs/>
          <w:sz w:val="32"/>
          <w:szCs w:val="32"/>
          <w:lang w:val="en-US" w:eastAsia="zh-CN"/>
        </w:rPr>
      </w:pPr>
      <w:r>
        <w:rPr>
          <w:rFonts w:hint="eastAsia" w:ascii="仿宋" w:hAnsi="仿宋" w:eastAsia="仿宋" w:cs="仿宋"/>
          <w:bCs/>
          <w:sz w:val="32"/>
          <w:szCs w:val="32"/>
          <w:lang w:val="en-US" w:eastAsia="zh-CN"/>
        </w:rPr>
        <w:t>(五）单位采购预算编制要求多业务部门积极配合，提升采购预算的精确性和科学性，把绩效管理理念和方法引入政府采购预算管理过程中，总结经验和教训。</w:t>
      </w:r>
    </w:p>
    <w:p w14:paraId="5790FBE7">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1044FCCC">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 w:hAnsi="仿宋" w:eastAsia="仿宋" w:cs="仿宋"/>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000000" w:themeColor="text1"/>
          <w:spacing w:val="0"/>
          <w:position w:val="0"/>
          <w:sz w:val="32"/>
          <w:szCs w:val="32"/>
          <w:lang w:val="en-US" w:eastAsia="zh-CN"/>
          <w14:textFill>
            <w14:solidFill>
              <w14:schemeClr w14:val="tx1"/>
            </w14:solidFill>
          </w14:textFill>
        </w:rPr>
        <w:t>无其他需要说明的情况</w:t>
      </w:r>
    </w:p>
    <w:p w14:paraId="2649012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C0D1AA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F4BED1B">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193E34A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08B895D6">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4BCC1F1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5FB0EEA0">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30889A1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6528BAC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64734B8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9F437F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07ED2F3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3344B1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6902DA1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689194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2907ED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3970168">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p w14:paraId="21E33ED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43AC4DD5">
      <w:pPr>
        <w:ind w:firstLine="1440" w:firstLineChars="400"/>
        <w:jc w:val="both"/>
        <w:rPr>
          <w:rFonts w:hint="eastAsia" w:eastAsia="方正小标宋简体"/>
          <w:sz w:val="36"/>
          <w:szCs w:val="36"/>
          <w:lang w:eastAsia="zh-CN"/>
        </w:rPr>
      </w:pPr>
    </w:p>
    <w:p w14:paraId="221D75AE">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14:paraId="497DE72C">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2FC37272">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262CD4E9">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40836D5E">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70217C49">
            <w:pPr>
              <w:spacing w:line="240" w:lineRule="exact"/>
              <w:jc w:val="center"/>
              <w:rPr>
                <w:rFonts w:eastAsia="黑体"/>
                <w:szCs w:val="21"/>
              </w:rPr>
            </w:pPr>
            <w:r>
              <w:rPr>
                <w:rFonts w:eastAsia="黑体"/>
                <w:szCs w:val="21"/>
              </w:rPr>
              <w:t>评分</w:t>
            </w:r>
          </w:p>
        </w:tc>
      </w:tr>
      <w:tr w14:paraId="24C982B5">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526A2189">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18005689">
            <w:pPr>
              <w:spacing w:line="320" w:lineRule="exact"/>
              <w:jc w:val="center"/>
              <w:rPr>
                <w:rFonts w:hint="eastAsia" w:asciiTheme="majorEastAsia" w:hAnsiTheme="majorEastAsia" w:eastAsiaTheme="majorEastAsia" w:cstheme="majorEastAsia"/>
                <w:szCs w:val="21"/>
              </w:rPr>
            </w:pPr>
          </w:p>
          <w:p w14:paraId="3C11F654">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672DB80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07B4795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76DA3C78">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46917741">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7B5073F9">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9A16078">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09880DC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1053735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5C6823F8">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0E668B78">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6140AFA6">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6998CE3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258777A2">
            <w:pPr>
              <w:spacing w:line="240" w:lineRule="exact"/>
              <w:jc w:val="center"/>
              <w:rPr>
                <w:rFonts w:hint="eastAsia" w:asciiTheme="majorEastAsia" w:hAnsiTheme="majorEastAsia" w:eastAsiaTheme="majorEastAsia" w:cstheme="majorEastAsia"/>
                <w:szCs w:val="21"/>
              </w:rPr>
            </w:pPr>
          </w:p>
          <w:p w14:paraId="27C2ED5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139D83B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28722E9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61023D2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12A1C187">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3493A917">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01BCDCF4">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14:paraId="23320B6E">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62F5C54">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0898974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63D765B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17EFD1A2">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783752DC">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11AA5219">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73305E3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14:paraId="68360228">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46344C27">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26829E6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2B22B0E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5DC8BD9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2F0A9DC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3733B88">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5CA27839">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7A0FEF5C">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BECE904">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2580EAE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3894FD8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12775CC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3A15E36D">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6F6B2E32">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w:t>
            </w:r>
            <w:r>
              <w:rPr>
                <w:rFonts w:hint="eastAsia" w:asciiTheme="majorEastAsia" w:hAnsiTheme="majorEastAsia" w:eastAsiaTheme="majorEastAsia" w:cstheme="majorEastAsia"/>
                <w:szCs w:val="21"/>
              </w:rPr>
              <w:t>　</w:t>
            </w:r>
          </w:p>
        </w:tc>
      </w:tr>
      <w:tr w14:paraId="1AFAFE58">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6261170D">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08C76DD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46606AB1">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16859C87">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99</w:t>
            </w:r>
          </w:p>
        </w:tc>
      </w:tr>
    </w:tbl>
    <w:p w14:paraId="35CBBF89">
      <w:pPr>
        <w:keepNext w:val="0"/>
        <w:keepLines w:val="0"/>
        <w:pageBreakBefore w:val="0"/>
        <w:widowControl w:val="0"/>
        <w:kinsoku/>
        <w:wordWrap/>
        <w:overflowPunct/>
        <w:topLinePunct w:val="0"/>
        <w:autoSpaceDE/>
        <w:autoSpaceDN/>
        <w:bidi w:val="0"/>
        <w:adjustRightInd/>
        <w:snapToGrid/>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方正舒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5FD67">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4DA5EB">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F4DA5EB">
                    <w:pPr>
                      <w:pStyle w:val="4"/>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F3DDB2"/>
    <w:multiLevelType w:val="singleLevel"/>
    <w:tmpl w:val="F8F3DDB2"/>
    <w:lvl w:ilvl="0" w:tentative="0">
      <w:start w:val="1"/>
      <w:numFmt w:val="chineseCounting"/>
      <w:suff w:val="nothing"/>
      <w:lvlText w:val="%1、"/>
      <w:lvlJc w:val="left"/>
      <w:rPr>
        <w:rFonts w:hint="eastAsia"/>
      </w:rPr>
    </w:lvl>
  </w:abstractNum>
  <w:abstractNum w:abstractNumId="1">
    <w:nsid w:val="4FE0418C"/>
    <w:multiLevelType w:val="singleLevel"/>
    <w:tmpl w:val="4FE0418C"/>
    <w:lvl w:ilvl="0" w:tentative="0">
      <w:start w:val="1"/>
      <w:numFmt w:val="decimal"/>
      <w:suff w:val="nothing"/>
      <w:lvlText w:val="%1、"/>
      <w:lvlJc w:val="left"/>
    </w:lvl>
  </w:abstractNum>
  <w:abstractNum w:abstractNumId="2">
    <w:nsid w:val="7137E684"/>
    <w:multiLevelType w:val="singleLevel"/>
    <w:tmpl w:val="7137E684"/>
    <w:lvl w:ilvl="0" w:tentative="0">
      <w:start w:val="1"/>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3MjBlYjBjZThlNzI4ZmY1MzMzZDAxMDRlMzFlMjk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1FA50BD"/>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60158"/>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8E30D8"/>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C7404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286250"/>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EF4FBF"/>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1601E1"/>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33019"/>
    <w:rsid w:val="11F403BB"/>
    <w:rsid w:val="11FA6A1C"/>
    <w:rsid w:val="120B6973"/>
    <w:rsid w:val="12155876"/>
    <w:rsid w:val="12183A1B"/>
    <w:rsid w:val="122A11A6"/>
    <w:rsid w:val="122C2A91"/>
    <w:rsid w:val="123D1BD2"/>
    <w:rsid w:val="123E6D4D"/>
    <w:rsid w:val="125613C2"/>
    <w:rsid w:val="125D4EF7"/>
    <w:rsid w:val="12637C4E"/>
    <w:rsid w:val="127030C8"/>
    <w:rsid w:val="12B310FA"/>
    <w:rsid w:val="12B7582D"/>
    <w:rsid w:val="12C621E8"/>
    <w:rsid w:val="12CF0716"/>
    <w:rsid w:val="12CF21DB"/>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BE592E"/>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CE32DA"/>
    <w:rsid w:val="17E256C1"/>
    <w:rsid w:val="17E339CC"/>
    <w:rsid w:val="17F33C57"/>
    <w:rsid w:val="181D4FAC"/>
    <w:rsid w:val="182B38C1"/>
    <w:rsid w:val="18351597"/>
    <w:rsid w:val="18353961"/>
    <w:rsid w:val="18474510"/>
    <w:rsid w:val="184F1D16"/>
    <w:rsid w:val="1852374B"/>
    <w:rsid w:val="185629F1"/>
    <w:rsid w:val="18685D91"/>
    <w:rsid w:val="18786026"/>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AF3CC9"/>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760ABA"/>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40BCC"/>
    <w:rsid w:val="1D4E7169"/>
    <w:rsid w:val="1D554265"/>
    <w:rsid w:val="1D69344A"/>
    <w:rsid w:val="1D6B31E8"/>
    <w:rsid w:val="1D6B7F83"/>
    <w:rsid w:val="1D776C3D"/>
    <w:rsid w:val="1D95321A"/>
    <w:rsid w:val="1DB85E5C"/>
    <w:rsid w:val="1DBC4C07"/>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90E12"/>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95AD3"/>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2477ED"/>
    <w:rsid w:val="26317A1A"/>
    <w:rsid w:val="264221C6"/>
    <w:rsid w:val="265D3370"/>
    <w:rsid w:val="26666555"/>
    <w:rsid w:val="268B7C99"/>
    <w:rsid w:val="268C4A4A"/>
    <w:rsid w:val="269A7501"/>
    <w:rsid w:val="26A3584F"/>
    <w:rsid w:val="26A66B0A"/>
    <w:rsid w:val="26A73989"/>
    <w:rsid w:val="26A86D42"/>
    <w:rsid w:val="26C30557"/>
    <w:rsid w:val="26CB2EBC"/>
    <w:rsid w:val="26CB4B73"/>
    <w:rsid w:val="26E31456"/>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C555E"/>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AE3AE8"/>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92F9B"/>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B83942"/>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B67168"/>
    <w:rsid w:val="36D21A02"/>
    <w:rsid w:val="37104DEB"/>
    <w:rsid w:val="372D0977"/>
    <w:rsid w:val="37337382"/>
    <w:rsid w:val="374D5647"/>
    <w:rsid w:val="374F42A7"/>
    <w:rsid w:val="37506DBE"/>
    <w:rsid w:val="3759338C"/>
    <w:rsid w:val="37654002"/>
    <w:rsid w:val="378E3E66"/>
    <w:rsid w:val="37BB130F"/>
    <w:rsid w:val="37C244FC"/>
    <w:rsid w:val="37D95C79"/>
    <w:rsid w:val="37E81F7B"/>
    <w:rsid w:val="38026A1B"/>
    <w:rsid w:val="38197832"/>
    <w:rsid w:val="383903C6"/>
    <w:rsid w:val="383C423B"/>
    <w:rsid w:val="38415136"/>
    <w:rsid w:val="38493A37"/>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BB2076"/>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667DC0"/>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3A53D2"/>
    <w:rsid w:val="3D3E0D3C"/>
    <w:rsid w:val="3D5A60CA"/>
    <w:rsid w:val="3D98044D"/>
    <w:rsid w:val="3D9F4364"/>
    <w:rsid w:val="3DA702BF"/>
    <w:rsid w:val="3DB92106"/>
    <w:rsid w:val="3DCF457D"/>
    <w:rsid w:val="3DE52247"/>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C90D91"/>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0302D3"/>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4252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BF90C50"/>
    <w:rsid w:val="4C0A534C"/>
    <w:rsid w:val="4C0F01F9"/>
    <w:rsid w:val="4C270B31"/>
    <w:rsid w:val="4C3202E6"/>
    <w:rsid w:val="4C60482B"/>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6B30D6"/>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D9546D"/>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0F2019"/>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063E5"/>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323F69"/>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864CBE"/>
    <w:rsid w:val="65990AED"/>
    <w:rsid w:val="65A63707"/>
    <w:rsid w:val="65A80F59"/>
    <w:rsid w:val="65AA319F"/>
    <w:rsid w:val="65AC5539"/>
    <w:rsid w:val="65BB595A"/>
    <w:rsid w:val="65F22562"/>
    <w:rsid w:val="65F65692"/>
    <w:rsid w:val="660C7338"/>
    <w:rsid w:val="662F72F1"/>
    <w:rsid w:val="66407FD5"/>
    <w:rsid w:val="665346CA"/>
    <w:rsid w:val="6661498D"/>
    <w:rsid w:val="666B3926"/>
    <w:rsid w:val="668C5B9C"/>
    <w:rsid w:val="66A421AD"/>
    <w:rsid w:val="66BC48FC"/>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EB07F0"/>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C93911"/>
    <w:rsid w:val="6ADD6D64"/>
    <w:rsid w:val="6B0F06C2"/>
    <w:rsid w:val="6B2B6878"/>
    <w:rsid w:val="6B633F4F"/>
    <w:rsid w:val="6B70680D"/>
    <w:rsid w:val="6B816F14"/>
    <w:rsid w:val="6B8A298B"/>
    <w:rsid w:val="6B8A779B"/>
    <w:rsid w:val="6BAD6C20"/>
    <w:rsid w:val="6BB456BB"/>
    <w:rsid w:val="6BB62A44"/>
    <w:rsid w:val="6BD81D0A"/>
    <w:rsid w:val="6BE052CE"/>
    <w:rsid w:val="6BED02B0"/>
    <w:rsid w:val="6BF2692A"/>
    <w:rsid w:val="6BF358A4"/>
    <w:rsid w:val="6C051F4E"/>
    <w:rsid w:val="6C096C12"/>
    <w:rsid w:val="6C1A5960"/>
    <w:rsid w:val="6C417EB8"/>
    <w:rsid w:val="6C613F45"/>
    <w:rsid w:val="6C756221"/>
    <w:rsid w:val="6C7B08BB"/>
    <w:rsid w:val="6C816AF9"/>
    <w:rsid w:val="6C846694"/>
    <w:rsid w:val="6CA841D2"/>
    <w:rsid w:val="6CB10385"/>
    <w:rsid w:val="6CC605DD"/>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556565"/>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32F1D"/>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56258"/>
    <w:rsid w:val="75EF5520"/>
    <w:rsid w:val="75F63713"/>
    <w:rsid w:val="76143A54"/>
    <w:rsid w:val="7637074A"/>
    <w:rsid w:val="763B63B0"/>
    <w:rsid w:val="764772A3"/>
    <w:rsid w:val="767B7960"/>
    <w:rsid w:val="769A6195"/>
    <w:rsid w:val="76A44430"/>
    <w:rsid w:val="76A71FBB"/>
    <w:rsid w:val="76AA5D81"/>
    <w:rsid w:val="76AB50DC"/>
    <w:rsid w:val="76BB3C83"/>
    <w:rsid w:val="76C80EC7"/>
    <w:rsid w:val="76DE441B"/>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914152"/>
    <w:rsid w:val="7BAC2D3A"/>
    <w:rsid w:val="7BAE3C97"/>
    <w:rsid w:val="7BB16076"/>
    <w:rsid w:val="7BB46DB9"/>
    <w:rsid w:val="7BBF0CBF"/>
    <w:rsid w:val="7BC02341"/>
    <w:rsid w:val="7BD74454"/>
    <w:rsid w:val="7BE96DEC"/>
    <w:rsid w:val="7C021A51"/>
    <w:rsid w:val="7C033C13"/>
    <w:rsid w:val="7C041A0F"/>
    <w:rsid w:val="7C110306"/>
    <w:rsid w:val="7C212B8A"/>
    <w:rsid w:val="7C8464A1"/>
    <w:rsid w:val="7C95557C"/>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214BE"/>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next w:val="1"/>
    <w:qFormat/>
    <w:uiPriority w:val="0"/>
    <w:pPr>
      <w:keepNext/>
      <w:keepLines/>
      <w:widowControl w:val="0"/>
      <w:spacing w:before="120" w:after="120" w:line="312" w:lineRule="auto"/>
      <w:jc w:val="left"/>
      <w:outlineLvl w:val="2"/>
    </w:pPr>
    <w:rPr>
      <w:rFonts w:ascii="Calibri" w:hAnsi="Calibri" w:eastAsia="宋体" w:cs="Times New Roman"/>
      <w:bCs/>
      <w:kern w:val="2"/>
      <w:sz w:val="21"/>
      <w:szCs w:val="32"/>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keepNext w:val="0"/>
      <w:keepLines w:val="0"/>
      <w:widowControl w:val="0"/>
      <w:suppressLineNumbers w:val="0"/>
      <w:spacing w:before="120" w:beforeAutospacing="0" w:after="200" w:afterAutospacing="0" w:line="271" w:lineRule="auto"/>
      <w:ind w:left="0" w:right="0"/>
      <w:jc w:val="both"/>
    </w:pPr>
    <w:rPr>
      <w:rFonts w:hint="eastAsia" w:ascii="Arial" w:hAnsi="Arial" w:eastAsia="等线" w:cs="Times New Roman"/>
      <w:kern w:val="2"/>
      <w:sz w:val="24"/>
      <w:szCs w:val="24"/>
      <w:lang w:val="en-US" w:eastAsia="zh-CN" w:bidi="ar"/>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 w:type="paragraph" w:customStyle="1" w:styleId="10">
    <w:name w:val="181"/>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6627</Words>
  <Characters>7167</Characters>
  <Lines>0</Lines>
  <Paragraphs>0</Paragraphs>
  <TotalTime>1</TotalTime>
  <ScaleCrop>false</ScaleCrop>
  <LinksUpToDate>false</LinksUpToDate>
  <CharactersWithSpaces>7308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2023-08-15T06:21:00Z</cp:lastPrinted>
  <dcterms:modified xsi:type="dcterms:W3CDTF">2024-07-23T01:35:20Z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1A77D0C3D4064F9FBB2DAA3305EE26B6_13</vt:lpwstr>
  </property>
</Properties>
</file>