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046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bookmarkStart w:id="4" w:name="_GoBack"/>
      <w:bookmarkEnd w:id="4"/>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7602FDB9">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1086C89A">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461E5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46E981D1">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687168A7">
            <w:pPr>
              <w:spacing w:before="103" w:line="219" w:lineRule="auto"/>
              <w:jc w:val="cente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楼区农产品综合检验检测中心</w:t>
            </w:r>
          </w:p>
        </w:tc>
      </w:tr>
      <w:tr w14:paraId="6F1A2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A6564C5">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78362649">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032CEF03">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14:paraId="7FB3604A">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0869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307D0761">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10C1C32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w:t>
            </w:r>
          </w:p>
        </w:tc>
        <w:tc>
          <w:tcPr>
            <w:tcW w:w="2325" w:type="dxa"/>
            <w:gridSpan w:val="2"/>
            <w:noWrap w:val="0"/>
            <w:vAlign w:val="top"/>
          </w:tcPr>
          <w:p w14:paraId="736D10F2">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28</w:t>
            </w:r>
          </w:p>
        </w:tc>
        <w:tc>
          <w:tcPr>
            <w:tcW w:w="1679" w:type="dxa"/>
            <w:gridSpan w:val="2"/>
            <w:noWrap w:val="0"/>
            <w:vAlign w:val="top"/>
          </w:tcPr>
          <w:p w14:paraId="7A25A252">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79203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6A8CC7CB">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134A3094">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14:paraId="35B35C6D">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14:paraId="5330FF7C">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14:paraId="05C66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97FD966">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0F1E2996">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6AE71A96">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3CACB6D8">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4C97D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A8394A3">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center"/>
          </w:tcPr>
          <w:p w14:paraId="48010C6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2.58</w:t>
            </w:r>
          </w:p>
        </w:tc>
        <w:tc>
          <w:tcPr>
            <w:tcW w:w="2325" w:type="dxa"/>
            <w:gridSpan w:val="2"/>
            <w:noWrap w:val="0"/>
            <w:vAlign w:val="center"/>
          </w:tcPr>
          <w:p w14:paraId="1E700DC3">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w:t>
            </w:r>
          </w:p>
        </w:tc>
        <w:tc>
          <w:tcPr>
            <w:tcW w:w="1679" w:type="dxa"/>
            <w:gridSpan w:val="2"/>
            <w:noWrap w:val="0"/>
            <w:vAlign w:val="center"/>
          </w:tcPr>
          <w:p w14:paraId="388BE64D">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w:t>
            </w:r>
          </w:p>
        </w:tc>
      </w:tr>
      <w:tr w14:paraId="1D639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99404ED">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center"/>
          </w:tcPr>
          <w:p w14:paraId="46DB0A4B">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center"/>
          </w:tcPr>
          <w:p w14:paraId="15226961">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center"/>
          </w:tcPr>
          <w:p w14:paraId="6EB5363F">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6EBC8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3850" w:type="dxa"/>
            <w:noWrap w:val="0"/>
            <w:vAlign w:val="top"/>
          </w:tcPr>
          <w:p w14:paraId="4456941A">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center"/>
          </w:tcPr>
          <w:p w14:paraId="2F25E20C">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2.58</w:t>
            </w:r>
          </w:p>
        </w:tc>
        <w:tc>
          <w:tcPr>
            <w:tcW w:w="2325" w:type="dxa"/>
            <w:gridSpan w:val="2"/>
            <w:noWrap w:val="0"/>
            <w:vAlign w:val="center"/>
          </w:tcPr>
          <w:p w14:paraId="7C0489FC">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w:t>
            </w:r>
          </w:p>
        </w:tc>
        <w:tc>
          <w:tcPr>
            <w:tcW w:w="1679" w:type="dxa"/>
            <w:gridSpan w:val="2"/>
            <w:noWrap w:val="0"/>
            <w:vAlign w:val="center"/>
          </w:tcPr>
          <w:p w14:paraId="10EC5867">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w:t>
            </w:r>
          </w:p>
        </w:tc>
      </w:tr>
      <w:tr w14:paraId="1EBAC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4FD6F858">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center"/>
          </w:tcPr>
          <w:p w14:paraId="49AA8FFA">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center"/>
          </w:tcPr>
          <w:p w14:paraId="55118919">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center"/>
          </w:tcPr>
          <w:p w14:paraId="112E03AE">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0038A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B015CB0">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center"/>
          </w:tcPr>
          <w:p w14:paraId="656658F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3.2</w:t>
            </w:r>
          </w:p>
        </w:tc>
        <w:tc>
          <w:tcPr>
            <w:tcW w:w="2325" w:type="dxa"/>
            <w:gridSpan w:val="2"/>
            <w:noWrap w:val="0"/>
            <w:vAlign w:val="center"/>
          </w:tcPr>
          <w:p w14:paraId="2842C2F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w:t>
            </w:r>
          </w:p>
        </w:tc>
        <w:tc>
          <w:tcPr>
            <w:tcW w:w="1679" w:type="dxa"/>
            <w:gridSpan w:val="2"/>
            <w:noWrap w:val="0"/>
            <w:vAlign w:val="center"/>
          </w:tcPr>
          <w:p w14:paraId="5840F51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w:t>
            </w:r>
          </w:p>
        </w:tc>
      </w:tr>
      <w:tr w14:paraId="6EBBC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BE296E5">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6F39AB16">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3505771C">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54404F32">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4871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2845BDD">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center"/>
          </w:tcPr>
          <w:p w14:paraId="3A3156F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60</w:t>
            </w:r>
          </w:p>
        </w:tc>
        <w:tc>
          <w:tcPr>
            <w:tcW w:w="2325" w:type="dxa"/>
            <w:gridSpan w:val="2"/>
            <w:noWrap w:val="0"/>
            <w:vAlign w:val="center"/>
          </w:tcPr>
          <w:p w14:paraId="4DEEBEB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80</w:t>
            </w:r>
          </w:p>
        </w:tc>
        <w:tc>
          <w:tcPr>
            <w:tcW w:w="1679" w:type="dxa"/>
            <w:gridSpan w:val="2"/>
            <w:noWrap w:val="0"/>
            <w:vAlign w:val="center"/>
          </w:tcPr>
          <w:p w14:paraId="5D77CFC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80</w:t>
            </w:r>
          </w:p>
        </w:tc>
      </w:tr>
      <w:tr w14:paraId="20758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7AFCE1C">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center"/>
          </w:tcPr>
          <w:p w14:paraId="3E17E2F7">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w:t>
            </w:r>
          </w:p>
        </w:tc>
        <w:tc>
          <w:tcPr>
            <w:tcW w:w="2325" w:type="dxa"/>
            <w:gridSpan w:val="2"/>
            <w:noWrap w:val="0"/>
            <w:vAlign w:val="center"/>
          </w:tcPr>
          <w:p w14:paraId="4D60C721">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w:t>
            </w:r>
          </w:p>
        </w:tc>
        <w:tc>
          <w:tcPr>
            <w:tcW w:w="1679" w:type="dxa"/>
            <w:gridSpan w:val="2"/>
            <w:noWrap w:val="0"/>
            <w:vAlign w:val="center"/>
          </w:tcPr>
          <w:p w14:paraId="204584EE">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w:t>
            </w:r>
          </w:p>
        </w:tc>
      </w:tr>
      <w:tr w14:paraId="50745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D2D714F">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3D871E84">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29C2838E">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6F13EBFD">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7DB5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363B297">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76B50BD7">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0981D2C9">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4ED917CF">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22B8C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3395E56D">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兽医实验室建设</w:t>
            </w:r>
          </w:p>
        </w:tc>
        <w:tc>
          <w:tcPr>
            <w:tcW w:w="1815" w:type="dxa"/>
            <w:gridSpan w:val="2"/>
            <w:noWrap w:val="0"/>
            <w:vAlign w:val="center"/>
          </w:tcPr>
          <w:p w14:paraId="42567362">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center"/>
          </w:tcPr>
          <w:p w14:paraId="17266C6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56.8</w:t>
            </w:r>
          </w:p>
        </w:tc>
        <w:tc>
          <w:tcPr>
            <w:tcW w:w="1679" w:type="dxa"/>
            <w:gridSpan w:val="2"/>
            <w:noWrap w:val="0"/>
            <w:vAlign w:val="center"/>
          </w:tcPr>
          <w:p w14:paraId="7992015A">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56.8</w:t>
            </w:r>
          </w:p>
        </w:tc>
      </w:tr>
      <w:tr w14:paraId="408FD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A97E584">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26A2614F">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4F7B6867">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00E85405">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07E86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1DB5072">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center"/>
          </w:tcPr>
          <w:p w14:paraId="6072255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61.61</w:t>
            </w:r>
          </w:p>
        </w:tc>
        <w:tc>
          <w:tcPr>
            <w:tcW w:w="2325" w:type="dxa"/>
            <w:gridSpan w:val="2"/>
            <w:noWrap w:val="0"/>
            <w:vAlign w:val="center"/>
          </w:tcPr>
          <w:p w14:paraId="32E4D9CD">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102.8</w:t>
            </w:r>
          </w:p>
        </w:tc>
        <w:tc>
          <w:tcPr>
            <w:tcW w:w="1679" w:type="dxa"/>
            <w:gridSpan w:val="2"/>
            <w:noWrap w:val="0"/>
            <w:vAlign w:val="center"/>
          </w:tcPr>
          <w:p w14:paraId="0EB80377">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102.8</w:t>
            </w:r>
          </w:p>
        </w:tc>
      </w:tr>
      <w:tr w14:paraId="42DCF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1B0C513">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center"/>
          </w:tcPr>
          <w:p w14:paraId="49704495">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9.32</w:t>
            </w:r>
          </w:p>
        </w:tc>
        <w:tc>
          <w:tcPr>
            <w:tcW w:w="2325" w:type="dxa"/>
            <w:gridSpan w:val="2"/>
            <w:noWrap w:val="0"/>
            <w:vAlign w:val="center"/>
          </w:tcPr>
          <w:p w14:paraId="43684959">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8.7</w:t>
            </w:r>
          </w:p>
        </w:tc>
        <w:tc>
          <w:tcPr>
            <w:tcW w:w="1679" w:type="dxa"/>
            <w:gridSpan w:val="2"/>
            <w:noWrap w:val="0"/>
            <w:vAlign w:val="center"/>
          </w:tcPr>
          <w:p w14:paraId="633EA187">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8.7</w:t>
            </w:r>
          </w:p>
        </w:tc>
      </w:tr>
      <w:tr w14:paraId="1EB66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7BDA5C5">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center"/>
          </w:tcPr>
          <w:p w14:paraId="1953CB3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3.15</w:t>
            </w:r>
          </w:p>
        </w:tc>
        <w:tc>
          <w:tcPr>
            <w:tcW w:w="2325" w:type="dxa"/>
            <w:gridSpan w:val="2"/>
            <w:noWrap w:val="0"/>
            <w:vAlign w:val="center"/>
          </w:tcPr>
          <w:p w14:paraId="297A41A6">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2.08</w:t>
            </w:r>
          </w:p>
        </w:tc>
        <w:tc>
          <w:tcPr>
            <w:tcW w:w="1679" w:type="dxa"/>
            <w:gridSpan w:val="2"/>
            <w:noWrap w:val="0"/>
            <w:vAlign w:val="center"/>
          </w:tcPr>
          <w:p w14:paraId="641D4C6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2.08</w:t>
            </w:r>
          </w:p>
        </w:tc>
      </w:tr>
      <w:tr w14:paraId="085F0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1A9B66F">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center"/>
          </w:tcPr>
          <w:p w14:paraId="0541069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0.97</w:t>
            </w:r>
          </w:p>
        </w:tc>
        <w:tc>
          <w:tcPr>
            <w:tcW w:w="2325" w:type="dxa"/>
            <w:gridSpan w:val="2"/>
            <w:noWrap w:val="0"/>
            <w:vAlign w:val="center"/>
          </w:tcPr>
          <w:p w14:paraId="30F91FB8">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w:t>
            </w:r>
          </w:p>
        </w:tc>
        <w:tc>
          <w:tcPr>
            <w:tcW w:w="1679" w:type="dxa"/>
            <w:gridSpan w:val="2"/>
            <w:noWrap w:val="0"/>
            <w:vAlign w:val="center"/>
          </w:tcPr>
          <w:p w14:paraId="20560CEB">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w:t>
            </w:r>
          </w:p>
        </w:tc>
      </w:tr>
      <w:tr w14:paraId="1A03D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9343E84">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5A65F1AC">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488086E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noWrap w:val="0"/>
            <w:vAlign w:val="top"/>
          </w:tcPr>
          <w:p w14:paraId="41B50307">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119.23</w:t>
            </w:r>
          </w:p>
        </w:tc>
      </w:tr>
      <w:tr w14:paraId="333BB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6110847">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14:paraId="610453B9">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020A4982">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26F0C497">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2292E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3E4E6D0C">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39127E81">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3D27139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2B72B7B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1543D5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130E707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1C1F61E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4513B53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03D41A6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1A863F3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4816571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4D9D382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5C0D7DF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1089377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6C66F58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7EBA5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59D772C5">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410D763B">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6AA20AD9">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401239B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15DE990A">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5F06D4A7">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02C33829">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ABB0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BB4A75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23A1491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牢固树立“过紧日子”思想，严控“三公”经费。</w:t>
            </w:r>
          </w:p>
        </w:tc>
      </w:tr>
    </w:tbl>
    <w:p w14:paraId="59C7112D">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35F4C315">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14:paraId="22A6C9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14:paraId="2C4DA54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6FD949DC">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37FE4EF2">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780C4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2D8FBB8F">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center"/>
          </w:tcPr>
          <w:p w14:paraId="0FE60651">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楼区农产品综合检验检测中心</w:t>
            </w:r>
          </w:p>
        </w:tc>
      </w:tr>
      <w:tr w14:paraId="32ED4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285A2117">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14:paraId="5A898A2E">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14:paraId="14481C69">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14:paraId="3740F847">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14:paraId="09675A1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14:paraId="30400697">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14:paraId="3EEACA68">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14:paraId="7F629115">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14:paraId="5101E74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0F667337">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14:paraId="4214CA53">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4CDE2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24284A7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14:paraId="15E32A26">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14:paraId="3AF7224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440.82</w:t>
            </w:r>
          </w:p>
        </w:tc>
        <w:tc>
          <w:tcPr>
            <w:tcW w:w="1319" w:type="dxa"/>
            <w:noWrap w:val="0"/>
            <w:vAlign w:val="center"/>
          </w:tcPr>
          <w:p w14:paraId="1FCD301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530.2</w:t>
            </w:r>
          </w:p>
        </w:tc>
        <w:tc>
          <w:tcPr>
            <w:tcW w:w="1259" w:type="dxa"/>
            <w:noWrap w:val="0"/>
            <w:vAlign w:val="center"/>
          </w:tcPr>
          <w:p w14:paraId="7A743C9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530.2</w:t>
            </w:r>
          </w:p>
        </w:tc>
        <w:tc>
          <w:tcPr>
            <w:tcW w:w="719" w:type="dxa"/>
            <w:noWrap w:val="0"/>
            <w:vAlign w:val="center"/>
          </w:tcPr>
          <w:p w14:paraId="6722E9FE">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14:paraId="2AA4358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100%</w:t>
            </w:r>
          </w:p>
        </w:tc>
        <w:tc>
          <w:tcPr>
            <w:tcW w:w="1275" w:type="dxa"/>
            <w:noWrap w:val="0"/>
            <w:vAlign w:val="center"/>
          </w:tcPr>
          <w:p w14:paraId="170E9BD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10</w:t>
            </w:r>
          </w:p>
        </w:tc>
      </w:tr>
      <w:tr w14:paraId="2430D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58130F9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4F471AAD">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14:paraId="0EE171E4">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14:paraId="177C5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557C777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26A64881">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530.2</w:t>
            </w:r>
          </w:p>
        </w:tc>
        <w:tc>
          <w:tcPr>
            <w:tcW w:w="4055" w:type="dxa"/>
            <w:gridSpan w:val="4"/>
            <w:noWrap w:val="0"/>
            <w:vAlign w:val="center"/>
          </w:tcPr>
          <w:p w14:paraId="23A9367A">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473.4</w:t>
            </w:r>
          </w:p>
        </w:tc>
      </w:tr>
      <w:tr w14:paraId="764F5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5ADDB53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77413D92">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14:paraId="165E49D7">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56.8</w:t>
            </w:r>
          </w:p>
        </w:tc>
      </w:tr>
      <w:tr w14:paraId="70A0A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48E6FC95">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4AE98E17">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14:paraId="4C38EBAB">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14:paraId="51B19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42BA5DF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512AD1B1">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4055" w:type="dxa"/>
            <w:gridSpan w:val="4"/>
            <w:noWrap w:val="0"/>
            <w:vAlign w:val="center"/>
          </w:tcPr>
          <w:p w14:paraId="538F8B53">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14:paraId="03752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14:paraId="38DA3280">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14:paraId="27A6661D">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14:paraId="592E9D11">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3CDAE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5C63446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35FE61D4">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1、认真开展屠宰检疫工作</w:t>
            </w:r>
          </w:p>
          <w:p w14:paraId="023C7314">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2、开展禽流感、非洲猪瘟等重大动物疫病防控工作</w:t>
            </w:r>
          </w:p>
          <w:p w14:paraId="3D8BD7F6">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3、开展农产品质量安全监测情况</w:t>
            </w:r>
          </w:p>
        </w:tc>
        <w:tc>
          <w:tcPr>
            <w:tcW w:w="4055" w:type="dxa"/>
            <w:gridSpan w:val="4"/>
            <w:noWrap w:val="0"/>
            <w:vAlign w:val="center"/>
          </w:tcPr>
          <w:p w14:paraId="467D9400">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1、全年屠宰检疫生猪7.62万头、牛马0.51万条、羊0.69万头，禽类62.11万羽，屠宰环节无害化处理生猪316头、废弃物无害化处理1.88万公斤，瘦肉精抽检5519份，监督场方非洲猪瘟自检11074份，检测结果均为阴性。</w:t>
            </w:r>
          </w:p>
          <w:p w14:paraId="169B802E">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2、畜禽群体免疫密度保持在90%以上，应免畜禽免疫密度达到100%，全面实施动物免疫标识达到100%。</w:t>
            </w:r>
          </w:p>
          <w:p w14:paraId="219638F1">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14:textFill>
                  <w14:solidFill>
                    <w14:schemeClr w14:val="tx1"/>
                  </w14:solidFill>
                </w14:textFill>
              </w:rPr>
              <w:t>3、蔬菜农残检测工作，抽检蔬菜样品318个批次，合格率达到99%。完成农产品定量抽检共计300批次，经第三方公司检测全部合格。</w:t>
            </w:r>
          </w:p>
        </w:tc>
      </w:tr>
      <w:tr w14:paraId="4FE3B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5BE18853">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14:paraId="6AB75E0F">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14:paraId="042173A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14:paraId="3C0609E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14:paraId="4F2FFC3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14:paraId="5B4269BC">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14:paraId="6092D5BC">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14:paraId="5216FC7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0B0023ED">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14:paraId="49BE1D44">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14:paraId="68C35FF0">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14:paraId="4E419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3E1B5A64">
            <w:pPr>
              <w:rPr>
                <w:rFonts w:ascii="Arial"/>
                <w:color w:val="000000" w:themeColor="text1"/>
                <w:sz w:val="21"/>
                <w14:textFill>
                  <w14:solidFill>
                    <w14:schemeClr w14:val="tx1"/>
                  </w14:solidFill>
                </w14:textFill>
              </w:rPr>
            </w:pPr>
          </w:p>
        </w:tc>
        <w:tc>
          <w:tcPr>
            <w:tcW w:w="1079" w:type="dxa"/>
            <w:vMerge w:val="restart"/>
            <w:noWrap w:val="0"/>
            <w:vAlign w:val="center"/>
          </w:tcPr>
          <w:p w14:paraId="5A66B181">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33953016">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0228629F">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430A33E5">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38C4FDAC">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14:paraId="111AC09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vMerge w:val="restart"/>
            <w:noWrap w:val="0"/>
            <w:vAlign w:val="center"/>
          </w:tcPr>
          <w:p w14:paraId="4454F3C1">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69" w:type="dxa"/>
            <w:noWrap w:val="0"/>
            <w:vAlign w:val="center"/>
          </w:tcPr>
          <w:p w14:paraId="072AB7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农产品定量抽检任务完成率</w:t>
            </w:r>
          </w:p>
        </w:tc>
        <w:tc>
          <w:tcPr>
            <w:tcW w:w="1319" w:type="dxa"/>
            <w:noWrap w:val="0"/>
            <w:vAlign w:val="center"/>
          </w:tcPr>
          <w:p w14:paraId="49606972">
            <w:pPr>
              <w:keepNext w:val="0"/>
              <w:keepLines w:val="0"/>
              <w:widowControl/>
              <w:suppressLineNumbers w:val="0"/>
              <w:jc w:val="center"/>
              <w:textAlignment w:val="center"/>
              <w:rPr>
                <w:rFonts w:hint="eastAsia" w:ascii="Arial"/>
                <w:color w:val="000000" w:themeColor="text1"/>
                <w:spacing w:val="0"/>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100CCAA7">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719" w:type="dxa"/>
            <w:noWrap w:val="0"/>
            <w:vAlign w:val="center"/>
          </w:tcPr>
          <w:p w14:paraId="2341067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58332D2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78FD1F63">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7B64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36B87077">
            <w:pPr>
              <w:rPr>
                <w:rFonts w:ascii="Arial"/>
                <w:color w:val="000000" w:themeColor="text1"/>
                <w:sz w:val="21"/>
                <w14:textFill>
                  <w14:solidFill>
                    <w14:schemeClr w14:val="tx1"/>
                  </w14:solidFill>
                </w14:textFill>
              </w:rPr>
            </w:pPr>
          </w:p>
        </w:tc>
        <w:tc>
          <w:tcPr>
            <w:tcW w:w="1079" w:type="dxa"/>
            <w:vMerge w:val="continue"/>
            <w:noWrap w:val="0"/>
            <w:vAlign w:val="center"/>
          </w:tcPr>
          <w:p w14:paraId="235D235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continue"/>
            <w:noWrap w:val="0"/>
            <w:vAlign w:val="center"/>
          </w:tcPr>
          <w:p w14:paraId="3BD170B8">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14:paraId="7643E4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农产品农残快速检测任务完成率</w:t>
            </w:r>
          </w:p>
        </w:tc>
        <w:tc>
          <w:tcPr>
            <w:tcW w:w="1319" w:type="dxa"/>
            <w:noWrap w:val="0"/>
            <w:vAlign w:val="center"/>
          </w:tcPr>
          <w:p w14:paraId="4EB509F9">
            <w:pPr>
              <w:keepNext w:val="0"/>
              <w:keepLines w:val="0"/>
              <w:widowControl/>
              <w:suppressLineNumbers w:val="0"/>
              <w:jc w:val="center"/>
              <w:textAlignment w:val="center"/>
              <w:rPr>
                <w:rFonts w:hint="eastAsia" w:ascii="Arial"/>
                <w:color w:val="000000" w:themeColor="text1"/>
                <w:spacing w:val="0"/>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45D68564">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仿宋_GB2312" w:hAnsi="宋体" w:eastAsia="仿宋_GB2312" w:cs="仿宋_GB2312"/>
                <w:i w:val="0"/>
                <w:iCs w:val="0"/>
                <w:color w:val="000000"/>
                <w:kern w:val="0"/>
                <w:sz w:val="20"/>
                <w:szCs w:val="20"/>
                <w:u w:val="none"/>
                <w:lang w:val="en-US" w:eastAsia="zh-CN" w:bidi="ar"/>
              </w:rPr>
              <w:t>100%</w:t>
            </w:r>
          </w:p>
        </w:tc>
        <w:tc>
          <w:tcPr>
            <w:tcW w:w="719" w:type="dxa"/>
            <w:noWrap w:val="0"/>
            <w:vAlign w:val="center"/>
          </w:tcPr>
          <w:p w14:paraId="78611B86">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1C34C0B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20175B09">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649A6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25FD07AE">
            <w:pPr>
              <w:rPr>
                <w:rFonts w:ascii="Arial"/>
                <w:color w:val="000000" w:themeColor="text1"/>
                <w:sz w:val="21"/>
                <w14:textFill>
                  <w14:solidFill>
                    <w14:schemeClr w14:val="tx1"/>
                  </w14:solidFill>
                </w14:textFill>
              </w:rPr>
            </w:pPr>
          </w:p>
        </w:tc>
        <w:tc>
          <w:tcPr>
            <w:tcW w:w="1079" w:type="dxa"/>
            <w:vMerge w:val="continue"/>
            <w:noWrap w:val="0"/>
            <w:vAlign w:val="center"/>
          </w:tcPr>
          <w:p w14:paraId="6F99C03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continue"/>
            <w:noWrap w:val="0"/>
            <w:vAlign w:val="center"/>
          </w:tcPr>
          <w:p w14:paraId="31834EC0">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14:paraId="64D82A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非洲猪瘟自检工作完成率</w:t>
            </w:r>
          </w:p>
        </w:tc>
        <w:tc>
          <w:tcPr>
            <w:tcW w:w="1319" w:type="dxa"/>
            <w:noWrap w:val="0"/>
            <w:vAlign w:val="center"/>
          </w:tcPr>
          <w:p w14:paraId="059C3EC8">
            <w:pPr>
              <w:keepNext w:val="0"/>
              <w:keepLines w:val="0"/>
              <w:widowControl/>
              <w:suppressLineNumbers w:val="0"/>
              <w:jc w:val="center"/>
              <w:textAlignment w:val="center"/>
              <w:rPr>
                <w:rFonts w:hint="eastAsia" w:ascii="Arial"/>
                <w:color w:val="000000" w:themeColor="text1"/>
                <w:spacing w:val="0"/>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61F20D1C">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仿宋_GB2312" w:hAnsi="宋体" w:eastAsia="仿宋_GB2312" w:cs="仿宋_GB2312"/>
                <w:i w:val="0"/>
                <w:iCs w:val="0"/>
                <w:color w:val="000000"/>
                <w:kern w:val="0"/>
                <w:sz w:val="20"/>
                <w:szCs w:val="20"/>
                <w:u w:val="none"/>
                <w:lang w:val="en-US" w:eastAsia="zh-CN" w:bidi="ar"/>
              </w:rPr>
              <w:t>100%</w:t>
            </w:r>
          </w:p>
        </w:tc>
        <w:tc>
          <w:tcPr>
            <w:tcW w:w="719" w:type="dxa"/>
            <w:noWrap w:val="0"/>
            <w:vAlign w:val="center"/>
          </w:tcPr>
          <w:p w14:paraId="33FB638D">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32CD349D">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39D3157B">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1AE61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58C9A4AF">
            <w:pPr>
              <w:rPr>
                <w:rFonts w:ascii="Arial"/>
                <w:color w:val="000000" w:themeColor="text1"/>
                <w:sz w:val="21"/>
                <w14:textFill>
                  <w14:solidFill>
                    <w14:schemeClr w14:val="tx1"/>
                  </w14:solidFill>
                </w14:textFill>
              </w:rPr>
            </w:pPr>
          </w:p>
        </w:tc>
        <w:tc>
          <w:tcPr>
            <w:tcW w:w="1079" w:type="dxa"/>
            <w:vMerge w:val="continue"/>
            <w:noWrap w:val="0"/>
            <w:vAlign w:val="center"/>
          </w:tcPr>
          <w:p w14:paraId="01F6270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p>
        </w:tc>
        <w:tc>
          <w:tcPr>
            <w:tcW w:w="1029" w:type="dxa"/>
            <w:vMerge w:val="continue"/>
            <w:tcBorders>
              <w:bottom w:val="nil"/>
            </w:tcBorders>
            <w:noWrap w:val="0"/>
            <w:vAlign w:val="center"/>
          </w:tcPr>
          <w:p w14:paraId="30694FC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p>
        </w:tc>
        <w:tc>
          <w:tcPr>
            <w:tcW w:w="1269" w:type="dxa"/>
            <w:noWrap w:val="0"/>
            <w:vAlign w:val="center"/>
          </w:tcPr>
          <w:p w14:paraId="00E6D1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瘦肉精抽样检测任务完成率</w:t>
            </w:r>
          </w:p>
        </w:tc>
        <w:tc>
          <w:tcPr>
            <w:tcW w:w="1319" w:type="dxa"/>
            <w:noWrap w:val="0"/>
            <w:vAlign w:val="center"/>
          </w:tcPr>
          <w:p w14:paraId="7871EF32">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06C40560">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719" w:type="dxa"/>
            <w:noWrap w:val="0"/>
            <w:vAlign w:val="center"/>
          </w:tcPr>
          <w:p w14:paraId="73C2A813">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5BD0063F">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789C1FE4">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62A13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24D210FD">
            <w:pPr>
              <w:rPr>
                <w:rFonts w:ascii="Arial"/>
                <w:color w:val="000000" w:themeColor="text1"/>
                <w:sz w:val="21"/>
                <w14:textFill>
                  <w14:solidFill>
                    <w14:schemeClr w14:val="tx1"/>
                  </w14:solidFill>
                </w14:textFill>
              </w:rPr>
            </w:pPr>
          </w:p>
        </w:tc>
        <w:tc>
          <w:tcPr>
            <w:tcW w:w="1079" w:type="dxa"/>
            <w:vMerge w:val="continue"/>
            <w:noWrap w:val="0"/>
            <w:vAlign w:val="center"/>
          </w:tcPr>
          <w:p w14:paraId="78F32AD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14:paraId="6971878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14:paraId="10549B0E">
            <w:pPr>
              <w:keepNext w:val="0"/>
              <w:keepLines w:val="0"/>
              <w:widowControl/>
              <w:suppressLineNumbers w:val="0"/>
              <w:jc w:val="center"/>
              <w:textAlignment w:val="center"/>
              <w:rPr>
                <w:rFonts w:ascii="Arial"/>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非洲猪瘟免疫抗体合格率</w:t>
            </w:r>
          </w:p>
        </w:tc>
        <w:tc>
          <w:tcPr>
            <w:tcW w:w="1319" w:type="dxa"/>
            <w:noWrap w:val="0"/>
            <w:vAlign w:val="center"/>
          </w:tcPr>
          <w:p w14:paraId="4C7FA28A">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5123B36A">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仿宋_GB2312" w:hAnsi="宋体" w:eastAsia="仿宋_GB2312" w:cs="仿宋_GB2312"/>
                <w:i w:val="0"/>
                <w:iCs w:val="0"/>
                <w:color w:val="000000"/>
                <w:kern w:val="0"/>
                <w:sz w:val="20"/>
                <w:szCs w:val="20"/>
                <w:u w:val="none"/>
                <w:lang w:val="en-US" w:eastAsia="zh-CN" w:bidi="ar"/>
              </w:rPr>
              <w:t>100%</w:t>
            </w:r>
          </w:p>
        </w:tc>
        <w:tc>
          <w:tcPr>
            <w:tcW w:w="719" w:type="dxa"/>
            <w:noWrap w:val="0"/>
            <w:vAlign w:val="center"/>
          </w:tcPr>
          <w:p w14:paraId="197DFD7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2CA7241D">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79755D0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44617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14:paraId="5D8D3932">
            <w:pPr>
              <w:rPr>
                <w:rFonts w:ascii="Arial"/>
                <w:color w:val="000000" w:themeColor="text1"/>
                <w:sz w:val="21"/>
                <w14:textFill>
                  <w14:solidFill>
                    <w14:schemeClr w14:val="tx1"/>
                  </w14:solidFill>
                </w14:textFill>
              </w:rPr>
            </w:pPr>
          </w:p>
        </w:tc>
        <w:tc>
          <w:tcPr>
            <w:tcW w:w="1079" w:type="dxa"/>
            <w:vMerge w:val="continue"/>
            <w:noWrap w:val="0"/>
            <w:vAlign w:val="center"/>
          </w:tcPr>
          <w:p w14:paraId="609AD7C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7D7F814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4EC15C2D">
            <w:pPr>
              <w:keepNext w:val="0"/>
              <w:keepLines w:val="0"/>
              <w:widowControl/>
              <w:suppressLineNumbers w:val="0"/>
              <w:jc w:val="center"/>
              <w:textAlignment w:val="center"/>
              <w:rPr>
                <w:rFonts w:hint="eastAsia" w:ascii="Arial" w:eastAsiaTheme="minorEastAsia"/>
                <w:color w:val="000000" w:themeColor="text1"/>
                <w:sz w:val="21"/>
                <w:szCs w:val="21"/>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应免畜禽免疫密度</w:t>
            </w:r>
          </w:p>
        </w:tc>
        <w:tc>
          <w:tcPr>
            <w:tcW w:w="1319" w:type="dxa"/>
            <w:noWrap w:val="0"/>
            <w:vAlign w:val="center"/>
          </w:tcPr>
          <w:p w14:paraId="1B9EDFF9">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77BF149C">
            <w:pPr>
              <w:keepNext w:val="0"/>
              <w:keepLines w:val="0"/>
              <w:widowControl/>
              <w:suppressLineNumbers w:val="0"/>
              <w:jc w:val="center"/>
              <w:textAlignment w:val="center"/>
              <w:rPr>
                <w:rFonts w:hint="default" w:ascii="Arial"/>
                <w:color w:val="000000" w:themeColor="text1"/>
                <w:sz w:val="21"/>
                <w:lang w:val="en-US"/>
                <w14:textFill>
                  <w14:solidFill>
                    <w14:schemeClr w14:val="tx1"/>
                  </w14:solidFill>
                </w14:textFill>
              </w:rPr>
            </w:pPr>
            <w:r>
              <w:rPr>
                <w:rFonts w:hint="default" w:ascii="仿宋_GB2312" w:hAnsi="宋体" w:eastAsia="仿宋_GB2312" w:cs="仿宋_GB2312"/>
                <w:i w:val="0"/>
                <w:iCs w:val="0"/>
                <w:color w:val="000000"/>
                <w:kern w:val="0"/>
                <w:sz w:val="20"/>
                <w:szCs w:val="20"/>
                <w:u w:val="none"/>
                <w:lang w:val="en-US" w:eastAsia="zh-CN" w:bidi="ar"/>
              </w:rPr>
              <w:t>100%</w:t>
            </w:r>
          </w:p>
        </w:tc>
        <w:tc>
          <w:tcPr>
            <w:tcW w:w="719" w:type="dxa"/>
            <w:noWrap w:val="0"/>
            <w:vAlign w:val="center"/>
          </w:tcPr>
          <w:p w14:paraId="690A0752">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062FCB8B">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428150F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5ED49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14:paraId="433DE951">
            <w:pPr>
              <w:rPr>
                <w:rFonts w:ascii="Arial"/>
                <w:color w:val="000000" w:themeColor="text1"/>
                <w:sz w:val="21"/>
                <w14:textFill>
                  <w14:solidFill>
                    <w14:schemeClr w14:val="tx1"/>
                  </w14:solidFill>
                </w14:textFill>
              </w:rPr>
            </w:pPr>
          </w:p>
        </w:tc>
        <w:tc>
          <w:tcPr>
            <w:tcW w:w="1079" w:type="dxa"/>
            <w:vMerge w:val="continue"/>
            <w:noWrap w:val="0"/>
            <w:vAlign w:val="center"/>
          </w:tcPr>
          <w:p w14:paraId="2E53684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7B37A34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422E4B57">
            <w:pPr>
              <w:keepNext w:val="0"/>
              <w:keepLines w:val="0"/>
              <w:widowControl/>
              <w:suppressLineNumbers w:val="0"/>
              <w:jc w:val="center"/>
              <w:textAlignment w:val="center"/>
              <w:rPr>
                <w:rFonts w:hint="eastAsia" w:ascii="Arial" w:eastAsiaTheme="minorEastAsia"/>
                <w:color w:val="000000" w:themeColor="text1"/>
                <w:sz w:val="21"/>
                <w:szCs w:val="21"/>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畜禽及畜禽产品检验检疫覆盖率</w:t>
            </w:r>
          </w:p>
        </w:tc>
        <w:tc>
          <w:tcPr>
            <w:tcW w:w="1319" w:type="dxa"/>
            <w:noWrap w:val="0"/>
            <w:vAlign w:val="center"/>
          </w:tcPr>
          <w:p w14:paraId="147EF5EF">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7166E154">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719" w:type="dxa"/>
            <w:noWrap w:val="0"/>
            <w:vAlign w:val="center"/>
          </w:tcPr>
          <w:p w14:paraId="48CEB658">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02" w:type="dxa"/>
            <w:noWrap w:val="0"/>
            <w:vAlign w:val="center"/>
          </w:tcPr>
          <w:p w14:paraId="406E8360">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275" w:type="dxa"/>
            <w:noWrap w:val="0"/>
            <w:vAlign w:val="center"/>
          </w:tcPr>
          <w:p w14:paraId="4B9A201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569A7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14:paraId="6D450FDC">
            <w:pPr>
              <w:rPr>
                <w:rFonts w:ascii="Arial"/>
                <w:color w:val="000000" w:themeColor="text1"/>
                <w:sz w:val="21"/>
                <w14:textFill>
                  <w14:solidFill>
                    <w14:schemeClr w14:val="tx1"/>
                  </w14:solidFill>
                </w14:textFill>
              </w:rPr>
            </w:pPr>
          </w:p>
        </w:tc>
        <w:tc>
          <w:tcPr>
            <w:tcW w:w="1079" w:type="dxa"/>
            <w:vMerge w:val="continue"/>
            <w:noWrap w:val="0"/>
            <w:vAlign w:val="center"/>
          </w:tcPr>
          <w:p w14:paraId="5918C80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5E45284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6040F84C">
            <w:pPr>
              <w:keepNext w:val="0"/>
              <w:keepLines w:val="0"/>
              <w:widowControl/>
              <w:suppressLineNumbers w:val="0"/>
              <w:jc w:val="center"/>
              <w:textAlignment w:val="center"/>
              <w:rPr>
                <w:rFonts w:hint="eastAsia" w:ascii="Arial" w:eastAsiaTheme="minorEastAsia"/>
                <w:color w:val="000000" w:themeColor="text1"/>
                <w:sz w:val="21"/>
                <w:szCs w:val="21"/>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抽检蔬菜样品合格率</w:t>
            </w:r>
          </w:p>
        </w:tc>
        <w:tc>
          <w:tcPr>
            <w:tcW w:w="1319" w:type="dxa"/>
            <w:noWrap w:val="0"/>
            <w:vAlign w:val="center"/>
          </w:tcPr>
          <w:p w14:paraId="1101C82B">
            <w:pPr>
              <w:keepNext w:val="0"/>
              <w:keepLines w:val="0"/>
              <w:widowControl/>
              <w:suppressLineNumbers w:val="0"/>
              <w:jc w:val="center"/>
              <w:textAlignment w:val="center"/>
              <w:rPr>
                <w:rFonts w:hint="eastAsia" w:ascii="Arial" w:eastAsiaTheme="minorEastAsia"/>
                <w:color w:val="000000" w:themeColor="text1"/>
                <w:sz w:val="21"/>
                <w:lang w:eastAsia="zh-CN"/>
                <w14:textFill>
                  <w14:solidFill>
                    <w14:schemeClr w14:val="tx1"/>
                  </w14:solidFill>
                </w14:textFill>
              </w:rPr>
            </w:pPr>
            <w:r>
              <w:rPr>
                <w:rStyle w:val="12"/>
                <w:rFonts w:eastAsia="宋体"/>
                <w:lang w:val="en-US" w:eastAsia="zh-CN" w:bidi="ar"/>
              </w:rPr>
              <w:t>≥96%</w:t>
            </w:r>
            <w:r>
              <w:rPr>
                <w:rStyle w:val="13"/>
                <w:lang w:val="en-US" w:eastAsia="zh-CN" w:bidi="ar"/>
              </w:rPr>
              <w:t>（全省目标控制线）</w:t>
            </w:r>
          </w:p>
        </w:tc>
        <w:tc>
          <w:tcPr>
            <w:tcW w:w="1259" w:type="dxa"/>
            <w:noWrap w:val="0"/>
            <w:vAlign w:val="center"/>
          </w:tcPr>
          <w:p w14:paraId="6205E5EC">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99%</w:t>
            </w:r>
          </w:p>
        </w:tc>
        <w:tc>
          <w:tcPr>
            <w:tcW w:w="719" w:type="dxa"/>
            <w:noWrap w:val="0"/>
            <w:vAlign w:val="center"/>
          </w:tcPr>
          <w:p w14:paraId="5E10B304">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02" w:type="dxa"/>
            <w:noWrap w:val="0"/>
            <w:vAlign w:val="center"/>
          </w:tcPr>
          <w:p w14:paraId="58926F25">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275" w:type="dxa"/>
            <w:noWrap w:val="0"/>
            <w:vAlign w:val="center"/>
          </w:tcPr>
          <w:p w14:paraId="348F789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3CC96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32F79EC4">
            <w:pPr>
              <w:rPr>
                <w:rFonts w:ascii="Arial"/>
                <w:color w:val="000000" w:themeColor="text1"/>
                <w:sz w:val="21"/>
                <w14:textFill>
                  <w14:solidFill>
                    <w14:schemeClr w14:val="tx1"/>
                  </w14:solidFill>
                </w14:textFill>
              </w:rPr>
            </w:pPr>
          </w:p>
        </w:tc>
        <w:tc>
          <w:tcPr>
            <w:tcW w:w="1079" w:type="dxa"/>
            <w:vMerge w:val="continue"/>
            <w:noWrap w:val="0"/>
            <w:vAlign w:val="center"/>
          </w:tcPr>
          <w:p w14:paraId="589378D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noWrap w:val="0"/>
            <w:vAlign w:val="center"/>
          </w:tcPr>
          <w:p w14:paraId="7B0DC32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14:paraId="5DDF46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农残定量抽检时间</w:t>
            </w:r>
          </w:p>
        </w:tc>
        <w:tc>
          <w:tcPr>
            <w:tcW w:w="1319" w:type="dxa"/>
            <w:noWrap w:val="0"/>
            <w:vAlign w:val="center"/>
          </w:tcPr>
          <w:p w14:paraId="3C434023">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w:t>
            </w:r>
            <w:r>
              <w:rPr>
                <w:rStyle w:val="14"/>
                <w:lang w:val="en-US" w:eastAsia="zh-CN" w:bidi="ar"/>
              </w:rPr>
              <w:t>次</w:t>
            </w:r>
            <w:r>
              <w:rPr>
                <w:rFonts w:hint="default" w:ascii="Arial" w:hAnsi="Arial" w:eastAsia="宋体" w:cs="Arial"/>
                <w:i w:val="0"/>
                <w:iCs w:val="0"/>
                <w:color w:val="000000"/>
                <w:kern w:val="0"/>
                <w:sz w:val="20"/>
                <w:szCs w:val="20"/>
                <w:u w:val="none"/>
                <w:lang w:val="en-US" w:eastAsia="zh-CN" w:bidi="ar"/>
              </w:rPr>
              <w:t>/</w:t>
            </w:r>
            <w:r>
              <w:rPr>
                <w:rStyle w:val="14"/>
                <w:lang w:val="en-US" w:eastAsia="zh-CN" w:bidi="ar"/>
              </w:rPr>
              <w:t>季度</w:t>
            </w:r>
          </w:p>
        </w:tc>
        <w:tc>
          <w:tcPr>
            <w:tcW w:w="1259" w:type="dxa"/>
            <w:noWrap w:val="0"/>
            <w:vAlign w:val="center"/>
          </w:tcPr>
          <w:p w14:paraId="043C8065">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w:t>
            </w:r>
            <w:r>
              <w:rPr>
                <w:rStyle w:val="14"/>
                <w:lang w:val="en-US" w:eastAsia="zh-CN" w:bidi="ar"/>
              </w:rPr>
              <w:t>次</w:t>
            </w:r>
            <w:r>
              <w:rPr>
                <w:rFonts w:hint="default" w:ascii="Arial" w:hAnsi="Arial" w:eastAsia="宋体" w:cs="Arial"/>
                <w:i w:val="0"/>
                <w:iCs w:val="0"/>
                <w:color w:val="000000"/>
                <w:kern w:val="0"/>
                <w:sz w:val="20"/>
                <w:szCs w:val="20"/>
                <w:u w:val="none"/>
                <w:lang w:val="en-US" w:eastAsia="zh-CN" w:bidi="ar"/>
              </w:rPr>
              <w:t>/</w:t>
            </w:r>
            <w:r>
              <w:rPr>
                <w:rStyle w:val="14"/>
                <w:lang w:val="en-US" w:eastAsia="zh-CN" w:bidi="ar"/>
              </w:rPr>
              <w:t>季度</w:t>
            </w:r>
          </w:p>
        </w:tc>
        <w:tc>
          <w:tcPr>
            <w:tcW w:w="719" w:type="dxa"/>
            <w:noWrap w:val="0"/>
            <w:vAlign w:val="center"/>
          </w:tcPr>
          <w:p w14:paraId="2D9AA9B3">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5F18F5C2">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530D164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1825D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495FE58A">
            <w:pPr>
              <w:rPr>
                <w:rFonts w:ascii="Arial"/>
                <w:color w:val="000000" w:themeColor="text1"/>
                <w:sz w:val="21"/>
                <w14:textFill>
                  <w14:solidFill>
                    <w14:schemeClr w14:val="tx1"/>
                  </w14:solidFill>
                </w14:textFill>
              </w:rPr>
            </w:pPr>
          </w:p>
        </w:tc>
        <w:tc>
          <w:tcPr>
            <w:tcW w:w="1079" w:type="dxa"/>
            <w:vMerge w:val="continue"/>
            <w:noWrap w:val="0"/>
            <w:vAlign w:val="center"/>
          </w:tcPr>
          <w:p w14:paraId="56EEE71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14:paraId="2FAC719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p>
        </w:tc>
        <w:tc>
          <w:tcPr>
            <w:tcW w:w="1269" w:type="dxa"/>
            <w:noWrap w:val="0"/>
            <w:vAlign w:val="center"/>
          </w:tcPr>
          <w:p w14:paraId="318933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畜禽及畜禽产品检验检疫及时率</w:t>
            </w:r>
          </w:p>
        </w:tc>
        <w:tc>
          <w:tcPr>
            <w:tcW w:w="1319" w:type="dxa"/>
            <w:noWrap w:val="0"/>
            <w:vAlign w:val="center"/>
          </w:tcPr>
          <w:p w14:paraId="7C67AD56">
            <w:pPr>
              <w:keepNext w:val="0"/>
              <w:keepLines w:val="0"/>
              <w:widowControl/>
              <w:suppressLineNumbers w:val="0"/>
              <w:jc w:val="center"/>
              <w:textAlignment w:val="center"/>
              <w:rPr>
                <w:rFonts w:hint="eastAsia" w:ascii="Arial" w:eastAsiaTheme="minorEastAsia"/>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1259" w:type="dxa"/>
            <w:noWrap w:val="0"/>
            <w:vAlign w:val="center"/>
          </w:tcPr>
          <w:p w14:paraId="548B0560">
            <w:pPr>
              <w:keepNext w:val="0"/>
              <w:keepLines w:val="0"/>
              <w:widowControl/>
              <w:suppressLineNumbers w:val="0"/>
              <w:jc w:val="center"/>
              <w:textAlignment w:val="center"/>
              <w:rPr>
                <w:rFonts w:hint="eastAsia" w:ascii="Arial" w:eastAsiaTheme="minorEastAsia"/>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719" w:type="dxa"/>
            <w:noWrap w:val="0"/>
            <w:vAlign w:val="center"/>
          </w:tcPr>
          <w:p w14:paraId="06D78F3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5B0CAB89">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23E11FA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66E5D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tcBorders>
              <w:top w:val="nil"/>
              <w:bottom w:val="nil"/>
            </w:tcBorders>
            <w:noWrap w:val="0"/>
            <w:textDirection w:val="tbRlV"/>
            <w:vAlign w:val="top"/>
          </w:tcPr>
          <w:p w14:paraId="0830C835">
            <w:pPr>
              <w:rPr>
                <w:rFonts w:ascii="Arial"/>
                <w:color w:val="000000" w:themeColor="text1"/>
                <w:sz w:val="21"/>
                <w14:textFill>
                  <w14:solidFill>
                    <w14:schemeClr w14:val="tx1"/>
                  </w14:solidFill>
                </w14:textFill>
              </w:rPr>
            </w:pPr>
          </w:p>
        </w:tc>
        <w:tc>
          <w:tcPr>
            <w:tcW w:w="1079" w:type="dxa"/>
            <w:vMerge w:val="continue"/>
            <w:noWrap w:val="0"/>
            <w:vAlign w:val="center"/>
          </w:tcPr>
          <w:p w14:paraId="78DCE38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bottom w:val="nil"/>
            </w:tcBorders>
            <w:noWrap w:val="0"/>
            <w:vAlign w:val="center"/>
          </w:tcPr>
          <w:p w14:paraId="218F67C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14:paraId="18B864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血样送检时间</w:t>
            </w:r>
          </w:p>
        </w:tc>
        <w:tc>
          <w:tcPr>
            <w:tcW w:w="1319" w:type="dxa"/>
            <w:noWrap w:val="0"/>
            <w:vAlign w:val="center"/>
          </w:tcPr>
          <w:p w14:paraId="6C7933DA">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每半月一次</w:t>
            </w:r>
          </w:p>
        </w:tc>
        <w:tc>
          <w:tcPr>
            <w:tcW w:w="1259" w:type="dxa"/>
            <w:noWrap w:val="0"/>
            <w:vAlign w:val="center"/>
          </w:tcPr>
          <w:p w14:paraId="36462C4C">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每半月一次</w:t>
            </w:r>
          </w:p>
        </w:tc>
        <w:tc>
          <w:tcPr>
            <w:tcW w:w="719" w:type="dxa"/>
            <w:noWrap w:val="0"/>
            <w:vAlign w:val="center"/>
          </w:tcPr>
          <w:p w14:paraId="3ACF1B99">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44CD2F54">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1275" w:type="dxa"/>
            <w:noWrap w:val="0"/>
            <w:vAlign w:val="center"/>
          </w:tcPr>
          <w:p w14:paraId="01CCB9F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4C480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vMerge w:val="restart"/>
            <w:tcBorders>
              <w:top w:val="nil"/>
              <w:bottom w:val="nil"/>
            </w:tcBorders>
            <w:noWrap w:val="0"/>
            <w:textDirection w:val="tbRlV"/>
            <w:vAlign w:val="top"/>
          </w:tcPr>
          <w:p w14:paraId="57B8AA19">
            <w:pPr>
              <w:rPr>
                <w:rFonts w:ascii="Arial"/>
                <w:color w:val="000000" w:themeColor="text1"/>
                <w:sz w:val="21"/>
                <w14:textFill>
                  <w14:solidFill>
                    <w14:schemeClr w14:val="tx1"/>
                  </w14:solidFill>
                </w14:textFill>
              </w:rPr>
            </w:pPr>
          </w:p>
        </w:tc>
        <w:tc>
          <w:tcPr>
            <w:tcW w:w="1079" w:type="dxa"/>
            <w:vMerge w:val="continue"/>
            <w:noWrap w:val="0"/>
            <w:vAlign w:val="center"/>
          </w:tcPr>
          <w:p w14:paraId="7A98446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2407AEB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14:paraId="1959AE9B">
            <w:pPr>
              <w:keepNext w:val="0"/>
              <w:keepLines w:val="0"/>
              <w:widowControl/>
              <w:suppressLineNumbers w:val="0"/>
              <w:jc w:val="center"/>
              <w:textAlignment w:val="center"/>
              <w:rPr>
                <w:rFonts w:hint="eastAsia" w:ascii="Arial" w:eastAsiaTheme="minorEastAsia"/>
                <w:color w:val="000000" w:themeColor="text1"/>
                <w:sz w:val="20"/>
                <w:lang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总成本控制</w:t>
            </w:r>
          </w:p>
        </w:tc>
        <w:tc>
          <w:tcPr>
            <w:tcW w:w="1319" w:type="dxa"/>
            <w:noWrap w:val="0"/>
            <w:vAlign w:val="center"/>
          </w:tcPr>
          <w:p w14:paraId="44DE4882">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440.82</w:t>
            </w:r>
          </w:p>
        </w:tc>
        <w:tc>
          <w:tcPr>
            <w:tcW w:w="1259" w:type="dxa"/>
            <w:noWrap w:val="0"/>
            <w:vAlign w:val="center"/>
          </w:tcPr>
          <w:p w14:paraId="088E9DDB">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530.2</w:t>
            </w:r>
          </w:p>
        </w:tc>
        <w:tc>
          <w:tcPr>
            <w:tcW w:w="719" w:type="dxa"/>
            <w:noWrap w:val="0"/>
            <w:vAlign w:val="center"/>
          </w:tcPr>
          <w:p w14:paraId="6D5E2EA7">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p>
        </w:tc>
        <w:tc>
          <w:tcPr>
            <w:tcW w:w="802" w:type="dxa"/>
            <w:noWrap w:val="0"/>
            <w:vAlign w:val="center"/>
          </w:tcPr>
          <w:p w14:paraId="1B42BDD6">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3</w:t>
            </w:r>
          </w:p>
        </w:tc>
        <w:tc>
          <w:tcPr>
            <w:tcW w:w="1275" w:type="dxa"/>
            <w:noWrap w:val="0"/>
            <w:vAlign w:val="center"/>
          </w:tcPr>
          <w:p w14:paraId="12A72A5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6474E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4D770385">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12AE4C47">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14:paraId="722C0733">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090958A7">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4B443460">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064B1593">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14:paraId="7C7E614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029" w:type="dxa"/>
            <w:vMerge w:val="restart"/>
            <w:tcBorders>
              <w:bottom w:val="nil"/>
            </w:tcBorders>
            <w:noWrap w:val="0"/>
            <w:vAlign w:val="center"/>
          </w:tcPr>
          <w:p w14:paraId="4B8CEE98">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社会</w:t>
            </w:r>
            <w:r>
              <w:rPr>
                <w:rFonts w:ascii="宋体" w:hAnsi="宋体" w:eastAsia="宋体" w:cs="宋体"/>
                <w:color w:val="000000" w:themeColor="text1"/>
                <w:spacing w:val="-3"/>
                <w:sz w:val="21"/>
                <w:szCs w:val="21"/>
                <w14:textFill>
                  <w14:solidFill>
                    <w14:schemeClr w14:val="tx1"/>
                  </w14:solidFill>
                </w14:textFill>
              </w:rPr>
              <w:t>效</w:t>
            </w:r>
          </w:p>
          <w:p w14:paraId="48B8FC9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14:paraId="655AB248">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瘦肉精检出率</w:t>
            </w:r>
          </w:p>
        </w:tc>
        <w:tc>
          <w:tcPr>
            <w:tcW w:w="1319" w:type="dxa"/>
            <w:noWrap w:val="0"/>
            <w:vAlign w:val="center"/>
          </w:tcPr>
          <w:p w14:paraId="74DC99F1">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0%</w:t>
            </w:r>
          </w:p>
        </w:tc>
        <w:tc>
          <w:tcPr>
            <w:tcW w:w="1259" w:type="dxa"/>
            <w:noWrap w:val="0"/>
            <w:vAlign w:val="center"/>
          </w:tcPr>
          <w:p w14:paraId="0428C5A9">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0%</w:t>
            </w:r>
          </w:p>
        </w:tc>
        <w:tc>
          <w:tcPr>
            <w:tcW w:w="719" w:type="dxa"/>
            <w:noWrap w:val="0"/>
            <w:vAlign w:val="center"/>
          </w:tcPr>
          <w:p w14:paraId="53DDA722">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02" w:type="dxa"/>
            <w:noWrap w:val="0"/>
            <w:vAlign w:val="center"/>
          </w:tcPr>
          <w:p w14:paraId="44B72C65">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275" w:type="dxa"/>
            <w:noWrap w:val="0"/>
            <w:vAlign w:val="center"/>
          </w:tcPr>
          <w:p w14:paraId="0E0B5DE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2B255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7D7C969F">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1FAD502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6933575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48A68454">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农残半定量检出率</w:t>
            </w:r>
          </w:p>
        </w:tc>
        <w:tc>
          <w:tcPr>
            <w:tcW w:w="1319" w:type="dxa"/>
            <w:noWrap w:val="0"/>
            <w:vAlign w:val="center"/>
          </w:tcPr>
          <w:p w14:paraId="461152C9">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（全省目标控制线）</w:t>
            </w:r>
          </w:p>
        </w:tc>
        <w:tc>
          <w:tcPr>
            <w:tcW w:w="1259" w:type="dxa"/>
            <w:noWrap w:val="0"/>
            <w:vAlign w:val="center"/>
          </w:tcPr>
          <w:p w14:paraId="29483A9F">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w:t>
            </w:r>
          </w:p>
        </w:tc>
        <w:tc>
          <w:tcPr>
            <w:tcW w:w="719" w:type="dxa"/>
            <w:noWrap w:val="0"/>
            <w:vAlign w:val="center"/>
          </w:tcPr>
          <w:p w14:paraId="3F64FD7B">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802" w:type="dxa"/>
            <w:noWrap w:val="0"/>
            <w:vAlign w:val="center"/>
          </w:tcPr>
          <w:p w14:paraId="6F0BDC05">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5</w:t>
            </w:r>
          </w:p>
        </w:tc>
        <w:tc>
          <w:tcPr>
            <w:tcW w:w="1275" w:type="dxa"/>
            <w:noWrap w:val="0"/>
            <w:vAlign w:val="center"/>
          </w:tcPr>
          <w:p w14:paraId="387DD12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43E78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457B2ADE">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25E9F3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47302037">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14:paraId="536829B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14:paraId="69E20ACD">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仿宋_GB2312" w:hAnsi="宋体" w:eastAsia="仿宋_GB2312" w:cs="仿宋_GB2312"/>
                <w:i w:val="0"/>
                <w:iCs w:val="0"/>
                <w:color w:val="000000"/>
                <w:kern w:val="0"/>
                <w:sz w:val="20"/>
                <w:szCs w:val="20"/>
                <w:u w:val="none"/>
                <w:lang w:val="en-US" w:eastAsia="zh-CN" w:bidi="ar"/>
              </w:rPr>
              <w:t>屠宰环节无害化处理率</w:t>
            </w:r>
          </w:p>
        </w:tc>
        <w:tc>
          <w:tcPr>
            <w:tcW w:w="1319" w:type="dxa"/>
            <w:noWrap w:val="0"/>
            <w:vAlign w:val="center"/>
          </w:tcPr>
          <w:p w14:paraId="04654595">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w:t>
            </w:r>
          </w:p>
        </w:tc>
        <w:tc>
          <w:tcPr>
            <w:tcW w:w="1259" w:type="dxa"/>
            <w:noWrap w:val="0"/>
            <w:vAlign w:val="center"/>
          </w:tcPr>
          <w:p w14:paraId="202E8B17">
            <w:pPr>
              <w:keepNext w:val="0"/>
              <w:keepLines w:val="0"/>
              <w:widowControl/>
              <w:suppressLineNumbers w:val="0"/>
              <w:jc w:val="center"/>
              <w:textAlignment w:val="center"/>
              <w:rPr>
                <w:rFonts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100%</w:t>
            </w:r>
          </w:p>
        </w:tc>
        <w:tc>
          <w:tcPr>
            <w:tcW w:w="719" w:type="dxa"/>
            <w:noWrap w:val="0"/>
            <w:vAlign w:val="center"/>
          </w:tcPr>
          <w:p w14:paraId="5B17FD0A">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802" w:type="dxa"/>
            <w:noWrap w:val="0"/>
            <w:vAlign w:val="center"/>
          </w:tcPr>
          <w:p w14:paraId="00C20B1D">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1275" w:type="dxa"/>
            <w:noWrap w:val="0"/>
            <w:vAlign w:val="center"/>
          </w:tcPr>
          <w:p w14:paraId="121D619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14458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14:paraId="34CB2BFA">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6D9AACC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629A4842">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14:paraId="2348AAA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14:paraId="05D655B2">
            <w:pPr>
              <w:keepNext w:val="0"/>
              <w:keepLines w:val="0"/>
              <w:widowControl/>
              <w:suppressLineNumbers w:val="0"/>
              <w:jc w:val="left"/>
              <w:textAlignment w:val="center"/>
              <w:rPr>
                <w:rFonts w:hint="eastAsia" w:ascii="Arial" w:hAnsiTheme="minorHAnsi" w:eastAsiaTheme="minorEastAsia" w:cstheme="minorBidi"/>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形成例行监测的长效机制</w:t>
            </w:r>
          </w:p>
        </w:tc>
        <w:tc>
          <w:tcPr>
            <w:tcW w:w="1319" w:type="dxa"/>
            <w:noWrap w:val="0"/>
            <w:vAlign w:val="center"/>
          </w:tcPr>
          <w:p w14:paraId="1CC9FD2A">
            <w:pPr>
              <w:keepNext w:val="0"/>
              <w:keepLines w:val="0"/>
              <w:widowControl/>
              <w:suppressLineNumbers w:val="0"/>
              <w:jc w:val="center"/>
              <w:textAlignment w:val="center"/>
              <w:rPr>
                <w:rFonts w:ascii="Arial" w:hAnsiTheme="minorHAnsi" w:eastAsiaTheme="minorEastAsia" w:cstheme="minorBidi"/>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《蔬菜例行监测工作方案》、《动物疫病监测流调实施方案》《关于进一步强化动物检疫监督工作的通知》</w:t>
            </w:r>
          </w:p>
        </w:tc>
        <w:tc>
          <w:tcPr>
            <w:tcW w:w="1259" w:type="dxa"/>
            <w:noWrap w:val="0"/>
            <w:vAlign w:val="center"/>
          </w:tcPr>
          <w:p w14:paraId="16178491">
            <w:pPr>
              <w:keepNext w:val="0"/>
              <w:keepLines w:val="0"/>
              <w:widowControl/>
              <w:suppressLineNumbers w:val="0"/>
              <w:jc w:val="center"/>
              <w:textAlignment w:val="center"/>
              <w:rPr>
                <w:rFonts w:ascii="Arial" w:hAnsiTheme="minorHAnsi" w:eastAsiaTheme="minorEastAsia" w:cstheme="minorBidi"/>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已出台</w:t>
            </w:r>
          </w:p>
        </w:tc>
        <w:tc>
          <w:tcPr>
            <w:tcW w:w="719" w:type="dxa"/>
            <w:noWrap w:val="0"/>
            <w:vAlign w:val="center"/>
          </w:tcPr>
          <w:p w14:paraId="1CACC05A">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802" w:type="dxa"/>
            <w:noWrap w:val="0"/>
            <w:vAlign w:val="center"/>
          </w:tcPr>
          <w:p w14:paraId="372F3878">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1275" w:type="dxa"/>
            <w:noWrap w:val="0"/>
            <w:vAlign w:val="center"/>
          </w:tcPr>
          <w:p w14:paraId="58C6FA7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521A8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24145935">
            <w:pPr>
              <w:rPr>
                <w:rFonts w:ascii="Arial"/>
                <w:color w:val="000000" w:themeColor="text1"/>
                <w:sz w:val="21"/>
                <w14:textFill>
                  <w14:solidFill>
                    <w14:schemeClr w14:val="tx1"/>
                  </w14:solidFill>
                </w14:textFill>
              </w:rPr>
            </w:pPr>
          </w:p>
        </w:tc>
        <w:tc>
          <w:tcPr>
            <w:tcW w:w="1079" w:type="dxa"/>
            <w:tcBorders>
              <w:bottom w:val="nil"/>
            </w:tcBorders>
            <w:noWrap w:val="0"/>
            <w:vAlign w:val="center"/>
          </w:tcPr>
          <w:p w14:paraId="029431B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14:paraId="24DCF9E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14:paraId="6745A4F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14:paraId="0D4CA770">
            <w:pPr>
              <w:keepNext w:val="0"/>
              <w:keepLines w:val="0"/>
              <w:widowControl/>
              <w:suppressLineNumbers w:val="0"/>
              <w:jc w:val="center"/>
              <w:textAlignment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服务对象满意度</w:t>
            </w:r>
          </w:p>
        </w:tc>
        <w:tc>
          <w:tcPr>
            <w:tcW w:w="1269" w:type="dxa"/>
            <w:noWrap w:val="0"/>
            <w:vAlign w:val="center"/>
          </w:tcPr>
          <w:p w14:paraId="30E36D27">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群众满意度</w:t>
            </w:r>
          </w:p>
        </w:tc>
        <w:tc>
          <w:tcPr>
            <w:tcW w:w="1319" w:type="dxa"/>
            <w:noWrap w:val="0"/>
            <w:vAlign w:val="center"/>
          </w:tcPr>
          <w:p w14:paraId="51A4F5EF">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w:t>
            </w:r>
          </w:p>
        </w:tc>
        <w:tc>
          <w:tcPr>
            <w:tcW w:w="1259" w:type="dxa"/>
            <w:noWrap w:val="0"/>
            <w:vAlign w:val="center"/>
          </w:tcPr>
          <w:p w14:paraId="3282DC72">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≥90%</w:t>
            </w:r>
          </w:p>
        </w:tc>
        <w:tc>
          <w:tcPr>
            <w:tcW w:w="719" w:type="dxa"/>
            <w:noWrap w:val="0"/>
            <w:vAlign w:val="center"/>
          </w:tcPr>
          <w:p w14:paraId="2101EC78">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802" w:type="dxa"/>
            <w:noWrap w:val="0"/>
            <w:vAlign w:val="center"/>
          </w:tcPr>
          <w:p w14:paraId="394168E3">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10</w:t>
            </w:r>
          </w:p>
        </w:tc>
        <w:tc>
          <w:tcPr>
            <w:tcW w:w="1275" w:type="dxa"/>
            <w:noWrap w:val="0"/>
            <w:vAlign w:val="center"/>
          </w:tcPr>
          <w:p w14:paraId="0DD5D66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484CE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67345905">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14:paraId="26B94963">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14:paraId="26D3E5A9">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99</w:t>
            </w:r>
          </w:p>
        </w:tc>
        <w:tc>
          <w:tcPr>
            <w:tcW w:w="1275" w:type="dxa"/>
            <w:noWrap w:val="0"/>
            <w:vAlign w:val="center"/>
          </w:tcPr>
          <w:p w14:paraId="20D3547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14:paraId="1DB2E88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14:paraId="7B967A5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26FEBFA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118866B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62EAA1D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岳阳楼区农产品综合检验检测中心</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14:paraId="5CB4999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B5E4D3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9F4913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D57E33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F6A364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79E035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F7A35B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8DCE4E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D30AEB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4BE3D8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AE4195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783C43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623721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0F9372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3A0D61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B67F8D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1E3CD2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5689A9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C9286F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8EFD55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0846A8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8675BE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88C84C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80E9C9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58EF9F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E1CFA7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2D8020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0A0474D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14:paraId="2AC029D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0BD6DC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C4810F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C0E828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E2BFB2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2022年度岳阳楼区农产品综合检验检测中心单位整体支出绩效自评报告</w:t>
      </w:r>
    </w:p>
    <w:p w14:paraId="7AD389D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D25F06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40F7BF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A396B0D">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一、单位基本情况</w:t>
      </w:r>
    </w:p>
    <w:p w14:paraId="3855909D">
      <w:pPr>
        <w:widowControl/>
        <w:spacing w:line="600" w:lineRule="exact"/>
        <w:ind w:firstLine="560" w:firstLineChars="200"/>
        <w:rPr>
          <w:rFonts w:hint="eastAsia" w:asciiTheme="minorEastAsia" w:hAnsiTheme="minorEastAsia" w:eastAsiaTheme="minorEastAsia" w:cstheme="minorEastAsia"/>
          <w:b w:val="0"/>
          <w:bCs w:val="0"/>
          <w:kern w:val="0"/>
          <w:sz w:val="28"/>
          <w:szCs w:val="28"/>
        </w:rPr>
      </w:pPr>
      <w:r>
        <w:rPr>
          <w:rFonts w:hint="eastAsia" w:asciiTheme="minorEastAsia" w:hAnsiTheme="minorEastAsia" w:eastAsiaTheme="minorEastAsia" w:cstheme="minorEastAsia"/>
          <w:b w:val="0"/>
          <w:bCs w:val="0"/>
          <w:kern w:val="0"/>
          <w:sz w:val="28"/>
          <w:szCs w:val="28"/>
        </w:rPr>
        <w:t>（一）职能职责</w:t>
      </w:r>
    </w:p>
    <w:p w14:paraId="27A9958A">
      <w:pPr>
        <w:pStyle w:val="9"/>
        <w:spacing w:before="0" w:beforeAutospacing="0" w:after="2" w:afterAutospacing="0"/>
        <w:ind w:left="0" w:firstLine="64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 xml:space="preserve">1、主要负责对动物疫病的监测、流行病学调查及动物、动物产品实施法定检疫。 </w:t>
      </w:r>
    </w:p>
    <w:p w14:paraId="1E70C2AE">
      <w:pPr>
        <w:pStyle w:val="9"/>
        <w:spacing w:before="0" w:beforeAutospacing="0" w:after="2" w:afterAutospacing="0"/>
        <w:ind w:left="0" w:firstLine="64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 xml:space="preserve">2、负责屠宰场和养殖场非洲猪瘟病毒实验室监测。 </w:t>
      </w:r>
    </w:p>
    <w:p w14:paraId="19A26401">
      <w:pPr>
        <w:pStyle w:val="9"/>
        <w:spacing w:before="0" w:beforeAutospacing="0" w:after="2" w:afterAutospacing="0"/>
        <w:ind w:left="0" w:firstLine="64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 xml:space="preserve">3、对农产品生产基地监督抽样检测。 </w:t>
      </w:r>
    </w:p>
    <w:p w14:paraId="71B65FC3">
      <w:pPr>
        <w:pStyle w:val="9"/>
        <w:spacing w:before="0" w:beforeAutospacing="0" w:after="2" w:afterAutospacing="0"/>
        <w:ind w:left="0" w:firstLine="64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 xml:space="preserve">4、对染疫动物和动物产品进行无害化处理。 </w:t>
      </w:r>
    </w:p>
    <w:p w14:paraId="081CA69D">
      <w:pPr>
        <w:pStyle w:val="9"/>
        <w:spacing w:before="0" w:beforeAutospacing="0" w:after="2" w:afterAutospacing="0"/>
        <w:ind w:left="0" w:firstLine="64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 xml:space="preserve">5、从事农作物危险性病、虫、草进行疫情监测。 </w:t>
      </w:r>
    </w:p>
    <w:p w14:paraId="4ECE3678">
      <w:pPr>
        <w:pStyle w:val="9"/>
        <w:spacing w:before="0" w:beforeAutospacing="0" w:after="2" w:afterAutospacing="0"/>
        <w:ind w:left="0" w:firstLine="64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 xml:space="preserve">6、承担行政区域内植物检疫、农作物重大病虫害防治有关工作。 </w:t>
      </w:r>
    </w:p>
    <w:p w14:paraId="759DF90F">
      <w:pPr>
        <w:widowControl/>
        <w:spacing w:line="600" w:lineRule="exact"/>
        <w:ind w:firstLine="560" w:firstLineChars="200"/>
        <w:rPr>
          <w:rFonts w:hint="eastAsia" w:asciiTheme="minorEastAsia" w:hAnsiTheme="minorEastAsia" w:eastAsiaTheme="minorEastAsia" w:cstheme="minorEastAsia"/>
          <w:b w:val="0"/>
          <w:bCs w:val="0"/>
          <w:kern w:val="0"/>
          <w:sz w:val="28"/>
          <w:szCs w:val="28"/>
        </w:rPr>
      </w:pPr>
      <w:r>
        <w:rPr>
          <w:rFonts w:hint="eastAsia" w:asciiTheme="minorEastAsia" w:hAnsiTheme="minorEastAsia" w:eastAsiaTheme="minorEastAsia" w:cstheme="minorEastAsia"/>
          <w:b w:val="0"/>
          <w:bCs w:val="0"/>
          <w:kern w:val="0"/>
          <w:sz w:val="28"/>
          <w:szCs w:val="28"/>
        </w:rPr>
        <w:t>（二）机构设置</w:t>
      </w:r>
    </w:p>
    <w:p w14:paraId="44EDC344">
      <w:pPr>
        <w:spacing w:before="0" w:beforeAutospacing="0" w:after="2" w:afterAutospacing="0"/>
        <w:ind w:left="0" w:firstLine="628"/>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1、人员构成：</w:t>
      </w:r>
      <w:r>
        <w:rPr>
          <w:rFonts w:hint="eastAsia" w:asciiTheme="minorEastAsia" w:hAnsiTheme="minorEastAsia" w:eastAsiaTheme="minorEastAsia" w:cstheme="minorEastAsia"/>
          <w:color w:val="000000"/>
          <w:sz w:val="28"/>
          <w:szCs w:val="28"/>
          <w:highlight w:val="none"/>
        </w:rPr>
        <w:t>在职人员</w:t>
      </w:r>
      <w:r>
        <w:rPr>
          <w:rFonts w:hint="eastAsia" w:asciiTheme="minorEastAsia" w:hAnsiTheme="minorEastAsia" w:eastAsiaTheme="minorEastAsia" w:cstheme="minorEastAsia"/>
          <w:color w:val="000000"/>
          <w:sz w:val="28"/>
          <w:szCs w:val="28"/>
          <w:highlight w:val="none"/>
          <w:lang w:val="en-US" w:eastAsia="zh-CN"/>
        </w:rPr>
        <w:t>25</w:t>
      </w:r>
      <w:r>
        <w:rPr>
          <w:rFonts w:hint="eastAsia" w:asciiTheme="minorEastAsia" w:hAnsiTheme="minorEastAsia" w:eastAsiaTheme="minorEastAsia" w:cstheme="minorEastAsia"/>
          <w:color w:val="000000"/>
          <w:sz w:val="28"/>
          <w:szCs w:val="28"/>
          <w:highlight w:val="none"/>
        </w:rPr>
        <w:t>人，退休人员37人</w:t>
      </w:r>
      <w:r>
        <w:rPr>
          <w:rFonts w:hint="eastAsia" w:asciiTheme="minorEastAsia" w:hAnsiTheme="minorEastAsia" w:eastAsiaTheme="minorEastAsia" w:cstheme="minorEastAsia"/>
          <w:color w:val="000000"/>
          <w:sz w:val="28"/>
          <w:szCs w:val="28"/>
          <w:highlight w:val="none"/>
          <w:lang w:eastAsia="zh-CN"/>
        </w:rPr>
        <w:t>，临聘人员</w:t>
      </w:r>
      <w:r>
        <w:rPr>
          <w:rFonts w:hint="eastAsia" w:asciiTheme="minorEastAsia" w:hAnsiTheme="minorEastAsia" w:eastAsiaTheme="minorEastAsia" w:cstheme="minorEastAsia"/>
          <w:color w:val="000000"/>
          <w:sz w:val="28"/>
          <w:szCs w:val="28"/>
          <w:highlight w:val="none"/>
          <w:lang w:val="en-US" w:eastAsia="zh-CN"/>
        </w:rPr>
        <w:t>3人</w:t>
      </w:r>
      <w:r>
        <w:rPr>
          <w:rFonts w:hint="eastAsia" w:asciiTheme="minorEastAsia" w:hAnsiTheme="minorEastAsia" w:eastAsiaTheme="minorEastAsia" w:cstheme="minorEastAsia"/>
          <w:color w:val="000000"/>
          <w:sz w:val="28"/>
          <w:szCs w:val="28"/>
          <w:highlight w:val="none"/>
          <w:lang w:eastAsia="zh-CN"/>
        </w:rPr>
        <w:t>。</w:t>
      </w:r>
    </w:p>
    <w:p w14:paraId="1D751673">
      <w:pPr>
        <w:spacing w:before="0" w:beforeAutospacing="0" w:after="2" w:afterAutospacing="0"/>
        <w:ind w:left="0" w:firstLine="628"/>
        <w:rPr>
          <w:rFonts w:hint="eastAsia" w:asciiTheme="minorEastAsia" w:hAnsiTheme="minorEastAsia" w:eastAsiaTheme="minorEastAsia" w:cstheme="minorEastAsia"/>
          <w:color w:val="000000" w:themeColor="text1"/>
          <w:spacing w:val="0"/>
          <w:positio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sz w:val="28"/>
          <w:szCs w:val="28"/>
        </w:rPr>
        <w:t>2、 内设股室有3个，分别是：办公室、检疫检测股、疫病预防股</w:t>
      </w:r>
      <w:r>
        <w:rPr>
          <w:rFonts w:hint="eastAsia" w:asciiTheme="minorEastAsia" w:hAnsiTheme="minorEastAsia" w:eastAsiaTheme="minorEastAsia" w:cstheme="minorEastAsia"/>
          <w:color w:val="000000"/>
          <w:sz w:val="28"/>
          <w:szCs w:val="28"/>
          <w:lang w:eastAsia="zh-CN"/>
        </w:rPr>
        <w:t>。</w:t>
      </w:r>
    </w:p>
    <w:p w14:paraId="6BA522B7">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　　二、一般公共预算支出情况</w:t>
      </w:r>
    </w:p>
    <w:p w14:paraId="75090FF6">
      <w:pPr>
        <w:keepNext w:val="0"/>
        <w:keepLines w:val="0"/>
        <w:pageBreakBefore w:val="0"/>
        <w:widowControl w:val="0"/>
        <w:kinsoku/>
        <w:wordWrap/>
        <w:overflowPunct/>
        <w:topLinePunct w:val="0"/>
        <w:autoSpaceDE/>
        <w:autoSpaceDN/>
        <w:bidi w:val="0"/>
        <w:adjustRightInd/>
        <w:snapToGrid/>
        <w:ind w:left="0" w:firstLine="562" w:firstLineChars="200"/>
        <w:jc w:val="left"/>
        <w:textAlignment w:val="auto"/>
        <w:rPr>
          <w:rFonts w:hint="eastAsia" w:asciiTheme="minorEastAsia" w:hAnsiTheme="minorEastAsia" w:eastAsiaTheme="minorEastAsia" w:cstheme="minorEastAsia"/>
          <w:b/>
          <w:bCs/>
          <w:color w:val="000000" w:themeColor="text1"/>
          <w:spacing w:val="0"/>
          <w:position w:val="0"/>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8"/>
          <w:szCs w:val="28"/>
          <w:lang w:val="en-US" w:eastAsia="zh-CN"/>
          <w14:textFill>
            <w14:solidFill>
              <w14:schemeClr w14:val="tx1"/>
            </w14:solidFill>
          </w14:textFill>
        </w:rPr>
        <w:t>(一)基本支出情况</w:t>
      </w:r>
    </w:p>
    <w:p w14:paraId="582CADEE">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color w:val="auto"/>
          <w:kern w:val="0"/>
          <w:sz w:val="28"/>
          <w:szCs w:val="28"/>
        </w:rPr>
        <w:t>本年度收支基本平衡,本年度总</w:t>
      </w:r>
      <w:r>
        <w:rPr>
          <w:rFonts w:hint="eastAsia" w:asciiTheme="minorEastAsia" w:hAnsiTheme="minorEastAsia" w:eastAsiaTheme="minorEastAsia" w:cstheme="minorEastAsia"/>
          <w:color w:val="auto"/>
          <w:kern w:val="0"/>
          <w:sz w:val="28"/>
          <w:szCs w:val="28"/>
          <w:lang w:eastAsia="zh-CN"/>
        </w:rPr>
        <w:t>支出</w:t>
      </w:r>
      <w:r>
        <w:rPr>
          <w:rFonts w:hint="eastAsia" w:asciiTheme="minorEastAsia" w:hAnsiTheme="minorEastAsia" w:eastAsiaTheme="minorEastAsia" w:cstheme="minorEastAsia"/>
          <w:color w:val="auto"/>
          <w:kern w:val="0"/>
          <w:sz w:val="28"/>
          <w:szCs w:val="28"/>
        </w:rPr>
        <w:t>为</w:t>
      </w:r>
      <w:r>
        <w:rPr>
          <w:rFonts w:hint="eastAsia" w:asciiTheme="minorEastAsia" w:hAnsiTheme="minorEastAsia" w:eastAsiaTheme="minorEastAsia" w:cstheme="minorEastAsia"/>
          <w:color w:val="auto"/>
          <w:kern w:val="0"/>
          <w:sz w:val="28"/>
          <w:szCs w:val="28"/>
          <w:lang w:val="en-US" w:eastAsia="zh-CN"/>
        </w:rPr>
        <w:t>393.4</w:t>
      </w:r>
      <w:r>
        <w:rPr>
          <w:rFonts w:hint="eastAsia" w:asciiTheme="minorEastAsia" w:hAnsiTheme="minorEastAsia" w:eastAsiaTheme="minorEastAsia" w:cstheme="minorEastAsia"/>
          <w:color w:val="auto"/>
          <w:kern w:val="0"/>
          <w:sz w:val="28"/>
          <w:szCs w:val="28"/>
        </w:rPr>
        <w:t>万元，其中</w:t>
      </w:r>
      <w:r>
        <w:rPr>
          <w:rFonts w:hint="eastAsia" w:asciiTheme="minorEastAsia" w:hAnsiTheme="minorEastAsia" w:eastAsiaTheme="minorEastAsia" w:cstheme="minorEastAsia"/>
          <w:color w:val="auto"/>
          <w:sz w:val="28"/>
          <w:szCs w:val="28"/>
        </w:rPr>
        <w:t>工资福利支出</w:t>
      </w:r>
      <w:r>
        <w:rPr>
          <w:rFonts w:hint="eastAsia" w:asciiTheme="minorEastAsia" w:hAnsiTheme="minorEastAsia" w:eastAsiaTheme="minorEastAsia" w:cstheme="minorEastAsia"/>
          <w:color w:val="auto"/>
          <w:sz w:val="28"/>
          <w:szCs w:val="28"/>
          <w:lang w:eastAsia="zh-CN"/>
        </w:rPr>
        <w:t>和对个人和家庭补助支出共</w:t>
      </w:r>
      <w:r>
        <w:rPr>
          <w:rFonts w:hint="eastAsia" w:asciiTheme="minorEastAsia" w:hAnsiTheme="minorEastAsia" w:eastAsiaTheme="minorEastAsia" w:cstheme="minorEastAsia"/>
          <w:color w:val="auto"/>
          <w:sz w:val="28"/>
          <w:szCs w:val="28"/>
          <w:lang w:val="en-US" w:eastAsia="zh-CN"/>
        </w:rPr>
        <w:t>367.79</w:t>
      </w:r>
      <w:r>
        <w:rPr>
          <w:rFonts w:hint="eastAsia" w:asciiTheme="minorEastAsia" w:hAnsiTheme="minorEastAsia" w:eastAsiaTheme="minorEastAsia" w:cstheme="minorEastAsia"/>
          <w:color w:val="auto"/>
          <w:sz w:val="28"/>
          <w:szCs w:val="28"/>
        </w:rPr>
        <w:t>万元、一般商品和服务支出</w:t>
      </w:r>
      <w:r>
        <w:rPr>
          <w:rFonts w:hint="eastAsia" w:asciiTheme="minorEastAsia" w:hAnsiTheme="minorEastAsia" w:eastAsiaTheme="minorEastAsia" w:cstheme="minorEastAsia"/>
          <w:color w:val="auto"/>
          <w:sz w:val="28"/>
          <w:szCs w:val="28"/>
          <w:lang w:eastAsia="zh-CN"/>
        </w:rPr>
        <w:t>和基本建设支出</w:t>
      </w:r>
      <w:r>
        <w:rPr>
          <w:rFonts w:hint="eastAsia" w:asciiTheme="minorEastAsia" w:hAnsiTheme="minorEastAsia" w:eastAsiaTheme="minorEastAsia" w:cstheme="minorEastAsia"/>
          <w:color w:val="auto"/>
          <w:sz w:val="28"/>
          <w:szCs w:val="28"/>
          <w:lang w:val="en-US" w:eastAsia="zh-CN"/>
        </w:rPr>
        <w:t>25.61</w:t>
      </w:r>
      <w:r>
        <w:rPr>
          <w:rFonts w:hint="eastAsia" w:asciiTheme="minorEastAsia" w:hAnsiTheme="minorEastAsia" w:eastAsiaTheme="minorEastAsia" w:cstheme="minorEastAsia"/>
          <w:color w:val="auto"/>
          <w:sz w:val="28"/>
          <w:szCs w:val="28"/>
        </w:rPr>
        <w:t>万元</w:t>
      </w:r>
      <w:r>
        <w:rPr>
          <w:rFonts w:hint="eastAsia" w:asciiTheme="minorEastAsia" w:hAnsiTheme="minorEastAsia" w:eastAsiaTheme="minorEastAsia" w:cstheme="minorEastAsia"/>
          <w:color w:val="auto"/>
          <w:sz w:val="28"/>
          <w:szCs w:val="28"/>
          <w:lang w:eastAsia="zh-CN"/>
        </w:rPr>
        <w:t>。</w:t>
      </w:r>
    </w:p>
    <w:p w14:paraId="0D44BD34">
      <w:pPr>
        <w:keepNext w:val="0"/>
        <w:keepLines w:val="0"/>
        <w:pageBreakBefore w:val="0"/>
        <w:widowControl w:val="0"/>
        <w:numPr>
          <w:ilvl w:val="0"/>
          <w:numId w:val="1"/>
        </w:numPr>
        <w:kinsoku/>
        <w:wordWrap/>
        <w:overflowPunct/>
        <w:topLinePunct w:val="0"/>
        <w:autoSpaceDE/>
        <w:autoSpaceDN/>
        <w:bidi w:val="0"/>
        <w:adjustRightInd/>
        <w:snapToGrid/>
        <w:ind w:left="0" w:firstLine="562" w:firstLineChars="200"/>
        <w:jc w:val="left"/>
        <w:textAlignment w:val="auto"/>
        <w:rPr>
          <w:rFonts w:hint="eastAsia" w:asciiTheme="minorEastAsia" w:hAnsiTheme="minorEastAsia" w:eastAsiaTheme="minorEastAsia" w:cstheme="minorEastAsia"/>
          <w:b/>
          <w:bCs/>
          <w:color w:val="000000" w:themeColor="text1"/>
          <w:spacing w:val="0"/>
          <w:position w:val="0"/>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28"/>
          <w:szCs w:val="28"/>
          <w:lang w:val="en-US" w:eastAsia="zh-CN"/>
          <w14:textFill>
            <w14:solidFill>
              <w14:schemeClr w14:val="tx1"/>
            </w14:solidFill>
          </w14:textFill>
        </w:rPr>
        <w:t>项目支出情况</w:t>
      </w:r>
    </w:p>
    <w:p w14:paraId="4EAA2831">
      <w:pPr>
        <w:widowControl/>
        <w:spacing w:line="600" w:lineRule="exact"/>
        <w:ind w:firstLine="66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kern w:val="0"/>
          <w:sz w:val="28"/>
          <w:szCs w:val="28"/>
        </w:rPr>
        <w:t>本年度收支基本平衡,本年度总</w:t>
      </w:r>
      <w:r>
        <w:rPr>
          <w:rFonts w:hint="eastAsia" w:asciiTheme="minorEastAsia" w:hAnsiTheme="minorEastAsia" w:eastAsiaTheme="minorEastAsia" w:cstheme="minorEastAsia"/>
          <w:color w:val="auto"/>
          <w:kern w:val="0"/>
          <w:sz w:val="28"/>
          <w:szCs w:val="28"/>
          <w:lang w:eastAsia="zh-CN"/>
        </w:rPr>
        <w:t>支出</w:t>
      </w:r>
      <w:r>
        <w:rPr>
          <w:rFonts w:hint="eastAsia" w:asciiTheme="minorEastAsia" w:hAnsiTheme="minorEastAsia" w:eastAsiaTheme="minorEastAsia" w:cstheme="minorEastAsia"/>
          <w:color w:val="auto"/>
          <w:kern w:val="0"/>
          <w:sz w:val="28"/>
          <w:szCs w:val="28"/>
        </w:rPr>
        <w:t>为</w:t>
      </w:r>
      <w:r>
        <w:rPr>
          <w:rFonts w:hint="eastAsia" w:asciiTheme="minorEastAsia" w:hAnsiTheme="minorEastAsia" w:cstheme="minorEastAsia"/>
          <w:color w:val="auto"/>
          <w:kern w:val="0"/>
          <w:sz w:val="28"/>
          <w:szCs w:val="28"/>
          <w:lang w:val="en-US" w:eastAsia="zh-CN"/>
        </w:rPr>
        <w:t>80</w:t>
      </w:r>
      <w:r>
        <w:rPr>
          <w:rFonts w:hint="eastAsia" w:asciiTheme="minorEastAsia" w:hAnsiTheme="minorEastAsia" w:eastAsiaTheme="minorEastAsia" w:cstheme="minorEastAsia"/>
          <w:color w:val="auto"/>
          <w:kern w:val="0"/>
          <w:sz w:val="28"/>
          <w:szCs w:val="28"/>
        </w:rPr>
        <w:t>万元</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sz w:val="28"/>
          <w:szCs w:val="28"/>
        </w:rPr>
        <w:t>其中：业务工作经费支出</w:t>
      </w:r>
      <w:r>
        <w:rPr>
          <w:rFonts w:hint="eastAsia" w:asciiTheme="minorEastAsia" w:hAnsiTheme="minorEastAsia" w:cstheme="minorEastAsia"/>
          <w:kern w:val="0"/>
          <w:sz w:val="28"/>
          <w:szCs w:val="28"/>
          <w:lang w:val="en-US" w:eastAsia="zh-CN"/>
        </w:rPr>
        <w:t>80</w:t>
      </w:r>
      <w:r>
        <w:rPr>
          <w:rFonts w:hint="eastAsia" w:asciiTheme="minorEastAsia" w:hAnsiTheme="minorEastAsia" w:eastAsiaTheme="minorEastAsia" w:cstheme="minorEastAsia"/>
          <w:sz w:val="28"/>
          <w:szCs w:val="28"/>
        </w:rPr>
        <w:t>万元，主要用于</w:t>
      </w:r>
      <w:r>
        <w:rPr>
          <w:rFonts w:hint="eastAsia" w:asciiTheme="minorEastAsia" w:hAnsiTheme="minorEastAsia" w:eastAsiaTheme="minorEastAsia" w:cstheme="minorEastAsia"/>
          <w:color w:val="000000"/>
          <w:sz w:val="28"/>
          <w:szCs w:val="28"/>
        </w:rPr>
        <w:t>农产品质量检测和实验室材料购买、中心城区屠宰检验监管经费、非洲猪瘟等重大动物疫情防控经费、委托第三方农产品定量检测</w:t>
      </w:r>
      <w:r>
        <w:rPr>
          <w:rFonts w:hint="eastAsia" w:asciiTheme="minorEastAsia" w:hAnsiTheme="minorEastAsia" w:eastAsiaTheme="minorEastAsia" w:cstheme="minorEastAsia"/>
          <w:color w:val="000000"/>
          <w:sz w:val="28"/>
          <w:szCs w:val="28"/>
          <w:lang w:eastAsia="zh-CN"/>
        </w:rPr>
        <w:t>。</w:t>
      </w:r>
    </w:p>
    <w:p w14:paraId="09EF8FBF">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14:paraId="5BF120D8">
      <w:pPr>
        <w:pStyle w:val="2"/>
        <w:numPr>
          <w:ilvl w:val="0"/>
          <w:numId w:val="0"/>
        </w:numPr>
        <w:ind w:left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kern w:val="0"/>
          <w:sz w:val="28"/>
          <w:szCs w:val="28"/>
          <w:u w:val="none"/>
        </w:rPr>
        <w:t>2022年度本单位无政府性基金安排的支出</w:t>
      </w:r>
    </w:p>
    <w:p w14:paraId="2E2F1BB3">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四、国有资本经营预算支出情况</w:t>
      </w:r>
    </w:p>
    <w:p w14:paraId="3B72B458">
      <w:pPr>
        <w:widowControl w:val="0"/>
        <w:numPr>
          <w:ilvl w:val="0"/>
          <w:numId w:val="0"/>
        </w:numPr>
        <w:spacing w:before="120" w:after="200" w:line="276" w:lineRule="auto"/>
        <w:ind w:leftChars="200"/>
        <w:jc w:val="both"/>
        <w:rPr>
          <w:rFonts w:hint="eastAsia" w:asciiTheme="minorEastAsia" w:hAnsiTheme="minorEastAsia" w:eastAsiaTheme="minorEastAsia" w:cstheme="minorEastAsia"/>
          <w:b w:val="0"/>
          <w:bCs w:val="0"/>
          <w:color w:val="auto"/>
          <w:kern w:val="0"/>
          <w:sz w:val="28"/>
          <w:szCs w:val="28"/>
          <w:u w:val="none"/>
          <w:lang w:val="en-US" w:eastAsia="zh-CN" w:bidi="ar-SA"/>
        </w:rPr>
      </w:pPr>
      <w:r>
        <w:rPr>
          <w:rFonts w:hint="eastAsia" w:asciiTheme="minorEastAsia" w:hAnsiTheme="minorEastAsia" w:eastAsiaTheme="minorEastAsia" w:cstheme="minorEastAsia"/>
          <w:b w:val="0"/>
          <w:bCs w:val="0"/>
          <w:color w:val="auto"/>
          <w:kern w:val="0"/>
          <w:sz w:val="28"/>
          <w:szCs w:val="28"/>
          <w:u w:val="none"/>
          <w:lang w:val="en-US" w:eastAsia="zh-CN" w:bidi="ar-SA"/>
        </w:rPr>
        <w:t>2022年度本单位无</w:t>
      </w:r>
      <w:r>
        <w:rPr>
          <w:rFonts w:hint="eastAsia" w:asciiTheme="minorEastAsia" w:hAnsiTheme="minorEastAsia" w:eastAsiaTheme="minorEastAsia" w:cstheme="minorEastAsia"/>
          <w:b w:val="0"/>
          <w:bCs w:val="0"/>
          <w:color w:val="000000" w:themeColor="text1"/>
          <w:spacing w:val="0"/>
          <w:position w:val="0"/>
          <w:sz w:val="28"/>
          <w:szCs w:val="28"/>
          <w:lang w:val="en-US" w:eastAsia="zh-CN"/>
          <w14:textFill>
            <w14:solidFill>
              <w14:schemeClr w14:val="tx1"/>
            </w14:solidFill>
          </w14:textFill>
        </w:rPr>
        <w:t>国有资本经营预算支出</w:t>
      </w:r>
      <w:r>
        <w:rPr>
          <w:rFonts w:hint="eastAsia" w:asciiTheme="minorEastAsia" w:hAnsiTheme="minorEastAsia" w:eastAsiaTheme="minorEastAsia" w:cstheme="minorEastAsia"/>
          <w:b w:val="0"/>
          <w:bCs w:val="0"/>
          <w:color w:val="auto"/>
          <w:kern w:val="0"/>
          <w:sz w:val="28"/>
          <w:szCs w:val="28"/>
          <w:u w:val="none"/>
          <w:lang w:val="en-US" w:eastAsia="zh-CN" w:bidi="ar-SA"/>
        </w:rPr>
        <w:t>的支出</w:t>
      </w:r>
    </w:p>
    <w:p w14:paraId="4ECFED1A">
      <w:pPr>
        <w:widowControl w:val="0"/>
        <w:numPr>
          <w:ilvl w:val="0"/>
          <w:numId w:val="2"/>
        </w:numPr>
        <w:spacing w:before="120" w:after="200" w:line="276" w:lineRule="auto"/>
        <w:ind w:left="420" w:leftChars="200"/>
        <w:jc w:val="both"/>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325B2DC3">
      <w:pPr>
        <w:widowControl w:val="0"/>
        <w:numPr>
          <w:ilvl w:val="0"/>
          <w:numId w:val="0"/>
        </w:numPr>
        <w:spacing w:before="120" w:after="200" w:line="276" w:lineRule="auto"/>
        <w:ind w:leftChars="200"/>
        <w:jc w:val="both"/>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color w:val="auto"/>
          <w:kern w:val="0"/>
          <w:sz w:val="28"/>
          <w:szCs w:val="28"/>
          <w:u w:val="none"/>
          <w:lang w:val="en-US" w:eastAsia="zh-CN" w:bidi="ar-SA"/>
        </w:rPr>
        <w:t>2022年度本单位无</w:t>
      </w:r>
      <w:r>
        <w:rPr>
          <w:rFonts w:hint="eastAsia" w:asciiTheme="minorEastAsia" w:hAnsiTheme="minorEastAsia" w:eastAsiaTheme="minorEastAsia" w:cstheme="minorEastAsia"/>
          <w:b w:val="0"/>
          <w:bCs w:val="0"/>
          <w:color w:val="000000" w:themeColor="text1"/>
          <w:spacing w:val="0"/>
          <w:position w:val="0"/>
          <w:sz w:val="28"/>
          <w:szCs w:val="28"/>
          <w:lang w:val="en-US" w:eastAsia="zh-CN"/>
          <w14:textFill>
            <w14:solidFill>
              <w14:schemeClr w14:val="tx1"/>
            </w14:solidFill>
          </w14:textFill>
        </w:rPr>
        <w:t>社会保险基金预算</w:t>
      </w:r>
      <w:r>
        <w:rPr>
          <w:rFonts w:hint="eastAsia" w:asciiTheme="minorEastAsia" w:hAnsiTheme="minorEastAsia" w:eastAsiaTheme="minorEastAsia" w:cstheme="minorEastAsia"/>
          <w:b w:val="0"/>
          <w:bCs w:val="0"/>
          <w:color w:val="auto"/>
          <w:kern w:val="0"/>
          <w:sz w:val="28"/>
          <w:szCs w:val="28"/>
          <w:u w:val="none"/>
          <w:lang w:val="en-US" w:eastAsia="zh-CN" w:bidi="ar-SA"/>
        </w:rPr>
        <w:t>的支出</w:t>
      </w:r>
    </w:p>
    <w:p w14:paraId="11721AAA">
      <w:pPr>
        <w:widowControl w:val="0"/>
        <w:numPr>
          <w:ilvl w:val="0"/>
          <w:numId w:val="0"/>
        </w:numPr>
        <w:spacing w:before="120" w:after="200" w:line="276" w:lineRule="auto"/>
        <w:ind w:left="420" w:leftChars="200"/>
        <w:jc w:val="both"/>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t>六、部门整体支出绩效情况</w:t>
      </w:r>
    </w:p>
    <w:p w14:paraId="0F34C7BC">
      <w:pPr>
        <w:pStyle w:val="1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区</w:t>
      </w:r>
      <w:r>
        <w:rPr>
          <w:rFonts w:hint="eastAsia" w:asciiTheme="minorEastAsia" w:hAnsiTheme="minorEastAsia" w:eastAsiaTheme="minorEastAsia" w:cstheme="minorEastAsia"/>
          <w:color w:val="auto"/>
          <w:sz w:val="28"/>
          <w:szCs w:val="28"/>
          <w:lang w:eastAsia="zh-CN"/>
        </w:rPr>
        <w:t>农产品综合检验检测中心</w:t>
      </w:r>
      <w:r>
        <w:rPr>
          <w:rFonts w:hint="eastAsia" w:asciiTheme="minorEastAsia" w:hAnsiTheme="minorEastAsia" w:eastAsiaTheme="minorEastAsia" w:cstheme="minorEastAsia"/>
          <w:color w:val="auto"/>
          <w:sz w:val="28"/>
          <w:szCs w:val="28"/>
          <w:lang w:val="en-US" w:eastAsia="zh-CN"/>
        </w:rPr>
        <w:t>2022</w:t>
      </w:r>
      <w:r>
        <w:rPr>
          <w:rFonts w:hint="eastAsia" w:asciiTheme="minorEastAsia" w:hAnsiTheme="minorEastAsia" w:eastAsiaTheme="minorEastAsia" w:cstheme="minorEastAsia"/>
          <w:color w:val="auto"/>
          <w:sz w:val="28"/>
          <w:szCs w:val="28"/>
        </w:rPr>
        <w:t>年度部门整体支出取</w:t>
      </w:r>
      <w:r>
        <w:rPr>
          <w:rFonts w:hint="eastAsia" w:asciiTheme="minorEastAsia" w:hAnsiTheme="minorEastAsia" w:eastAsiaTheme="minorEastAsia" w:cstheme="minorEastAsia"/>
          <w:color w:val="auto"/>
          <w:sz w:val="28"/>
          <w:szCs w:val="28"/>
          <w:lang w:eastAsia="zh-CN"/>
        </w:rPr>
        <w:t>得较</w:t>
      </w:r>
      <w:r>
        <w:rPr>
          <w:rFonts w:hint="eastAsia" w:asciiTheme="minorEastAsia" w:hAnsiTheme="minorEastAsia" w:eastAsiaTheme="minorEastAsia" w:cstheme="minorEastAsia"/>
          <w:color w:val="auto"/>
          <w:sz w:val="28"/>
          <w:szCs w:val="28"/>
        </w:rPr>
        <w:t>好的成效，主要表现如下：</w:t>
      </w:r>
    </w:p>
    <w:p w14:paraId="0ED9248D">
      <w:pPr>
        <w:pStyle w:val="10"/>
        <w:spacing w:line="360" w:lineRule="auto"/>
        <w:ind w:firstLine="562" w:firstLineChars="2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1.经济性方面评价:</w:t>
      </w:r>
    </w:p>
    <w:p w14:paraId="7467C805">
      <w:pPr>
        <w:pStyle w:val="1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预算执行方面，支出总额基本控制在预算总额以内，除专项预算追加和政策性工资绩效预算的追加外，本年部门预算未进行预算相关事项的调整。预算内专项资金在取得财政局的年度预算批复时，随批复一同进行了下达；追加的项目专项资金在取得上级或同级财政批复后随批复及时进行了下达；转移支付在收到专项资金时基本上做到及时拨付。</w:t>
      </w:r>
    </w:p>
    <w:p w14:paraId="4D613754">
      <w:pPr>
        <w:pStyle w:val="10"/>
        <w:spacing w:line="360" w:lineRule="auto"/>
        <w:ind w:firstLine="562" w:firstLineChars="2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2.效率性评价和有效性评价:</w:t>
      </w:r>
    </w:p>
    <w:p w14:paraId="032DC7A8">
      <w:pPr>
        <w:spacing w:line="540" w:lineRule="exact"/>
        <w:ind w:firstLine="560" w:firstLineChars="20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rPr>
        <w:t>区</w:t>
      </w:r>
      <w:r>
        <w:rPr>
          <w:rFonts w:hint="eastAsia" w:asciiTheme="minorEastAsia" w:hAnsiTheme="minorEastAsia" w:eastAsiaTheme="minorEastAsia" w:cstheme="minorEastAsia"/>
          <w:color w:val="auto"/>
          <w:sz w:val="28"/>
          <w:szCs w:val="28"/>
          <w:lang w:eastAsia="zh-CN"/>
        </w:rPr>
        <w:t>农产品综合检验检测中心</w:t>
      </w:r>
      <w:r>
        <w:rPr>
          <w:rFonts w:hint="eastAsia" w:asciiTheme="minorEastAsia" w:hAnsiTheme="minorEastAsia" w:eastAsiaTheme="minorEastAsia" w:cstheme="minorEastAsia"/>
          <w:color w:val="auto"/>
          <w:sz w:val="28"/>
          <w:szCs w:val="28"/>
        </w:rPr>
        <w:t>基本上执行了年初预算，不断优化资金支出结构，提高资金的使用效益，以达到了保运转，保民生，保安全，促均衡的效果。</w:t>
      </w:r>
      <w:r>
        <w:rPr>
          <w:rFonts w:hint="eastAsia" w:asciiTheme="minorEastAsia" w:hAnsiTheme="minorEastAsia" w:eastAsiaTheme="minorEastAsia" w:cstheme="minorEastAsia"/>
          <w:color w:val="auto"/>
          <w:sz w:val="28"/>
          <w:szCs w:val="28"/>
          <w:shd w:val="clear" w:color="auto" w:fill="FFFFFF"/>
        </w:rPr>
        <w:t>我</w:t>
      </w:r>
      <w:r>
        <w:rPr>
          <w:rFonts w:hint="eastAsia" w:asciiTheme="minorEastAsia" w:hAnsiTheme="minorEastAsia" w:eastAsiaTheme="minorEastAsia" w:cstheme="minorEastAsia"/>
          <w:color w:val="auto"/>
          <w:sz w:val="28"/>
          <w:szCs w:val="28"/>
          <w:shd w:val="clear" w:color="auto" w:fill="FFFFFF"/>
          <w:lang w:eastAsia="zh-CN"/>
        </w:rPr>
        <w:t>中心</w:t>
      </w:r>
      <w:r>
        <w:rPr>
          <w:rFonts w:hint="eastAsia" w:asciiTheme="minorEastAsia" w:hAnsiTheme="minorEastAsia" w:eastAsiaTheme="minorEastAsia" w:cstheme="minorEastAsia"/>
          <w:color w:val="auto"/>
          <w:sz w:val="28"/>
          <w:szCs w:val="28"/>
          <w:shd w:val="clear" w:color="auto" w:fill="FFFFFF"/>
        </w:rPr>
        <w:t>对于20</w:t>
      </w:r>
      <w:r>
        <w:rPr>
          <w:rFonts w:hint="eastAsia" w:asciiTheme="minorEastAsia" w:hAnsiTheme="minorEastAsia" w:eastAsiaTheme="minorEastAsia" w:cstheme="minorEastAsia"/>
          <w:color w:val="auto"/>
          <w:sz w:val="28"/>
          <w:szCs w:val="28"/>
          <w:shd w:val="clear" w:color="auto" w:fill="FFFFFF"/>
          <w:lang w:val="en-US" w:eastAsia="zh-CN"/>
        </w:rPr>
        <w:t>22</w:t>
      </w:r>
      <w:r>
        <w:rPr>
          <w:rFonts w:hint="eastAsia" w:asciiTheme="minorEastAsia" w:hAnsiTheme="minorEastAsia" w:eastAsiaTheme="minorEastAsia" w:cstheme="minorEastAsia"/>
          <w:color w:val="auto"/>
          <w:sz w:val="28"/>
          <w:szCs w:val="28"/>
          <w:shd w:val="clear" w:color="auto" w:fill="FFFFFF"/>
        </w:rPr>
        <w:t>年度全区目标管理绩效考核指标均落实到位，圆满完成了既定任务，各项工作成效显著。主要表现如下 ：</w:t>
      </w:r>
    </w:p>
    <w:p w14:paraId="48954799">
      <w:pPr>
        <w:numPr>
          <w:ilvl w:val="0"/>
          <w:numId w:val="0"/>
        </w:numPr>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 1 \* GB3 \* MERGEFORMAT </w:instrText>
      </w:r>
      <w:r>
        <w:rPr>
          <w:rFonts w:hint="eastAsia" w:asciiTheme="minorEastAsia" w:hAnsiTheme="minorEastAsia" w:eastAsiaTheme="minorEastAsia" w:cstheme="minorEastAsia"/>
          <w:sz w:val="28"/>
          <w:szCs w:val="28"/>
          <w:lang w:val="en-US" w:eastAsia="zh-CN"/>
        </w:rPr>
        <w:fldChar w:fldCharType="separate"/>
      </w:r>
      <w:r>
        <w:t>①</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根据动物检疫操作规程，认真开展屠宰检疫工作。全年屠宰</w:t>
      </w:r>
      <w:r>
        <w:rPr>
          <w:rFonts w:hint="eastAsia" w:asciiTheme="minorEastAsia" w:hAnsiTheme="minorEastAsia" w:eastAsiaTheme="minorEastAsia" w:cstheme="minorEastAsia"/>
          <w:sz w:val="28"/>
          <w:szCs w:val="28"/>
          <w:lang w:eastAsia="zh-CN"/>
        </w:rPr>
        <w:t>检疫生猪</w:t>
      </w:r>
      <w:r>
        <w:rPr>
          <w:rFonts w:hint="eastAsia" w:asciiTheme="minorEastAsia" w:hAnsiTheme="minorEastAsia" w:eastAsiaTheme="minorEastAsia" w:cstheme="minorEastAsia"/>
          <w:sz w:val="28"/>
          <w:szCs w:val="28"/>
          <w:lang w:val="en-US" w:eastAsia="zh-CN"/>
        </w:rPr>
        <w:t>7.62万头、牛马0.51万条、羊0.69万头，禽类62.11万羽，屠宰环节无害化处理生猪316头、废弃物无害化处理1.88万公斤，瘦肉精抽检5519份，监督场方非洲猪瘟自检11074份，检测结果均为阴性。被评为市级动物检疫先进单位。</w:t>
      </w:r>
    </w:p>
    <w:p w14:paraId="4886ECFF">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 2 \* GB3 \* MERGEFORMAT </w:instrText>
      </w:r>
      <w:r>
        <w:rPr>
          <w:rFonts w:hint="eastAsia" w:asciiTheme="minorEastAsia" w:hAnsiTheme="minorEastAsia" w:eastAsiaTheme="minorEastAsia" w:cstheme="minorEastAsia"/>
          <w:sz w:val="28"/>
          <w:szCs w:val="28"/>
          <w:lang w:val="en-US" w:eastAsia="zh-CN"/>
        </w:rPr>
        <w:fldChar w:fldCharType="separate"/>
      </w:r>
      <w:r>
        <w:t>②</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春秋</w:t>
      </w:r>
      <w:r>
        <w:rPr>
          <w:rFonts w:hint="eastAsia" w:asciiTheme="minorEastAsia" w:hAnsiTheme="minorEastAsia" w:eastAsiaTheme="minorEastAsia" w:cstheme="minorEastAsia"/>
          <w:sz w:val="28"/>
          <w:szCs w:val="28"/>
          <w:lang w:eastAsia="zh-CN"/>
        </w:rPr>
        <w:t>防共采集养殖户家禽血清</w:t>
      </w:r>
      <w:r>
        <w:rPr>
          <w:rFonts w:hint="eastAsia" w:asciiTheme="minorEastAsia" w:hAnsiTheme="minorEastAsia" w:eastAsiaTheme="minorEastAsia" w:cstheme="minorEastAsia"/>
          <w:sz w:val="28"/>
          <w:szCs w:val="28"/>
          <w:lang w:val="en-US" w:eastAsia="zh-CN"/>
        </w:rPr>
        <w:t>60份、猪血清60份，牛血清10份，免疫抗体合格率均符合农业农村部标准。今年共免疫注射猪口蹄疫0.11万头，免疫注射禽流感14.4万羽，免疫鸡新城疫14.4万羽，免疫注射牛口蹄疫0.05万头，畜禽群体免疫密度保持在90%以上，应免畜禽免疫密度达到100%，全面实施动物免疫标识达到</w:t>
      </w:r>
      <w:bookmarkStart w:id="0" w:name="OLE_LINK27"/>
      <w:r>
        <w:rPr>
          <w:rFonts w:hint="eastAsia" w:asciiTheme="minorEastAsia" w:hAnsiTheme="minorEastAsia" w:eastAsiaTheme="minorEastAsia" w:cstheme="minorEastAsia"/>
          <w:sz w:val="28"/>
          <w:szCs w:val="28"/>
          <w:lang w:val="en-US" w:eastAsia="zh-CN"/>
        </w:rPr>
        <w:t>100%</w:t>
      </w:r>
      <w:bookmarkEnd w:id="0"/>
      <w:r>
        <w:rPr>
          <w:rFonts w:hint="eastAsia" w:asciiTheme="minorEastAsia" w:hAnsiTheme="minorEastAsia" w:eastAsiaTheme="minorEastAsia" w:cstheme="minorEastAsia"/>
          <w:sz w:val="28"/>
          <w:szCs w:val="28"/>
          <w:lang w:val="en-US" w:eastAsia="zh-CN"/>
        </w:rPr>
        <w:t>。</w:t>
      </w:r>
    </w:p>
    <w:p w14:paraId="2F9956EE">
      <w:pPr>
        <w:bidi w:val="0"/>
        <w:ind w:firstLine="560" w:firstLineChars="200"/>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 3 \* GB3 \* MERGEFORMAT </w:instrText>
      </w:r>
      <w:r>
        <w:rPr>
          <w:rFonts w:hint="eastAsia" w:asciiTheme="minorEastAsia" w:hAnsiTheme="minorEastAsia" w:eastAsiaTheme="minorEastAsia" w:cstheme="minorEastAsia"/>
          <w:color w:val="auto"/>
          <w:sz w:val="28"/>
          <w:szCs w:val="28"/>
          <w:lang w:val="en-US" w:eastAsia="zh-CN"/>
        </w:rPr>
        <w:fldChar w:fldCharType="separate"/>
      </w:r>
      <w:r>
        <w:t>③</w:t>
      </w:r>
      <w:r>
        <w:rPr>
          <w:rFonts w:hint="eastAsia" w:asciiTheme="minorEastAsia" w:hAnsiTheme="minorEastAsia" w:eastAsiaTheme="minorEastAsia" w:cstheme="minorEastAsia"/>
          <w:color w:val="auto"/>
          <w:sz w:val="28"/>
          <w:szCs w:val="28"/>
          <w:lang w:val="en-US" w:eastAsia="zh-CN"/>
        </w:rPr>
        <w:fldChar w:fldCharType="end"/>
      </w:r>
      <w:r>
        <w:rPr>
          <w:rFonts w:hint="eastAsia" w:asciiTheme="minorEastAsia" w:hAnsiTheme="minorEastAsia" w:eastAsiaTheme="minorEastAsia" w:cstheme="minorEastAsia"/>
          <w:color w:val="auto"/>
          <w:sz w:val="28"/>
          <w:szCs w:val="28"/>
          <w:lang w:val="en-US" w:eastAsia="zh-CN"/>
        </w:rPr>
        <w:t>派驻屠宰企业官方兽医15人，实行24小时驻场轮流值守，重点督促屠宰企业落实主体责任，按照“批批检、全覆盖”原则开展非洲猪瘟自检和“瘦肉精”抽检。</w:t>
      </w:r>
      <w:r>
        <w:rPr>
          <w:rFonts w:hint="eastAsia" w:asciiTheme="minorEastAsia" w:hAnsiTheme="minorEastAsia" w:eastAsiaTheme="minorEastAsia" w:cstheme="minorEastAsia"/>
          <w:color w:val="000000"/>
          <w:kern w:val="0"/>
          <w:sz w:val="28"/>
          <w:szCs w:val="28"/>
          <w:lang w:val="en-US" w:eastAsia="zh-CN" w:bidi="ar"/>
        </w:rPr>
        <w:t>一是督促海泰公司每半月将自检留存血样送市动物疫病预防控制中心复核。</w:t>
      </w:r>
      <w:r>
        <w:rPr>
          <w:rFonts w:hint="eastAsia" w:asciiTheme="minorEastAsia" w:hAnsiTheme="minorEastAsia" w:eastAsiaTheme="minorEastAsia" w:cstheme="minorEastAsia"/>
          <w:color w:val="000000"/>
          <w:sz w:val="28"/>
          <w:szCs w:val="28"/>
          <w:lang w:val="en-US" w:eastAsia="zh-CN"/>
        </w:rPr>
        <w:t>二是</w:t>
      </w:r>
      <w:r>
        <w:rPr>
          <w:rFonts w:hint="eastAsia" w:asciiTheme="minorEastAsia" w:hAnsiTheme="minorEastAsia" w:eastAsiaTheme="minorEastAsia" w:cstheme="minorEastAsia"/>
          <w:sz w:val="28"/>
          <w:szCs w:val="28"/>
          <w:lang w:val="en-US" w:eastAsia="zh-CN"/>
        </w:rPr>
        <w:t>在海泰屠宰场</w:t>
      </w:r>
      <w:r>
        <w:rPr>
          <w:rFonts w:hint="eastAsia" w:asciiTheme="minorEastAsia" w:hAnsiTheme="minorEastAsia" w:eastAsiaTheme="minorEastAsia" w:cstheme="minorEastAsia"/>
          <w:color w:val="000000"/>
          <w:sz w:val="28"/>
          <w:szCs w:val="28"/>
          <w:lang w:eastAsia="zh-CN"/>
        </w:rPr>
        <w:t>采集</w:t>
      </w:r>
      <w:r>
        <w:rPr>
          <w:rFonts w:hint="eastAsia" w:asciiTheme="minorEastAsia" w:hAnsiTheme="minorEastAsia" w:eastAsiaTheme="minorEastAsia" w:cstheme="minorEastAsia"/>
          <w:color w:val="000000"/>
          <w:sz w:val="28"/>
          <w:szCs w:val="28"/>
          <w:lang w:val="en-US" w:eastAsia="zh-CN"/>
        </w:rPr>
        <w:t>生</w:t>
      </w:r>
      <w:r>
        <w:rPr>
          <w:rFonts w:hint="eastAsia" w:asciiTheme="minorEastAsia" w:hAnsiTheme="minorEastAsia" w:eastAsiaTheme="minorEastAsia" w:cstheme="minorEastAsia"/>
          <w:sz w:val="28"/>
          <w:szCs w:val="28"/>
          <w:lang w:val="en-US" w:eastAsia="zh-CN"/>
        </w:rPr>
        <w:t>猪淋巴结、血清样</w:t>
      </w:r>
      <w:r>
        <w:rPr>
          <w:rFonts w:hint="eastAsia" w:asciiTheme="minorEastAsia" w:hAnsiTheme="minorEastAsia" w:eastAsiaTheme="minorEastAsia" w:cstheme="minorEastAsia"/>
          <w:color w:val="000000"/>
          <w:sz w:val="28"/>
          <w:szCs w:val="28"/>
          <w:lang w:val="en-US" w:eastAsia="zh-CN"/>
        </w:rPr>
        <w:t>和</w:t>
      </w:r>
      <w:bookmarkStart w:id="1" w:name="OLE_LINK14"/>
      <w:r>
        <w:rPr>
          <w:rFonts w:hint="eastAsia" w:asciiTheme="minorEastAsia" w:hAnsiTheme="minorEastAsia" w:eastAsiaTheme="minorEastAsia" w:cstheme="minorEastAsia"/>
          <w:color w:val="000000"/>
          <w:sz w:val="28"/>
          <w:szCs w:val="28"/>
          <w:lang w:eastAsia="zh-CN"/>
        </w:rPr>
        <w:t>屠宰车间</w:t>
      </w:r>
      <w:bookmarkEnd w:id="1"/>
      <w:r>
        <w:rPr>
          <w:rFonts w:hint="eastAsia" w:asciiTheme="minorEastAsia" w:hAnsiTheme="minorEastAsia" w:eastAsiaTheme="minorEastAsia" w:cstheme="minorEastAsia"/>
          <w:sz w:val="28"/>
          <w:szCs w:val="28"/>
          <w:lang w:val="en-US" w:eastAsia="zh-CN"/>
        </w:rPr>
        <w:t>环境拭子，运输车辆环境拭子，</w:t>
      </w:r>
      <w:r>
        <w:rPr>
          <w:rFonts w:hint="eastAsia" w:asciiTheme="minorEastAsia" w:hAnsiTheme="minorEastAsia" w:eastAsiaTheme="minorEastAsia" w:cstheme="minorEastAsia"/>
          <w:color w:val="000000"/>
          <w:sz w:val="28"/>
          <w:szCs w:val="28"/>
          <w:lang w:eastAsia="zh-CN"/>
        </w:rPr>
        <w:t>送市疫病预防控制中心开展</w:t>
      </w:r>
      <w:bookmarkStart w:id="2" w:name="OLE_LINK12"/>
      <w:r>
        <w:rPr>
          <w:rFonts w:hint="eastAsia" w:asciiTheme="minorEastAsia" w:hAnsiTheme="minorEastAsia" w:eastAsiaTheme="minorEastAsia" w:cstheme="minorEastAsia"/>
          <w:color w:val="000000"/>
          <w:sz w:val="28"/>
          <w:szCs w:val="28"/>
          <w:lang w:eastAsia="zh-CN"/>
        </w:rPr>
        <w:t>非洲猪瘟专项监测和风险监测</w:t>
      </w:r>
      <w:bookmarkEnd w:id="2"/>
      <w:bookmarkStart w:id="3" w:name="OLE_LINK7"/>
      <w:r>
        <w:rPr>
          <w:rFonts w:hint="eastAsia" w:asciiTheme="minorEastAsia" w:hAnsiTheme="minorEastAsia" w:eastAsiaTheme="minorEastAsia" w:cstheme="minorEastAsia"/>
          <w:sz w:val="28"/>
          <w:szCs w:val="28"/>
          <w:lang w:val="en-US" w:eastAsia="zh-CN"/>
        </w:rPr>
        <w:t>，全面完成</w:t>
      </w:r>
      <w:r>
        <w:rPr>
          <w:rFonts w:hint="eastAsia" w:asciiTheme="minorEastAsia" w:hAnsiTheme="minorEastAsia" w:eastAsiaTheme="minorEastAsia" w:cstheme="minorEastAsia"/>
          <w:color w:val="000000"/>
          <w:sz w:val="28"/>
          <w:szCs w:val="28"/>
          <w:lang w:eastAsia="zh-CN"/>
        </w:rPr>
        <w:t>非洲猪瘟专项监测和风险</w:t>
      </w:r>
      <w:r>
        <w:rPr>
          <w:rFonts w:hint="eastAsia" w:asciiTheme="minorEastAsia" w:hAnsiTheme="minorEastAsia" w:eastAsiaTheme="minorEastAsia" w:cstheme="minorEastAsia"/>
          <w:sz w:val="28"/>
          <w:szCs w:val="28"/>
          <w:lang w:val="en-US" w:eastAsia="zh-CN"/>
        </w:rPr>
        <w:t>监测任务。</w:t>
      </w:r>
      <w:bookmarkEnd w:id="3"/>
      <w:r>
        <w:rPr>
          <w:rFonts w:hint="eastAsia" w:asciiTheme="minorEastAsia" w:hAnsiTheme="minorEastAsia" w:eastAsiaTheme="minorEastAsia" w:cstheme="minorEastAsia"/>
          <w:sz w:val="28"/>
          <w:szCs w:val="28"/>
          <w:lang w:val="en-US" w:eastAsia="zh-CN"/>
        </w:rPr>
        <w:t>三是对郭镇建中村、马安村和海泰禽类临时屠宰点、八字门、娃娃塘、龙源、五里牌、夏万路、奇家岭等市场开展禽流感疫情监测，</w:t>
      </w:r>
      <w:r>
        <w:rPr>
          <w:rFonts w:hint="eastAsia" w:asciiTheme="minorEastAsia" w:hAnsiTheme="minorEastAsia" w:eastAsiaTheme="minorEastAsia" w:cstheme="minorEastAsia"/>
          <w:sz w:val="28"/>
          <w:szCs w:val="28"/>
          <w:vertAlign w:val="baseline"/>
          <w:lang w:val="en-US" w:eastAsia="zh-CN"/>
        </w:rPr>
        <w:t>检测结果均呈阴性。</w:t>
      </w:r>
      <w:r>
        <w:rPr>
          <w:rFonts w:hint="eastAsia" w:asciiTheme="minorEastAsia" w:hAnsiTheme="minorEastAsia" w:eastAsiaTheme="minorEastAsia" w:cstheme="minorEastAsia"/>
          <w:b w:val="0"/>
          <w:bCs w:val="0"/>
          <w:sz w:val="28"/>
          <w:szCs w:val="28"/>
          <w:vertAlign w:val="baseline"/>
          <w:lang w:val="en-US" w:eastAsia="zh-CN"/>
        </w:rPr>
        <w:t>四是在海泰牛羊屠宰场共采集羊血清、羊鼻拭子、羊场环境拭子送市动物疫病预防控制中心检测，检测结果均符合要求。五是配合</w:t>
      </w:r>
      <w:r>
        <w:rPr>
          <w:rFonts w:hint="eastAsia" w:asciiTheme="minorEastAsia" w:hAnsiTheme="minorEastAsia" w:eastAsiaTheme="minorEastAsia" w:cstheme="minorEastAsia"/>
          <w:sz w:val="28"/>
          <w:szCs w:val="28"/>
          <w:vertAlign w:val="baseline"/>
          <w:lang w:val="en-US" w:eastAsia="zh-CN"/>
        </w:rPr>
        <w:t>省兽医饲料监测所在湖南海泰食品有限公司采集车辆环境，淋巴结，猪肉，牛肉，鸡肉，肝脏，尿样，血清开展质量安全监测，</w:t>
      </w:r>
      <w:r>
        <w:rPr>
          <w:rFonts w:hint="eastAsia" w:asciiTheme="minorEastAsia" w:hAnsiTheme="minorEastAsia" w:eastAsiaTheme="minorEastAsia" w:cstheme="minorEastAsia"/>
          <w:b w:val="0"/>
          <w:bCs w:val="0"/>
          <w:sz w:val="28"/>
          <w:szCs w:val="28"/>
          <w:vertAlign w:val="baseline"/>
          <w:lang w:val="en-US" w:eastAsia="zh-CN"/>
        </w:rPr>
        <w:t>检测结果均符合要求。</w:t>
      </w:r>
    </w:p>
    <w:p w14:paraId="1189BFB8">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 4 \* GB3 \* MERGEFORMAT </w:instrText>
      </w:r>
      <w:r>
        <w:rPr>
          <w:rFonts w:hint="eastAsia" w:asciiTheme="minorEastAsia" w:hAnsiTheme="minorEastAsia" w:eastAsiaTheme="minorEastAsia" w:cstheme="minorEastAsia"/>
          <w:sz w:val="28"/>
          <w:szCs w:val="28"/>
          <w:lang w:val="en-US" w:eastAsia="zh-CN"/>
        </w:rPr>
        <w:fldChar w:fldCharType="separate"/>
      </w:r>
      <w:r>
        <w:t>④</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根据省、市区文件精神要求和年初财政预算，</w:t>
      </w:r>
      <w:r>
        <w:rPr>
          <w:rFonts w:hint="eastAsia" w:asciiTheme="minorEastAsia" w:hAnsiTheme="minorEastAsia" w:eastAsiaTheme="minorEastAsia" w:cstheme="minorEastAsia"/>
          <w:color w:val="000000"/>
          <w:kern w:val="0"/>
          <w:sz w:val="28"/>
          <w:szCs w:val="28"/>
          <w:lang w:val="en-US" w:eastAsia="zh-CN" w:bidi="ar"/>
        </w:rPr>
        <w:t>于4月底已</w:t>
      </w:r>
      <w:r>
        <w:rPr>
          <w:rFonts w:hint="eastAsia" w:asciiTheme="minorEastAsia" w:hAnsiTheme="minorEastAsia" w:eastAsiaTheme="minorEastAsia" w:cstheme="minorEastAsia"/>
          <w:sz w:val="28"/>
          <w:szCs w:val="28"/>
          <w:lang w:val="en-US" w:eastAsia="zh-CN"/>
        </w:rPr>
        <w:t>按照《县级</w:t>
      </w:r>
      <w:r>
        <w:rPr>
          <w:rFonts w:hint="eastAsia" w:asciiTheme="minorEastAsia" w:hAnsiTheme="minorEastAsia" w:eastAsiaTheme="minorEastAsia" w:cstheme="minorEastAsia"/>
          <w:sz w:val="28"/>
          <w:szCs w:val="28"/>
        </w:rPr>
        <w:t>兽医系统实验室</w:t>
      </w:r>
      <w:r>
        <w:rPr>
          <w:rFonts w:hint="eastAsia" w:asciiTheme="minorEastAsia" w:hAnsiTheme="minorEastAsia" w:eastAsiaTheme="minorEastAsia" w:cstheme="minorEastAsia"/>
          <w:sz w:val="28"/>
          <w:szCs w:val="28"/>
          <w:lang w:val="en-US" w:eastAsia="zh-CN"/>
        </w:rPr>
        <w:t>现场</w:t>
      </w:r>
      <w:r>
        <w:rPr>
          <w:rFonts w:hint="eastAsia" w:asciiTheme="minorEastAsia" w:hAnsiTheme="minorEastAsia" w:eastAsiaTheme="minorEastAsia" w:cstheme="minorEastAsia"/>
          <w:sz w:val="28"/>
          <w:szCs w:val="28"/>
        </w:rPr>
        <w:t>考核</w:t>
      </w:r>
      <w:r>
        <w:rPr>
          <w:rFonts w:hint="eastAsia" w:asciiTheme="minorEastAsia" w:hAnsiTheme="minorEastAsia" w:eastAsiaTheme="minorEastAsia" w:cstheme="minorEastAsia"/>
          <w:sz w:val="28"/>
          <w:szCs w:val="28"/>
          <w:lang w:val="en-US" w:eastAsia="zh-CN"/>
        </w:rPr>
        <w:t>细则</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和</w:t>
      </w:r>
      <w:r>
        <w:rPr>
          <w:rFonts w:hint="eastAsia" w:asciiTheme="minorEastAsia" w:hAnsiTheme="minorEastAsia" w:eastAsiaTheme="minorEastAsia" w:cstheme="minorEastAsia"/>
          <w:sz w:val="28"/>
          <w:szCs w:val="28"/>
          <w:lang w:eastAsia="zh-CN"/>
        </w:rPr>
        <w:t>非洲猪瘟检测实验室建设</w:t>
      </w:r>
      <w:r>
        <w:rPr>
          <w:rFonts w:hint="eastAsia" w:asciiTheme="minorEastAsia" w:hAnsiTheme="minorEastAsia" w:eastAsiaTheme="minorEastAsia" w:cstheme="minorEastAsia"/>
          <w:sz w:val="28"/>
          <w:szCs w:val="28"/>
          <w:lang w:val="en-US" w:eastAsia="zh-CN"/>
        </w:rPr>
        <w:t>要求，按时完成动物疫病诊断监测体系建设，于2022年6月22-23日邀请省级兽医实验室考核组来验收合格，于8月份颁发兽医实验室考核合格证书。</w:t>
      </w:r>
    </w:p>
    <w:p w14:paraId="5DF1425B">
      <w:pPr>
        <w:bidi w:val="0"/>
        <w:ind w:firstLine="560" w:firstLineChars="200"/>
        <w:rPr>
          <w:rFonts w:hint="eastAsia"/>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 5 \* GB3 \* MERGEFORMAT </w:instrText>
      </w:r>
      <w:r>
        <w:rPr>
          <w:rFonts w:hint="eastAsia" w:asciiTheme="minorEastAsia" w:hAnsiTheme="minorEastAsia" w:eastAsiaTheme="minorEastAsia" w:cstheme="minorEastAsia"/>
          <w:sz w:val="28"/>
          <w:szCs w:val="28"/>
          <w:lang w:eastAsia="zh-CN"/>
        </w:rPr>
        <w:fldChar w:fldCharType="separate"/>
      </w:r>
      <w:r>
        <w:t>⑤</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开展农产品质量安全监测情况</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color w:val="000000"/>
          <w:spacing w:val="4"/>
          <w:kern w:val="0"/>
          <w:sz w:val="28"/>
          <w:szCs w:val="28"/>
          <w:lang w:val="en-US" w:eastAsia="zh-CN"/>
        </w:rPr>
        <w:t>一是</w:t>
      </w:r>
      <w:r>
        <w:rPr>
          <w:rFonts w:hint="eastAsia" w:asciiTheme="minorEastAsia" w:hAnsiTheme="minorEastAsia" w:eastAsiaTheme="minorEastAsia" w:cstheme="minorEastAsia"/>
          <w:color w:val="000000"/>
          <w:spacing w:val="4"/>
          <w:kern w:val="0"/>
          <w:sz w:val="28"/>
          <w:szCs w:val="28"/>
        </w:rPr>
        <w:t>制订了蔬菜例行监测工作方案，明确了监测范围、抽样地点、监测要求、监测种类、数量及时间安排等，形成了对农产品例行监测的长效机制。</w:t>
      </w:r>
      <w:r>
        <w:rPr>
          <w:rFonts w:hint="eastAsia" w:asciiTheme="minorEastAsia" w:hAnsiTheme="minorEastAsia" w:eastAsiaTheme="minorEastAsia" w:cstheme="minorEastAsia"/>
          <w:color w:val="000000"/>
          <w:spacing w:val="4"/>
          <w:kern w:val="0"/>
          <w:sz w:val="28"/>
          <w:szCs w:val="28"/>
          <w:lang w:val="en-US" w:eastAsia="zh-CN"/>
        </w:rPr>
        <w:t>二是</w:t>
      </w:r>
      <w:r>
        <w:rPr>
          <w:rFonts w:hint="eastAsia" w:asciiTheme="minorEastAsia" w:hAnsiTheme="minorEastAsia" w:eastAsiaTheme="minorEastAsia" w:cstheme="minorEastAsia"/>
          <w:color w:val="000000"/>
          <w:spacing w:val="4"/>
          <w:kern w:val="0"/>
          <w:sz w:val="28"/>
          <w:szCs w:val="28"/>
        </w:rPr>
        <w:t>深入开展蔬菜农药残留超标的专项治理。加强生产过程中农药使用监管，加强对广大菜农科学用药技术指导和培训，印发了禁用农药名单，严格要求菜农把好安全间隔期。</w:t>
      </w:r>
      <w:r>
        <w:rPr>
          <w:rFonts w:hint="eastAsia" w:asciiTheme="minorEastAsia" w:hAnsiTheme="minorEastAsia" w:eastAsiaTheme="minorEastAsia" w:cstheme="minorEastAsia"/>
          <w:color w:val="000000"/>
          <w:spacing w:val="4"/>
          <w:kern w:val="0"/>
          <w:sz w:val="28"/>
          <w:szCs w:val="28"/>
          <w:lang w:val="en-US" w:eastAsia="zh-CN"/>
        </w:rPr>
        <w:t>三是</w:t>
      </w:r>
      <w:r>
        <w:rPr>
          <w:rFonts w:hint="eastAsia" w:asciiTheme="minorEastAsia" w:hAnsiTheme="minorEastAsia" w:eastAsiaTheme="minorEastAsia" w:cstheme="minorEastAsia"/>
          <w:bCs/>
          <w:color w:val="000000"/>
          <w:kern w:val="0"/>
          <w:sz w:val="28"/>
          <w:szCs w:val="28"/>
        </w:rPr>
        <w:t>蔬菜农残检测工作保持常态化、制度化。定期</w:t>
      </w:r>
      <w:r>
        <w:rPr>
          <w:rFonts w:hint="eastAsia" w:asciiTheme="minorEastAsia" w:hAnsiTheme="minorEastAsia" w:eastAsiaTheme="minorEastAsia" w:cstheme="minorEastAsia"/>
          <w:bCs/>
          <w:color w:val="000000"/>
          <w:kern w:val="0"/>
          <w:sz w:val="28"/>
          <w:szCs w:val="28"/>
          <w:lang w:val="en-US" w:eastAsia="zh-CN"/>
        </w:rPr>
        <w:t>和</w:t>
      </w:r>
      <w:r>
        <w:rPr>
          <w:rFonts w:hint="eastAsia" w:asciiTheme="minorEastAsia" w:hAnsiTheme="minorEastAsia" w:eastAsiaTheme="minorEastAsia" w:cstheme="minorEastAsia"/>
          <w:color w:val="000000"/>
          <w:sz w:val="28"/>
          <w:szCs w:val="28"/>
        </w:rPr>
        <w:t>配合省市农产品质量安全检测中心</w:t>
      </w:r>
      <w:r>
        <w:rPr>
          <w:rFonts w:hint="eastAsia" w:asciiTheme="minorEastAsia" w:hAnsiTheme="minorEastAsia" w:eastAsiaTheme="minorEastAsia" w:cstheme="minorEastAsia"/>
          <w:bCs/>
          <w:color w:val="000000"/>
          <w:kern w:val="0"/>
          <w:sz w:val="28"/>
          <w:szCs w:val="28"/>
        </w:rPr>
        <w:t>对生产基地进行例行抽样检测</w:t>
      </w:r>
      <w:r>
        <w:rPr>
          <w:rFonts w:hint="eastAsia" w:asciiTheme="minorEastAsia" w:hAnsiTheme="minorEastAsia" w:eastAsiaTheme="minorEastAsia" w:cstheme="minorEastAsia"/>
          <w:bCs/>
          <w:color w:val="000000"/>
          <w:kern w:val="0"/>
          <w:sz w:val="28"/>
          <w:szCs w:val="28"/>
          <w:lang w:val="en-US" w:eastAsia="zh-CN"/>
        </w:rPr>
        <w:t>,</w:t>
      </w:r>
      <w:r>
        <w:rPr>
          <w:rFonts w:hint="eastAsia" w:asciiTheme="minorEastAsia" w:hAnsiTheme="minorEastAsia" w:eastAsiaTheme="minorEastAsia" w:cstheme="minorEastAsia"/>
          <w:sz w:val="28"/>
          <w:szCs w:val="28"/>
        </w:rPr>
        <w:t>今年来全区未发生一例农产品安全事故。</w:t>
      </w:r>
      <w:r>
        <w:rPr>
          <w:rFonts w:hint="eastAsia" w:asciiTheme="minorEastAsia" w:hAnsiTheme="minorEastAsia" w:eastAsiaTheme="minorEastAsia" w:cstheme="minorEastAsia"/>
          <w:sz w:val="28"/>
          <w:szCs w:val="28"/>
          <w:lang w:val="en-US" w:eastAsia="zh-CN"/>
        </w:rPr>
        <w:t>四是定量检测任务由我中心委托第三方深圳信测标准技术服务有限公司开展对岳阳市楼区农产品质量安全监测计划服务项目抽检工作。完成农产品定量抽检共计300批次，经第三方公司检测全部合格。</w:t>
      </w:r>
    </w:p>
    <w:p w14:paraId="15258921">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存在的问题及原因分析</w:t>
      </w:r>
    </w:p>
    <w:p w14:paraId="702BB3DD">
      <w:pPr>
        <w:pStyle w:val="2"/>
        <w:numPr>
          <w:ilvl w:val="0"/>
          <w:numId w:val="0"/>
        </w:num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基本支出经费方面综合近几年我单位批复预算看，预算执行基本围绕在职人员工资及经费、退休人员绩效支出、保正常运转进行。而近两年我单位退休职工人数日益增多但经费方面无预算来源，且扶贫、食堂等支出压力较大。</w:t>
      </w:r>
    </w:p>
    <w:p w14:paraId="5ACB09DA">
      <w:pPr>
        <w:numPr>
          <w:ilvl w:val="0"/>
          <w:numId w:val="0"/>
        </w:numPr>
        <w:ind w:firstLine="560" w:firstLineChars="200"/>
        <w:rPr>
          <w:rFonts w:hint="eastAsia" w:asciiTheme="minorEastAsia" w:hAnsiTheme="minorEastAsia" w:eastAsiaTheme="minorEastAsia" w:cstheme="minorEastAsia"/>
          <w:sz w:val="28"/>
          <w:szCs w:val="28"/>
          <w:lang w:val="en-US" w:eastAsia="zh-CN"/>
        </w:rPr>
      </w:pPr>
      <w:r>
        <w:rPr>
          <w:rFonts w:hint="eastAsia"/>
          <w:sz w:val="28"/>
          <w:szCs w:val="28"/>
          <w:lang w:val="en-US" w:eastAsia="zh-CN"/>
        </w:rPr>
        <w:t>2、科学合理编制预算，严格执行预算。鉴于我单位工作点多线长面广，工作任务繁重，重点工作任务重，年初财政预算需要进一步细化预算编制，编制范围尽可能的全面不漏项，以便在预算执行中严格按照预算科目支出。为各项工作顺利开展提供资金保证。</w:t>
      </w:r>
    </w:p>
    <w:p w14:paraId="0EB6C13B">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3F72F587">
      <w:pPr>
        <w:pStyle w:val="2"/>
        <w:numPr>
          <w:ilvl w:val="0"/>
          <w:numId w:val="4"/>
        </w:num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完善管理制度，进一步贯彻落实中央八项规定，完善本部门“三公经费”等公务支出管理制度及例行节约制度。加强经费审批和控制，规范支出标准和范围并严格执行。严格按照固定资产管理办法的规定，加强固定资产管理，及时登记、更新台账。加强资产卡片管理，年终对各类实物资产进行全面盘点，确保账实相符。</w:t>
      </w:r>
    </w:p>
    <w:p w14:paraId="6CEBC699">
      <w:pPr>
        <w:pStyle w:val="2"/>
        <w:numPr>
          <w:ilvl w:val="0"/>
          <w:numId w:val="0"/>
        </w:num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2、根据确定的年度绩效管理目标制定具体实施计划，明确内部业务分工，落实人员及其工作职责，加强业务学习，明确时序进度和目标要求，总结汇集工作成果。</w:t>
      </w:r>
    </w:p>
    <w:p w14:paraId="740364A3">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78BB7FAF">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Theme="minorEastAsia" w:hAnsiTheme="minorEastAsia" w:eastAsiaTheme="minorEastAsia" w:cstheme="minorEastAsia"/>
          <w:color w:val="000000" w:themeColor="text1"/>
          <w:spacing w:val="0"/>
          <w:positio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lang w:val="en-US" w:eastAsia="zh-CN"/>
          <w14:textFill>
            <w14:solidFill>
              <w14:schemeClr w14:val="tx1"/>
            </w14:solidFill>
          </w14:textFill>
        </w:rPr>
        <w:t>1、通过绩效自评结果，总结经验，发现问题，提出改进的方向和具体措施，促进工作的开展。</w:t>
      </w:r>
    </w:p>
    <w:p w14:paraId="4BC8A3F1">
      <w:pPr>
        <w:pStyle w:val="2"/>
        <w:ind w:firstLine="560" w:firstLineChars="200"/>
        <w:rPr>
          <w:rFonts w:hint="eastAsia" w:asciiTheme="minorEastAsia" w:hAnsiTheme="minorEastAsia" w:eastAsiaTheme="minorEastAsia" w:cstheme="minorEastAsia"/>
          <w:color w:val="000000" w:themeColor="text1"/>
          <w:spacing w:val="0"/>
          <w:positio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position w:val="0"/>
          <w:sz w:val="28"/>
          <w:szCs w:val="28"/>
          <w:lang w:val="en-US" w:eastAsia="zh-CN"/>
          <w14:textFill>
            <w14:solidFill>
              <w14:schemeClr w14:val="tx1"/>
            </w14:solidFill>
          </w14:textFill>
        </w:rPr>
        <w:t>2、将自评结果在单位宣传栏进行粘贴公示。</w:t>
      </w:r>
    </w:p>
    <w:p w14:paraId="4E7D9CF1">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78FE3B4A">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03510593">
      <w:pPr>
        <w:keepNext w:val="0"/>
        <w:keepLines w:val="0"/>
        <w:pageBreakBefore w:val="0"/>
        <w:widowControl w:val="0"/>
        <w:kinsoku/>
        <w:wordWrap/>
        <w:overflowPunct/>
        <w:topLinePunct w:val="0"/>
        <w:autoSpaceDE/>
        <w:autoSpaceDN/>
        <w:bidi w:val="0"/>
        <w:adjustRightInd/>
        <w:snapToGrid/>
        <w:spacing w:line="776" w:lineRule="exact"/>
        <w:jc w:val="both"/>
        <w:textAlignment w:val="auto"/>
        <w:rPr>
          <w:rFonts w:hint="eastAsia" w:asciiTheme="minorEastAsia" w:hAnsiTheme="minorEastAsia" w:eastAsiaTheme="minorEastAsia" w:cstheme="minorEastAsia"/>
          <w:b w:val="0"/>
          <w:bCs w:val="0"/>
          <w:color w:val="000000" w:themeColor="text1"/>
          <w:spacing w:val="19"/>
          <w:position w:val="17"/>
          <w:sz w:val="28"/>
          <w:szCs w:val="28"/>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9"/>
          <w:position w:val="17"/>
          <w:sz w:val="28"/>
          <w:szCs w:val="28"/>
          <w:lang w:eastAsia="zh-CN"/>
          <w14:textFill>
            <w14:solidFill>
              <w14:schemeClr w14:val="tx1"/>
            </w14:solidFill>
          </w14:textFill>
        </w:rPr>
        <w:t>报告需要以下附件：</w:t>
      </w:r>
    </w:p>
    <w:p w14:paraId="04F5AD85">
      <w:pPr>
        <w:keepNext w:val="0"/>
        <w:keepLines w:val="0"/>
        <w:pageBreakBefore w:val="0"/>
        <w:widowControl w:val="0"/>
        <w:numPr>
          <w:ilvl w:val="0"/>
          <w:numId w:val="0"/>
        </w:numPr>
        <w:kinsoku/>
        <w:wordWrap/>
        <w:overflowPunct/>
        <w:topLinePunct w:val="0"/>
        <w:autoSpaceDE/>
        <w:autoSpaceDN/>
        <w:bidi w:val="0"/>
        <w:adjustRightInd/>
        <w:snapToGrid/>
        <w:spacing w:line="776" w:lineRule="exact"/>
        <w:jc w:val="both"/>
        <w:textAlignment w:val="auto"/>
        <w:rPr>
          <w:rFonts w:hint="eastAsia" w:asciiTheme="minorEastAsia" w:hAnsiTheme="minorEastAsia" w:eastAsiaTheme="minorEastAsia" w:cstheme="minorEastAsia"/>
          <w:b w:val="0"/>
          <w:bCs w:val="0"/>
          <w:color w:val="000000" w:themeColor="text1"/>
          <w:spacing w:val="19"/>
          <w:position w:val="17"/>
          <w:sz w:val="28"/>
          <w:szCs w:val="28"/>
          <w:lang w:eastAsia="zh-CN"/>
          <w14:textFill>
            <w14:solidFill>
              <w14:schemeClr w14:val="tx1"/>
            </w14:solidFill>
          </w14:textFill>
        </w:rPr>
      </w:pPr>
      <w:r>
        <w:rPr>
          <w:rFonts w:hint="eastAsia" w:asciiTheme="minorEastAsia" w:hAnsiTheme="minorEastAsia" w:cstheme="minorEastAsia"/>
          <w:b w:val="0"/>
          <w:bCs w:val="0"/>
          <w:color w:val="000000" w:themeColor="text1"/>
          <w:spacing w:val="19"/>
          <w:position w:val="17"/>
          <w:sz w:val="28"/>
          <w:szCs w:val="28"/>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19"/>
          <w:position w:val="17"/>
          <w:sz w:val="28"/>
          <w:szCs w:val="28"/>
          <w:lang w:eastAsia="zh-CN"/>
          <w14:textFill>
            <w14:solidFill>
              <w14:schemeClr w14:val="tx1"/>
            </w14:solidFill>
          </w14:textFill>
        </w:rPr>
        <w:t>部门整体支出绩效评价基础数据表</w:t>
      </w:r>
    </w:p>
    <w:p w14:paraId="64C88C92">
      <w:pPr>
        <w:keepNext w:val="0"/>
        <w:keepLines w:val="0"/>
        <w:pageBreakBefore w:val="0"/>
        <w:widowControl w:val="0"/>
        <w:numPr>
          <w:ilvl w:val="0"/>
          <w:numId w:val="0"/>
        </w:numPr>
        <w:kinsoku/>
        <w:wordWrap/>
        <w:overflowPunct/>
        <w:topLinePunct w:val="0"/>
        <w:autoSpaceDE/>
        <w:autoSpaceDN/>
        <w:bidi w:val="0"/>
        <w:adjustRightInd/>
        <w:snapToGrid/>
        <w:spacing w:line="776" w:lineRule="exact"/>
        <w:jc w:val="both"/>
        <w:textAlignment w:val="auto"/>
        <w:rPr>
          <w:rFonts w:hint="eastAsia" w:asciiTheme="minorEastAsia" w:hAnsiTheme="minorEastAsia" w:eastAsiaTheme="minorEastAsia" w:cstheme="minorEastAsia"/>
          <w:b w:val="0"/>
          <w:bCs w:val="0"/>
          <w:color w:val="000000" w:themeColor="text1"/>
          <w:spacing w:val="19"/>
          <w:position w:val="17"/>
          <w:sz w:val="28"/>
          <w:szCs w:val="28"/>
          <w:lang w:eastAsia="zh-CN"/>
          <w14:textFill>
            <w14:solidFill>
              <w14:schemeClr w14:val="tx1"/>
            </w14:solidFill>
          </w14:textFill>
        </w:rPr>
      </w:pPr>
      <w:r>
        <w:rPr>
          <w:rFonts w:hint="eastAsia" w:asciiTheme="minorEastAsia" w:hAnsiTheme="minorEastAsia" w:cstheme="minorEastAsia"/>
          <w:b w:val="0"/>
          <w:bCs w:val="0"/>
          <w:color w:val="000000" w:themeColor="text1"/>
          <w:spacing w:val="19"/>
          <w:position w:val="17"/>
          <w:sz w:val="28"/>
          <w:szCs w:val="28"/>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pacing w:val="19"/>
          <w:position w:val="17"/>
          <w:sz w:val="28"/>
          <w:szCs w:val="28"/>
          <w:lang w:eastAsia="zh-CN"/>
          <w14:textFill>
            <w14:solidFill>
              <w14:schemeClr w14:val="tx1"/>
            </w14:solidFill>
          </w14:textFill>
        </w:rPr>
        <w:t>部门整体支出绩效自评表</w:t>
      </w:r>
    </w:p>
    <w:p w14:paraId="42A5ABFC">
      <w:pPr>
        <w:keepNext w:val="0"/>
        <w:keepLines w:val="0"/>
        <w:pageBreakBefore w:val="0"/>
        <w:widowControl w:val="0"/>
        <w:numPr>
          <w:ilvl w:val="0"/>
          <w:numId w:val="0"/>
        </w:numPr>
        <w:kinsoku/>
        <w:wordWrap/>
        <w:overflowPunct/>
        <w:topLinePunct w:val="0"/>
        <w:autoSpaceDE/>
        <w:autoSpaceDN/>
        <w:bidi w:val="0"/>
        <w:adjustRightInd/>
        <w:snapToGrid/>
        <w:spacing w:line="776" w:lineRule="exact"/>
        <w:jc w:val="both"/>
        <w:textAlignment w:val="auto"/>
        <w:rPr>
          <w:rFonts w:hint="eastAsia" w:asciiTheme="minorEastAsia" w:hAnsiTheme="minorEastAsia" w:eastAsiaTheme="minorEastAsia" w:cstheme="minorEastAsia"/>
          <w:b w:val="0"/>
          <w:bCs w:val="0"/>
          <w:color w:val="000000" w:themeColor="text1"/>
          <w:spacing w:val="19"/>
          <w:position w:val="17"/>
          <w:sz w:val="28"/>
          <w:szCs w:val="28"/>
          <w:lang w:eastAsia="zh-CN"/>
          <w14:textFill>
            <w14:solidFill>
              <w14:schemeClr w14:val="tx1"/>
            </w14:solidFill>
          </w14:textFill>
        </w:rPr>
      </w:pPr>
      <w:r>
        <w:rPr>
          <w:rFonts w:hint="eastAsia" w:asciiTheme="minorEastAsia" w:hAnsiTheme="minorEastAsia" w:cstheme="minorEastAsia"/>
          <w:b w:val="0"/>
          <w:bCs w:val="0"/>
          <w:color w:val="000000" w:themeColor="text1"/>
          <w:spacing w:val="19"/>
          <w:position w:val="17"/>
          <w:sz w:val="28"/>
          <w:szCs w:val="28"/>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19"/>
          <w:position w:val="17"/>
          <w:sz w:val="28"/>
          <w:szCs w:val="28"/>
          <w:lang w:eastAsia="zh-CN"/>
          <w14:textFill>
            <w14:solidFill>
              <w14:schemeClr w14:val="tx1"/>
            </w14:solidFill>
          </w14:textFill>
        </w:rPr>
        <w:t>项目支出绩效自评表（一个一级项目支出一张表）</w:t>
      </w:r>
    </w:p>
    <w:p w14:paraId="7A89E8F1">
      <w:pPr>
        <w:keepNext w:val="0"/>
        <w:keepLines w:val="0"/>
        <w:pageBreakBefore w:val="0"/>
        <w:widowControl w:val="0"/>
        <w:numPr>
          <w:ilvl w:val="0"/>
          <w:numId w:val="0"/>
        </w:numPr>
        <w:kinsoku/>
        <w:wordWrap/>
        <w:overflowPunct/>
        <w:topLinePunct w:val="0"/>
        <w:autoSpaceDE/>
        <w:autoSpaceDN/>
        <w:bidi w:val="0"/>
        <w:adjustRightInd/>
        <w:snapToGrid/>
        <w:spacing w:line="776" w:lineRule="exact"/>
        <w:jc w:val="both"/>
        <w:textAlignment w:val="auto"/>
        <w:rPr>
          <w:rFonts w:hint="eastAsia" w:asciiTheme="minorEastAsia" w:hAnsiTheme="minorEastAsia" w:eastAsiaTheme="minorEastAsia" w:cstheme="minorEastAsia"/>
          <w:b w:val="0"/>
          <w:bCs w:val="0"/>
          <w:color w:val="000000" w:themeColor="text1"/>
          <w:spacing w:val="19"/>
          <w:position w:val="17"/>
          <w:sz w:val="28"/>
          <w:szCs w:val="28"/>
          <w:lang w:eastAsia="zh-CN"/>
          <w14:textFill>
            <w14:solidFill>
              <w14:schemeClr w14:val="tx1"/>
            </w14:solidFill>
          </w14:textFill>
        </w:rPr>
      </w:pPr>
      <w:r>
        <w:rPr>
          <w:rFonts w:hint="eastAsia" w:asciiTheme="minorEastAsia" w:hAnsiTheme="minorEastAsia" w:cstheme="minorEastAsia"/>
          <w:b w:val="0"/>
          <w:bCs w:val="0"/>
          <w:color w:val="000000" w:themeColor="text1"/>
          <w:spacing w:val="19"/>
          <w:position w:val="17"/>
          <w:sz w:val="28"/>
          <w:szCs w:val="28"/>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pacing w:val="19"/>
          <w:position w:val="17"/>
          <w:sz w:val="28"/>
          <w:szCs w:val="28"/>
          <w:lang w:eastAsia="zh-CN"/>
          <w14:textFill>
            <w14:solidFill>
              <w14:schemeClr w14:val="tx1"/>
            </w14:solidFill>
          </w14:textFill>
        </w:rPr>
        <w:t>政府性基金预算支出情况表</w:t>
      </w:r>
    </w:p>
    <w:p w14:paraId="1881705C">
      <w:pPr>
        <w:keepNext w:val="0"/>
        <w:keepLines w:val="0"/>
        <w:pageBreakBefore w:val="0"/>
        <w:widowControl w:val="0"/>
        <w:numPr>
          <w:ilvl w:val="0"/>
          <w:numId w:val="0"/>
        </w:numPr>
        <w:kinsoku/>
        <w:wordWrap/>
        <w:overflowPunct/>
        <w:topLinePunct w:val="0"/>
        <w:autoSpaceDE/>
        <w:autoSpaceDN/>
        <w:bidi w:val="0"/>
        <w:adjustRightInd/>
        <w:snapToGrid/>
        <w:spacing w:line="776" w:lineRule="exact"/>
        <w:jc w:val="both"/>
        <w:textAlignment w:val="auto"/>
        <w:rPr>
          <w:rFonts w:hint="eastAsia" w:asciiTheme="minorEastAsia" w:hAnsiTheme="minorEastAsia" w:eastAsiaTheme="minorEastAsia" w:cstheme="minorEastAsia"/>
          <w:b w:val="0"/>
          <w:bCs w:val="0"/>
          <w:color w:val="000000" w:themeColor="text1"/>
          <w:spacing w:val="19"/>
          <w:position w:val="17"/>
          <w:sz w:val="28"/>
          <w:szCs w:val="28"/>
          <w:lang w:eastAsia="zh-CN"/>
          <w14:textFill>
            <w14:solidFill>
              <w14:schemeClr w14:val="tx1"/>
            </w14:solidFill>
          </w14:textFill>
        </w:rPr>
      </w:pPr>
      <w:r>
        <w:rPr>
          <w:rFonts w:hint="eastAsia" w:asciiTheme="minorEastAsia" w:hAnsiTheme="minorEastAsia" w:cstheme="minorEastAsia"/>
          <w:b w:val="0"/>
          <w:bCs w:val="0"/>
          <w:color w:val="000000" w:themeColor="text1"/>
          <w:spacing w:val="19"/>
          <w:position w:val="17"/>
          <w:sz w:val="28"/>
          <w:szCs w:val="28"/>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pacing w:val="19"/>
          <w:position w:val="17"/>
          <w:sz w:val="28"/>
          <w:szCs w:val="28"/>
          <w:lang w:eastAsia="zh-CN"/>
          <w14:textFill>
            <w14:solidFill>
              <w14:schemeClr w14:val="tx1"/>
            </w14:solidFill>
          </w14:textFill>
        </w:rPr>
        <w:t>国有资本经营预算支出情况表</w:t>
      </w:r>
    </w:p>
    <w:p w14:paraId="540BBD18">
      <w:pPr>
        <w:keepNext w:val="0"/>
        <w:keepLines w:val="0"/>
        <w:pageBreakBefore w:val="0"/>
        <w:widowControl w:val="0"/>
        <w:numPr>
          <w:ilvl w:val="0"/>
          <w:numId w:val="0"/>
        </w:numPr>
        <w:kinsoku/>
        <w:wordWrap/>
        <w:overflowPunct/>
        <w:topLinePunct w:val="0"/>
        <w:autoSpaceDE/>
        <w:autoSpaceDN/>
        <w:bidi w:val="0"/>
        <w:adjustRightInd/>
        <w:snapToGrid/>
        <w:spacing w:line="776" w:lineRule="exact"/>
        <w:jc w:val="both"/>
        <w:textAlignment w:val="auto"/>
        <w:rPr>
          <w:rFonts w:hint="eastAsia" w:asciiTheme="minorEastAsia" w:hAnsiTheme="minorEastAsia" w:eastAsiaTheme="minorEastAsia" w:cstheme="minorEastAsia"/>
          <w:b w:val="0"/>
          <w:bCs w:val="0"/>
          <w:color w:val="000000" w:themeColor="text1"/>
          <w:spacing w:val="19"/>
          <w:position w:val="17"/>
          <w:sz w:val="28"/>
          <w:szCs w:val="28"/>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r>
        <w:rPr>
          <w:rFonts w:hint="eastAsia" w:asciiTheme="minorEastAsia" w:hAnsiTheme="minorEastAsia" w:cstheme="minorEastAsia"/>
          <w:b w:val="0"/>
          <w:bCs w:val="0"/>
          <w:color w:val="000000" w:themeColor="text1"/>
          <w:spacing w:val="19"/>
          <w:position w:val="17"/>
          <w:sz w:val="28"/>
          <w:szCs w:val="28"/>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pacing w:val="19"/>
          <w:position w:val="17"/>
          <w:sz w:val="28"/>
          <w:szCs w:val="28"/>
          <w:lang w:eastAsia="zh-CN"/>
          <w14:textFill>
            <w14:solidFill>
              <w14:schemeClr w14:val="tx1"/>
            </w14:solidFill>
          </w14:textFill>
        </w:rPr>
        <w:t>社会保险基金预算支出情况</w:t>
      </w:r>
    </w:p>
    <w:p w14:paraId="5E8925E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14:paraId="6EA3ED2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45B44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2D083FBB">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14:paraId="0C97AF50">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14:paraId="050FFCA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兽医实验室建设</w:t>
            </w:r>
          </w:p>
        </w:tc>
      </w:tr>
      <w:tr w14:paraId="1E6C3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5DD752C5">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14:paraId="2BFDF5F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楼区农业农村局</w:t>
            </w:r>
          </w:p>
        </w:tc>
        <w:tc>
          <w:tcPr>
            <w:tcW w:w="1140" w:type="dxa"/>
            <w:noWrap w:val="0"/>
            <w:vAlign w:val="center"/>
          </w:tcPr>
          <w:p w14:paraId="037966DD">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14:paraId="5B17DBE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楼区农产品综合检验检测中心</w:t>
            </w:r>
          </w:p>
        </w:tc>
      </w:tr>
      <w:tr w14:paraId="51B45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0E7BBF41">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14:paraId="76448CD1">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14:paraId="19896F4F">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14:paraId="2986983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14:paraId="12B38BF8">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22C249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14:paraId="1F8C0A2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14:paraId="73D4547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72B96AC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14:paraId="4110994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2FC838A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14:paraId="5B6A790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7FAF65E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14:paraId="3EF0A10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7AD53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49D3F8B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3E45A6F0">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14:paraId="73793FC3">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60</w:t>
            </w:r>
          </w:p>
        </w:tc>
        <w:tc>
          <w:tcPr>
            <w:tcW w:w="1131" w:type="dxa"/>
            <w:noWrap w:val="0"/>
            <w:vAlign w:val="center"/>
          </w:tcPr>
          <w:p w14:paraId="4F0BB24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56.8</w:t>
            </w:r>
          </w:p>
        </w:tc>
        <w:tc>
          <w:tcPr>
            <w:tcW w:w="1140" w:type="dxa"/>
            <w:noWrap w:val="0"/>
            <w:vAlign w:val="center"/>
          </w:tcPr>
          <w:p w14:paraId="36CF4DF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56.8</w:t>
            </w:r>
          </w:p>
        </w:tc>
        <w:tc>
          <w:tcPr>
            <w:tcW w:w="685" w:type="dxa"/>
            <w:noWrap w:val="0"/>
            <w:vAlign w:val="center"/>
          </w:tcPr>
          <w:p w14:paraId="3AC98892">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14:paraId="47974DE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365" w:type="dxa"/>
            <w:noWrap w:val="0"/>
            <w:vAlign w:val="center"/>
          </w:tcPr>
          <w:p w14:paraId="5DEE951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r>
      <w:tr w14:paraId="3D550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762C730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39097885">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14:paraId="5C2DD19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60</w:t>
            </w:r>
          </w:p>
        </w:tc>
        <w:tc>
          <w:tcPr>
            <w:tcW w:w="1131" w:type="dxa"/>
            <w:noWrap w:val="0"/>
            <w:vAlign w:val="center"/>
          </w:tcPr>
          <w:p w14:paraId="272269A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56.8</w:t>
            </w:r>
          </w:p>
        </w:tc>
        <w:tc>
          <w:tcPr>
            <w:tcW w:w="1140" w:type="dxa"/>
            <w:noWrap w:val="0"/>
            <w:vAlign w:val="center"/>
          </w:tcPr>
          <w:p w14:paraId="4ACF915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56.8</w:t>
            </w:r>
          </w:p>
        </w:tc>
        <w:tc>
          <w:tcPr>
            <w:tcW w:w="685" w:type="dxa"/>
            <w:noWrap w:val="0"/>
            <w:vAlign w:val="center"/>
          </w:tcPr>
          <w:p w14:paraId="18101857">
            <w:pPr>
              <w:keepNext w:val="0"/>
              <w:keepLines w:val="0"/>
              <w:pageBreakBefore w:val="0"/>
              <w:widowControl w:val="0"/>
              <w:kinsoku/>
              <w:wordWrap/>
              <w:overflowPunct/>
              <w:topLinePunct w:val="0"/>
              <w:autoSpaceDE/>
              <w:autoSpaceDN/>
              <w:bidi w:val="0"/>
              <w:adjustRightInd/>
              <w:snapToGrid/>
              <w:spacing w:line="165" w:lineRule="exact"/>
              <w:ind w:left="0" w:leftChars="0" w:right="0" w:rightChars="0"/>
              <w:jc w:val="center"/>
              <w:textAlignment w:val="auto"/>
              <w:rPr>
                <w:rFonts w:ascii="宋体" w:hAnsi="宋体" w:eastAsia="宋体" w:cs="宋体"/>
                <w:color w:val="000000" w:themeColor="text1"/>
                <w:spacing w:val="0"/>
                <w:kern w:val="2"/>
                <w:sz w:val="21"/>
                <w:szCs w:val="21"/>
                <w:lang w:val="en-US" w:eastAsia="zh-CN" w:bidi="ar-SA"/>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14:paraId="0D50D131">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hAnsiTheme="minorHAnsi" w:eastAsiaTheme="minorEastAsia" w:cstheme="minorBidi"/>
                <w:color w:val="000000" w:themeColor="text1"/>
                <w:spacing w:val="0"/>
                <w:kern w:val="2"/>
                <w:sz w:val="21"/>
                <w:szCs w:val="21"/>
                <w:lang w:val="en-US" w:eastAsia="zh-CN" w:bidi="ar-SA"/>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365" w:type="dxa"/>
            <w:noWrap w:val="0"/>
            <w:vAlign w:val="center"/>
          </w:tcPr>
          <w:p w14:paraId="78B27692">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hAnsiTheme="minorHAnsi" w:eastAsiaTheme="minorEastAsia" w:cstheme="minorBidi"/>
                <w:color w:val="000000" w:themeColor="text1"/>
                <w:spacing w:val="0"/>
                <w:kern w:val="2"/>
                <w:sz w:val="21"/>
                <w:szCs w:val="21"/>
                <w:lang w:val="en-US" w:eastAsia="zh-CN" w:bidi="ar-SA"/>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r>
      <w:tr w14:paraId="35C2E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7CEF362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6DBF1488">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14:paraId="71B80E5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0C2578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035104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CA0DAC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EECDA1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AF0D16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7C647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10910E1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23F215A8">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14:paraId="34D6288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6B2DD4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4DF44F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9DE0D1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DD1E0D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969589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3D63B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2E1FCB43">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14:paraId="271923D0">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14:paraId="65568A43">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14:paraId="284ED7F7">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020B6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4F91D6F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14:paraId="32D79B13">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根据《动物防疫法》和《生物安全法》的要求，县级以上人民政府应建立动物疫病预防控制机构，承担动物疫病的监测、检测、诊断、评估等技术工作。</w:t>
            </w:r>
          </w:p>
        </w:tc>
        <w:tc>
          <w:tcPr>
            <w:tcW w:w="3985" w:type="dxa"/>
            <w:gridSpan w:val="4"/>
            <w:noWrap w:val="0"/>
            <w:vAlign w:val="center"/>
          </w:tcPr>
          <w:p w14:paraId="6785DD9B">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于2022年6月22-23日邀请省级兽医实验室考核组来验收合格，于8月份颁发兽医实验室考核合格证书。</w:t>
            </w:r>
          </w:p>
        </w:tc>
      </w:tr>
      <w:tr w14:paraId="04FF2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602898C3">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14:paraId="149EC83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14:paraId="2534044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14:paraId="481F35F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14:paraId="5400765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14:paraId="140DB0C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14:paraId="72AF083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14:paraId="12D4F4F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14:paraId="5268E33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2FE00C9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14:paraId="2AAEA2D5">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14:paraId="1E1A6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14:paraId="15DAC8D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359D571E">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14:paraId="1E5801F2">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76ACC74F">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220D304C">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723FF8D6">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14:paraId="029B1FD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14:paraId="716B4E6C">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14:paraId="7889622E">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购置仪器设备数量</w:t>
            </w:r>
          </w:p>
        </w:tc>
        <w:tc>
          <w:tcPr>
            <w:tcW w:w="1131" w:type="dxa"/>
            <w:noWrap w:val="0"/>
            <w:vAlign w:val="center"/>
          </w:tcPr>
          <w:p w14:paraId="56A9B492">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13台</w:t>
            </w:r>
          </w:p>
        </w:tc>
        <w:tc>
          <w:tcPr>
            <w:tcW w:w="1140" w:type="dxa"/>
            <w:noWrap w:val="0"/>
            <w:vAlign w:val="center"/>
          </w:tcPr>
          <w:p w14:paraId="5C60D473">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13台</w:t>
            </w:r>
          </w:p>
        </w:tc>
        <w:tc>
          <w:tcPr>
            <w:tcW w:w="685" w:type="dxa"/>
            <w:noWrap w:val="0"/>
            <w:vAlign w:val="center"/>
          </w:tcPr>
          <w:p w14:paraId="3E40165F">
            <w:pPr>
              <w:keepNext w:val="0"/>
              <w:keepLines w:val="0"/>
              <w:widowControl/>
              <w:suppressLineNumbers w:val="0"/>
              <w:jc w:val="center"/>
              <w:textAlignment w:val="center"/>
              <w:rPr>
                <w:rFonts w:ascii="Arial"/>
                <w:color w:val="000000" w:themeColor="text1"/>
                <w:spacing w:val="0"/>
                <w:sz w:val="21"/>
                <w:szCs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7</w:t>
            </w:r>
          </w:p>
        </w:tc>
        <w:tc>
          <w:tcPr>
            <w:tcW w:w="795" w:type="dxa"/>
            <w:noWrap w:val="0"/>
            <w:vAlign w:val="center"/>
          </w:tcPr>
          <w:p w14:paraId="18578BB6">
            <w:pPr>
              <w:keepNext w:val="0"/>
              <w:keepLines w:val="0"/>
              <w:widowControl/>
              <w:suppressLineNumbers w:val="0"/>
              <w:jc w:val="center"/>
              <w:textAlignment w:val="center"/>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7</w:t>
            </w:r>
          </w:p>
        </w:tc>
        <w:tc>
          <w:tcPr>
            <w:tcW w:w="1365" w:type="dxa"/>
            <w:noWrap w:val="0"/>
            <w:vAlign w:val="center"/>
          </w:tcPr>
          <w:p w14:paraId="7D20B28E">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71A4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3779527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427FCF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C10094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339B2FD">
            <w:pPr>
              <w:keepNext w:val="0"/>
              <w:keepLines w:val="0"/>
              <w:pageBreakBefore w:val="0"/>
              <w:widowControl w:val="0"/>
              <w:tabs>
                <w:tab w:val="left" w:pos="458"/>
              </w:tabs>
              <w:kinsoku/>
              <w:wordWrap/>
              <w:overflowPunct/>
              <w:topLinePunct w:val="0"/>
              <w:autoSpaceDE/>
              <w:autoSpaceDN/>
              <w:bidi w:val="0"/>
              <w:adjustRightInd/>
              <w:snapToGrid/>
              <w:spacing w:line="24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改扩建工程数量</w:t>
            </w:r>
          </w:p>
        </w:tc>
        <w:tc>
          <w:tcPr>
            <w:tcW w:w="1131" w:type="dxa"/>
            <w:noWrap w:val="0"/>
            <w:vAlign w:val="center"/>
          </w:tcPr>
          <w:p w14:paraId="2BB6694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1</w:t>
            </w:r>
          </w:p>
        </w:tc>
        <w:tc>
          <w:tcPr>
            <w:tcW w:w="1140" w:type="dxa"/>
            <w:noWrap w:val="0"/>
            <w:vAlign w:val="center"/>
          </w:tcPr>
          <w:p w14:paraId="73D284F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1</w:t>
            </w:r>
          </w:p>
        </w:tc>
        <w:tc>
          <w:tcPr>
            <w:tcW w:w="685" w:type="dxa"/>
            <w:noWrap w:val="0"/>
            <w:vAlign w:val="center"/>
          </w:tcPr>
          <w:p w14:paraId="3F7AEF3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7</w:t>
            </w:r>
          </w:p>
        </w:tc>
        <w:tc>
          <w:tcPr>
            <w:tcW w:w="795" w:type="dxa"/>
            <w:noWrap w:val="0"/>
            <w:vAlign w:val="center"/>
          </w:tcPr>
          <w:p w14:paraId="411DAA0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7</w:t>
            </w:r>
          </w:p>
        </w:tc>
        <w:tc>
          <w:tcPr>
            <w:tcW w:w="1365" w:type="dxa"/>
            <w:noWrap w:val="0"/>
            <w:vAlign w:val="center"/>
          </w:tcPr>
          <w:p w14:paraId="2079108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9A45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2CDA9C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6CB630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5AAA46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24DB69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C8A0EB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AF54CB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50B6C9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6FBFA6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60A5D7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5099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3A08E9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CED865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0AA5DBD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14:paraId="2D4BCB0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兽医实验室验收合格率</w:t>
            </w:r>
          </w:p>
        </w:tc>
        <w:tc>
          <w:tcPr>
            <w:tcW w:w="1131" w:type="dxa"/>
            <w:noWrap w:val="0"/>
            <w:vAlign w:val="center"/>
          </w:tcPr>
          <w:p w14:paraId="35BCF6A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140" w:type="dxa"/>
            <w:noWrap w:val="0"/>
            <w:vAlign w:val="center"/>
          </w:tcPr>
          <w:p w14:paraId="70E57B1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14:paraId="5E1B5C6F">
            <w:pPr>
              <w:keepNext w:val="0"/>
              <w:keepLines w:val="0"/>
              <w:widowControl/>
              <w:suppressLineNumbers w:val="0"/>
              <w:jc w:val="center"/>
              <w:textAlignment w:val="center"/>
              <w:rPr>
                <w:rFonts w:ascii="Arial"/>
                <w:color w:val="000000" w:themeColor="text1"/>
                <w:spacing w:val="0"/>
                <w:sz w:val="21"/>
                <w:szCs w:val="21"/>
                <w14:textFill>
                  <w14:solidFill>
                    <w14:schemeClr w14:val="tx1"/>
                  </w14:solidFill>
                </w14:textFill>
              </w:rPr>
            </w:pPr>
            <w:r>
              <w:rPr>
                <w:rFonts w:hint="default" w:ascii="Arial" w:hAnsi="Arial" w:eastAsia="宋体" w:cs="Arial"/>
                <w:i w:val="0"/>
                <w:iCs w:val="0"/>
                <w:color w:val="000000"/>
                <w:kern w:val="0"/>
                <w:sz w:val="20"/>
                <w:szCs w:val="20"/>
                <w:u w:val="none"/>
                <w:lang w:val="en-US" w:eastAsia="zh-CN" w:bidi="ar"/>
              </w:rPr>
              <w:t>8</w:t>
            </w:r>
          </w:p>
        </w:tc>
        <w:tc>
          <w:tcPr>
            <w:tcW w:w="795" w:type="dxa"/>
            <w:noWrap w:val="0"/>
            <w:vAlign w:val="center"/>
          </w:tcPr>
          <w:p w14:paraId="29B3DA65">
            <w:pPr>
              <w:keepNext w:val="0"/>
              <w:keepLines w:val="0"/>
              <w:widowControl/>
              <w:suppressLineNumbers w:val="0"/>
              <w:jc w:val="center"/>
              <w:textAlignment w:val="center"/>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8</w:t>
            </w:r>
          </w:p>
        </w:tc>
        <w:tc>
          <w:tcPr>
            <w:tcW w:w="1365" w:type="dxa"/>
            <w:noWrap w:val="0"/>
            <w:vAlign w:val="center"/>
          </w:tcPr>
          <w:p w14:paraId="499931D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7A96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94BF7F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BE9BE5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DE723D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B13CFC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改扩建工程验收合格率</w:t>
            </w:r>
          </w:p>
        </w:tc>
        <w:tc>
          <w:tcPr>
            <w:tcW w:w="1131" w:type="dxa"/>
            <w:noWrap w:val="0"/>
            <w:vAlign w:val="center"/>
          </w:tcPr>
          <w:p w14:paraId="0F292FB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140" w:type="dxa"/>
            <w:noWrap w:val="0"/>
            <w:vAlign w:val="center"/>
          </w:tcPr>
          <w:p w14:paraId="515CE54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14:paraId="2A0C7067">
            <w:pPr>
              <w:keepNext w:val="0"/>
              <w:keepLines w:val="0"/>
              <w:pageBreakBefore w:val="0"/>
              <w:widowControl w:val="0"/>
              <w:tabs>
                <w:tab w:val="left" w:pos="308"/>
              </w:tabs>
              <w:kinsoku/>
              <w:wordWrap/>
              <w:overflowPunct/>
              <w:topLinePunct w:val="0"/>
              <w:autoSpaceDE/>
              <w:autoSpaceDN/>
              <w:bidi w:val="0"/>
              <w:adjustRightInd/>
              <w:snapToGrid/>
              <w:spacing w:line="230" w:lineRule="exact"/>
              <w:ind w:left="0" w:right="0"/>
              <w:jc w:val="left"/>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ab/>
            </w:r>
            <w:r>
              <w:rPr>
                <w:rFonts w:hint="eastAsia" w:ascii="Arial"/>
                <w:color w:val="000000" w:themeColor="text1"/>
                <w:spacing w:val="0"/>
                <w:sz w:val="21"/>
                <w:szCs w:val="21"/>
                <w14:textFill>
                  <w14:solidFill>
                    <w14:schemeClr w14:val="tx1"/>
                  </w14:solidFill>
                </w14:textFill>
              </w:rPr>
              <w:t>7</w:t>
            </w:r>
          </w:p>
        </w:tc>
        <w:tc>
          <w:tcPr>
            <w:tcW w:w="795" w:type="dxa"/>
            <w:noWrap w:val="0"/>
            <w:vAlign w:val="center"/>
          </w:tcPr>
          <w:p w14:paraId="48012B4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7</w:t>
            </w:r>
          </w:p>
        </w:tc>
        <w:tc>
          <w:tcPr>
            <w:tcW w:w="1365" w:type="dxa"/>
            <w:noWrap w:val="0"/>
            <w:vAlign w:val="center"/>
          </w:tcPr>
          <w:p w14:paraId="72F3222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AF76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6403D49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2EB830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0763C5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CCB657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p>
        </w:tc>
        <w:tc>
          <w:tcPr>
            <w:tcW w:w="1131" w:type="dxa"/>
            <w:noWrap w:val="0"/>
            <w:vAlign w:val="center"/>
          </w:tcPr>
          <w:p w14:paraId="0895E87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E03250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74341F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488335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81443F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ED00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7ED3EAB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538F0E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40EEB87">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14:paraId="15E0A13E">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实验室建设完成时间</w:t>
            </w:r>
          </w:p>
        </w:tc>
        <w:tc>
          <w:tcPr>
            <w:tcW w:w="1131" w:type="dxa"/>
            <w:noWrap w:val="0"/>
            <w:vAlign w:val="center"/>
          </w:tcPr>
          <w:p w14:paraId="0B3F86A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6月底</w:t>
            </w:r>
          </w:p>
        </w:tc>
        <w:tc>
          <w:tcPr>
            <w:tcW w:w="1140" w:type="dxa"/>
            <w:noWrap w:val="0"/>
            <w:vAlign w:val="center"/>
          </w:tcPr>
          <w:p w14:paraId="42550E1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6月底</w:t>
            </w:r>
          </w:p>
        </w:tc>
        <w:tc>
          <w:tcPr>
            <w:tcW w:w="685" w:type="dxa"/>
            <w:noWrap w:val="0"/>
            <w:vAlign w:val="center"/>
          </w:tcPr>
          <w:p w14:paraId="13C10C4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7</w:t>
            </w:r>
          </w:p>
        </w:tc>
        <w:tc>
          <w:tcPr>
            <w:tcW w:w="795" w:type="dxa"/>
            <w:noWrap w:val="0"/>
            <w:vAlign w:val="center"/>
          </w:tcPr>
          <w:p w14:paraId="67731DF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7</w:t>
            </w:r>
          </w:p>
        </w:tc>
        <w:tc>
          <w:tcPr>
            <w:tcW w:w="1365" w:type="dxa"/>
            <w:noWrap w:val="0"/>
            <w:vAlign w:val="center"/>
          </w:tcPr>
          <w:p w14:paraId="1BB3D67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CF2C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DB81EE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CE828C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11E9E3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E6B33A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A90195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80B69E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A2B34B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AF7B6C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031876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93A3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02282F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393FE1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A02532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59E3EC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DFEA6A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79712A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2DC41F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79B22A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8A701F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93BD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090F245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2415FA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25F56C3A">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14:paraId="7E3FC96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实验室设施设备费</w:t>
            </w:r>
          </w:p>
        </w:tc>
        <w:tc>
          <w:tcPr>
            <w:tcW w:w="1131" w:type="dxa"/>
            <w:noWrap w:val="0"/>
            <w:vAlign w:val="center"/>
          </w:tcPr>
          <w:p w14:paraId="297D8C4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37.8</w:t>
            </w:r>
          </w:p>
        </w:tc>
        <w:tc>
          <w:tcPr>
            <w:tcW w:w="1140" w:type="dxa"/>
            <w:noWrap w:val="0"/>
            <w:vAlign w:val="center"/>
          </w:tcPr>
          <w:p w14:paraId="50504D9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37.8</w:t>
            </w:r>
          </w:p>
        </w:tc>
        <w:tc>
          <w:tcPr>
            <w:tcW w:w="685" w:type="dxa"/>
            <w:noWrap w:val="0"/>
            <w:vAlign w:val="center"/>
          </w:tcPr>
          <w:p w14:paraId="74C6774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7</w:t>
            </w:r>
          </w:p>
        </w:tc>
        <w:tc>
          <w:tcPr>
            <w:tcW w:w="795" w:type="dxa"/>
            <w:noWrap w:val="0"/>
            <w:vAlign w:val="center"/>
          </w:tcPr>
          <w:p w14:paraId="0C141AF8">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7</w:t>
            </w:r>
          </w:p>
        </w:tc>
        <w:tc>
          <w:tcPr>
            <w:tcW w:w="1365" w:type="dxa"/>
            <w:noWrap w:val="0"/>
            <w:vAlign w:val="center"/>
          </w:tcPr>
          <w:p w14:paraId="719A9EF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D4DC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2DE9280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6762AF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399E8D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FE6283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实验室改扩建费用</w:t>
            </w:r>
          </w:p>
        </w:tc>
        <w:tc>
          <w:tcPr>
            <w:tcW w:w="1131" w:type="dxa"/>
            <w:noWrap w:val="0"/>
            <w:vAlign w:val="center"/>
          </w:tcPr>
          <w:p w14:paraId="10A8C59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19</w:t>
            </w:r>
          </w:p>
        </w:tc>
        <w:tc>
          <w:tcPr>
            <w:tcW w:w="1140" w:type="dxa"/>
            <w:noWrap w:val="0"/>
            <w:vAlign w:val="center"/>
          </w:tcPr>
          <w:p w14:paraId="732D36A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19</w:t>
            </w:r>
          </w:p>
        </w:tc>
        <w:tc>
          <w:tcPr>
            <w:tcW w:w="685" w:type="dxa"/>
            <w:noWrap w:val="0"/>
            <w:vAlign w:val="center"/>
          </w:tcPr>
          <w:p w14:paraId="5F7B79F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7</w:t>
            </w:r>
          </w:p>
        </w:tc>
        <w:tc>
          <w:tcPr>
            <w:tcW w:w="795" w:type="dxa"/>
            <w:noWrap w:val="0"/>
            <w:vAlign w:val="center"/>
          </w:tcPr>
          <w:p w14:paraId="69EB4DB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7</w:t>
            </w:r>
          </w:p>
        </w:tc>
        <w:tc>
          <w:tcPr>
            <w:tcW w:w="1365" w:type="dxa"/>
            <w:noWrap w:val="0"/>
            <w:vAlign w:val="center"/>
          </w:tcPr>
          <w:p w14:paraId="3480ED6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4E1C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25E49A3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054817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F03A11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45CCFB8">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12EEF5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909ADC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637E45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CD4BF5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031D0E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B792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3F751EF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3567904">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14:paraId="06FA26CA">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2682A709">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3623B4A1">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14:paraId="6BEC131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14:paraId="0BC79A11">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14:paraId="22EABB77">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6EAFA0D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4A9143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685F10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9B6B55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9801BE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3A3A7B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F4CC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54434A8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64EEF7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984728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590A66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AE6821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B75D67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EE41EC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1A548E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3BA379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0EB1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14:paraId="22F9901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105FE2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50FAEB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ED8130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493DCD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99BB97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3962A8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AA6A29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2F8F43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6AF5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1303B9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0293A7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7248B5B0">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14:paraId="19C87F1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5237800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非洲猪瘟检测精准率</w:t>
            </w:r>
          </w:p>
        </w:tc>
        <w:tc>
          <w:tcPr>
            <w:tcW w:w="1131" w:type="dxa"/>
            <w:noWrap w:val="0"/>
            <w:vAlign w:val="center"/>
          </w:tcPr>
          <w:p w14:paraId="0ABABBC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140" w:type="dxa"/>
            <w:noWrap w:val="0"/>
            <w:vAlign w:val="center"/>
          </w:tcPr>
          <w:p w14:paraId="7670226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14:paraId="590A88FB">
            <w:pPr>
              <w:keepNext w:val="0"/>
              <w:keepLines w:val="0"/>
              <w:widowControl/>
              <w:suppressLineNumbers w:val="0"/>
              <w:jc w:val="center"/>
              <w:textAlignment w:val="center"/>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10</w:t>
            </w:r>
          </w:p>
        </w:tc>
        <w:tc>
          <w:tcPr>
            <w:tcW w:w="795" w:type="dxa"/>
            <w:noWrap w:val="0"/>
            <w:vAlign w:val="center"/>
          </w:tcPr>
          <w:p w14:paraId="112EFAB0">
            <w:pPr>
              <w:keepNext w:val="0"/>
              <w:keepLines w:val="0"/>
              <w:widowControl/>
              <w:suppressLineNumbers w:val="0"/>
              <w:jc w:val="center"/>
              <w:textAlignment w:val="center"/>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10</w:t>
            </w:r>
          </w:p>
        </w:tc>
        <w:tc>
          <w:tcPr>
            <w:tcW w:w="1365" w:type="dxa"/>
            <w:noWrap w:val="0"/>
            <w:vAlign w:val="center"/>
          </w:tcPr>
          <w:p w14:paraId="5026840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5AC3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41CB4F7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842C56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A9C0D9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51288F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禽流感检测精准率</w:t>
            </w:r>
          </w:p>
        </w:tc>
        <w:tc>
          <w:tcPr>
            <w:tcW w:w="1131" w:type="dxa"/>
            <w:noWrap w:val="0"/>
            <w:vAlign w:val="center"/>
          </w:tcPr>
          <w:p w14:paraId="3A73F71E">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140" w:type="dxa"/>
            <w:noWrap w:val="0"/>
            <w:vAlign w:val="center"/>
          </w:tcPr>
          <w:p w14:paraId="774928D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685" w:type="dxa"/>
            <w:noWrap w:val="0"/>
            <w:vAlign w:val="center"/>
          </w:tcPr>
          <w:p w14:paraId="026D5BE6">
            <w:pPr>
              <w:keepNext w:val="0"/>
              <w:keepLines w:val="0"/>
              <w:widowControl/>
              <w:suppressLineNumbers w:val="0"/>
              <w:jc w:val="center"/>
              <w:textAlignment w:val="center"/>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10</w:t>
            </w:r>
          </w:p>
        </w:tc>
        <w:tc>
          <w:tcPr>
            <w:tcW w:w="795" w:type="dxa"/>
            <w:noWrap w:val="0"/>
            <w:vAlign w:val="center"/>
          </w:tcPr>
          <w:p w14:paraId="20DB2BE5">
            <w:pPr>
              <w:keepNext w:val="0"/>
              <w:keepLines w:val="0"/>
              <w:widowControl/>
              <w:suppressLineNumbers w:val="0"/>
              <w:jc w:val="center"/>
              <w:textAlignment w:val="center"/>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10</w:t>
            </w:r>
          </w:p>
        </w:tc>
        <w:tc>
          <w:tcPr>
            <w:tcW w:w="1365" w:type="dxa"/>
            <w:noWrap w:val="0"/>
            <w:vAlign w:val="center"/>
          </w:tcPr>
          <w:p w14:paraId="7760787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D6D8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14:paraId="1174F4C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527592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41D870F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F85FE4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C15F45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0B188A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AD9EB4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B0B46F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941FF1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693E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1D49C7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DBD514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33C24B8">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14:paraId="1ACD1ED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0AF4C48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p>
        </w:tc>
        <w:tc>
          <w:tcPr>
            <w:tcW w:w="1131" w:type="dxa"/>
            <w:noWrap w:val="0"/>
            <w:vAlign w:val="center"/>
          </w:tcPr>
          <w:p w14:paraId="02962C5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6D1A67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DD0676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046ACC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FE4FCC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C92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04F58C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E5913B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5BEA77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25BBFE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p>
        </w:tc>
        <w:tc>
          <w:tcPr>
            <w:tcW w:w="1131" w:type="dxa"/>
            <w:noWrap w:val="0"/>
            <w:vAlign w:val="center"/>
          </w:tcPr>
          <w:p w14:paraId="667CA63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9B7A84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47F4D9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70B7E1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96F16C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A414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14:paraId="07DA67C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E434EA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658A2C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A78432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p>
        </w:tc>
        <w:tc>
          <w:tcPr>
            <w:tcW w:w="1131" w:type="dxa"/>
            <w:noWrap w:val="0"/>
            <w:vAlign w:val="center"/>
          </w:tcPr>
          <w:p w14:paraId="435BDD9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334450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D1B0B2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008F23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AED73D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1F57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7E4A98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4E70BA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56CEC2D">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14:paraId="7035E50C">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w:t>
            </w:r>
          </w:p>
          <w:p w14:paraId="62021E4B">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p>
          <w:p w14:paraId="59BF847E">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p>
          <w:p w14:paraId="2DB6BA26">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14:paraId="5E57212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有效防控非洲猪瘟、高致病性禽流感等重大动物疫病</w:t>
            </w:r>
          </w:p>
        </w:tc>
        <w:tc>
          <w:tcPr>
            <w:tcW w:w="1131" w:type="dxa"/>
            <w:noWrap w:val="0"/>
            <w:vAlign w:val="center"/>
          </w:tcPr>
          <w:p w14:paraId="4253A77C">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《县级兽医系统实验室现场考核细则》</w:t>
            </w:r>
          </w:p>
        </w:tc>
        <w:tc>
          <w:tcPr>
            <w:tcW w:w="1140" w:type="dxa"/>
            <w:noWrap w:val="0"/>
            <w:vAlign w:val="center"/>
          </w:tcPr>
          <w:p w14:paraId="674763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已出台</w:t>
            </w:r>
          </w:p>
        </w:tc>
        <w:tc>
          <w:tcPr>
            <w:tcW w:w="685" w:type="dxa"/>
            <w:noWrap w:val="0"/>
            <w:vAlign w:val="center"/>
          </w:tcPr>
          <w:p w14:paraId="7DA3B3C6">
            <w:pPr>
              <w:keepNext w:val="0"/>
              <w:keepLines w:val="0"/>
              <w:widowControl/>
              <w:suppressLineNumbers w:val="0"/>
              <w:jc w:val="center"/>
              <w:textAlignment w:val="center"/>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10</w:t>
            </w:r>
          </w:p>
        </w:tc>
        <w:tc>
          <w:tcPr>
            <w:tcW w:w="795" w:type="dxa"/>
            <w:noWrap w:val="0"/>
            <w:vAlign w:val="center"/>
          </w:tcPr>
          <w:p w14:paraId="76BC92EE">
            <w:pPr>
              <w:keepNext w:val="0"/>
              <w:keepLines w:val="0"/>
              <w:widowControl/>
              <w:suppressLineNumbers w:val="0"/>
              <w:jc w:val="center"/>
              <w:textAlignment w:val="center"/>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10</w:t>
            </w:r>
          </w:p>
        </w:tc>
        <w:tc>
          <w:tcPr>
            <w:tcW w:w="1365" w:type="dxa"/>
            <w:noWrap w:val="0"/>
            <w:vAlign w:val="center"/>
          </w:tcPr>
          <w:p w14:paraId="752553F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C593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75" w:type="dxa"/>
            <w:vMerge w:val="continue"/>
            <w:tcBorders>
              <w:top w:val="nil"/>
              <w:bottom w:val="nil"/>
            </w:tcBorders>
            <w:noWrap w:val="0"/>
            <w:textDirection w:val="tbRlV"/>
            <w:vAlign w:val="center"/>
          </w:tcPr>
          <w:p w14:paraId="6226030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929120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2453D8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6AF20B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p>
        </w:tc>
        <w:tc>
          <w:tcPr>
            <w:tcW w:w="1131" w:type="dxa"/>
            <w:noWrap w:val="0"/>
            <w:vAlign w:val="center"/>
          </w:tcPr>
          <w:p w14:paraId="289A19F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0E406B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12EEED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E8248D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C2E4C6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FF1F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14:paraId="2200707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24428B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4ED3618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14748A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p>
        </w:tc>
        <w:tc>
          <w:tcPr>
            <w:tcW w:w="1131" w:type="dxa"/>
            <w:noWrap w:val="0"/>
            <w:vAlign w:val="center"/>
          </w:tcPr>
          <w:p w14:paraId="70D4620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2B4D6A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C8A690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F1EB73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C63CF3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CEFD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15E9528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A6C9199">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5CC6AB2C">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14:paraId="496AC141">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14:paraId="5CBACBE1">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14:paraId="58C6CCB6">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1EB05CED">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14:paraId="60D0740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1131" w:type="dxa"/>
            <w:noWrap w:val="0"/>
            <w:vAlign w:val="center"/>
          </w:tcPr>
          <w:p w14:paraId="5BAA46D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90%</w:t>
            </w:r>
          </w:p>
        </w:tc>
        <w:tc>
          <w:tcPr>
            <w:tcW w:w="1140" w:type="dxa"/>
            <w:noWrap w:val="0"/>
            <w:vAlign w:val="center"/>
          </w:tcPr>
          <w:p w14:paraId="1096C72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90%</w:t>
            </w:r>
          </w:p>
        </w:tc>
        <w:tc>
          <w:tcPr>
            <w:tcW w:w="685" w:type="dxa"/>
            <w:noWrap w:val="0"/>
            <w:vAlign w:val="center"/>
          </w:tcPr>
          <w:p w14:paraId="1ED3249B">
            <w:pPr>
              <w:keepNext w:val="0"/>
              <w:keepLines w:val="0"/>
              <w:widowControl/>
              <w:suppressLineNumbers w:val="0"/>
              <w:jc w:val="center"/>
              <w:textAlignment w:val="center"/>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10</w:t>
            </w:r>
          </w:p>
        </w:tc>
        <w:tc>
          <w:tcPr>
            <w:tcW w:w="795" w:type="dxa"/>
            <w:noWrap w:val="0"/>
            <w:vAlign w:val="center"/>
          </w:tcPr>
          <w:p w14:paraId="09F4F280">
            <w:pPr>
              <w:keepNext w:val="0"/>
              <w:keepLines w:val="0"/>
              <w:widowControl/>
              <w:suppressLineNumbers w:val="0"/>
              <w:jc w:val="center"/>
              <w:textAlignment w:val="center"/>
              <w:rPr>
                <w:rFonts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10</w:t>
            </w:r>
          </w:p>
        </w:tc>
        <w:tc>
          <w:tcPr>
            <w:tcW w:w="1365" w:type="dxa"/>
            <w:noWrap w:val="0"/>
            <w:vAlign w:val="center"/>
          </w:tcPr>
          <w:p w14:paraId="0AE7A59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D999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AB63B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45F626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7F2EB8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24C64F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1C37A9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6EDE27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D637DA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717F14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D68304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141F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14:paraId="20B3837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A2636F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E46AFB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4A176F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3D3FFF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5509CF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1577AE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5F22DF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1CB59C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2C364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1A6769D8">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14:paraId="32D98195">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14:paraId="4FA9E01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1365" w:type="dxa"/>
            <w:noWrap w:val="0"/>
            <w:vAlign w:val="center"/>
          </w:tcPr>
          <w:p w14:paraId="0DFCB12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14:paraId="3E4D59FC">
      <w:pPr>
        <w:spacing w:line="252" w:lineRule="auto"/>
        <w:rPr>
          <w:rFonts w:ascii="Arial"/>
          <w:color w:val="000000" w:themeColor="text1"/>
          <w:sz w:val="21"/>
          <w14:textFill>
            <w14:solidFill>
              <w14:schemeClr w14:val="tx1"/>
            </w14:solidFill>
          </w14:textFill>
        </w:rPr>
      </w:pPr>
    </w:p>
    <w:p w14:paraId="4C704904">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14:paraId="1650CA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14:paraId="27B11C0E">
      <w:pPr>
        <w:ind w:firstLine="1440" w:firstLineChars="400"/>
        <w:jc w:val="both"/>
        <w:rPr>
          <w:rFonts w:hint="eastAsia" w:eastAsia="方正小标宋简体"/>
          <w:sz w:val="36"/>
          <w:szCs w:val="36"/>
          <w:lang w:eastAsia="zh-CN"/>
        </w:rPr>
      </w:pPr>
    </w:p>
    <w:p w14:paraId="44A8C63B">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14:paraId="2F517667">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5335530B">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14:paraId="61735BB8">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14:paraId="272F2332">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14:paraId="3520446F">
            <w:pPr>
              <w:spacing w:line="240" w:lineRule="exact"/>
              <w:jc w:val="center"/>
              <w:rPr>
                <w:rFonts w:eastAsia="黑体"/>
                <w:szCs w:val="21"/>
              </w:rPr>
            </w:pPr>
            <w:r>
              <w:rPr>
                <w:rFonts w:eastAsia="黑体"/>
                <w:szCs w:val="21"/>
              </w:rPr>
              <w:t>评分</w:t>
            </w:r>
          </w:p>
        </w:tc>
      </w:tr>
      <w:tr w14:paraId="310D45F8">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0E38EA6F">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5EBF7942">
            <w:pPr>
              <w:spacing w:line="320" w:lineRule="exact"/>
              <w:jc w:val="center"/>
              <w:rPr>
                <w:rFonts w:hint="eastAsia" w:asciiTheme="majorEastAsia" w:hAnsiTheme="majorEastAsia" w:eastAsiaTheme="majorEastAsia" w:cstheme="majorEastAsia"/>
                <w:szCs w:val="21"/>
              </w:rPr>
            </w:pPr>
          </w:p>
          <w:p w14:paraId="1C9EA2C4">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14:paraId="0C2FCE7E">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14:paraId="53AC9F5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14:paraId="2AFD8AE6">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14:paraId="33B3F147">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14:paraId="085D2986">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F3A8578">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14:paraId="518E9B4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14:paraId="6DB6C937">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14:paraId="7E5F2AAD">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14:paraId="29173EDC">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14:paraId="16D223BF">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12856AA8">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50F4C3B3">
            <w:pPr>
              <w:spacing w:line="240" w:lineRule="exact"/>
              <w:jc w:val="center"/>
              <w:rPr>
                <w:rFonts w:hint="eastAsia" w:asciiTheme="majorEastAsia" w:hAnsiTheme="majorEastAsia" w:eastAsiaTheme="majorEastAsia" w:cstheme="majorEastAsia"/>
                <w:szCs w:val="21"/>
              </w:rPr>
            </w:pPr>
          </w:p>
          <w:p w14:paraId="38A4557F">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14:paraId="0ECB5C57">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14:paraId="3D0F10F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14:paraId="16565C2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4ECAD89A">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14:paraId="29E490BF">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14:paraId="0BE3D7FD">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13</w:t>
            </w:r>
          </w:p>
        </w:tc>
      </w:tr>
      <w:tr w14:paraId="4FB52555">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3A958F7">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14:paraId="0D0F5680">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14:paraId="1680B1B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2CB62C2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14:paraId="2F58B50F">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14:paraId="138C26DD">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14:paraId="5C6B81AB">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17</w:t>
            </w:r>
          </w:p>
        </w:tc>
      </w:tr>
      <w:tr w14:paraId="6DF939D5">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4C76F4CD">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764DAAC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14:paraId="086203BE">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14:paraId="42F8D51F">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14:paraId="01ACF91D">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40B27AFA">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2F76B831">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17</w:t>
            </w:r>
          </w:p>
        </w:tc>
      </w:tr>
      <w:tr w14:paraId="60A8AF56">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7877FD93">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234D931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14:paraId="10C2962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14:paraId="6EEBD442">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0F53EA18">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49B580F2">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13</w:t>
            </w:r>
          </w:p>
        </w:tc>
      </w:tr>
      <w:tr w14:paraId="327ABFDC">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350943F8">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3D9749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9DFDE85">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4292C21">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90</w:t>
            </w:r>
          </w:p>
        </w:tc>
      </w:tr>
    </w:tbl>
    <w:p w14:paraId="3B68B99A">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黑体.鸌...">
    <w:altName w:val="黑体"/>
    <w:panose1 w:val="00000000000000000000"/>
    <w:charset w:val="86"/>
    <w:family w:val="swiss"/>
    <w:pitch w:val="default"/>
    <w:sig w:usb0="00000000" w:usb1="00000000" w:usb2="00000000" w:usb3="00000000" w:csb0="00040000" w:csb1="00000000"/>
  </w:font>
  <w:font w:name="方正小标宋简体">
    <w:altName w:val="黑体"/>
    <w:panose1 w:val="00000600000000000000"/>
    <w:charset w:val="86"/>
    <w:family w:val="auto"/>
    <w:pitch w:val="default"/>
    <w:sig w:usb0="00000000" w:usb1="00000000"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0248">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8A4A2">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498A4A2">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96E3D"/>
    <w:multiLevelType w:val="singleLevel"/>
    <w:tmpl w:val="9F896E3D"/>
    <w:lvl w:ilvl="0" w:tentative="0">
      <w:start w:val="7"/>
      <w:numFmt w:val="chineseCounting"/>
      <w:suff w:val="nothing"/>
      <w:lvlText w:val="%1、"/>
      <w:lvlJc w:val="left"/>
      <w:rPr>
        <w:rFonts w:hint="eastAsia"/>
      </w:rPr>
    </w:lvl>
  </w:abstractNum>
  <w:abstractNum w:abstractNumId="1">
    <w:nsid w:val="BF564FB9"/>
    <w:multiLevelType w:val="singleLevel"/>
    <w:tmpl w:val="BF564FB9"/>
    <w:lvl w:ilvl="0" w:tentative="0">
      <w:start w:val="5"/>
      <w:numFmt w:val="chineseCounting"/>
      <w:suff w:val="nothing"/>
      <w:lvlText w:val="%1、"/>
      <w:lvlJc w:val="left"/>
      <w:rPr>
        <w:rFonts w:hint="eastAsia"/>
      </w:rPr>
    </w:lvl>
  </w:abstractNum>
  <w:abstractNum w:abstractNumId="2">
    <w:nsid w:val="DE239A13"/>
    <w:multiLevelType w:val="singleLevel"/>
    <w:tmpl w:val="DE239A13"/>
    <w:lvl w:ilvl="0" w:tentative="0">
      <w:start w:val="1"/>
      <w:numFmt w:val="decimal"/>
      <w:suff w:val="nothing"/>
      <w:lvlText w:val="%1、"/>
      <w:lvlJc w:val="left"/>
    </w:lvl>
  </w:abstractNum>
  <w:abstractNum w:abstractNumId="3">
    <w:nsid w:val="38A3A354"/>
    <w:multiLevelType w:val="singleLevel"/>
    <w:tmpl w:val="38A3A354"/>
    <w:lvl w:ilvl="0" w:tentative="0">
      <w:start w:val="2"/>
      <w:numFmt w:val="chineseCounting"/>
      <w:lvlText w:val="(%1)"/>
      <w:lvlJc w:val="left"/>
      <w:pPr>
        <w:tabs>
          <w:tab w:val="left" w:pos="312"/>
        </w:tabs>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OTNlMmE5NDIxNDVhMjFlOTkwZjE1MmRlNGYxMGM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B94D82"/>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6590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1EB7155"/>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92AF6"/>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2C17FB"/>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C86CC5"/>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8C712C"/>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51168"/>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61A8B"/>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7039EC"/>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2C5541"/>
    <w:rsid w:val="5F475DFB"/>
    <w:rsid w:val="5F4A6912"/>
    <w:rsid w:val="5FA342D5"/>
    <w:rsid w:val="5FA40581"/>
    <w:rsid w:val="5FBF418B"/>
    <w:rsid w:val="5FC03F1C"/>
    <w:rsid w:val="5FC128D4"/>
    <w:rsid w:val="5FC577B3"/>
    <w:rsid w:val="5FFB751D"/>
    <w:rsid w:val="5FFC1DCE"/>
    <w:rsid w:val="5FFD7324"/>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9792F"/>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642CD8"/>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customStyle="1" w:styleId="10">
    <w:name w:val="No Spacing"/>
    <w:qFormat/>
    <w:uiPriority w:val="0"/>
    <w:pPr>
      <w:widowControl w:val="0"/>
      <w:jc w:val="both"/>
    </w:pPr>
    <w:rPr>
      <w:rFonts w:ascii="Times New Roman" w:hAnsi="Times New Roman" w:eastAsia="宋体" w:cs="Times New Roman"/>
      <w:kern w:val="2"/>
      <w:sz w:val="21"/>
      <w:szCs w:val="20"/>
      <w:lang w:val="en-US" w:eastAsia="zh-CN"/>
    </w:rPr>
  </w:style>
  <w:style w:type="paragraph" w:customStyle="1" w:styleId="11">
    <w:name w:val="Default"/>
    <w:unhideWhenUsed/>
    <w:qFormat/>
    <w:uiPriority w:val="0"/>
    <w:pPr>
      <w:widowControl w:val="0"/>
      <w:autoSpaceDE w:val="0"/>
      <w:autoSpaceDN w:val="0"/>
    </w:pPr>
    <w:rPr>
      <w:rFonts w:hint="eastAsia" w:ascii="黑体.鸌..." w:hAnsi="黑体.鸌..." w:eastAsia="黑体.鸌..." w:cs="Times New Roman"/>
      <w:color w:val="000000"/>
      <w:sz w:val="24"/>
      <w:lang w:val="en-US" w:eastAsia="zh-CN" w:bidi="ar-SA"/>
    </w:rPr>
  </w:style>
  <w:style w:type="character" w:customStyle="1" w:styleId="12">
    <w:name w:val="font01"/>
    <w:basedOn w:val="7"/>
    <w:qFormat/>
    <w:uiPriority w:val="0"/>
    <w:rPr>
      <w:rFonts w:hint="default" w:ascii="Arial" w:hAnsi="Arial" w:cs="Arial"/>
      <w:color w:val="000000"/>
      <w:sz w:val="20"/>
      <w:szCs w:val="20"/>
      <w:u w:val="none"/>
    </w:rPr>
  </w:style>
  <w:style w:type="character" w:customStyle="1" w:styleId="13">
    <w:name w:val="font21"/>
    <w:basedOn w:val="7"/>
    <w:qFormat/>
    <w:uiPriority w:val="0"/>
    <w:rPr>
      <w:rFonts w:hint="eastAsia" w:ascii="宋体" w:hAnsi="宋体" w:eastAsia="宋体" w:cs="宋体"/>
      <w:color w:val="000000"/>
      <w:sz w:val="20"/>
      <w:szCs w:val="20"/>
      <w:u w:val="none"/>
    </w:rPr>
  </w:style>
  <w:style w:type="character" w:customStyle="1" w:styleId="14">
    <w:name w:val="font1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5256</Words>
  <Characters>5739</Characters>
  <Lines>0</Lines>
  <Paragraphs>0</Paragraphs>
  <TotalTime>62</TotalTime>
  <ScaleCrop>false</ScaleCrop>
  <LinksUpToDate>false</LinksUpToDate>
  <CharactersWithSpaces>5920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清晨的太阳</cp:lastModifiedBy>
  <cp:lastPrinted>2023-08-24T01:52:00Z</cp:lastPrinted>
  <dcterms:modified xsi:type="dcterms:W3CDTF">2024-07-22T07:57:11Z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00BE4453212B48BFADC4BB064A2B9FB9_13</vt:lpwstr>
  </property>
</Properties>
</file>