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04CEE6A">
      <w:pPr>
        <w:pStyle w:val="18"/>
        <w:keepNext w:val="0"/>
        <w:keepLines w:val="0"/>
        <w:pageBreakBefore w:val="0"/>
        <w:widowControl w:val="0"/>
        <w:numPr>
          <w:ilvl w:val="3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textAlignment w:val="auto"/>
        <w:rPr>
          <w:rFonts w:eastAsia="仿宋" w:cs="Times New Roman"/>
        </w:rPr>
      </w:pPr>
      <w:r>
        <w:rPr>
          <w:rFonts w:hint="eastAsia" w:eastAsia="仿宋" w:cs="Times New Roman"/>
          <w:lang w:eastAsia="zh-CN"/>
        </w:rPr>
        <w:t>岳阳楼重大</w:t>
      </w:r>
      <w:bookmarkStart w:id="1" w:name="_GoBack"/>
      <w:bookmarkEnd w:id="1"/>
      <w:r>
        <w:rPr>
          <w:rFonts w:eastAsia="仿宋" w:cs="Times New Roman"/>
        </w:rPr>
        <w:t>项目</w:t>
      </w:r>
      <w:r>
        <w:rPr>
          <w:rFonts w:hint="eastAsia" w:eastAsia="仿宋" w:cs="Times New Roman"/>
          <w:lang w:val="en-US" w:eastAsia="zh-CN"/>
        </w:rPr>
        <w:t>事前</w:t>
      </w:r>
      <w:r>
        <w:rPr>
          <w:rFonts w:eastAsia="仿宋" w:cs="Times New Roman"/>
        </w:rPr>
        <w:t>绩效目标表</w:t>
      </w:r>
    </w:p>
    <w:tbl>
      <w:tblPr>
        <w:tblStyle w:val="16"/>
        <w:tblpPr w:leftFromText="180" w:rightFromText="180" w:vertAnchor="text" w:horzAnchor="page" w:tblpXSpec="center" w:tblpY="282"/>
        <w:tblOverlap w:val="never"/>
        <w:tblW w:w="499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621"/>
        <w:gridCol w:w="1032"/>
        <w:gridCol w:w="1403"/>
        <w:gridCol w:w="1557"/>
        <w:gridCol w:w="1162"/>
        <w:gridCol w:w="1550"/>
        <w:gridCol w:w="8"/>
      </w:tblGrid>
      <w:tr w14:paraId="2C60CD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3" w:type="pct"/>
            <w:vAlign w:val="center"/>
          </w:tcPr>
          <w:p w14:paraId="61FC583A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bookmarkStart w:id="0" w:name="_Toc17863"/>
            <w:r>
              <w:rPr>
                <w:rFonts w:eastAsia="仿宋" w:cs="Times New Roman"/>
                <w:sz w:val="21"/>
                <w:szCs w:val="21"/>
              </w:rPr>
              <w:t>项目名称</w:t>
            </w:r>
          </w:p>
        </w:tc>
        <w:tc>
          <w:tcPr>
            <w:tcW w:w="4026" w:type="pct"/>
            <w:gridSpan w:val="6"/>
            <w:vAlign w:val="center"/>
          </w:tcPr>
          <w:p w14:paraId="556BB009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岳阳楼区2023年老旧小区改造（王家河片区）及配套设施建设项目</w:t>
            </w:r>
          </w:p>
        </w:tc>
      </w:tr>
      <w:tr w14:paraId="29DD19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3" w:type="pct"/>
            <w:vAlign w:val="center"/>
          </w:tcPr>
          <w:p w14:paraId="53192C51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主管部门</w:t>
            </w:r>
          </w:p>
        </w:tc>
        <w:tc>
          <w:tcPr>
            <w:tcW w:w="4026" w:type="pct"/>
            <w:gridSpan w:val="6"/>
            <w:vAlign w:val="center"/>
          </w:tcPr>
          <w:p w14:paraId="58D13C9A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岳阳楼区住房和城乡建设局</w:t>
            </w:r>
          </w:p>
        </w:tc>
      </w:tr>
      <w:tr w14:paraId="697909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3" w:type="pct"/>
            <w:vAlign w:val="center"/>
          </w:tcPr>
          <w:p w14:paraId="467C68A6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项目负责人</w:t>
            </w:r>
          </w:p>
        </w:tc>
        <w:tc>
          <w:tcPr>
            <w:tcW w:w="1461" w:type="pct"/>
            <w:gridSpan w:val="2"/>
            <w:vAlign w:val="center"/>
          </w:tcPr>
          <w:p w14:paraId="6CE4A9FA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杨震</w:t>
            </w:r>
          </w:p>
        </w:tc>
        <w:tc>
          <w:tcPr>
            <w:tcW w:w="934" w:type="pct"/>
            <w:vAlign w:val="center"/>
          </w:tcPr>
          <w:p w14:paraId="621E9F26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联系电话</w:t>
            </w:r>
          </w:p>
        </w:tc>
        <w:tc>
          <w:tcPr>
            <w:tcW w:w="1631" w:type="pct"/>
            <w:gridSpan w:val="3"/>
            <w:vAlign w:val="center"/>
          </w:tcPr>
          <w:p w14:paraId="49055CD9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13975099338</w:t>
            </w:r>
          </w:p>
        </w:tc>
      </w:tr>
      <w:tr w14:paraId="2DCE49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3" w:type="pct"/>
            <w:vMerge w:val="restart"/>
            <w:vAlign w:val="center"/>
          </w:tcPr>
          <w:p w14:paraId="46BE4FF5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项目资金</w:t>
            </w:r>
          </w:p>
          <w:p w14:paraId="6EBC7138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（万元）</w:t>
            </w:r>
          </w:p>
        </w:tc>
        <w:tc>
          <w:tcPr>
            <w:tcW w:w="4026" w:type="pct"/>
            <w:gridSpan w:val="6"/>
            <w:vAlign w:val="center"/>
          </w:tcPr>
          <w:p w14:paraId="01F9CF41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资金总额：19291.43万元</w:t>
            </w:r>
          </w:p>
        </w:tc>
      </w:tr>
      <w:tr w14:paraId="40A3EE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3" w:type="pct"/>
            <w:vMerge w:val="continue"/>
            <w:vAlign w:val="center"/>
          </w:tcPr>
          <w:p w14:paraId="7BA12E2E">
            <w:pPr>
              <w:pStyle w:val="19"/>
              <w:rPr>
                <w:rFonts w:eastAsia="仿宋" w:cs="Times New Roman"/>
                <w:sz w:val="21"/>
                <w:szCs w:val="21"/>
              </w:rPr>
            </w:pPr>
          </w:p>
        </w:tc>
        <w:tc>
          <w:tcPr>
            <w:tcW w:w="4026" w:type="pct"/>
            <w:gridSpan w:val="6"/>
            <w:vAlign w:val="center"/>
          </w:tcPr>
          <w:p w14:paraId="143AB5D9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一、政府专项债券资金：9600.00万元</w:t>
            </w:r>
          </w:p>
        </w:tc>
      </w:tr>
      <w:tr w14:paraId="566EB6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3" w:type="pct"/>
            <w:vMerge w:val="continue"/>
            <w:vAlign w:val="center"/>
          </w:tcPr>
          <w:p w14:paraId="7FF2C44F">
            <w:pPr>
              <w:pStyle w:val="19"/>
              <w:rPr>
                <w:rFonts w:eastAsia="仿宋" w:cs="Times New Roman"/>
                <w:sz w:val="21"/>
                <w:szCs w:val="21"/>
              </w:rPr>
            </w:pPr>
          </w:p>
        </w:tc>
        <w:tc>
          <w:tcPr>
            <w:tcW w:w="4026" w:type="pct"/>
            <w:gridSpan w:val="6"/>
            <w:vAlign w:val="center"/>
          </w:tcPr>
          <w:p w14:paraId="7E960F93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二、其他资金：9691.43万元</w:t>
            </w:r>
          </w:p>
        </w:tc>
      </w:tr>
      <w:tr w14:paraId="60E286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3" w:type="pct"/>
            <w:vMerge w:val="restart"/>
            <w:vAlign w:val="center"/>
          </w:tcPr>
          <w:p w14:paraId="3B441BBA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项目实施进度计划</w:t>
            </w:r>
          </w:p>
        </w:tc>
        <w:tc>
          <w:tcPr>
            <w:tcW w:w="2395" w:type="pct"/>
            <w:gridSpan w:val="3"/>
            <w:vAlign w:val="center"/>
          </w:tcPr>
          <w:p w14:paraId="5F0B02D6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开始时间</w:t>
            </w:r>
          </w:p>
        </w:tc>
        <w:tc>
          <w:tcPr>
            <w:tcW w:w="1631" w:type="pct"/>
            <w:gridSpan w:val="3"/>
            <w:vAlign w:val="center"/>
          </w:tcPr>
          <w:p w14:paraId="1459DE25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完成时间</w:t>
            </w:r>
          </w:p>
        </w:tc>
      </w:tr>
      <w:tr w14:paraId="2FA785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3" w:type="pct"/>
            <w:vMerge w:val="continue"/>
            <w:vAlign w:val="center"/>
          </w:tcPr>
          <w:p w14:paraId="47BB1257">
            <w:pPr>
              <w:pStyle w:val="19"/>
              <w:rPr>
                <w:rFonts w:eastAsia="仿宋" w:cs="Times New Roman"/>
                <w:sz w:val="21"/>
                <w:szCs w:val="21"/>
              </w:rPr>
            </w:pPr>
          </w:p>
        </w:tc>
        <w:tc>
          <w:tcPr>
            <w:tcW w:w="2395" w:type="pct"/>
            <w:gridSpan w:val="3"/>
            <w:vAlign w:val="center"/>
          </w:tcPr>
          <w:p w14:paraId="7C053015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2023年1月</w:t>
            </w:r>
          </w:p>
        </w:tc>
        <w:tc>
          <w:tcPr>
            <w:tcW w:w="1631" w:type="pct"/>
            <w:gridSpan w:val="3"/>
            <w:vAlign w:val="center"/>
          </w:tcPr>
          <w:p w14:paraId="69AE2BE9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2023年12月</w:t>
            </w:r>
          </w:p>
        </w:tc>
      </w:tr>
      <w:tr w14:paraId="0AAC6D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2" w:hRule="atLeast"/>
          <w:jc w:val="center"/>
        </w:trPr>
        <w:tc>
          <w:tcPr>
            <w:tcW w:w="973" w:type="pct"/>
            <w:vMerge w:val="restart"/>
            <w:vAlign w:val="center"/>
          </w:tcPr>
          <w:p w14:paraId="3C5777D9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项目绩效目标</w:t>
            </w:r>
          </w:p>
        </w:tc>
        <w:tc>
          <w:tcPr>
            <w:tcW w:w="4026" w:type="pct"/>
            <w:gridSpan w:val="6"/>
            <w:vMerge w:val="restart"/>
            <w:vAlign w:val="center"/>
          </w:tcPr>
          <w:p w14:paraId="551F62E7">
            <w:pPr>
              <w:pStyle w:val="19"/>
              <w:jc w:val="both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项目涉及3个街道、17个老旧小区，改造总户数5372户、房屋总建筑面积66.42万平方米。</w:t>
            </w:r>
          </w:p>
          <w:p w14:paraId="4EA5A545">
            <w:pPr>
              <w:pStyle w:val="19"/>
              <w:jc w:val="both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1、建设内容主要包括房屋公共部分修缮，防洪排涝（雨污分流）、供电及管线、通信设施、供水管道、供气管道、破损道路修补、环卫设施、海绵城市建设、消防、安防设施等基础类改造；</w:t>
            </w:r>
          </w:p>
          <w:p w14:paraId="288F0CE1">
            <w:pPr>
              <w:pStyle w:val="19"/>
              <w:jc w:val="both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2、无障碍设施、绿化提质、照明亮化、停车场改造，充电桩、智能快件箱，文化休闲设施、体育健身设施、物业用房、建筑节能等完善类改造；卫生服务站、养老抚幼服务站、便民市场、邮政快递末端综合服务站等提升类改造。</w:t>
            </w:r>
          </w:p>
        </w:tc>
      </w:tr>
      <w:tr w14:paraId="3FE2C2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2" w:hRule="atLeast"/>
          <w:jc w:val="center"/>
        </w:trPr>
        <w:tc>
          <w:tcPr>
            <w:tcW w:w="973" w:type="pct"/>
            <w:vMerge w:val="continue"/>
            <w:vAlign w:val="center"/>
          </w:tcPr>
          <w:p w14:paraId="14ED6621">
            <w:pPr>
              <w:pStyle w:val="19"/>
              <w:rPr>
                <w:rFonts w:eastAsia="仿宋" w:cs="Times New Roman"/>
                <w:sz w:val="21"/>
                <w:szCs w:val="21"/>
              </w:rPr>
            </w:pPr>
          </w:p>
        </w:tc>
        <w:tc>
          <w:tcPr>
            <w:tcW w:w="4026" w:type="pct"/>
            <w:gridSpan w:val="6"/>
            <w:vMerge w:val="continue"/>
            <w:vAlign w:val="center"/>
          </w:tcPr>
          <w:p w14:paraId="5F577E72">
            <w:pPr>
              <w:pStyle w:val="19"/>
              <w:rPr>
                <w:rFonts w:eastAsia="仿宋" w:cs="Times New Roman"/>
                <w:sz w:val="21"/>
                <w:szCs w:val="21"/>
              </w:rPr>
            </w:pPr>
          </w:p>
        </w:tc>
      </w:tr>
      <w:tr w14:paraId="0F775F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3" w:type="pct"/>
            <w:vMerge w:val="restart"/>
            <w:vAlign w:val="center"/>
          </w:tcPr>
          <w:p w14:paraId="5251CE1B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项目绩效指标</w:t>
            </w:r>
          </w:p>
        </w:tc>
        <w:tc>
          <w:tcPr>
            <w:tcW w:w="619" w:type="pct"/>
            <w:vAlign w:val="center"/>
          </w:tcPr>
          <w:p w14:paraId="5AC48859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一级指标</w:t>
            </w:r>
          </w:p>
        </w:tc>
        <w:tc>
          <w:tcPr>
            <w:tcW w:w="842" w:type="pct"/>
            <w:vAlign w:val="center"/>
          </w:tcPr>
          <w:p w14:paraId="4318D242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二级指标</w:t>
            </w:r>
          </w:p>
        </w:tc>
        <w:tc>
          <w:tcPr>
            <w:tcW w:w="934" w:type="pct"/>
            <w:vAlign w:val="center"/>
          </w:tcPr>
          <w:p w14:paraId="7410684E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三级指标</w:t>
            </w:r>
          </w:p>
        </w:tc>
        <w:tc>
          <w:tcPr>
            <w:tcW w:w="697" w:type="pct"/>
            <w:vAlign w:val="center"/>
          </w:tcPr>
          <w:p w14:paraId="1F0F0CBE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指标值及</w:t>
            </w:r>
          </w:p>
          <w:p w14:paraId="1525E521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单位</w:t>
            </w:r>
          </w:p>
        </w:tc>
        <w:tc>
          <w:tcPr>
            <w:tcW w:w="929" w:type="pct"/>
            <w:vAlign w:val="center"/>
          </w:tcPr>
          <w:p w14:paraId="79FB691F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绩效标准</w:t>
            </w:r>
          </w:p>
        </w:tc>
      </w:tr>
      <w:tr w14:paraId="036C45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3" w:type="pct"/>
            <w:vMerge w:val="continue"/>
            <w:vAlign w:val="center"/>
          </w:tcPr>
          <w:p w14:paraId="361B4B41">
            <w:pPr>
              <w:pStyle w:val="19"/>
              <w:rPr>
                <w:rFonts w:eastAsia="仿宋" w:cs="Times New Roman"/>
                <w:sz w:val="21"/>
                <w:szCs w:val="21"/>
              </w:rPr>
            </w:pPr>
          </w:p>
        </w:tc>
        <w:tc>
          <w:tcPr>
            <w:tcW w:w="619" w:type="pct"/>
            <w:vMerge w:val="restart"/>
            <w:vAlign w:val="center"/>
          </w:tcPr>
          <w:p w14:paraId="4CB5E8F0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产出指标</w:t>
            </w:r>
          </w:p>
        </w:tc>
        <w:tc>
          <w:tcPr>
            <w:tcW w:w="842" w:type="pct"/>
            <w:vMerge w:val="restart"/>
            <w:vAlign w:val="center"/>
          </w:tcPr>
          <w:p w14:paraId="649E10CD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数量指标</w:t>
            </w:r>
          </w:p>
        </w:tc>
        <w:tc>
          <w:tcPr>
            <w:tcW w:w="934" w:type="pct"/>
            <w:vAlign w:val="center"/>
          </w:tcPr>
          <w:p w14:paraId="21520BDA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改造建筑面积</w:t>
            </w:r>
          </w:p>
        </w:tc>
        <w:tc>
          <w:tcPr>
            <w:tcW w:w="697" w:type="pct"/>
            <w:vAlign w:val="bottom"/>
          </w:tcPr>
          <w:p w14:paraId="26142E2B">
            <w:pPr>
              <w:widowControl/>
              <w:spacing w:line="240" w:lineRule="auto"/>
              <w:ind w:firstLine="0" w:firstLineChars="0"/>
              <w:jc w:val="center"/>
              <w:textAlignment w:val="bottom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664200</w:t>
            </w:r>
            <w:r>
              <w:rPr>
                <w:rFonts w:eastAsia="仿宋" w:cs="Times New Roman"/>
                <w:color w:val="000000"/>
                <w:kern w:val="0"/>
                <w:sz w:val="21"/>
                <w:szCs w:val="21"/>
                <w:lang w:bidi="ar"/>
              </w:rPr>
              <w:t>㎡</w:t>
            </w:r>
          </w:p>
        </w:tc>
        <w:tc>
          <w:tcPr>
            <w:tcW w:w="929" w:type="pct"/>
            <w:vAlign w:val="center"/>
          </w:tcPr>
          <w:p w14:paraId="000BED03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664200</w:t>
            </w:r>
            <w:r>
              <w:rPr>
                <w:rFonts w:eastAsia="仿宋" w:cs="Times New Roman"/>
                <w:color w:val="000000"/>
                <w:kern w:val="0"/>
                <w:sz w:val="21"/>
                <w:szCs w:val="21"/>
                <w:lang w:bidi="ar"/>
              </w:rPr>
              <w:t>㎡</w:t>
            </w:r>
          </w:p>
        </w:tc>
      </w:tr>
      <w:tr w14:paraId="0DA70F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3" w:type="pct"/>
            <w:vMerge w:val="continue"/>
            <w:vAlign w:val="center"/>
          </w:tcPr>
          <w:p w14:paraId="1D740464">
            <w:pPr>
              <w:pStyle w:val="19"/>
              <w:rPr>
                <w:rFonts w:eastAsia="仿宋" w:cs="Times New Roman"/>
                <w:sz w:val="21"/>
                <w:szCs w:val="21"/>
              </w:rPr>
            </w:pPr>
          </w:p>
        </w:tc>
        <w:tc>
          <w:tcPr>
            <w:tcW w:w="619" w:type="pct"/>
            <w:vMerge w:val="continue"/>
            <w:vAlign w:val="center"/>
          </w:tcPr>
          <w:p w14:paraId="746F6934">
            <w:pPr>
              <w:pStyle w:val="19"/>
              <w:rPr>
                <w:rFonts w:eastAsia="仿宋" w:cs="Times New Roman"/>
                <w:sz w:val="21"/>
                <w:szCs w:val="21"/>
              </w:rPr>
            </w:pPr>
          </w:p>
        </w:tc>
        <w:tc>
          <w:tcPr>
            <w:tcW w:w="842" w:type="pct"/>
            <w:vMerge w:val="continue"/>
            <w:vAlign w:val="center"/>
          </w:tcPr>
          <w:p w14:paraId="1511AE59">
            <w:pPr>
              <w:pStyle w:val="19"/>
              <w:rPr>
                <w:rFonts w:eastAsia="仿宋" w:cs="Times New Roman"/>
                <w:sz w:val="21"/>
                <w:szCs w:val="21"/>
              </w:rPr>
            </w:pPr>
          </w:p>
        </w:tc>
        <w:tc>
          <w:tcPr>
            <w:tcW w:w="934" w:type="pct"/>
            <w:vAlign w:val="center"/>
          </w:tcPr>
          <w:p w14:paraId="65939D06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改造小区户数</w:t>
            </w:r>
          </w:p>
        </w:tc>
        <w:tc>
          <w:tcPr>
            <w:tcW w:w="697" w:type="pct"/>
            <w:vAlign w:val="bottom"/>
          </w:tcPr>
          <w:p w14:paraId="1A0644E0">
            <w:pPr>
              <w:widowControl/>
              <w:spacing w:line="240" w:lineRule="auto"/>
              <w:ind w:firstLine="0" w:firstLineChars="0"/>
              <w:jc w:val="center"/>
              <w:textAlignment w:val="bottom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17个</w:t>
            </w:r>
          </w:p>
        </w:tc>
        <w:tc>
          <w:tcPr>
            <w:tcW w:w="929" w:type="pct"/>
            <w:vAlign w:val="bottom"/>
          </w:tcPr>
          <w:p w14:paraId="71EE575D">
            <w:pPr>
              <w:widowControl/>
              <w:spacing w:line="240" w:lineRule="auto"/>
              <w:ind w:firstLine="0" w:firstLineChars="0"/>
              <w:jc w:val="center"/>
              <w:textAlignment w:val="bottom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17个</w:t>
            </w:r>
          </w:p>
        </w:tc>
      </w:tr>
      <w:tr w14:paraId="606142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3" w:type="pct"/>
            <w:vMerge w:val="continue"/>
            <w:vAlign w:val="center"/>
          </w:tcPr>
          <w:p w14:paraId="20249330">
            <w:pPr>
              <w:pStyle w:val="19"/>
              <w:rPr>
                <w:rFonts w:eastAsia="仿宋" w:cs="Times New Roman"/>
                <w:sz w:val="21"/>
                <w:szCs w:val="21"/>
              </w:rPr>
            </w:pPr>
          </w:p>
        </w:tc>
        <w:tc>
          <w:tcPr>
            <w:tcW w:w="619" w:type="pct"/>
            <w:vMerge w:val="continue"/>
            <w:vAlign w:val="center"/>
          </w:tcPr>
          <w:p w14:paraId="4A11F593">
            <w:pPr>
              <w:pStyle w:val="19"/>
              <w:rPr>
                <w:rFonts w:eastAsia="仿宋" w:cs="Times New Roman"/>
                <w:sz w:val="21"/>
                <w:szCs w:val="21"/>
              </w:rPr>
            </w:pPr>
          </w:p>
        </w:tc>
        <w:tc>
          <w:tcPr>
            <w:tcW w:w="842" w:type="pct"/>
            <w:vMerge w:val="continue"/>
            <w:vAlign w:val="center"/>
          </w:tcPr>
          <w:p w14:paraId="3FDD3CC1">
            <w:pPr>
              <w:pStyle w:val="19"/>
              <w:rPr>
                <w:rFonts w:eastAsia="仿宋" w:cs="Times New Roman"/>
                <w:sz w:val="21"/>
                <w:szCs w:val="21"/>
              </w:rPr>
            </w:pPr>
          </w:p>
        </w:tc>
        <w:tc>
          <w:tcPr>
            <w:tcW w:w="934" w:type="pct"/>
            <w:vAlign w:val="center"/>
          </w:tcPr>
          <w:p w14:paraId="59FB314D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改造户数</w:t>
            </w:r>
          </w:p>
        </w:tc>
        <w:tc>
          <w:tcPr>
            <w:tcW w:w="697" w:type="pct"/>
            <w:vAlign w:val="bottom"/>
          </w:tcPr>
          <w:p w14:paraId="2325051D">
            <w:pPr>
              <w:widowControl/>
              <w:spacing w:line="240" w:lineRule="auto"/>
              <w:ind w:firstLine="0" w:firstLineChars="0"/>
              <w:jc w:val="center"/>
              <w:textAlignment w:val="bottom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5372户</w:t>
            </w:r>
          </w:p>
        </w:tc>
        <w:tc>
          <w:tcPr>
            <w:tcW w:w="929" w:type="pct"/>
            <w:vAlign w:val="bottom"/>
          </w:tcPr>
          <w:p w14:paraId="5D50865C">
            <w:pPr>
              <w:widowControl/>
              <w:spacing w:line="240" w:lineRule="auto"/>
              <w:ind w:firstLine="0" w:firstLineChars="0"/>
              <w:jc w:val="center"/>
              <w:textAlignment w:val="bottom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5372户</w:t>
            </w:r>
          </w:p>
        </w:tc>
      </w:tr>
      <w:tr w14:paraId="1BB71B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3" w:type="pct"/>
            <w:vMerge w:val="continue"/>
            <w:vAlign w:val="center"/>
          </w:tcPr>
          <w:p w14:paraId="1F740E06">
            <w:pPr>
              <w:pStyle w:val="19"/>
              <w:rPr>
                <w:rFonts w:eastAsia="仿宋" w:cs="Times New Roman"/>
                <w:sz w:val="21"/>
                <w:szCs w:val="21"/>
              </w:rPr>
            </w:pPr>
          </w:p>
        </w:tc>
        <w:tc>
          <w:tcPr>
            <w:tcW w:w="619" w:type="pct"/>
            <w:vMerge w:val="continue"/>
            <w:vAlign w:val="center"/>
          </w:tcPr>
          <w:p w14:paraId="2D9768F7">
            <w:pPr>
              <w:pStyle w:val="19"/>
              <w:rPr>
                <w:rFonts w:eastAsia="仿宋" w:cs="Times New Roman"/>
                <w:sz w:val="21"/>
                <w:szCs w:val="21"/>
              </w:rPr>
            </w:pPr>
          </w:p>
        </w:tc>
        <w:tc>
          <w:tcPr>
            <w:tcW w:w="842" w:type="pct"/>
            <w:vAlign w:val="center"/>
          </w:tcPr>
          <w:p w14:paraId="6F6C2A9D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质量指标</w:t>
            </w:r>
          </w:p>
        </w:tc>
        <w:tc>
          <w:tcPr>
            <w:tcW w:w="934" w:type="pct"/>
            <w:vAlign w:val="center"/>
          </w:tcPr>
          <w:p w14:paraId="411D7216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合格率</w:t>
            </w:r>
          </w:p>
        </w:tc>
        <w:tc>
          <w:tcPr>
            <w:tcW w:w="697" w:type="pct"/>
            <w:vAlign w:val="center"/>
          </w:tcPr>
          <w:p w14:paraId="4E59546B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≥95%</w:t>
            </w:r>
          </w:p>
        </w:tc>
        <w:tc>
          <w:tcPr>
            <w:tcW w:w="929" w:type="pct"/>
            <w:vAlign w:val="center"/>
          </w:tcPr>
          <w:p w14:paraId="4A94C6A2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≥95%</w:t>
            </w:r>
          </w:p>
        </w:tc>
      </w:tr>
      <w:tr w14:paraId="5D44F9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3" w:type="pct"/>
            <w:vMerge w:val="continue"/>
            <w:vAlign w:val="center"/>
          </w:tcPr>
          <w:p w14:paraId="1E4FBD3C">
            <w:pPr>
              <w:pStyle w:val="19"/>
              <w:rPr>
                <w:rFonts w:eastAsia="仿宋" w:cs="Times New Roman"/>
                <w:sz w:val="21"/>
                <w:szCs w:val="21"/>
              </w:rPr>
            </w:pPr>
          </w:p>
        </w:tc>
        <w:tc>
          <w:tcPr>
            <w:tcW w:w="619" w:type="pct"/>
            <w:vMerge w:val="continue"/>
            <w:vAlign w:val="center"/>
          </w:tcPr>
          <w:p w14:paraId="048061FF">
            <w:pPr>
              <w:pStyle w:val="19"/>
              <w:rPr>
                <w:rFonts w:eastAsia="仿宋" w:cs="Times New Roman"/>
                <w:sz w:val="21"/>
                <w:szCs w:val="21"/>
              </w:rPr>
            </w:pPr>
          </w:p>
        </w:tc>
        <w:tc>
          <w:tcPr>
            <w:tcW w:w="842" w:type="pct"/>
            <w:vAlign w:val="center"/>
          </w:tcPr>
          <w:p w14:paraId="507BCC6C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时效指标</w:t>
            </w:r>
          </w:p>
        </w:tc>
        <w:tc>
          <w:tcPr>
            <w:tcW w:w="934" w:type="pct"/>
            <w:vAlign w:val="center"/>
          </w:tcPr>
          <w:p w14:paraId="2B08707F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完工时间</w:t>
            </w:r>
          </w:p>
        </w:tc>
        <w:tc>
          <w:tcPr>
            <w:tcW w:w="697" w:type="pct"/>
            <w:vAlign w:val="center"/>
          </w:tcPr>
          <w:p w14:paraId="00D52D38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1年</w:t>
            </w:r>
          </w:p>
        </w:tc>
        <w:tc>
          <w:tcPr>
            <w:tcW w:w="929" w:type="pct"/>
            <w:vAlign w:val="center"/>
          </w:tcPr>
          <w:p w14:paraId="1EECD6A3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1年</w:t>
            </w:r>
          </w:p>
        </w:tc>
      </w:tr>
      <w:tr w14:paraId="0980F0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3" w:type="pct"/>
            <w:vMerge w:val="continue"/>
            <w:vAlign w:val="center"/>
          </w:tcPr>
          <w:p w14:paraId="3D1105E7">
            <w:pPr>
              <w:pStyle w:val="19"/>
              <w:rPr>
                <w:rFonts w:eastAsia="仿宋" w:cs="Times New Roman"/>
                <w:sz w:val="21"/>
                <w:szCs w:val="21"/>
              </w:rPr>
            </w:pPr>
          </w:p>
        </w:tc>
        <w:tc>
          <w:tcPr>
            <w:tcW w:w="619" w:type="pct"/>
            <w:vMerge w:val="continue"/>
            <w:vAlign w:val="center"/>
          </w:tcPr>
          <w:p w14:paraId="056D6247">
            <w:pPr>
              <w:pStyle w:val="19"/>
              <w:rPr>
                <w:rFonts w:eastAsia="仿宋" w:cs="Times New Roman"/>
                <w:sz w:val="21"/>
                <w:szCs w:val="21"/>
              </w:rPr>
            </w:pPr>
          </w:p>
        </w:tc>
        <w:tc>
          <w:tcPr>
            <w:tcW w:w="842" w:type="pct"/>
            <w:vAlign w:val="center"/>
          </w:tcPr>
          <w:p w14:paraId="077CC2DC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成本指标</w:t>
            </w:r>
          </w:p>
        </w:tc>
        <w:tc>
          <w:tcPr>
            <w:tcW w:w="934" w:type="pct"/>
            <w:vAlign w:val="center"/>
          </w:tcPr>
          <w:p w14:paraId="55D4D39B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项目总投资</w:t>
            </w:r>
          </w:p>
        </w:tc>
        <w:tc>
          <w:tcPr>
            <w:tcW w:w="697" w:type="pct"/>
            <w:vAlign w:val="center"/>
          </w:tcPr>
          <w:p w14:paraId="6BC1EDDC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19291.43万元</w:t>
            </w:r>
          </w:p>
        </w:tc>
        <w:tc>
          <w:tcPr>
            <w:tcW w:w="929" w:type="pct"/>
            <w:vAlign w:val="center"/>
          </w:tcPr>
          <w:p w14:paraId="342504BC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19291.43万元</w:t>
            </w:r>
          </w:p>
        </w:tc>
      </w:tr>
      <w:tr w14:paraId="746857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3" w:type="pct"/>
            <w:vMerge w:val="continue"/>
            <w:vAlign w:val="center"/>
          </w:tcPr>
          <w:p w14:paraId="4AA7EE70">
            <w:pPr>
              <w:pStyle w:val="19"/>
              <w:rPr>
                <w:rFonts w:eastAsia="仿宋" w:cs="Times New Roman"/>
                <w:sz w:val="21"/>
                <w:szCs w:val="21"/>
              </w:rPr>
            </w:pPr>
          </w:p>
        </w:tc>
        <w:tc>
          <w:tcPr>
            <w:tcW w:w="619" w:type="pct"/>
            <w:vMerge w:val="restart"/>
            <w:vAlign w:val="center"/>
          </w:tcPr>
          <w:p w14:paraId="4851E8B7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效益指标</w:t>
            </w:r>
          </w:p>
        </w:tc>
        <w:tc>
          <w:tcPr>
            <w:tcW w:w="842" w:type="pct"/>
            <w:vAlign w:val="center"/>
          </w:tcPr>
          <w:p w14:paraId="55A3B79C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经济效益指标</w:t>
            </w:r>
          </w:p>
        </w:tc>
        <w:tc>
          <w:tcPr>
            <w:tcW w:w="934" w:type="pct"/>
            <w:vAlign w:val="center"/>
          </w:tcPr>
          <w:p w14:paraId="2787777D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带动行业发展</w:t>
            </w:r>
          </w:p>
        </w:tc>
        <w:tc>
          <w:tcPr>
            <w:tcW w:w="1627" w:type="pct"/>
            <w:gridSpan w:val="2"/>
            <w:vAlign w:val="center"/>
          </w:tcPr>
          <w:p w14:paraId="01946C11">
            <w:pPr>
              <w:pStyle w:val="19"/>
              <w:jc w:val="left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该项目通过实施道路、管线及其他配套设施工程以及配套服务设施建设，可以完善区域设施体系，改善居民生产生活条件，推进区域第二、三产业发展向规模、高效、集约转变，提高区域经济发展水平，促进区域经济发展。项目创造发展新动能老旧小区改造引入社会资金参与社区养老、托幼、医疗、超市、文体等公共服务设施建设改造，开拓幼儿消费、绿色消费等新消费模式，持续有效地为小区和社会创造新动能，具有良好的经济效益。</w:t>
            </w:r>
          </w:p>
        </w:tc>
      </w:tr>
      <w:tr w14:paraId="56BF21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3" w:type="pct"/>
            <w:vMerge w:val="continue"/>
            <w:vAlign w:val="center"/>
          </w:tcPr>
          <w:p w14:paraId="13EE0072">
            <w:pPr>
              <w:pStyle w:val="19"/>
              <w:rPr>
                <w:rFonts w:eastAsia="仿宋" w:cs="Times New Roman"/>
                <w:sz w:val="21"/>
                <w:szCs w:val="21"/>
              </w:rPr>
            </w:pPr>
          </w:p>
        </w:tc>
        <w:tc>
          <w:tcPr>
            <w:tcW w:w="619" w:type="pct"/>
            <w:vMerge w:val="continue"/>
            <w:vAlign w:val="center"/>
          </w:tcPr>
          <w:p w14:paraId="400D68EC">
            <w:pPr>
              <w:pStyle w:val="19"/>
              <w:rPr>
                <w:rFonts w:eastAsia="仿宋" w:cs="Times New Roman"/>
                <w:sz w:val="21"/>
                <w:szCs w:val="21"/>
              </w:rPr>
            </w:pPr>
          </w:p>
        </w:tc>
        <w:tc>
          <w:tcPr>
            <w:tcW w:w="842" w:type="pct"/>
            <w:vMerge w:val="restart"/>
            <w:vAlign w:val="center"/>
          </w:tcPr>
          <w:p w14:paraId="2E11E61A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社会效益指标</w:t>
            </w:r>
          </w:p>
        </w:tc>
        <w:tc>
          <w:tcPr>
            <w:tcW w:w="934" w:type="pct"/>
            <w:vAlign w:val="center"/>
          </w:tcPr>
          <w:p w14:paraId="5A5644DC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对居民经济影响</w:t>
            </w:r>
          </w:p>
        </w:tc>
        <w:tc>
          <w:tcPr>
            <w:tcW w:w="697" w:type="pct"/>
            <w:vAlign w:val="center"/>
          </w:tcPr>
          <w:p w14:paraId="6B31BAEA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增加居民收入</w:t>
            </w:r>
          </w:p>
        </w:tc>
        <w:tc>
          <w:tcPr>
            <w:tcW w:w="929" w:type="pct"/>
            <w:vAlign w:val="center"/>
          </w:tcPr>
          <w:p w14:paraId="4B2F80A9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增加居民收入</w:t>
            </w:r>
          </w:p>
        </w:tc>
      </w:tr>
      <w:tr w14:paraId="760BB8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3" w:type="pct"/>
            <w:vMerge w:val="continue"/>
            <w:vAlign w:val="center"/>
          </w:tcPr>
          <w:p w14:paraId="0E5D9394">
            <w:pPr>
              <w:pStyle w:val="19"/>
              <w:rPr>
                <w:rFonts w:eastAsia="仿宋" w:cs="Times New Roman"/>
                <w:sz w:val="21"/>
                <w:szCs w:val="21"/>
              </w:rPr>
            </w:pPr>
          </w:p>
        </w:tc>
        <w:tc>
          <w:tcPr>
            <w:tcW w:w="619" w:type="pct"/>
            <w:vMerge w:val="continue"/>
            <w:vAlign w:val="center"/>
          </w:tcPr>
          <w:p w14:paraId="7B8B995A">
            <w:pPr>
              <w:pStyle w:val="19"/>
              <w:rPr>
                <w:rFonts w:eastAsia="仿宋" w:cs="Times New Roman"/>
                <w:sz w:val="21"/>
                <w:szCs w:val="21"/>
              </w:rPr>
            </w:pPr>
          </w:p>
        </w:tc>
        <w:tc>
          <w:tcPr>
            <w:tcW w:w="842" w:type="pct"/>
            <w:vMerge w:val="continue"/>
            <w:vAlign w:val="center"/>
          </w:tcPr>
          <w:p w14:paraId="7B750F54">
            <w:pPr>
              <w:pStyle w:val="19"/>
              <w:rPr>
                <w:rFonts w:eastAsia="仿宋" w:cs="Times New Roman"/>
                <w:sz w:val="21"/>
                <w:szCs w:val="21"/>
              </w:rPr>
            </w:pPr>
          </w:p>
        </w:tc>
        <w:tc>
          <w:tcPr>
            <w:tcW w:w="934" w:type="pct"/>
            <w:vAlign w:val="center"/>
          </w:tcPr>
          <w:p w14:paraId="2BBE1DDF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对居民就业影响</w:t>
            </w:r>
          </w:p>
        </w:tc>
        <w:tc>
          <w:tcPr>
            <w:tcW w:w="697" w:type="pct"/>
            <w:vAlign w:val="center"/>
          </w:tcPr>
          <w:p w14:paraId="6F71644A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增加居民就业机会</w:t>
            </w:r>
          </w:p>
        </w:tc>
        <w:tc>
          <w:tcPr>
            <w:tcW w:w="929" w:type="pct"/>
            <w:vAlign w:val="center"/>
          </w:tcPr>
          <w:p w14:paraId="4A0B4523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增加居民就业机会</w:t>
            </w:r>
          </w:p>
        </w:tc>
      </w:tr>
      <w:tr w14:paraId="6EDCD7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3" w:type="pct"/>
            <w:vMerge w:val="continue"/>
            <w:vAlign w:val="center"/>
          </w:tcPr>
          <w:p w14:paraId="13664A8A">
            <w:pPr>
              <w:pStyle w:val="19"/>
              <w:rPr>
                <w:rFonts w:eastAsia="仿宋" w:cs="Times New Roman"/>
                <w:sz w:val="21"/>
                <w:szCs w:val="21"/>
              </w:rPr>
            </w:pPr>
          </w:p>
        </w:tc>
        <w:tc>
          <w:tcPr>
            <w:tcW w:w="619" w:type="pct"/>
            <w:vMerge w:val="continue"/>
            <w:vAlign w:val="center"/>
          </w:tcPr>
          <w:p w14:paraId="6B4A1E21">
            <w:pPr>
              <w:pStyle w:val="19"/>
              <w:rPr>
                <w:rFonts w:eastAsia="仿宋" w:cs="Times New Roman"/>
                <w:sz w:val="21"/>
                <w:szCs w:val="21"/>
              </w:rPr>
            </w:pPr>
          </w:p>
        </w:tc>
        <w:tc>
          <w:tcPr>
            <w:tcW w:w="842" w:type="pct"/>
            <w:vAlign w:val="center"/>
          </w:tcPr>
          <w:p w14:paraId="6EEE6874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生态效益指标</w:t>
            </w:r>
          </w:p>
        </w:tc>
        <w:tc>
          <w:tcPr>
            <w:tcW w:w="934" w:type="pct"/>
            <w:vAlign w:val="center"/>
          </w:tcPr>
          <w:p w14:paraId="578675E7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改善生活环境</w:t>
            </w:r>
          </w:p>
        </w:tc>
        <w:tc>
          <w:tcPr>
            <w:tcW w:w="1627" w:type="pct"/>
            <w:gridSpan w:val="2"/>
            <w:vAlign w:val="center"/>
          </w:tcPr>
          <w:p w14:paraId="51A57F59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改善居民群众的生产生活条件</w:t>
            </w:r>
          </w:p>
        </w:tc>
      </w:tr>
      <w:tr w14:paraId="0D1996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3" w:type="pct"/>
            <w:vMerge w:val="continue"/>
            <w:vAlign w:val="center"/>
          </w:tcPr>
          <w:p w14:paraId="7944BDE3">
            <w:pPr>
              <w:pStyle w:val="19"/>
              <w:rPr>
                <w:rFonts w:eastAsia="仿宋" w:cs="Times New Roman"/>
                <w:sz w:val="21"/>
                <w:szCs w:val="21"/>
              </w:rPr>
            </w:pPr>
          </w:p>
        </w:tc>
        <w:tc>
          <w:tcPr>
            <w:tcW w:w="619" w:type="pct"/>
            <w:vMerge w:val="continue"/>
            <w:vAlign w:val="center"/>
          </w:tcPr>
          <w:p w14:paraId="7D0BD964">
            <w:pPr>
              <w:pStyle w:val="19"/>
              <w:rPr>
                <w:rFonts w:eastAsia="仿宋" w:cs="Times New Roman"/>
                <w:sz w:val="21"/>
                <w:szCs w:val="21"/>
              </w:rPr>
            </w:pPr>
          </w:p>
        </w:tc>
        <w:tc>
          <w:tcPr>
            <w:tcW w:w="842" w:type="pct"/>
            <w:vAlign w:val="center"/>
          </w:tcPr>
          <w:p w14:paraId="27EDDF99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可持续影响指标</w:t>
            </w:r>
          </w:p>
        </w:tc>
        <w:tc>
          <w:tcPr>
            <w:tcW w:w="934" w:type="pct"/>
            <w:vAlign w:val="center"/>
          </w:tcPr>
          <w:p w14:paraId="4438339F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推动社会发展</w:t>
            </w:r>
          </w:p>
        </w:tc>
        <w:tc>
          <w:tcPr>
            <w:tcW w:w="1627" w:type="pct"/>
            <w:gridSpan w:val="2"/>
            <w:vAlign w:val="center"/>
          </w:tcPr>
          <w:p w14:paraId="013B370B">
            <w:pPr>
              <w:pStyle w:val="19"/>
              <w:jc w:val="left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既可以带动社会投资，促进居民消费，扩大社会就业，又可以发展社会配套服务，加强社会管理，推进平安社会建设，是扩内需、惠民生、保稳定的重要结合点。</w:t>
            </w:r>
          </w:p>
        </w:tc>
      </w:tr>
      <w:tr w14:paraId="3A62C4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3" w:type="pct"/>
            <w:vMerge w:val="continue"/>
            <w:vAlign w:val="center"/>
          </w:tcPr>
          <w:p w14:paraId="7C71EB75">
            <w:pPr>
              <w:pStyle w:val="19"/>
              <w:rPr>
                <w:rFonts w:eastAsia="仿宋" w:cs="Times New Roman"/>
                <w:sz w:val="21"/>
                <w:szCs w:val="21"/>
              </w:rPr>
            </w:pPr>
          </w:p>
        </w:tc>
        <w:tc>
          <w:tcPr>
            <w:tcW w:w="619" w:type="pct"/>
            <w:vMerge w:val="continue"/>
            <w:vAlign w:val="center"/>
          </w:tcPr>
          <w:p w14:paraId="1BBD09AE">
            <w:pPr>
              <w:pStyle w:val="19"/>
              <w:rPr>
                <w:rFonts w:eastAsia="仿宋" w:cs="Times New Roman"/>
                <w:sz w:val="21"/>
                <w:szCs w:val="21"/>
              </w:rPr>
            </w:pPr>
          </w:p>
        </w:tc>
        <w:tc>
          <w:tcPr>
            <w:tcW w:w="842" w:type="pct"/>
            <w:vAlign w:val="center"/>
          </w:tcPr>
          <w:p w14:paraId="3B61BE2E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社会公众或服务对象满意度指标</w:t>
            </w:r>
          </w:p>
        </w:tc>
        <w:tc>
          <w:tcPr>
            <w:tcW w:w="934" w:type="pct"/>
            <w:vAlign w:val="center"/>
          </w:tcPr>
          <w:p w14:paraId="3144B978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公众社会满意度</w:t>
            </w:r>
          </w:p>
        </w:tc>
        <w:tc>
          <w:tcPr>
            <w:tcW w:w="697" w:type="pct"/>
            <w:vAlign w:val="center"/>
          </w:tcPr>
          <w:p w14:paraId="39817005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≥90%</w:t>
            </w:r>
          </w:p>
        </w:tc>
        <w:tc>
          <w:tcPr>
            <w:tcW w:w="929" w:type="pct"/>
            <w:vAlign w:val="center"/>
          </w:tcPr>
          <w:p w14:paraId="29D8174A">
            <w:pPr>
              <w:pStyle w:val="19"/>
              <w:rPr>
                <w:rFonts w:eastAsia="仿宋" w:cs="Times New Roman"/>
                <w:sz w:val="21"/>
                <w:szCs w:val="21"/>
              </w:rPr>
            </w:pPr>
            <w:r>
              <w:rPr>
                <w:rFonts w:eastAsia="仿宋" w:cs="Times New Roman"/>
                <w:sz w:val="21"/>
                <w:szCs w:val="21"/>
              </w:rPr>
              <w:t>≥90%</w:t>
            </w:r>
          </w:p>
        </w:tc>
      </w:tr>
      <w:bookmarkEnd w:id="0"/>
    </w:tbl>
    <w:p w14:paraId="0AE57BF3">
      <w:p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 w14:paraId="7E08309F">
      <w:pPr>
        <w:pStyle w:val="4"/>
        <w:numPr>
          <w:ilvl w:val="0"/>
          <w:numId w:val="0"/>
        </w:numPr>
        <w:rPr>
          <w:rFonts w:hint="default" w:eastAsia="仿宋" w:cs="Times New Roman"/>
          <w:lang w:val="en-US" w:eastAsia="zh-CN"/>
        </w:rPr>
      </w:pPr>
      <w:r>
        <w:rPr>
          <w:rFonts w:eastAsia="仿宋" w:cs="Times New Roman"/>
          <w:lang w:eastAsia="zh-CN"/>
        </w:rPr>
        <w:t>附件</w:t>
      </w:r>
      <w:r>
        <w:rPr>
          <w:rFonts w:hint="eastAsia" w:eastAsia="仿宋" w:cs="Times New Roman"/>
          <w:lang w:val="en-US" w:eastAsia="zh-CN"/>
        </w:rPr>
        <w:t>2</w:t>
      </w:r>
    </w:p>
    <w:p w14:paraId="17A3D400">
      <w:pPr>
        <w:pStyle w:val="18"/>
        <w:keepNext w:val="0"/>
        <w:keepLines w:val="0"/>
        <w:pageBreakBefore w:val="0"/>
        <w:widowControl w:val="0"/>
        <w:numPr>
          <w:ilvl w:val="3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textAlignment w:val="auto"/>
        <w:rPr>
          <w:rFonts w:hint="default" w:ascii="Times New Roman" w:hAnsi="Times New Roman" w:eastAsia="仿宋" w:cs="Times New Roman"/>
        </w:rPr>
      </w:pPr>
      <w:r>
        <w:rPr>
          <w:rFonts w:hint="default" w:ascii="Times New Roman" w:hAnsi="Times New Roman" w:eastAsia="仿宋" w:cs="Times New Roman"/>
        </w:rPr>
        <w:t>项目</w:t>
      </w:r>
      <w:r>
        <w:rPr>
          <w:rFonts w:hint="eastAsia" w:eastAsia="仿宋" w:cs="Times New Roman"/>
          <w:lang w:val="en-US" w:eastAsia="zh-CN"/>
        </w:rPr>
        <w:t>事前</w:t>
      </w:r>
      <w:r>
        <w:rPr>
          <w:rFonts w:hint="default" w:ascii="Times New Roman" w:hAnsi="Times New Roman" w:eastAsia="仿宋" w:cs="Times New Roman"/>
        </w:rPr>
        <w:t>绩效目标表</w:t>
      </w:r>
    </w:p>
    <w:tbl>
      <w:tblPr>
        <w:tblStyle w:val="16"/>
        <w:tblpPr w:leftFromText="180" w:rightFromText="180" w:vertAnchor="text" w:horzAnchor="page" w:tblpXSpec="center" w:tblpY="282"/>
        <w:tblOverlap w:val="never"/>
        <w:tblW w:w="499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621"/>
        <w:gridCol w:w="1033"/>
        <w:gridCol w:w="1402"/>
        <w:gridCol w:w="1557"/>
        <w:gridCol w:w="1162"/>
        <w:gridCol w:w="1550"/>
        <w:gridCol w:w="8"/>
      </w:tblGrid>
      <w:tr w14:paraId="3800E1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3" w:type="pct"/>
            <w:vAlign w:val="center"/>
          </w:tcPr>
          <w:p w14:paraId="759681DA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项目名称</w:t>
            </w:r>
          </w:p>
        </w:tc>
        <w:tc>
          <w:tcPr>
            <w:tcW w:w="4026" w:type="pct"/>
            <w:gridSpan w:val="6"/>
            <w:vAlign w:val="center"/>
          </w:tcPr>
          <w:p w14:paraId="33E972C0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岳阳楼区2023年老旧小区改造（洛王片区）及配套设施建设项目</w:t>
            </w:r>
          </w:p>
        </w:tc>
      </w:tr>
      <w:tr w14:paraId="3092F2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3" w:type="pct"/>
            <w:vAlign w:val="center"/>
          </w:tcPr>
          <w:p w14:paraId="274B51B1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主管部门</w:t>
            </w:r>
          </w:p>
        </w:tc>
        <w:tc>
          <w:tcPr>
            <w:tcW w:w="4026" w:type="pct"/>
            <w:gridSpan w:val="6"/>
            <w:vAlign w:val="center"/>
          </w:tcPr>
          <w:p w14:paraId="174B0710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岳阳楼区住房和城乡建设局</w:t>
            </w:r>
          </w:p>
        </w:tc>
      </w:tr>
      <w:tr w14:paraId="1C7F5B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3" w:type="pct"/>
            <w:vAlign w:val="center"/>
          </w:tcPr>
          <w:p w14:paraId="680F1110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项目负责人</w:t>
            </w:r>
          </w:p>
        </w:tc>
        <w:tc>
          <w:tcPr>
            <w:tcW w:w="1461" w:type="pct"/>
            <w:gridSpan w:val="2"/>
            <w:vAlign w:val="center"/>
          </w:tcPr>
          <w:p w14:paraId="1A4B9878">
            <w:pPr>
              <w:pStyle w:val="19"/>
              <w:jc w:val="center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杨震</w:t>
            </w:r>
          </w:p>
        </w:tc>
        <w:tc>
          <w:tcPr>
            <w:tcW w:w="934" w:type="pct"/>
            <w:vAlign w:val="center"/>
          </w:tcPr>
          <w:p w14:paraId="65C4B2ED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联系电话</w:t>
            </w:r>
          </w:p>
        </w:tc>
        <w:tc>
          <w:tcPr>
            <w:tcW w:w="1631" w:type="pct"/>
            <w:gridSpan w:val="3"/>
            <w:vAlign w:val="center"/>
          </w:tcPr>
          <w:p w14:paraId="6053AD35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13975099338</w:t>
            </w:r>
          </w:p>
        </w:tc>
      </w:tr>
      <w:tr w14:paraId="7D2497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3" w:type="pct"/>
            <w:vMerge w:val="restart"/>
            <w:vAlign w:val="center"/>
          </w:tcPr>
          <w:p w14:paraId="328909F6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项目资金</w:t>
            </w:r>
          </w:p>
          <w:p w14:paraId="160ED8C4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（万元）</w:t>
            </w:r>
          </w:p>
        </w:tc>
        <w:tc>
          <w:tcPr>
            <w:tcW w:w="4026" w:type="pct"/>
            <w:gridSpan w:val="6"/>
            <w:vAlign w:val="center"/>
          </w:tcPr>
          <w:p w14:paraId="36B4FB57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资金总额：19978.47万元</w:t>
            </w:r>
          </w:p>
        </w:tc>
      </w:tr>
      <w:tr w14:paraId="21DADD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3" w:type="pct"/>
            <w:vMerge w:val="continue"/>
            <w:vAlign w:val="center"/>
          </w:tcPr>
          <w:p w14:paraId="5B7164D8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4026" w:type="pct"/>
            <w:gridSpan w:val="6"/>
            <w:vAlign w:val="center"/>
          </w:tcPr>
          <w:p w14:paraId="2ABE811B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一、政府专项债券资金：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eastAsia="zh-CN"/>
              </w:rPr>
              <w:t>9800.00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万元</w:t>
            </w:r>
          </w:p>
        </w:tc>
      </w:tr>
      <w:tr w14:paraId="6994A8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3" w:type="pct"/>
            <w:vMerge w:val="continue"/>
            <w:vAlign w:val="center"/>
          </w:tcPr>
          <w:p w14:paraId="12855E96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4026" w:type="pct"/>
            <w:gridSpan w:val="6"/>
            <w:vAlign w:val="center"/>
          </w:tcPr>
          <w:p w14:paraId="727BA0C0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二、其他资金：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eastAsia="zh-CN"/>
              </w:rPr>
              <w:t>10178.47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万元</w:t>
            </w:r>
          </w:p>
        </w:tc>
      </w:tr>
      <w:tr w14:paraId="0AF79D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3" w:type="pct"/>
            <w:vMerge w:val="restart"/>
            <w:vAlign w:val="center"/>
          </w:tcPr>
          <w:p w14:paraId="41795D0E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项目实施进度计划</w:t>
            </w:r>
          </w:p>
        </w:tc>
        <w:tc>
          <w:tcPr>
            <w:tcW w:w="2395" w:type="pct"/>
            <w:gridSpan w:val="3"/>
            <w:vAlign w:val="center"/>
          </w:tcPr>
          <w:p w14:paraId="4B2DCB71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开始时间</w:t>
            </w:r>
          </w:p>
        </w:tc>
        <w:tc>
          <w:tcPr>
            <w:tcW w:w="1631" w:type="pct"/>
            <w:gridSpan w:val="3"/>
            <w:vAlign w:val="center"/>
          </w:tcPr>
          <w:p w14:paraId="1418DBDE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完成时间</w:t>
            </w:r>
          </w:p>
        </w:tc>
      </w:tr>
      <w:tr w14:paraId="737D29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3" w:type="pct"/>
            <w:vMerge w:val="continue"/>
            <w:vAlign w:val="center"/>
          </w:tcPr>
          <w:p w14:paraId="370FBAEE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2395" w:type="pct"/>
            <w:gridSpan w:val="3"/>
            <w:vAlign w:val="center"/>
          </w:tcPr>
          <w:p w14:paraId="5F155031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3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年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1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月</w:t>
            </w:r>
          </w:p>
        </w:tc>
        <w:tc>
          <w:tcPr>
            <w:tcW w:w="1631" w:type="pct"/>
            <w:gridSpan w:val="3"/>
            <w:vAlign w:val="center"/>
          </w:tcPr>
          <w:p w14:paraId="1FCDCC6F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3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年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12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月</w:t>
            </w:r>
          </w:p>
        </w:tc>
      </w:tr>
      <w:tr w14:paraId="298760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2" w:hRule="atLeast"/>
          <w:jc w:val="center"/>
        </w:trPr>
        <w:tc>
          <w:tcPr>
            <w:tcW w:w="973" w:type="pct"/>
            <w:vMerge w:val="restart"/>
            <w:vAlign w:val="center"/>
          </w:tcPr>
          <w:p w14:paraId="7B972E1A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项目绩效目标</w:t>
            </w:r>
          </w:p>
        </w:tc>
        <w:tc>
          <w:tcPr>
            <w:tcW w:w="4026" w:type="pct"/>
            <w:gridSpan w:val="6"/>
            <w:vMerge w:val="restart"/>
            <w:vAlign w:val="center"/>
          </w:tcPr>
          <w:p w14:paraId="0705F434">
            <w:pPr>
              <w:pStyle w:val="19"/>
              <w:jc w:val="both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本项目主要建设内容包含项目涉及3个街道、44个老旧小区，改造总户数5179户、房屋总建筑面积57.26万平方米。</w:t>
            </w:r>
          </w:p>
          <w:p w14:paraId="4166BAAF">
            <w:pPr>
              <w:pStyle w:val="19"/>
              <w:jc w:val="both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1、建设内容主要包括房屋公共部分修缮，防洪排涝（雨污分流）、供电及管线、通信设施、供水管道、供气管道、破损道路修补、环卫设施、海绵城市建设、消防、安防设施等基础类改造；</w:t>
            </w:r>
          </w:p>
          <w:p w14:paraId="433A0DCC">
            <w:pPr>
              <w:pStyle w:val="19"/>
              <w:jc w:val="both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2、无障碍设施、绿化提质、照明亮化、停车场改造，充电桩、智能快件箱，文化休闲设施、体育健身设施、物业用房、建筑节能等完善类改造；卫生服务站、养老抚幼服务站、便民市场、邮政快递末端综合服务站等提升类改造。</w:t>
            </w:r>
          </w:p>
        </w:tc>
      </w:tr>
      <w:tr w14:paraId="38080A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2" w:hRule="atLeast"/>
          <w:jc w:val="center"/>
        </w:trPr>
        <w:tc>
          <w:tcPr>
            <w:tcW w:w="973" w:type="pct"/>
            <w:vMerge w:val="continue"/>
            <w:vAlign w:val="center"/>
          </w:tcPr>
          <w:p w14:paraId="6C0068FF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4026" w:type="pct"/>
            <w:gridSpan w:val="6"/>
            <w:vMerge w:val="continue"/>
            <w:vAlign w:val="center"/>
          </w:tcPr>
          <w:p w14:paraId="021DC1C8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</w:tr>
      <w:tr w14:paraId="19738E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3" w:type="pct"/>
            <w:vMerge w:val="restart"/>
            <w:vAlign w:val="center"/>
          </w:tcPr>
          <w:p w14:paraId="652ABFCC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项目绩效指标</w:t>
            </w:r>
          </w:p>
        </w:tc>
        <w:tc>
          <w:tcPr>
            <w:tcW w:w="620" w:type="pct"/>
            <w:vAlign w:val="center"/>
          </w:tcPr>
          <w:p w14:paraId="1F32A7C8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一级指标</w:t>
            </w:r>
          </w:p>
        </w:tc>
        <w:tc>
          <w:tcPr>
            <w:tcW w:w="841" w:type="pct"/>
            <w:vAlign w:val="center"/>
          </w:tcPr>
          <w:p w14:paraId="6A85F3D6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二级指标</w:t>
            </w:r>
          </w:p>
        </w:tc>
        <w:tc>
          <w:tcPr>
            <w:tcW w:w="934" w:type="pct"/>
            <w:vAlign w:val="center"/>
          </w:tcPr>
          <w:p w14:paraId="1238CF39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三级指标</w:t>
            </w:r>
          </w:p>
        </w:tc>
        <w:tc>
          <w:tcPr>
            <w:tcW w:w="697" w:type="pct"/>
            <w:vAlign w:val="center"/>
          </w:tcPr>
          <w:p w14:paraId="0DFA6A85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指标值及</w:t>
            </w:r>
          </w:p>
          <w:p w14:paraId="4189E5D1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单位</w:t>
            </w:r>
          </w:p>
        </w:tc>
        <w:tc>
          <w:tcPr>
            <w:tcW w:w="929" w:type="pct"/>
            <w:vAlign w:val="center"/>
          </w:tcPr>
          <w:p w14:paraId="09E6184C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绩效标准</w:t>
            </w:r>
          </w:p>
        </w:tc>
      </w:tr>
      <w:tr w14:paraId="128172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3" w:type="pct"/>
            <w:vMerge w:val="continue"/>
            <w:vAlign w:val="center"/>
          </w:tcPr>
          <w:p w14:paraId="1A96C652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restart"/>
            <w:vAlign w:val="center"/>
          </w:tcPr>
          <w:p w14:paraId="43EA1C26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产出指标</w:t>
            </w:r>
          </w:p>
        </w:tc>
        <w:tc>
          <w:tcPr>
            <w:tcW w:w="841" w:type="pct"/>
            <w:vMerge w:val="restart"/>
            <w:vAlign w:val="center"/>
          </w:tcPr>
          <w:p w14:paraId="3816C7A6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数量指标</w:t>
            </w:r>
          </w:p>
        </w:tc>
        <w:tc>
          <w:tcPr>
            <w:tcW w:w="934" w:type="pct"/>
            <w:vAlign w:val="center"/>
          </w:tcPr>
          <w:p w14:paraId="5DBE028F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改造建筑面积</w:t>
            </w:r>
          </w:p>
        </w:tc>
        <w:tc>
          <w:tcPr>
            <w:tcW w:w="697" w:type="pct"/>
            <w:vAlign w:val="bottom"/>
          </w:tcPr>
          <w:p w14:paraId="7EFB3B8B">
            <w:pPr>
              <w:widowControl/>
              <w:spacing w:line="240" w:lineRule="auto"/>
              <w:ind w:firstLine="0" w:firstLineChars="0"/>
              <w:jc w:val="center"/>
              <w:textAlignment w:val="bottom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5726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00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1"/>
                <w:szCs w:val="21"/>
                <w:lang w:bidi="ar"/>
              </w:rPr>
              <w:t>㎡</w:t>
            </w:r>
          </w:p>
        </w:tc>
        <w:tc>
          <w:tcPr>
            <w:tcW w:w="929" w:type="pct"/>
            <w:vAlign w:val="center"/>
          </w:tcPr>
          <w:p w14:paraId="0D532DDD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1</w:t>
            </w:r>
          </w:p>
        </w:tc>
      </w:tr>
      <w:tr w14:paraId="25D51B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3" w:type="pct"/>
            <w:vMerge w:val="continue"/>
            <w:vAlign w:val="center"/>
          </w:tcPr>
          <w:p w14:paraId="7DE0B255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4C39C24C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Merge w:val="continue"/>
            <w:vAlign w:val="center"/>
          </w:tcPr>
          <w:p w14:paraId="7EA105D9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934" w:type="pct"/>
            <w:vAlign w:val="center"/>
          </w:tcPr>
          <w:p w14:paraId="2DFCFACB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改造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小区户数</w:t>
            </w:r>
          </w:p>
        </w:tc>
        <w:tc>
          <w:tcPr>
            <w:tcW w:w="697" w:type="pct"/>
            <w:vAlign w:val="bottom"/>
          </w:tcPr>
          <w:p w14:paraId="6C3F4A1A">
            <w:pPr>
              <w:widowControl/>
              <w:spacing w:line="240" w:lineRule="auto"/>
              <w:ind w:firstLine="0" w:firstLineChars="0"/>
              <w:jc w:val="center"/>
              <w:textAlignment w:val="bottom"/>
              <w:rPr>
                <w:rFonts w:hint="default" w:ascii="Times New Roman" w:hAnsi="Times New Roman" w:eastAsia="仿宋" w:cs="Times New Roman"/>
                <w:sz w:val="21"/>
                <w:szCs w:val="21"/>
                <w:lang w:val="en-US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44个</w:t>
            </w:r>
          </w:p>
        </w:tc>
        <w:tc>
          <w:tcPr>
            <w:tcW w:w="929" w:type="pct"/>
            <w:vAlign w:val="center"/>
          </w:tcPr>
          <w:p w14:paraId="667FE3A5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1</w:t>
            </w:r>
          </w:p>
        </w:tc>
      </w:tr>
      <w:tr w14:paraId="3BC5D0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3" w:type="pct"/>
            <w:vMerge w:val="continue"/>
            <w:vAlign w:val="center"/>
          </w:tcPr>
          <w:p w14:paraId="0E1B6920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0261642F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Merge w:val="continue"/>
            <w:vAlign w:val="center"/>
          </w:tcPr>
          <w:p w14:paraId="4502A9D6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934" w:type="pct"/>
            <w:vAlign w:val="center"/>
          </w:tcPr>
          <w:p w14:paraId="4B508A47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改造户数</w:t>
            </w:r>
          </w:p>
        </w:tc>
        <w:tc>
          <w:tcPr>
            <w:tcW w:w="697" w:type="pct"/>
            <w:vAlign w:val="bottom"/>
          </w:tcPr>
          <w:p w14:paraId="518C9C53">
            <w:pPr>
              <w:widowControl/>
              <w:spacing w:line="240" w:lineRule="auto"/>
              <w:ind w:firstLine="0" w:firstLineChars="0"/>
              <w:jc w:val="center"/>
              <w:textAlignment w:val="bottom"/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5179户</w:t>
            </w:r>
          </w:p>
        </w:tc>
        <w:tc>
          <w:tcPr>
            <w:tcW w:w="929" w:type="pct"/>
            <w:vAlign w:val="center"/>
          </w:tcPr>
          <w:p w14:paraId="609D5144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1</w:t>
            </w:r>
          </w:p>
        </w:tc>
      </w:tr>
      <w:tr w14:paraId="4108DC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3" w:type="pct"/>
            <w:vMerge w:val="continue"/>
            <w:vAlign w:val="center"/>
          </w:tcPr>
          <w:p w14:paraId="364C80E2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06CC0E17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Align w:val="center"/>
          </w:tcPr>
          <w:p w14:paraId="3B90141D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质量指标</w:t>
            </w:r>
          </w:p>
        </w:tc>
        <w:tc>
          <w:tcPr>
            <w:tcW w:w="934" w:type="pct"/>
            <w:vAlign w:val="center"/>
          </w:tcPr>
          <w:p w14:paraId="6377192B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合格率</w:t>
            </w:r>
          </w:p>
        </w:tc>
        <w:tc>
          <w:tcPr>
            <w:tcW w:w="697" w:type="pct"/>
            <w:vAlign w:val="center"/>
          </w:tcPr>
          <w:p w14:paraId="14A15109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≥95%</w:t>
            </w:r>
          </w:p>
        </w:tc>
        <w:tc>
          <w:tcPr>
            <w:tcW w:w="929" w:type="pct"/>
            <w:vAlign w:val="center"/>
          </w:tcPr>
          <w:p w14:paraId="22935F79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≥95%</w:t>
            </w:r>
          </w:p>
        </w:tc>
      </w:tr>
      <w:tr w14:paraId="172DC8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3" w:type="pct"/>
            <w:vMerge w:val="continue"/>
            <w:vAlign w:val="center"/>
          </w:tcPr>
          <w:p w14:paraId="451E4D63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04F13079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Align w:val="center"/>
          </w:tcPr>
          <w:p w14:paraId="3EC14BAF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时效指标</w:t>
            </w:r>
          </w:p>
        </w:tc>
        <w:tc>
          <w:tcPr>
            <w:tcW w:w="934" w:type="pct"/>
            <w:vAlign w:val="center"/>
          </w:tcPr>
          <w:p w14:paraId="0B25FFDA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完工时间</w:t>
            </w:r>
          </w:p>
        </w:tc>
        <w:tc>
          <w:tcPr>
            <w:tcW w:w="697" w:type="pct"/>
            <w:vAlign w:val="center"/>
          </w:tcPr>
          <w:p w14:paraId="1E015B48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1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年</w:t>
            </w:r>
          </w:p>
        </w:tc>
        <w:tc>
          <w:tcPr>
            <w:tcW w:w="929" w:type="pct"/>
            <w:vAlign w:val="center"/>
          </w:tcPr>
          <w:p w14:paraId="0BD38A3C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1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年</w:t>
            </w:r>
          </w:p>
        </w:tc>
      </w:tr>
      <w:tr w14:paraId="1B26D1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3" w:type="pct"/>
            <w:vMerge w:val="continue"/>
            <w:vAlign w:val="center"/>
          </w:tcPr>
          <w:p w14:paraId="4B370E3A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0B73A9A4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Align w:val="center"/>
          </w:tcPr>
          <w:p w14:paraId="1A152F87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成本指标</w:t>
            </w:r>
          </w:p>
        </w:tc>
        <w:tc>
          <w:tcPr>
            <w:tcW w:w="934" w:type="pct"/>
            <w:vAlign w:val="center"/>
          </w:tcPr>
          <w:p w14:paraId="4DFEBE64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项目总投资</w:t>
            </w:r>
          </w:p>
        </w:tc>
        <w:tc>
          <w:tcPr>
            <w:tcW w:w="697" w:type="pct"/>
            <w:vAlign w:val="center"/>
          </w:tcPr>
          <w:p w14:paraId="1870EF50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19978.47万元</w:t>
            </w:r>
          </w:p>
        </w:tc>
        <w:tc>
          <w:tcPr>
            <w:tcW w:w="929" w:type="pct"/>
            <w:vAlign w:val="center"/>
          </w:tcPr>
          <w:p w14:paraId="6367498E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1</w:t>
            </w:r>
          </w:p>
        </w:tc>
      </w:tr>
      <w:tr w14:paraId="593C69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3" w:type="pct"/>
            <w:vMerge w:val="continue"/>
            <w:vAlign w:val="center"/>
          </w:tcPr>
          <w:p w14:paraId="10492DA2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restart"/>
            <w:vAlign w:val="center"/>
          </w:tcPr>
          <w:p w14:paraId="31442B29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效益指标</w:t>
            </w:r>
          </w:p>
        </w:tc>
        <w:tc>
          <w:tcPr>
            <w:tcW w:w="841" w:type="pct"/>
            <w:vAlign w:val="center"/>
          </w:tcPr>
          <w:p w14:paraId="4D6C40A0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经济效益指标</w:t>
            </w:r>
          </w:p>
        </w:tc>
        <w:tc>
          <w:tcPr>
            <w:tcW w:w="934" w:type="pct"/>
            <w:vAlign w:val="center"/>
          </w:tcPr>
          <w:p w14:paraId="44BA5E2D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带动行业发展</w:t>
            </w:r>
          </w:p>
        </w:tc>
        <w:tc>
          <w:tcPr>
            <w:tcW w:w="1627" w:type="pct"/>
            <w:gridSpan w:val="2"/>
            <w:vAlign w:val="center"/>
          </w:tcPr>
          <w:p w14:paraId="0BF8CBE8">
            <w:pPr>
              <w:pStyle w:val="19"/>
              <w:jc w:val="left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该项目通过实施道路、管线及其他配套设施工程以及配套服务设施建设，可以完善区域设施体系，改善居民生产生活条件，推进区域第二、三产业发展向规模、高效、集约转变，提高区域经济发展水平，促进区域经济发展。项目创造发展新动能老旧小区改造引入社会资金参与社区养老、托幼、医疗、超市、文体等公共服务设施建设改造，开拓幼儿消费、绿色消费等新消费模式，持续有效地为小区和社会创造新动能，具有良好的经济效益。</w:t>
            </w:r>
          </w:p>
        </w:tc>
      </w:tr>
      <w:tr w14:paraId="6F7908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3" w:type="pct"/>
            <w:vMerge w:val="continue"/>
            <w:vAlign w:val="center"/>
          </w:tcPr>
          <w:p w14:paraId="7F45751D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206CA069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Merge w:val="restart"/>
            <w:vAlign w:val="center"/>
          </w:tcPr>
          <w:p w14:paraId="6DE6EC92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社会效益指标</w:t>
            </w:r>
          </w:p>
        </w:tc>
        <w:tc>
          <w:tcPr>
            <w:tcW w:w="934" w:type="pct"/>
            <w:vAlign w:val="center"/>
          </w:tcPr>
          <w:p w14:paraId="79C8F6F0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对居民经济影响</w:t>
            </w:r>
          </w:p>
        </w:tc>
        <w:tc>
          <w:tcPr>
            <w:tcW w:w="697" w:type="pct"/>
            <w:vAlign w:val="center"/>
          </w:tcPr>
          <w:p w14:paraId="0207E727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增加居民收入</w:t>
            </w:r>
          </w:p>
        </w:tc>
        <w:tc>
          <w:tcPr>
            <w:tcW w:w="929" w:type="pct"/>
            <w:vAlign w:val="center"/>
          </w:tcPr>
          <w:p w14:paraId="14243621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增加居民收入</w:t>
            </w:r>
          </w:p>
        </w:tc>
      </w:tr>
      <w:tr w14:paraId="0DEDC8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3" w:type="pct"/>
            <w:vMerge w:val="continue"/>
            <w:vAlign w:val="center"/>
          </w:tcPr>
          <w:p w14:paraId="45420739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0D70563F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Merge w:val="continue"/>
            <w:vAlign w:val="center"/>
          </w:tcPr>
          <w:p w14:paraId="41915457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934" w:type="pct"/>
            <w:vAlign w:val="center"/>
          </w:tcPr>
          <w:p w14:paraId="17CB3870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对居民就业影响</w:t>
            </w:r>
          </w:p>
        </w:tc>
        <w:tc>
          <w:tcPr>
            <w:tcW w:w="697" w:type="pct"/>
            <w:vAlign w:val="center"/>
          </w:tcPr>
          <w:p w14:paraId="6C4EB094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增加居民就业机会</w:t>
            </w:r>
          </w:p>
        </w:tc>
        <w:tc>
          <w:tcPr>
            <w:tcW w:w="929" w:type="pct"/>
            <w:vAlign w:val="center"/>
          </w:tcPr>
          <w:p w14:paraId="3084DB05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增加居民就业机会</w:t>
            </w:r>
          </w:p>
        </w:tc>
      </w:tr>
      <w:tr w14:paraId="6737D4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3" w:type="pct"/>
            <w:vMerge w:val="continue"/>
            <w:vAlign w:val="center"/>
          </w:tcPr>
          <w:p w14:paraId="7E981626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15504BF1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Align w:val="center"/>
          </w:tcPr>
          <w:p w14:paraId="685F69F7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生态效益指标</w:t>
            </w:r>
          </w:p>
        </w:tc>
        <w:tc>
          <w:tcPr>
            <w:tcW w:w="934" w:type="pct"/>
            <w:vAlign w:val="center"/>
          </w:tcPr>
          <w:p w14:paraId="2ED5E4DB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改善生活环境</w:t>
            </w:r>
          </w:p>
        </w:tc>
        <w:tc>
          <w:tcPr>
            <w:tcW w:w="1627" w:type="pct"/>
            <w:gridSpan w:val="2"/>
            <w:vAlign w:val="center"/>
          </w:tcPr>
          <w:p w14:paraId="5D4108B5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改善居民群众的生产生活条件</w:t>
            </w:r>
          </w:p>
        </w:tc>
      </w:tr>
      <w:tr w14:paraId="74B7B5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3" w:type="pct"/>
            <w:vMerge w:val="continue"/>
            <w:vAlign w:val="center"/>
          </w:tcPr>
          <w:p w14:paraId="0091A76D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78A82D9C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Align w:val="center"/>
          </w:tcPr>
          <w:p w14:paraId="3E90B7E8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可持续影响指标</w:t>
            </w:r>
          </w:p>
        </w:tc>
        <w:tc>
          <w:tcPr>
            <w:tcW w:w="934" w:type="pct"/>
            <w:vAlign w:val="center"/>
          </w:tcPr>
          <w:p w14:paraId="47C93A96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推动社会发展</w:t>
            </w:r>
          </w:p>
        </w:tc>
        <w:tc>
          <w:tcPr>
            <w:tcW w:w="1627" w:type="pct"/>
            <w:gridSpan w:val="2"/>
            <w:vAlign w:val="center"/>
          </w:tcPr>
          <w:p w14:paraId="16C230DD">
            <w:pPr>
              <w:pStyle w:val="19"/>
              <w:jc w:val="left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既可以带动社会投资，促进居民消费，扩大社会就业，又可以发展社会配套服务，加强社会管理，推进平安社会建设，是扩内需、惠民生、保稳定的重要结合点。</w:t>
            </w:r>
          </w:p>
        </w:tc>
      </w:tr>
      <w:tr w14:paraId="53D24E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3" w:type="pct"/>
            <w:vMerge w:val="continue"/>
            <w:vAlign w:val="center"/>
          </w:tcPr>
          <w:p w14:paraId="048CD15F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116C818A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Align w:val="center"/>
          </w:tcPr>
          <w:p w14:paraId="7603BA97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社会公众或服务对象满意度指标</w:t>
            </w:r>
          </w:p>
        </w:tc>
        <w:tc>
          <w:tcPr>
            <w:tcW w:w="934" w:type="pct"/>
            <w:vAlign w:val="center"/>
          </w:tcPr>
          <w:p w14:paraId="244E5433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公众社会满意度</w:t>
            </w:r>
          </w:p>
        </w:tc>
        <w:tc>
          <w:tcPr>
            <w:tcW w:w="697" w:type="pct"/>
            <w:vAlign w:val="center"/>
          </w:tcPr>
          <w:p w14:paraId="2D37FFFE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≥90%</w:t>
            </w:r>
          </w:p>
        </w:tc>
        <w:tc>
          <w:tcPr>
            <w:tcW w:w="929" w:type="pct"/>
            <w:vAlign w:val="center"/>
          </w:tcPr>
          <w:p w14:paraId="31A1874C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≥90%</w:t>
            </w:r>
          </w:p>
        </w:tc>
      </w:tr>
    </w:tbl>
    <w:p w14:paraId="06E2C6D9">
      <w:pPr>
        <w:pStyle w:val="15"/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 w14:paraId="56492B06">
      <w:pPr>
        <w:pStyle w:val="4"/>
        <w:numPr>
          <w:ilvl w:val="0"/>
          <w:numId w:val="0"/>
        </w:numPr>
        <w:rPr>
          <w:rFonts w:hint="default" w:eastAsia="仿宋" w:cs="Times New Roman"/>
          <w:lang w:val="en-US" w:eastAsia="zh-CN"/>
        </w:rPr>
      </w:pPr>
      <w:r>
        <w:rPr>
          <w:rFonts w:eastAsia="仿宋" w:cs="Times New Roman"/>
          <w:lang w:eastAsia="zh-CN"/>
        </w:rPr>
        <w:t>附件</w:t>
      </w:r>
      <w:r>
        <w:rPr>
          <w:rFonts w:hint="eastAsia" w:eastAsia="仿宋" w:cs="Times New Roman"/>
          <w:lang w:val="en-US" w:eastAsia="zh-CN"/>
        </w:rPr>
        <w:t>3</w:t>
      </w:r>
    </w:p>
    <w:p w14:paraId="78549E19">
      <w:pPr>
        <w:pStyle w:val="18"/>
        <w:keepNext w:val="0"/>
        <w:keepLines w:val="0"/>
        <w:pageBreakBefore w:val="0"/>
        <w:widowControl w:val="0"/>
        <w:numPr>
          <w:ilvl w:val="3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textAlignment w:val="auto"/>
        <w:rPr>
          <w:rFonts w:hint="default" w:ascii="Times New Roman" w:hAnsi="Times New Roman" w:eastAsia="仿宋" w:cs="Times New Roman"/>
        </w:rPr>
      </w:pPr>
      <w:r>
        <w:rPr>
          <w:rFonts w:hint="default" w:ascii="Times New Roman" w:hAnsi="Times New Roman" w:eastAsia="仿宋" w:cs="Times New Roman"/>
        </w:rPr>
        <w:t>项目</w:t>
      </w:r>
      <w:r>
        <w:rPr>
          <w:rFonts w:hint="eastAsia" w:eastAsia="仿宋" w:cs="Times New Roman"/>
          <w:lang w:val="en-US" w:eastAsia="zh-CN"/>
        </w:rPr>
        <w:t>事前</w:t>
      </w:r>
      <w:r>
        <w:rPr>
          <w:rFonts w:hint="default" w:ascii="Times New Roman" w:hAnsi="Times New Roman" w:eastAsia="仿宋" w:cs="Times New Roman"/>
        </w:rPr>
        <w:t>绩效目标表</w:t>
      </w:r>
    </w:p>
    <w:tbl>
      <w:tblPr>
        <w:tblStyle w:val="16"/>
        <w:tblpPr w:leftFromText="180" w:rightFromText="180" w:vertAnchor="text" w:horzAnchor="page" w:tblpXSpec="center" w:tblpY="282"/>
        <w:tblOverlap w:val="never"/>
        <w:tblW w:w="499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618"/>
        <w:gridCol w:w="1034"/>
        <w:gridCol w:w="1402"/>
        <w:gridCol w:w="1557"/>
        <w:gridCol w:w="1162"/>
        <w:gridCol w:w="1552"/>
        <w:gridCol w:w="8"/>
      </w:tblGrid>
      <w:tr w14:paraId="5AE29E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1" w:type="pct"/>
            <w:vAlign w:val="center"/>
          </w:tcPr>
          <w:p w14:paraId="7A60E7FE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项目名称</w:t>
            </w:r>
          </w:p>
        </w:tc>
        <w:tc>
          <w:tcPr>
            <w:tcW w:w="4028" w:type="pct"/>
            <w:gridSpan w:val="6"/>
            <w:vAlign w:val="center"/>
          </w:tcPr>
          <w:p w14:paraId="4B743750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岳阳楼区2023年老旧小区改造（枫桥湖片区）及配套设施建设项目</w:t>
            </w:r>
          </w:p>
        </w:tc>
      </w:tr>
      <w:tr w14:paraId="22BE2F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1" w:type="pct"/>
            <w:vAlign w:val="center"/>
          </w:tcPr>
          <w:p w14:paraId="08D2EC88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主管部门</w:t>
            </w:r>
          </w:p>
        </w:tc>
        <w:tc>
          <w:tcPr>
            <w:tcW w:w="4028" w:type="pct"/>
            <w:gridSpan w:val="6"/>
            <w:vAlign w:val="center"/>
          </w:tcPr>
          <w:p w14:paraId="148D5D42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岳阳楼区住房和城乡建设局</w:t>
            </w:r>
          </w:p>
        </w:tc>
      </w:tr>
      <w:tr w14:paraId="70FD7F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1" w:type="pct"/>
            <w:vAlign w:val="center"/>
          </w:tcPr>
          <w:p w14:paraId="4F0B1CFC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项目负责人</w:t>
            </w:r>
          </w:p>
        </w:tc>
        <w:tc>
          <w:tcPr>
            <w:tcW w:w="1461" w:type="pct"/>
            <w:gridSpan w:val="2"/>
            <w:vAlign w:val="center"/>
          </w:tcPr>
          <w:p w14:paraId="43D5B59E">
            <w:pPr>
              <w:pStyle w:val="19"/>
              <w:jc w:val="center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杨震</w:t>
            </w:r>
          </w:p>
        </w:tc>
        <w:tc>
          <w:tcPr>
            <w:tcW w:w="934" w:type="pct"/>
            <w:vAlign w:val="center"/>
          </w:tcPr>
          <w:p w14:paraId="0C47511F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联系电话</w:t>
            </w:r>
          </w:p>
        </w:tc>
        <w:tc>
          <w:tcPr>
            <w:tcW w:w="1632" w:type="pct"/>
            <w:gridSpan w:val="3"/>
            <w:vAlign w:val="center"/>
          </w:tcPr>
          <w:p w14:paraId="1DFE51AF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13975099338</w:t>
            </w:r>
          </w:p>
        </w:tc>
      </w:tr>
      <w:tr w14:paraId="35D7B4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1" w:type="pct"/>
            <w:vMerge w:val="restart"/>
            <w:vAlign w:val="center"/>
          </w:tcPr>
          <w:p w14:paraId="7592ECF0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项目资金</w:t>
            </w:r>
          </w:p>
          <w:p w14:paraId="7FCBC0D6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（万元）</w:t>
            </w:r>
          </w:p>
        </w:tc>
        <w:tc>
          <w:tcPr>
            <w:tcW w:w="4028" w:type="pct"/>
            <w:gridSpan w:val="6"/>
            <w:vAlign w:val="center"/>
          </w:tcPr>
          <w:p w14:paraId="721F3AAB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资金总额：19793.92万元</w:t>
            </w:r>
          </w:p>
        </w:tc>
      </w:tr>
      <w:tr w14:paraId="4548EC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2DFB71E6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4028" w:type="pct"/>
            <w:gridSpan w:val="6"/>
            <w:vAlign w:val="center"/>
          </w:tcPr>
          <w:p w14:paraId="6B8D89DD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一、政府专项债券资金：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eastAsia="zh-CN"/>
              </w:rPr>
              <w:t>9700.00 万元</w:t>
            </w:r>
          </w:p>
        </w:tc>
      </w:tr>
      <w:tr w14:paraId="1073C5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26EB46A5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4028" w:type="pct"/>
            <w:gridSpan w:val="6"/>
            <w:vAlign w:val="center"/>
          </w:tcPr>
          <w:p w14:paraId="324C62E4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二、其他资金：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eastAsia="zh-CN"/>
              </w:rPr>
              <w:t>10093.92万元</w:t>
            </w:r>
          </w:p>
        </w:tc>
      </w:tr>
      <w:tr w14:paraId="43204A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1" w:type="pct"/>
            <w:vMerge w:val="restart"/>
            <w:vAlign w:val="center"/>
          </w:tcPr>
          <w:p w14:paraId="535DCD85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项目实施进度计划</w:t>
            </w:r>
          </w:p>
        </w:tc>
        <w:tc>
          <w:tcPr>
            <w:tcW w:w="2395" w:type="pct"/>
            <w:gridSpan w:val="3"/>
            <w:vAlign w:val="center"/>
          </w:tcPr>
          <w:p w14:paraId="30A114CD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开始时间</w:t>
            </w:r>
          </w:p>
        </w:tc>
        <w:tc>
          <w:tcPr>
            <w:tcW w:w="1632" w:type="pct"/>
            <w:gridSpan w:val="3"/>
            <w:vAlign w:val="center"/>
          </w:tcPr>
          <w:p w14:paraId="1CC8DBA7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完成时间</w:t>
            </w:r>
          </w:p>
        </w:tc>
      </w:tr>
      <w:tr w14:paraId="5CD8CD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7C8DBB70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2395" w:type="pct"/>
            <w:gridSpan w:val="3"/>
            <w:vAlign w:val="center"/>
          </w:tcPr>
          <w:p w14:paraId="5C5EC68F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3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年</w:t>
            </w: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2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月</w:t>
            </w:r>
          </w:p>
        </w:tc>
        <w:tc>
          <w:tcPr>
            <w:tcW w:w="1632" w:type="pct"/>
            <w:gridSpan w:val="3"/>
            <w:vAlign w:val="center"/>
          </w:tcPr>
          <w:p w14:paraId="7752449E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202</w:t>
            </w: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4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年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2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月</w:t>
            </w:r>
          </w:p>
        </w:tc>
      </w:tr>
      <w:tr w14:paraId="1D4436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2" w:hRule="atLeast"/>
          <w:jc w:val="center"/>
        </w:trPr>
        <w:tc>
          <w:tcPr>
            <w:tcW w:w="971" w:type="pct"/>
            <w:vMerge w:val="restart"/>
            <w:vAlign w:val="center"/>
          </w:tcPr>
          <w:p w14:paraId="14ECF24F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项目绩效目标</w:t>
            </w:r>
          </w:p>
        </w:tc>
        <w:tc>
          <w:tcPr>
            <w:tcW w:w="4028" w:type="pct"/>
            <w:gridSpan w:val="6"/>
            <w:vMerge w:val="restart"/>
            <w:vAlign w:val="center"/>
          </w:tcPr>
          <w:p w14:paraId="5B18095A">
            <w:pPr>
              <w:pStyle w:val="19"/>
              <w:jc w:val="both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项目涉及2个街道、18 个老旧小区，改造总户数 4134 户、房屋总建筑面积53.47万平方米。建设内容主要包括房屋公共部分修缮，防洪排涝（雨污分流）、供电 及管线、通信设施、供水管道、供气管道、破损道路修补、环卫设施、海绵城市 建设、消防、安防设施等基础类改造；无障碍设施、绿化提质、照明亮化、停车 场改造，充电桩、智能快件箱，文化休闲设施、体育健身设施、物业用房、建筑 节能等完善类改造；卫生服务站、养老抚幼服务站、便民市场、邮政快递末端综 合服务站等提升类改造。</w:t>
            </w:r>
          </w:p>
        </w:tc>
      </w:tr>
      <w:tr w14:paraId="2D6CF5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2" w:hRule="atLeast"/>
          <w:jc w:val="center"/>
        </w:trPr>
        <w:tc>
          <w:tcPr>
            <w:tcW w:w="971" w:type="pct"/>
            <w:vMerge w:val="continue"/>
            <w:vAlign w:val="center"/>
          </w:tcPr>
          <w:p w14:paraId="443F15D7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4028" w:type="pct"/>
            <w:gridSpan w:val="6"/>
            <w:vMerge w:val="continue"/>
            <w:vAlign w:val="center"/>
          </w:tcPr>
          <w:p w14:paraId="67B95F2C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</w:tr>
      <w:tr w14:paraId="49A239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restart"/>
            <w:vAlign w:val="center"/>
          </w:tcPr>
          <w:p w14:paraId="065EE114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项目绩效指标</w:t>
            </w:r>
          </w:p>
        </w:tc>
        <w:tc>
          <w:tcPr>
            <w:tcW w:w="620" w:type="pct"/>
            <w:vAlign w:val="center"/>
          </w:tcPr>
          <w:p w14:paraId="746A362E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一级指标</w:t>
            </w:r>
          </w:p>
        </w:tc>
        <w:tc>
          <w:tcPr>
            <w:tcW w:w="841" w:type="pct"/>
            <w:vAlign w:val="center"/>
          </w:tcPr>
          <w:p w14:paraId="6AF09535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二级指标</w:t>
            </w:r>
          </w:p>
        </w:tc>
        <w:tc>
          <w:tcPr>
            <w:tcW w:w="934" w:type="pct"/>
            <w:vAlign w:val="center"/>
          </w:tcPr>
          <w:p w14:paraId="5A1B2B42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三级指标</w:t>
            </w:r>
          </w:p>
        </w:tc>
        <w:tc>
          <w:tcPr>
            <w:tcW w:w="697" w:type="pct"/>
            <w:vAlign w:val="center"/>
          </w:tcPr>
          <w:p w14:paraId="7B7ACB2A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指标值及</w:t>
            </w:r>
          </w:p>
          <w:p w14:paraId="467C3A85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单位</w:t>
            </w:r>
          </w:p>
        </w:tc>
        <w:tc>
          <w:tcPr>
            <w:tcW w:w="931" w:type="pct"/>
            <w:vAlign w:val="center"/>
          </w:tcPr>
          <w:p w14:paraId="7F3832D9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绩效标准</w:t>
            </w:r>
          </w:p>
        </w:tc>
      </w:tr>
      <w:tr w14:paraId="3E1030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29D651C0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restart"/>
            <w:vAlign w:val="center"/>
          </w:tcPr>
          <w:p w14:paraId="001E9097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产出指标</w:t>
            </w:r>
          </w:p>
        </w:tc>
        <w:tc>
          <w:tcPr>
            <w:tcW w:w="841" w:type="pct"/>
            <w:vMerge w:val="restart"/>
            <w:vAlign w:val="center"/>
          </w:tcPr>
          <w:p w14:paraId="78CEA6C1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数量指标</w:t>
            </w:r>
          </w:p>
        </w:tc>
        <w:tc>
          <w:tcPr>
            <w:tcW w:w="934" w:type="pct"/>
            <w:vAlign w:val="center"/>
          </w:tcPr>
          <w:p w14:paraId="6C0CDDB3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改造</w:t>
            </w: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街道</w:t>
            </w:r>
          </w:p>
        </w:tc>
        <w:tc>
          <w:tcPr>
            <w:tcW w:w="697" w:type="pct"/>
            <w:vAlign w:val="bottom"/>
          </w:tcPr>
          <w:p w14:paraId="3688C98B">
            <w:pPr>
              <w:widowControl/>
              <w:spacing w:line="240" w:lineRule="auto"/>
              <w:ind w:firstLine="0" w:firstLineChars="0"/>
              <w:jc w:val="center"/>
              <w:textAlignment w:val="bottom"/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2个</w:t>
            </w:r>
          </w:p>
        </w:tc>
        <w:tc>
          <w:tcPr>
            <w:tcW w:w="931" w:type="pct"/>
            <w:vAlign w:val="center"/>
          </w:tcPr>
          <w:p w14:paraId="01EF8074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1</w:t>
            </w:r>
          </w:p>
        </w:tc>
      </w:tr>
      <w:tr w14:paraId="19D4F1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0F877500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53FF3D07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Merge w:val="continue"/>
            <w:vAlign w:val="center"/>
          </w:tcPr>
          <w:p w14:paraId="167F4764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934" w:type="pct"/>
            <w:vAlign w:val="center"/>
          </w:tcPr>
          <w:p w14:paraId="07376802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改造小区数量</w:t>
            </w:r>
          </w:p>
        </w:tc>
        <w:tc>
          <w:tcPr>
            <w:tcW w:w="697" w:type="pct"/>
            <w:vAlign w:val="bottom"/>
          </w:tcPr>
          <w:p w14:paraId="46854490">
            <w:pPr>
              <w:widowControl/>
              <w:spacing w:line="240" w:lineRule="auto"/>
              <w:ind w:firstLine="0" w:firstLineChars="0"/>
              <w:jc w:val="center"/>
              <w:textAlignment w:val="bottom"/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18个</w:t>
            </w:r>
          </w:p>
        </w:tc>
        <w:tc>
          <w:tcPr>
            <w:tcW w:w="931" w:type="pct"/>
            <w:vAlign w:val="center"/>
          </w:tcPr>
          <w:p w14:paraId="62F6F381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1</w:t>
            </w:r>
          </w:p>
        </w:tc>
      </w:tr>
      <w:tr w14:paraId="247CB7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50817BD4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02B488CB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Merge w:val="continue"/>
            <w:vAlign w:val="center"/>
          </w:tcPr>
          <w:p w14:paraId="4AD43CF3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934" w:type="pct"/>
            <w:vAlign w:val="center"/>
          </w:tcPr>
          <w:p w14:paraId="3B37C9F4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改造</w:t>
            </w: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总户数</w:t>
            </w:r>
          </w:p>
        </w:tc>
        <w:tc>
          <w:tcPr>
            <w:tcW w:w="697" w:type="pct"/>
            <w:vAlign w:val="bottom"/>
          </w:tcPr>
          <w:p w14:paraId="15C93887">
            <w:pPr>
              <w:widowControl/>
              <w:spacing w:line="240" w:lineRule="auto"/>
              <w:ind w:firstLine="0" w:firstLineChars="0"/>
              <w:jc w:val="center"/>
              <w:textAlignment w:val="bottom"/>
              <w:rPr>
                <w:rFonts w:hint="default" w:ascii="Times New Roman" w:hAnsi="Times New Roman" w:eastAsia="仿宋" w:cs="Times New Roman"/>
                <w:sz w:val="21"/>
                <w:szCs w:val="21"/>
                <w:lang w:val="en-US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4134户</w:t>
            </w:r>
          </w:p>
        </w:tc>
        <w:tc>
          <w:tcPr>
            <w:tcW w:w="931" w:type="pct"/>
            <w:vAlign w:val="center"/>
          </w:tcPr>
          <w:p w14:paraId="087EFABE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1</w:t>
            </w:r>
          </w:p>
        </w:tc>
      </w:tr>
      <w:tr w14:paraId="720E18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101052AD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4870AB56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Merge w:val="continue"/>
            <w:vAlign w:val="center"/>
          </w:tcPr>
          <w:p w14:paraId="2F071E1E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934" w:type="pct"/>
            <w:vAlign w:val="center"/>
          </w:tcPr>
          <w:p w14:paraId="3755C670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改造</w:t>
            </w: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总面积</w:t>
            </w:r>
          </w:p>
        </w:tc>
        <w:tc>
          <w:tcPr>
            <w:tcW w:w="697" w:type="pct"/>
            <w:vAlign w:val="bottom"/>
          </w:tcPr>
          <w:p w14:paraId="7BD62E41">
            <w:pPr>
              <w:widowControl/>
              <w:spacing w:line="240" w:lineRule="auto"/>
              <w:ind w:firstLine="0" w:firstLineChars="0"/>
              <w:jc w:val="center"/>
              <w:textAlignment w:val="bottom"/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53.47万m³</w:t>
            </w:r>
          </w:p>
        </w:tc>
        <w:tc>
          <w:tcPr>
            <w:tcW w:w="931" w:type="pct"/>
            <w:vAlign w:val="center"/>
          </w:tcPr>
          <w:p w14:paraId="2680D532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1</w:t>
            </w:r>
          </w:p>
        </w:tc>
      </w:tr>
      <w:tr w14:paraId="31308C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223B036F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30DB0252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Align w:val="center"/>
          </w:tcPr>
          <w:p w14:paraId="2F4A572A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质量指标</w:t>
            </w:r>
          </w:p>
        </w:tc>
        <w:tc>
          <w:tcPr>
            <w:tcW w:w="934" w:type="pct"/>
            <w:vAlign w:val="center"/>
          </w:tcPr>
          <w:p w14:paraId="1B2FD8D9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合格率</w:t>
            </w:r>
          </w:p>
        </w:tc>
        <w:tc>
          <w:tcPr>
            <w:tcW w:w="697" w:type="pct"/>
            <w:vAlign w:val="center"/>
          </w:tcPr>
          <w:p w14:paraId="3B0B6DD3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≥95%</w:t>
            </w:r>
          </w:p>
        </w:tc>
        <w:tc>
          <w:tcPr>
            <w:tcW w:w="931" w:type="pct"/>
            <w:vAlign w:val="center"/>
          </w:tcPr>
          <w:p w14:paraId="2CECE778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≥95%</w:t>
            </w:r>
          </w:p>
        </w:tc>
      </w:tr>
      <w:tr w14:paraId="707B91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77E251A1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38DC367A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Align w:val="center"/>
          </w:tcPr>
          <w:p w14:paraId="29BCF5C3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时效指标</w:t>
            </w:r>
          </w:p>
        </w:tc>
        <w:tc>
          <w:tcPr>
            <w:tcW w:w="934" w:type="pct"/>
            <w:vAlign w:val="center"/>
          </w:tcPr>
          <w:p w14:paraId="231D7088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完工时间</w:t>
            </w:r>
          </w:p>
        </w:tc>
        <w:tc>
          <w:tcPr>
            <w:tcW w:w="697" w:type="pct"/>
            <w:vAlign w:val="center"/>
          </w:tcPr>
          <w:p w14:paraId="764A1058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1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年</w:t>
            </w:r>
          </w:p>
        </w:tc>
        <w:tc>
          <w:tcPr>
            <w:tcW w:w="931" w:type="pct"/>
            <w:vAlign w:val="center"/>
          </w:tcPr>
          <w:p w14:paraId="48773E6E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1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年</w:t>
            </w:r>
          </w:p>
        </w:tc>
      </w:tr>
      <w:tr w14:paraId="29F3EA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10C6AC1E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0A250CC0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Align w:val="center"/>
          </w:tcPr>
          <w:p w14:paraId="294F0D9D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成本指标</w:t>
            </w:r>
          </w:p>
        </w:tc>
        <w:tc>
          <w:tcPr>
            <w:tcW w:w="934" w:type="pct"/>
            <w:vAlign w:val="center"/>
          </w:tcPr>
          <w:p w14:paraId="3737E5BE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项目总投资</w:t>
            </w:r>
          </w:p>
        </w:tc>
        <w:tc>
          <w:tcPr>
            <w:tcW w:w="697" w:type="pct"/>
            <w:vAlign w:val="center"/>
          </w:tcPr>
          <w:p w14:paraId="6ABC553D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19793.92万元</w:t>
            </w:r>
          </w:p>
        </w:tc>
        <w:tc>
          <w:tcPr>
            <w:tcW w:w="931" w:type="pct"/>
            <w:vAlign w:val="center"/>
          </w:tcPr>
          <w:p w14:paraId="24D22A58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1</w:t>
            </w:r>
          </w:p>
        </w:tc>
      </w:tr>
      <w:tr w14:paraId="7ACAE9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14FB83EA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restart"/>
            <w:vAlign w:val="center"/>
          </w:tcPr>
          <w:p w14:paraId="28343A0D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效益指标</w:t>
            </w:r>
          </w:p>
        </w:tc>
        <w:tc>
          <w:tcPr>
            <w:tcW w:w="841" w:type="pct"/>
            <w:vAlign w:val="center"/>
          </w:tcPr>
          <w:p w14:paraId="1C4A0F98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经济效益指标</w:t>
            </w:r>
          </w:p>
        </w:tc>
        <w:tc>
          <w:tcPr>
            <w:tcW w:w="934" w:type="pct"/>
            <w:vAlign w:val="center"/>
          </w:tcPr>
          <w:p w14:paraId="20AA55C1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带动行业发展</w:t>
            </w:r>
          </w:p>
        </w:tc>
        <w:tc>
          <w:tcPr>
            <w:tcW w:w="1628" w:type="pct"/>
            <w:gridSpan w:val="2"/>
            <w:vAlign w:val="center"/>
          </w:tcPr>
          <w:p w14:paraId="47F79A79">
            <w:pPr>
              <w:pStyle w:val="19"/>
              <w:jc w:val="left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该项目通过实施道路、管线及其他配套设施工程以及配套服务设施建设，可以完善区域设施体系，改善居民生产生活条件，推进区域第二、三产业发展向规模、高效、集约转变，提高区域经济发展水平，促进区域经济发展。项目创造发展新动能老旧小区改造引入社会资金参与社区养老、托幼、 医疗、超市、文体等公共服务设施建设改造，开拓幼儿消费、绿色消费等新消费模式，持续有效地为小区和社会创造新动能，具有良好的经济效益。</w:t>
            </w:r>
          </w:p>
        </w:tc>
      </w:tr>
      <w:tr w14:paraId="3BBCAC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049A2037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6B64AA89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Merge w:val="restart"/>
            <w:vAlign w:val="center"/>
          </w:tcPr>
          <w:p w14:paraId="5F543124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社会效益指标</w:t>
            </w:r>
          </w:p>
        </w:tc>
        <w:tc>
          <w:tcPr>
            <w:tcW w:w="934" w:type="pct"/>
            <w:vAlign w:val="center"/>
          </w:tcPr>
          <w:p w14:paraId="69B2F00F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对居民经济影响</w:t>
            </w:r>
          </w:p>
        </w:tc>
        <w:tc>
          <w:tcPr>
            <w:tcW w:w="697" w:type="pct"/>
            <w:vAlign w:val="center"/>
          </w:tcPr>
          <w:p w14:paraId="463C4D19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增加居民收入</w:t>
            </w:r>
          </w:p>
        </w:tc>
        <w:tc>
          <w:tcPr>
            <w:tcW w:w="931" w:type="pct"/>
            <w:vAlign w:val="center"/>
          </w:tcPr>
          <w:p w14:paraId="6C42950E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增加居民收入</w:t>
            </w:r>
          </w:p>
        </w:tc>
      </w:tr>
      <w:tr w14:paraId="796AB7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79F11469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202DE133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Merge w:val="continue"/>
            <w:vAlign w:val="center"/>
          </w:tcPr>
          <w:p w14:paraId="43F2E929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934" w:type="pct"/>
            <w:vAlign w:val="center"/>
          </w:tcPr>
          <w:p w14:paraId="45DB6DE0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对居民就业影响</w:t>
            </w:r>
          </w:p>
        </w:tc>
        <w:tc>
          <w:tcPr>
            <w:tcW w:w="697" w:type="pct"/>
            <w:vAlign w:val="center"/>
          </w:tcPr>
          <w:p w14:paraId="1A06AF58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增加居民就业机会</w:t>
            </w:r>
          </w:p>
        </w:tc>
        <w:tc>
          <w:tcPr>
            <w:tcW w:w="931" w:type="pct"/>
            <w:vAlign w:val="center"/>
          </w:tcPr>
          <w:p w14:paraId="6315C4D0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增加居民就业机会</w:t>
            </w:r>
          </w:p>
        </w:tc>
      </w:tr>
      <w:tr w14:paraId="7141A7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6AC5099A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538E953C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Align w:val="center"/>
          </w:tcPr>
          <w:p w14:paraId="725A55C8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生态效益指标</w:t>
            </w:r>
          </w:p>
        </w:tc>
        <w:tc>
          <w:tcPr>
            <w:tcW w:w="934" w:type="pct"/>
            <w:vAlign w:val="center"/>
          </w:tcPr>
          <w:p w14:paraId="510AAC83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改善生活环境</w:t>
            </w:r>
          </w:p>
        </w:tc>
        <w:tc>
          <w:tcPr>
            <w:tcW w:w="1628" w:type="pct"/>
            <w:gridSpan w:val="2"/>
            <w:vAlign w:val="center"/>
          </w:tcPr>
          <w:p w14:paraId="74D92F57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改善居民群众的生产生活条件</w:t>
            </w:r>
          </w:p>
        </w:tc>
      </w:tr>
      <w:tr w14:paraId="56E0EA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51C3B6BF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6284D490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Align w:val="center"/>
          </w:tcPr>
          <w:p w14:paraId="1A43AB86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可持续影响指标</w:t>
            </w:r>
          </w:p>
        </w:tc>
        <w:tc>
          <w:tcPr>
            <w:tcW w:w="934" w:type="pct"/>
            <w:vAlign w:val="center"/>
          </w:tcPr>
          <w:p w14:paraId="1F26E19A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推动社会发展</w:t>
            </w:r>
          </w:p>
        </w:tc>
        <w:tc>
          <w:tcPr>
            <w:tcW w:w="1628" w:type="pct"/>
            <w:gridSpan w:val="2"/>
            <w:vAlign w:val="center"/>
          </w:tcPr>
          <w:p w14:paraId="11F24C0F">
            <w:pPr>
              <w:pStyle w:val="19"/>
              <w:jc w:val="left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既可以带动社会投资，促进居民消费，扩大社会就业，又可以发展社会配套服务，加强社会管理，推进平安社会建设，是扩内需、惠民生、保稳定的重要结合点。</w:t>
            </w:r>
          </w:p>
        </w:tc>
      </w:tr>
      <w:tr w14:paraId="42E1D5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0514688C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4E007A17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Align w:val="center"/>
          </w:tcPr>
          <w:p w14:paraId="7E174288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社会公众或服务对象满意度指标</w:t>
            </w:r>
          </w:p>
        </w:tc>
        <w:tc>
          <w:tcPr>
            <w:tcW w:w="934" w:type="pct"/>
            <w:vAlign w:val="center"/>
          </w:tcPr>
          <w:p w14:paraId="6D8E0A86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公众社会满意度</w:t>
            </w:r>
          </w:p>
        </w:tc>
        <w:tc>
          <w:tcPr>
            <w:tcW w:w="697" w:type="pct"/>
            <w:vAlign w:val="center"/>
          </w:tcPr>
          <w:p w14:paraId="47F7C07D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≥90%</w:t>
            </w:r>
          </w:p>
        </w:tc>
        <w:tc>
          <w:tcPr>
            <w:tcW w:w="931" w:type="pct"/>
            <w:vAlign w:val="center"/>
          </w:tcPr>
          <w:p w14:paraId="29A344B1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≥90%</w:t>
            </w:r>
          </w:p>
        </w:tc>
      </w:tr>
    </w:tbl>
    <w:p w14:paraId="554C24B6">
      <w:p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 w14:paraId="5D2CD81D">
      <w:pPr>
        <w:pStyle w:val="4"/>
        <w:numPr>
          <w:ilvl w:val="0"/>
          <w:numId w:val="0"/>
        </w:numPr>
        <w:rPr>
          <w:rFonts w:hint="default" w:eastAsia="仿宋" w:cs="Times New Roman"/>
          <w:lang w:val="en-US" w:eastAsia="zh-CN"/>
        </w:rPr>
      </w:pPr>
      <w:r>
        <w:rPr>
          <w:rFonts w:eastAsia="仿宋" w:cs="Times New Roman"/>
          <w:lang w:eastAsia="zh-CN"/>
        </w:rPr>
        <w:t>附件</w:t>
      </w:r>
      <w:r>
        <w:rPr>
          <w:rFonts w:hint="eastAsia" w:eastAsia="仿宋" w:cs="Times New Roman"/>
          <w:lang w:val="en-US" w:eastAsia="zh-CN"/>
        </w:rPr>
        <w:t>4</w:t>
      </w:r>
    </w:p>
    <w:p w14:paraId="252A0B5E">
      <w:pPr>
        <w:pStyle w:val="18"/>
        <w:keepNext w:val="0"/>
        <w:keepLines w:val="0"/>
        <w:pageBreakBefore w:val="0"/>
        <w:widowControl w:val="0"/>
        <w:numPr>
          <w:ilvl w:val="3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textAlignment w:val="auto"/>
        <w:rPr>
          <w:rFonts w:hint="default" w:ascii="Times New Roman" w:hAnsi="Times New Roman" w:eastAsia="仿宋" w:cs="Times New Roman"/>
        </w:rPr>
      </w:pPr>
      <w:r>
        <w:rPr>
          <w:rFonts w:hint="default" w:ascii="Times New Roman" w:hAnsi="Times New Roman" w:eastAsia="仿宋" w:cs="Times New Roman"/>
        </w:rPr>
        <w:t>项目</w:t>
      </w:r>
      <w:r>
        <w:rPr>
          <w:rFonts w:hint="eastAsia" w:eastAsia="仿宋" w:cs="Times New Roman"/>
          <w:lang w:val="en-US" w:eastAsia="zh-CN"/>
        </w:rPr>
        <w:t>事前</w:t>
      </w:r>
      <w:r>
        <w:rPr>
          <w:rFonts w:hint="default" w:ascii="Times New Roman" w:hAnsi="Times New Roman" w:eastAsia="仿宋" w:cs="Times New Roman"/>
        </w:rPr>
        <w:t>绩效目标表</w:t>
      </w:r>
    </w:p>
    <w:tbl>
      <w:tblPr>
        <w:tblStyle w:val="16"/>
        <w:tblpPr w:leftFromText="180" w:rightFromText="180" w:vertAnchor="text" w:horzAnchor="page" w:tblpXSpec="center" w:tblpY="282"/>
        <w:tblOverlap w:val="never"/>
        <w:tblW w:w="499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618"/>
        <w:gridCol w:w="1034"/>
        <w:gridCol w:w="1402"/>
        <w:gridCol w:w="1557"/>
        <w:gridCol w:w="1162"/>
        <w:gridCol w:w="1552"/>
        <w:gridCol w:w="8"/>
      </w:tblGrid>
      <w:tr w14:paraId="2A48DD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1" w:type="pct"/>
            <w:vAlign w:val="center"/>
          </w:tcPr>
          <w:p w14:paraId="3EFC5F1D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项目名称</w:t>
            </w:r>
          </w:p>
        </w:tc>
        <w:tc>
          <w:tcPr>
            <w:tcW w:w="4028" w:type="pct"/>
            <w:gridSpan w:val="6"/>
            <w:vAlign w:val="center"/>
          </w:tcPr>
          <w:p w14:paraId="48A24FB6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岳阳楼区2023年老旧小区改造（</w:t>
            </w: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五里牌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片区）及配套设施建设项目</w:t>
            </w:r>
          </w:p>
        </w:tc>
      </w:tr>
      <w:tr w14:paraId="538F1D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1" w:type="pct"/>
            <w:vAlign w:val="center"/>
          </w:tcPr>
          <w:p w14:paraId="5258E1A9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主管部门</w:t>
            </w:r>
          </w:p>
        </w:tc>
        <w:tc>
          <w:tcPr>
            <w:tcW w:w="4028" w:type="pct"/>
            <w:gridSpan w:val="6"/>
            <w:vAlign w:val="center"/>
          </w:tcPr>
          <w:p w14:paraId="413787A4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岳阳楼区住房和城乡建设局</w:t>
            </w:r>
          </w:p>
        </w:tc>
      </w:tr>
      <w:tr w14:paraId="2016F4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1" w:type="pct"/>
            <w:vAlign w:val="center"/>
          </w:tcPr>
          <w:p w14:paraId="51F3B020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项目负责人</w:t>
            </w:r>
          </w:p>
        </w:tc>
        <w:tc>
          <w:tcPr>
            <w:tcW w:w="1461" w:type="pct"/>
            <w:gridSpan w:val="2"/>
            <w:vAlign w:val="center"/>
          </w:tcPr>
          <w:p w14:paraId="759F4B49">
            <w:pPr>
              <w:pStyle w:val="19"/>
              <w:jc w:val="center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杨震</w:t>
            </w:r>
          </w:p>
        </w:tc>
        <w:tc>
          <w:tcPr>
            <w:tcW w:w="934" w:type="pct"/>
            <w:vAlign w:val="center"/>
          </w:tcPr>
          <w:p w14:paraId="542892B8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联系电话</w:t>
            </w:r>
          </w:p>
        </w:tc>
        <w:tc>
          <w:tcPr>
            <w:tcW w:w="1632" w:type="pct"/>
            <w:gridSpan w:val="3"/>
            <w:vAlign w:val="center"/>
          </w:tcPr>
          <w:p w14:paraId="7A01AE3E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13975099338</w:t>
            </w:r>
          </w:p>
        </w:tc>
      </w:tr>
      <w:tr w14:paraId="7ED3B9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1" w:type="pct"/>
            <w:vMerge w:val="restart"/>
            <w:vAlign w:val="center"/>
          </w:tcPr>
          <w:p w14:paraId="0DF1CF8D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项目资金</w:t>
            </w:r>
          </w:p>
          <w:p w14:paraId="0FEE3E1D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（万元）</w:t>
            </w:r>
          </w:p>
        </w:tc>
        <w:tc>
          <w:tcPr>
            <w:tcW w:w="4028" w:type="pct"/>
            <w:gridSpan w:val="6"/>
            <w:vAlign w:val="center"/>
          </w:tcPr>
          <w:p w14:paraId="12C1CA0C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资金总额：</w:t>
            </w: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19005.18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万元</w:t>
            </w:r>
          </w:p>
        </w:tc>
      </w:tr>
      <w:tr w14:paraId="0A010F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6CABB309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4028" w:type="pct"/>
            <w:gridSpan w:val="6"/>
            <w:vAlign w:val="center"/>
          </w:tcPr>
          <w:p w14:paraId="485E8393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一、政府专项债券资金：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eastAsia="zh-CN"/>
              </w:rPr>
              <w:t>9</w:t>
            </w: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4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eastAsia="zh-CN"/>
              </w:rPr>
              <w:t>00.00 万元</w:t>
            </w:r>
          </w:p>
        </w:tc>
      </w:tr>
      <w:tr w14:paraId="6F402F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0F487D53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4028" w:type="pct"/>
            <w:gridSpan w:val="6"/>
            <w:vAlign w:val="center"/>
          </w:tcPr>
          <w:p w14:paraId="72081CFB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二、其他资金：</w:t>
            </w: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9605.18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eastAsia="zh-CN"/>
              </w:rPr>
              <w:t>万元</w:t>
            </w:r>
          </w:p>
        </w:tc>
      </w:tr>
      <w:tr w14:paraId="7BCE0C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1" w:type="pct"/>
            <w:vMerge w:val="restart"/>
            <w:vAlign w:val="center"/>
          </w:tcPr>
          <w:p w14:paraId="422689EC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项目实施进度计划</w:t>
            </w:r>
          </w:p>
        </w:tc>
        <w:tc>
          <w:tcPr>
            <w:tcW w:w="2395" w:type="pct"/>
            <w:gridSpan w:val="3"/>
            <w:vAlign w:val="center"/>
          </w:tcPr>
          <w:p w14:paraId="262F63E4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开始时间</w:t>
            </w:r>
          </w:p>
        </w:tc>
        <w:tc>
          <w:tcPr>
            <w:tcW w:w="1632" w:type="pct"/>
            <w:gridSpan w:val="3"/>
            <w:vAlign w:val="center"/>
          </w:tcPr>
          <w:p w14:paraId="7C81B952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完成时间</w:t>
            </w:r>
          </w:p>
        </w:tc>
      </w:tr>
      <w:tr w14:paraId="62B7FF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51B1B350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2395" w:type="pct"/>
            <w:gridSpan w:val="3"/>
            <w:vAlign w:val="center"/>
          </w:tcPr>
          <w:p w14:paraId="343D32A9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3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年</w:t>
            </w: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2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月</w:t>
            </w:r>
          </w:p>
        </w:tc>
        <w:tc>
          <w:tcPr>
            <w:tcW w:w="1632" w:type="pct"/>
            <w:gridSpan w:val="3"/>
            <w:vAlign w:val="center"/>
          </w:tcPr>
          <w:p w14:paraId="718819EC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202</w:t>
            </w: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4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年</w:t>
            </w: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1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月</w:t>
            </w:r>
          </w:p>
        </w:tc>
      </w:tr>
      <w:tr w14:paraId="305EE2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2" w:hRule="atLeast"/>
          <w:jc w:val="center"/>
        </w:trPr>
        <w:tc>
          <w:tcPr>
            <w:tcW w:w="971" w:type="pct"/>
            <w:vMerge w:val="restart"/>
            <w:vAlign w:val="center"/>
          </w:tcPr>
          <w:p w14:paraId="218CF9C1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项目绩效目标</w:t>
            </w:r>
          </w:p>
        </w:tc>
        <w:tc>
          <w:tcPr>
            <w:tcW w:w="4028" w:type="pct"/>
            <w:gridSpan w:val="6"/>
            <w:vMerge w:val="restart"/>
            <w:vAlign w:val="center"/>
          </w:tcPr>
          <w:p w14:paraId="65D7A322">
            <w:pPr>
              <w:pStyle w:val="19"/>
              <w:jc w:val="both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项目涉及 3 个街道、63 个老旧小区，改造总户数 7597 户、房屋总建筑面积 79.79万平方米。建设内容主要包括房屋公共部分修缮，防洪排涝（雨污分流）、供电及管线、通信设施、供水管道、供气管道、破损道路修补、环卫设施、海绵城市建设、消防、安防设施等基础类改造；无障碍设施、绿化提质、照明亮化、停车场改造，充电桩、智能快件箱，文化休闲设施、体育健身设施、物业用房、建筑节能等完善类改造；卫生服务站、养老抚幼服务站、便民市场、邮政快递末端综合服务站等提升类改造。</w:t>
            </w:r>
          </w:p>
        </w:tc>
      </w:tr>
      <w:tr w14:paraId="354269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2" w:hRule="atLeast"/>
          <w:jc w:val="center"/>
        </w:trPr>
        <w:tc>
          <w:tcPr>
            <w:tcW w:w="971" w:type="pct"/>
            <w:vMerge w:val="continue"/>
            <w:vAlign w:val="center"/>
          </w:tcPr>
          <w:p w14:paraId="54AFF753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4028" w:type="pct"/>
            <w:gridSpan w:val="6"/>
            <w:vMerge w:val="continue"/>
            <w:vAlign w:val="center"/>
          </w:tcPr>
          <w:p w14:paraId="70C80B0C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</w:tr>
      <w:tr w14:paraId="3E840C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restart"/>
            <w:vAlign w:val="center"/>
          </w:tcPr>
          <w:p w14:paraId="3A091B33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项目绩效指标</w:t>
            </w:r>
          </w:p>
        </w:tc>
        <w:tc>
          <w:tcPr>
            <w:tcW w:w="620" w:type="pct"/>
            <w:vAlign w:val="center"/>
          </w:tcPr>
          <w:p w14:paraId="42B80850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一级指标</w:t>
            </w:r>
          </w:p>
        </w:tc>
        <w:tc>
          <w:tcPr>
            <w:tcW w:w="841" w:type="pct"/>
            <w:vAlign w:val="center"/>
          </w:tcPr>
          <w:p w14:paraId="0E4DD2B1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二级指标</w:t>
            </w:r>
          </w:p>
        </w:tc>
        <w:tc>
          <w:tcPr>
            <w:tcW w:w="934" w:type="pct"/>
            <w:vAlign w:val="center"/>
          </w:tcPr>
          <w:p w14:paraId="56E0F3AB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三级指标</w:t>
            </w:r>
          </w:p>
        </w:tc>
        <w:tc>
          <w:tcPr>
            <w:tcW w:w="697" w:type="pct"/>
            <w:vAlign w:val="center"/>
          </w:tcPr>
          <w:p w14:paraId="4E105CE1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指标值及</w:t>
            </w:r>
          </w:p>
          <w:p w14:paraId="37AAADDE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单位</w:t>
            </w:r>
          </w:p>
        </w:tc>
        <w:tc>
          <w:tcPr>
            <w:tcW w:w="931" w:type="pct"/>
            <w:vAlign w:val="center"/>
          </w:tcPr>
          <w:p w14:paraId="6A2C5154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绩效标准</w:t>
            </w:r>
          </w:p>
        </w:tc>
      </w:tr>
      <w:tr w14:paraId="56BE5A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141FA0FF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restart"/>
            <w:vAlign w:val="center"/>
          </w:tcPr>
          <w:p w14:paraId="12F5B6D3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产出指标</w:t>
            </w:r>
          </w:p>
        </w:tc>
        <w:tc>
          <w:tcPr>
            <w:tcW w:w="841" w:type="pct"/>
            <w:vMerge w:val="restart"/>
            <w:vAlign w:val="center"/>
          </w:tcPr>
          <w:p w14:paraId="5A0F40A9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数量指标</w:t>
            </w:r>
          </w:p>
        </w:tc>
        <w:tc>
          <w:tcPr>
            <w:tcW w:w="934" w:type="pct"/>
            <w:vAlign w:val="center"/>
          </w:tcPr>
          <w:p w14:paraId="45EECC24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改造</w:t>
            </w: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街道</w:t>
            </w:r>
          </w:p>
        </w:tc>
        <w:tc>
          <w:tcPr>
            <w:tcW w:w="697" w:type="pct"/>
            <w:vAlign w:val="bottom"/>
          </w:tcPr>
          <w:p w14:paraId="5D480208">
            <w:pPr>
              <w:widowControl/>
              <w:spacing w:line="240" w:lineRule="auto"/>
              <w:ind w:firstLine="0" w:firstLineChars="0"/>
              <w:jc w:val="center"/>
              <w:textAlignment w:val="bottom"/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3个</w:t>
            </w:r>
          </w:p>
        </w:tc>
        <w:tc>
          <w:tcPr>
            <w:tcW w:w="931" w:type="pct"/>
            <w:vAlign w:val="center"/>
          </w:tcPr>
          <w:p w14:paraId="47DE7877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1</w:t>
            </w:r>
          </w:p>
        </w:tc>
      </w:tr>
      <w:tr w14:paraId="2F5439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6A99CC97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19FE3BF6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Merge w:val="continue"/>
            <w:vAlign w:val="center"/>
          </w:tcPr>
          <w:p w14:paraId="0155BF94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934" w:type="pct"/>
            <w:vAlign w:val="center"/>
          </w:tcPr>
          <w:p w14:paraId="320CC2B0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改造小区数量</w:t>
            </w:r>
          </w:p>
        </w:tc>
        <w:tc>
          <w:tcPr>
            <w:tcW w:w="697" w:type="pct"/>
            <w:vAlign w:val="bottom"/>
          </w:tcPr>
          <w:p w14:paraId="49C9710E">
            <w:pPr>
              <w:widowControl/>
              <w:spacing w:line="240" w:lineRule="auto"/>
              <w:ind w:firstLine="0" w:firstLineChars="0"/>
              <w:jc w:val="center"/>
              <w:textAlignment w:val="bottom"/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63个</w:t>
            </w:r>
          </w:p>
        </w:tc>
        <w:tc>
          <w:tcPr>
            <w:tcW w:w="931" w:type="pct"/>
            <w:vAlign w:val="center"/>
          </w:tcPr>
          <w:p w14:paraId="1DB70548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1</w:t>
            </w:r>
          </w:p>
        </w:tc>
      </w:tr>
      <w:tr w14:paraId="592283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365B0EF3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7B4AAACF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Merge w:val="continue"/>
            <w:vAlign w:val="center"/>
          </w:tcPr>
          <w:p w14:paraId="605BE512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934" w:type="pct"/>
            <w:vAlign w:val="center"/>
          </w:tcPr>
          <w:p w14:paraId="63738F61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改造</w:t>
            </w: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总户数</w:t>
            </w:r>
          </w:p>
        </w:tc>
        <w:tc>
          <w:tcPr>
            <w:tcW w:w="697" w:type="pct"/>
            <w:vAlign w:val="bottom"/>
          </w:tcPr>
          <w:p w14:paraId="2404EEE0">
            <w:pPr>
              <w:widowControl/>
              <w:spacing w:line="240" w:lineRule="auto"/>
              <w:ind w:firstLine="0" w:firstLineChars="0"/>
              <w:jc w:val="center"/>
              <w:textAlignment w:val="bottom"/>
              <w:rPr>
                <w:rFonts w:hint="default" w:ascii="Times New Roman" w:hAnsi="Times New Roman" w:eastAsia="仿宋" w:cs="Times New Roman"/>
                <w:sz w:val="21"/>
                <w:szCs w:val="21"/>
                <w:lang w:val="en-US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7597户</w:t>
            </w:r>
          </w:p>
        </w:tc>
        <w:tc>
          <w:tcPr>
            <w:tcW w:w="931" w:type="pct"/>
            <w:vAlign w:val="center"/>
          </w:tcPr>
          <w:p w14:paraId="76F5321C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1</w:t>
            </w:r>
          </w:p>
        </w:tc>
      </w:tr>
      <w:tr w14:paraId="74ED32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3212ED53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43B6515F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Merge w:val="continue"/>
            <w:vAlign w:val="center"/>
          </w:tcPr>
          <w:p w14:paraId="14238715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934" w:type="pct"/>
            <w:vAlign w:val="center"/>
          </w:tcPr>
          <w:p w14:paraId="3F76EDE4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改造</w:t>
            </w: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总面积</w:t>
            </w:r>
          </w:p>
        </w:tc>
        <w:tc>
          <w:tcPr>
            <w:tcW w:w="697" w:type="pct"/>
            <w:vAlign w:val="bottom"/>
          </w:tcPr>
          <w:p w14:paraId="2499895F">
            <w:pPr>
              <w:widowControl/>
              <w:spacing w:line="240" w:lineRule="auto"/>
              <w:ind w:firstLine="0" w:firstLineChars="0"/>
              <w:jc w:val="center"/>
              <w:textAlignment w:val="bottom"/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79.79万m³</w:t>
            </w:r>
          </w:p>
        </w:tc>
        <w:tc>
          <w:tcPr>
            <w:tcW w:w="931" w:type="pct"/>
            <w:vAlign w:val="center"/>
          </w:tcPr>
          <w:p w14:paraId="3190F3FF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1</w:t>
            </w:r>
          </w:p>
        </w:tc>
      </w:tr>
      <w:tr w14:paraId="199386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785BE9C0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3454C197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Align w:val="center"/>
          </w:tcPr>
          <w:p w14:paraId="770D1933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质量指标</w:t>
            </w:r>
          </w:p>
        </w:tc>
        <w:tc>
          <w:tcPr>
            <w:tcW w:w="934" w:type="pct"/>
            <w:vAlign w:val="center"/>
          </w:tcPr>
          <w:p w14:paraId="64B4AAAE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合格率</w:t>
            </w:r>
          </w:p>
        </w:tc>
        <w:tc>
          <w:tcPr>
            <w:tcW w:w="697" w:type="pct"/>
            <w:vAlign w:val="center"/>
          </w:tcPr>
          <w:p w14:paraId="42B4D37D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≥95%</w:t>
            </w:r>
          </w:p>
        </w:tc>
        <w:tc>
          <w:tcPr>
            <w:tcW w:w="931" w:type="pct"/>
            <w:vAlign w:val="center"/>
          </w:tcPr>
          <w:p w14:paraId="4E839D69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≥95%</w:t>
            </w:r>
          </w:p>
        </w:tc>
      </w:tr>
      <w:tr w14:paraId="58645B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12FF0BDF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080786E2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Align w:val="center"/>
          </w:tcPr>
          <w:p w14:paraId="63CA9A82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时效指标</w:t>
            </w:r>
          </w:p>
        </w:tc>
        <w:tc>
          <w:tcPr>
            <w:tcW w:w="934" w:type="pct"/>
            <w:vAlign w:val="center"/>
          </w:tcPr>
          <w:p w14:paraId="7E78F23D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完工时间</w:t>
            </w:r>
          </w:p>
        </w:tc>
        <w:tc>
          <w:tcPr>
            <w:tcW w:w="697" w:type="pct"/>
            <w:vAlign w:val="center"/>
          </w:tcPr>
          <w:p w14:paraId="36909A15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1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年</w:t>
            </w:r>
          </w:p>
        </w:tc>
        <w:tc>
          <w:tcPr>
            <w:tcW w:w="931" w:type="pct"/>
            <w:vAlign w:val="center"/>
          </w:tcPr>
          <w:p w14:paraId="32A27160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1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年</w:t>
            </w:r>
          </w:p>
        </w:tc>
      </w:tr>
      <w:tr w14:paraId="1D82C1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71CD729A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74A6DB17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Align w:val="center"/>
          </w:tcPr>
          <w:p w14:paraId="0F036D9A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成本指标</w:t>
            </w:r>
          </w:p>
        </w:tc>
        <w:tc>
          <w:tcPr>
            <w:tcW w:w="934" w:type="pct"/>
            <w:vAlign w:val="center"/>
          </w:tcPr>
          <w:p w14:paraId="0E36D781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项目总投资</w:t>
            </w:r>
          </w:p>
        </w:tc>
        <w:tc>
          <w:tcPr>
            <w:tcW w:w="697" w:type="pct"/>
            <w:vAlign w:val="center"/>
          </w:tcPr>
          <w:p w14:paraId="1C29D433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19005.18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万元</w:t>
            </w:r>
          </w:p>
        </w:tc>
        <w:tc>
          <w:tcPr>
            <w:tcW w:w="931" w:type="pct"/>
            <w:vAlign w:val="center"/>
          </w:tcPr>
          <w:p w14:paraId="638F7CA1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1</w:t>
            </w:r>
          </w:p>
        </w:tc>
      </w:tr>
      <w:tr w14:paraId="5EA9F4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4F9C90E3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restart"/>
            <w:vAlign w:val="center"/>
          </w:tcPr>
          <w:p w14:paraId="0D464C78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效益指标</w:t>
            </w:r>
          </w:p>
        </w:tc>
        <w:tc>
          <w:tcPr>
            <w:tcW w:w="841" w:type="pct"/>
            <w:vAlign w:val="center"/>
          </w:tcPr>
          <w:p w14:paraId="3C64E272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经济效益指标</w:t>
            </w:r>
          </w:p>
        </w:tc>
        <w:tc>
          <w:tcPr>
            <w:tcW w:w="934" w:type="pct"/>
            <w:vAlign w:val="center"/>
          </w:tcPr>
          <w:p w14:paraId="45DC8FE1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带动行业发展</w:t>
            </w:r>
          </w:p>
        </w:tc>
        <w:tc>
          <w:tcPr>
            <w:tcW w:w="1628" w:type="pct"/>
            <w:gridSpan w:val="2"/>
            <w:vAlign w:val="center"/>
          </w:tcPr>
          <w:p w14:paraId="04C5415D">
            <w:pPr>
              <w:pStyle w:val="19"/>
              <w:jc w:val="left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该项目通过实施道路、管线及其他配套设施工程以及配套服务设施建设，可以完善区域设施体系，改善居民生产生活条件，推进区域第二、三产业发展向规模、高效、集约转变，提高区域经济发展水平，促进区域经济发展。项目创造发展新动能老旧小区改造引入社会资金参与社区养老、托幼、 医疗、超市、文体等公共服务设施建设改造，开拓幼儿消费、绿色消费等新消费模式，持续有效地为小区和社会创造新动能，具有良好的经济效益。</w:t>
            </w:r>
          </w:p>
        </w:tc>
      </w:tr>
      <w:tr w14:paraId="3B9599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5075F7EA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49B80469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Merge w:val="restart"/>
            <w:vAlign w:val="center"/>
          </w:tcPr>
          <w:p w14:paraId="11D338F3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社会效益指标</w:t>
            </w:r>
          </w:p>
        </w:tc>
        <w:tc>
          <w:tcPr>
            <w:tcW w:w="934" w:type="pct"/>
            <w:vAlign w:val="center"/>
          </w:tcPr>
          <w:p w14:paraId="2EBE0B1A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对居民经济影响</w:t>
            </w:r>
          </w:p>
        </w:tc>
        <w:tc>
          <w:tcPr>
            <w:tcW w:w="697" w:type="pct"/>
            <w:vAlign w:val="center"/>
          </w:tcPr>
          <w:p w14:paraId="631B635C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增加居民收入</w:t>
            </w:r>
          </w:p>
        </w:tc>
        <w:tc>
          <w:tcPr>
            <w:tcW w:w="931" w:type="pct"/>
            <w:vAlign w:val="center"/>
          </w:tcPr>
          <w:p w14:paraId="30489ECC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增加居民收入</w:t>
            </w:r>
          </w:p>
        </w:tc>
      </w:tr>
      <w:tr w14:paraId="5B1F85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3E8E0121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5048B9E1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Merge w:val="continue"/>
            <w:vAlign w:val="center"/>
          </w:tcPr>
          <w:p w14:paraId="4F1D153D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934" w:type="pct"/>
            <w:vAlign w:val="center"/>
          </w:tcPr>
          <w:p w14:paraId="3BFC0DB5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对居民就业影响</w:t>
            </w:r>
          </w:p>
        </w:tc>
        <w:tc>
          <w:tcPr>
            <w:tcW w:w="697" w:type="pct"/>
            <w:vAlign w:val="center"/>
          </w:tcPr>
          <w:p w14:paraId="59893A2B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增加居民就业机会</w:t>
            </w:r>
          </w:p>
        </w:tc>
        <w:tc>
          <w:tcPr>
            <w:tcW w:w="931" w:type="pct"/>
            <w:vAlign w:val="center"/>
          </w:tcPr>
          <w:p w14:paraId="61626A70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增加居民就业机会</w:t>
            </w:r>
          </w:p>
        </w:tc>
      </w:tr>
      <w:tr w14:paraId="1DD30A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75C404C6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4E82D1D2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Align w:val="center"/>
          </w:tcPr>
          <w:p w14:paraId="4010AB83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生态效益指标</w:t>
            </w:r>
          </w:p>
        </w:tc>
        <w:tc>
          <w:tcPr>
            <w:tcW w:w="934" w:type="pct"/>
            <w:vAlign w:val="center"/>
          </w:tcPr>
          <w:p w14:paraId="6AAA081D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改善生活环境</w:t>
            </w:r>
          </w:p>
        </w:tc>
        <w:tc>
          <w:tcPr>
            <w:tcW w:w="1628" w:type="pct"/>
            <w:gridSpan w:val="2"/>
            <w:vAlign w:val="center"/>
          </w:tcPr>
          <w:p w14:paraId="057FC52D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改善居民群众的生产生活条件</w:t>
            </w:r>
          </w:p>
        </w:tc>
      </w:tr>
      <w:tr w14:paraId="6E5B96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62C28B32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56602D70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Align w:val="center"/>
          </w:tcPr>
          <w:p w14:paraId="776CE596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可持续影响指标</w:t>
            </w:r>
          </w:p>
        </w:tc>
        <w:tc>
          <w:tcPr>
            <w:tcW w:w="934" w:type="pct"/>
            <w:vAlign w:val="center"/>
          </w:tcPr>
          <w:p w14:paraId="5F0C1707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推动社会发展</w:t>
            </w:r>
          </w:p>
        </w:tc>
        <w:tc>
          <w:tcPr>
            <w:tcW w:w="1628" w:type="pct"/>
            <w:gridSpan w:val="2"/>
            <w:vAlign w:val="center"/>
          </w:tcPr>
          <w:p w14:paraId="16BF10B7">
            <w:pPr>
              <w:pStyle w:val="19"/>
              <w:jc w:val="left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既可以带动社会投资，促进居民消费，扩大社会就业，又可以发展社会配套服务，加强社会管理，推进平安社会建设，是扩内需、惠民生、保稳定的重要结合点。</w:t>
            </w:r>
          </w:p>
        </w:tc>
      </w:tr>
      <w:tr w14:paraId="7E2FCD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7F17547B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5AF4238E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Align w:val="center"/>
          </w:tcPr>
          <w:p w14:paraId="49B2F333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社会公众或服务对象满意度指标</w:t>
            </w:r>
          </w:p>
        </w:tc>
        <w:tc>
          <w:tcPr>
            <w:tcW w:w="934" w:type="pct"/>
            <w:vAlign w:val="center"/>
          </w:tcPr>
          <w:p w14:paraId="5412BDBA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公众社会满意度</w:t>
            </w:r>
          </w:p>
        </w:tc>
        <w:tc>
          <w:tcPr>
            <w:tcW w:w="697" w:type="pct"/>
            <w:vAlign w:val="center"/>
          </w:tcPr>
          <w:p w14:paraId="047998C1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≥90%</w:t>
            </w:r>
          </w:p>
        </w:tc>
        <w:tc>
          <w:tcPr>
            <w:tcW w:w="931" w:type="pct"/>
            <w:vAlign w:val="center"/>
          </w:tcPr>
          <w:p w14:paraId="4EF4001D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≥90%</w:t>
            </w:r>
          </w:p>
        </w:tc>
      </w:tr>
    </w:tbl>
    <w:p w14:paraId="4FFCF253">
      <w:pPr>
        <w:pStyle w:val="15"/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 w14:paraId="37A6BD4D">
      <w:pPr>
        <w:pStyle w:val="4"/>
        <w:numPr>
          <w:ilvl w:val="0"/>
          <w:numId w:val="0"/>
        </w:numPr>
        <w:rPr>
          <w:rFonts w:hint="default" w:eastAsia="仿宋" w:cs="Times New Roman"/>
          <w:lang w:val="en-US" w:eastAsia="zh-CN"/>
        </w:rPr>
      </w:pPr>
      <w:r>
        <w:rPr>
          <w:rFonts w:eastAsia="仿宋" w:cs="Times New Roman"/>
          <w:lang w:eastAsia="zh-CN"/>
        </w:rPr>
        <w:t>附件</w:t>
      </w:r>
      <w:r>
        <w:rPr>
          <w:rFonts w:hint="eastAsia" w:eastAsia="仿宋" w:cs="Times New Roman"/>
          <w:lang w:val="en-US" w:eastAsia="zh-CN"/>
        </w:rPr>
        <w:t>5</w:t>
      </w:r>
    </w:p>
    <w:p w14:paraId="136C647C">
      <w:pPr>
        <w:pStyle w:val="18"/>
        <w:keepNext w:val="0"/>
        <w:keepLines w:val="0"/>
        <w:pageBreakBefore w:val="0"/>
        <w:widowControl w:val="0"/>
        <w:numPr>
          <w:ilvl w:val="3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textAlignment w:val="auto"/>
        <w:rPr>
          <w:rFonts w:hint="default" w:ascii="Times New Roman" w:hAnsi="Times New Roman" w:eastAsia="仿宋" w:cs="Times New Roman"/>
        </w:rPr>
      </w:pPr>
      <w:r>
        <w:rPr>
          <w:rFonts w:hint="default" w:ascii="Times New Roman" w:hAnsi="Times New Roman" w:eastAsia="仿宋" w:cs="Times New Roman"/>
        </w:rPr>
        <w:t>项目</w:t>
      </w:r>
      <w:r>
        <w:rPr>
          <w:rFonts w:hint="eastAsia" w:eastAsia="仿宋" w:cs="Times New Roman"/>
          <w:lang w:val="en-US" w:eastAsia="zh-CN"/>
        </w:rPr>
        <w:t>事前</w:t>
      </w:r>
      <w:r>
        <w:rPr>
          <w:rFonts w:hint="default" w:ascii="Times New Roman" w:hAnsi="Times New Roman" w:eastAsia="仿宋" w:cs="Times New Roman"/>
        </w:rPr>
        <w:t>绩效目标表</w:t>
      </w:r>
    </w:p>
    <w:tbl>
      <w:tblPr>
        <w:tblStyle w:val="16"/>
        <w:tblpPr w:leftFromText="180" w:rightFromText="180" w:vertAnchor="text" w:horzAnchor="page" w:tblpXSpec="center" w:tblpY="282"/>
        <w:tblOverlap w:val="never"/>
        <w:tblW w:w="499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618"/>
        <w:gridCol w:w="1034"/>
        <w:gridCol w:w="1402"/>
        <w:gridCol w:w="1557"/>
        <w:gridCol w:w="1162"/>
        <w:gridCol w:w="1552"/>
        <w:gridCol w:w="8"/>
      </w:tblGrid>
      <w:tr w14:paraId="186A92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1" w:type="pct"/>
            <w:vAlign w:val="center"/>
          </w:tcPr>
          <w:p w14:paraId="03BBD260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项目名称</w:t>
            </w:r>
          </w:p>
        </w:tc>
        <w:tc>
          <w:tcPr>
            <w:tcW w:w="4028" w:type="pct"/>
            <w:gridSpan w:val="6"/>
            <w:vAlign w:val="center"/>
          </w:tcPr>
          <w:p w14:paraId="1108CFB0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岳阳楼区2023年老旧小区改造（</w:t>
            </w: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望岳路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片区）及配套设施建设项目</w:t>
            </w:r>
          </w:p>
        </w:tc>
      </w:tr>
      <w:tr w14:paraId="315871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1" w:type="pct"/>
            <w:vAlign w:val="center"/>
          </w:tcPr>
          <w:p w14:paraId="38225E69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主管部门</w:t>
            </w:r>
          </w:p>
        </w:tc>
        <w:tc>
          <w:tcPr>
            <w:tcW w:w="4028" w:type="pct"/>
            <w:gridSpan w:val="6"/>
            <w:vAlign w:val="center"/>
          </w:tcPr>
          <w:p w14:paraId="0F5D39AF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岳阳楼区住房和城乡建设局</w:t>
            </w:r>
          </w:p>
        </w:tc>
      </w:tr>
      <w:tr w14:paraId="214119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1" w:type="pct"/>
            <w:vAlign w:val="center"/>
          </w:tcPr>
          <w:p w14:paraId="30A91249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项目负责人</w:t>
            </w:r>
          </w:p>
        </w:tc>
        <w:tc>
          <w:tcPr>
            <w:tcW w:w="1461" w:type="pct"/>
            <w:gridSpan w:val="2"/>
            <w:vAlign w:val="center"/>
          </w:tcPr>
          <w:p w14:paraId="4B28A89A">
            <w:pPr>
              <w:pStyle w:val="19"/>
              <w:jc w:val="center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杨震</w:t>
            </w:r>
          </w:p>
        </w:tc>
        <w:tc>
          <w:tcPr>
            <w:tcW w:w="934" w:type="pct"/>
            <w:vAlign w:val="center"/>
          </w:tcPr>
          <w:p w14:paraId="016614A0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联系电话</w:t>
            </w:r>
          </w:p>
        </w:tc>
        <w:tc>
          <w:tcPr>
            <w:tcW w:w="1632" w:type="pct"/>
            <w:gridSpan w:val="3"/>
            <w:vAlign w:val="center"/>
          </w:tcPr>
          <w:p w14:paraId="5390DA20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13975099338</w:t>
            </w:r>
          </w:p>
        </w:tc>
      </w:tr>
      <w:tr w14:paraId="69996D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1" w:type="pct"/>
            <w:vMerge w:val="restart"/>
            <w:vAlign w:val="center"/>
          </w:tcPr>
          <w:p w14:paraId="745EDA37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项目资金</w:t>
            </w:r>
          </w:p>
          <w:p w14:paraId="04CD35D9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（万元）</w:t>
            </w:r>
          </w:p>
        </w:tc>
        <w:tc>
          <w:tcPr>
            <w:tcW w:w="4028" w:type="pct"/>
            <w:gridSpan w:val="6"/>
            <w:vAlign w:val="center"/>
          </w:tcPr>
          <w:p w14:paraId="0615D70A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资金总额：</w:t>
            </w: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19844.26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万元</w:t>
            </w:r>
          </w:p>
        </w:tc>
      </w:tr>
      <w:tr w14:paraId="1D78BB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322AE281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4028" w:type="pct"/>
            <w:gridSpan w:val="6"/>
            <w:vAlign w:val="center"/>
          </w:tcPr>
          <w:p w14:paraId="4BA3A174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一、政府专项债券资金：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eastAsia="zh-CN"/>
              </w:rPr>
              <w:t>9</w:t>
            </w: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8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eastAsia="zh-CN"/>
              </w:rPr>
              <w:t>00.00 万元</w:t>
            </w:r>
          </w:p>
        </w:tc>
      </w:tr>
      <w:tr w14:paraId="09F59C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3771C899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4028" w:type="pct"/>
            <w:gridSpan w:val="6"/>
            <w:vAlign w:val="center"/>
          </w:tcPr>
          <w:p w14:paraId="5A140B40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二、其他资金：</w:t>
            </w: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10044.26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eastAsia="zh-CN"/>
              </w:rPr>
              <w:t>万元</w:t>
            </w:r>
          </w:p>
        </w:tc>
      </w:tr>
      <w:tr w14:paraId="70CD0E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1" w:type="pct"/>
            <w:vMerge w:val="restart"/>
            <w:vAlign w:val="center"/>
          </w:tcPr>
          <w:p w14:paraId="5499230C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项目实施进度计划</w:t>
            </w:r>
          </w:p>
        </w:tc>
        <w:tc>
          <w:tcPr>
            <w:tcW w:w="2395" w:type="pct"/>
            <w:gridSpan w:val="3"/>
            <w:vAlign w:val="center"/>
          </w:tcPr>
          <w:p w14:paraId="25939E36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开始时间</w:t>
            </w:r>
          </w:p>
        </w:tc>
        <w:tc>
          <w:tcPr>
            <w:tcW w:w="1632" w:type="pct"/>
            <w:gridSpan w:val="3"/>
            <w:vAlign w:val="center"/>
          </w:tcPr>
          <w:p w14:paraId="4B5E29FD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完成时间</w:t>
            </w:r>
          </w:p>
        </w:tc>
      </w:tr>
      <w:tr w14:paraId="3BC9A0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1690F6DE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2395" w:type="pct"/>
            <w:gridSpan w:val="3"/>
            <w:vAlign w:val="center"/>
          </w:tcPr>
          <w:p w14:paraId="138131F6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202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3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年</w:t>
            </w: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2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月</w:t>
            </w:r>
          </w:p>
        </w:tc>
        <w:tc>
          <w:tcPr>
            <w:tcW w:w="1632" w:type="pct"/>
            <w:gridSpan w:val="3"/>
            <w:vAlign w:val="center"/>
          </w:tcPr>
          <w:p w14:paraId="431A53EB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202</w:t>
            </w: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4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年</w:t>
            </w: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1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月</w:t>
            </w:r>
          </w:p>
        </w:tc>
      </w:tr>
      <w:tr w14:paraId="49E171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2" w:hRule="atLeast"/>
          <w:jc w:val="center"/>
        </w:trPr>
        <w:tc>
          <w:tcPr>
            <w:tcW w:w="971" w:type="pct"/>
            <w:vMerge w:val="restart"/>
            <w:vAlign w:val="center"/>
          </w:tcPr>
          <w:p w14:paraId="10D9EB6C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项目绩效目标</w:t>
            </w:r>
          </w:p>
        </w:tc>
        <w:tc>
          <w:tcPr>
            <w:tcW w:w="4028" w:type="pct"/>
            <w:gridSpan w:val="6"/>
            <w:vMerge w:val="restart"/>
            <w:vAlign w:val="center"/>
          </w:tcPr>
          <w:p w14:paraId="42E4F90C">
            <w:pPr>
              <w:pStyle w:val="19"/>
              <w:jc w:val="both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项目涉及 2 个街道、17 个老旧小区，改造总户数 4770 户、房屋总建筑面积 39.04万平方米。建设内容主要包括房屋公共部分修缮，防洪排涝（雨污分流）、供电及管线、通信设施、供水管道、供气管道、破损道路修补、环卫设施、海绵城市建设、消防、安防设施等基础类改造；无障碍设施、绿化提质、照明亮化、停车场改造，充电桩、智能快件箱，文化休闲设施、体育健身设施、物业用房、建筑节能等完善类改造；卫生服务站、养老抚幼服务站、便民市场、邮政快递末端综合服务站等提升类改造。</w:t>
            </w:r>
          </w:p>
        </w:tc>
      </w:tr>
      <w:tr w14:paraId="304074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2" w:hRule="atLeast"/>
          <w:jc w:val="center"/>
        </w:trPr>
        <w:tc>
          <w:tcPr>
            <w:tcW w:w="971" w:type="pct"/>
            <w:vMerge w:val="continue"/>
            <w:vAlign w:val="center"/>
          </w:tcPr>
          <w:p w14:paraId="76F1EAC6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4028" w:type="pct"/>
            <w:gridSpan w:val="6"/>
            <w:vMerge w:val="continue"/>
            <w:vAlign w:val="center"/>
          </w:tcPr>
          <w:p w14:paraId="602A38F6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</w:tr>
      <w:tr w14:paraId="00C05E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restart"/>
            <w:vAlign w:val="center"/>
          </w:tcPr>
          <w:p w14:paraId="1E2AA53B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项目绩效指标</w:t>
            </w:r>
          </w:p>
        </w:tc>
        <w:tc>
          <w:tcPr>
            <w:tcW w:w="620" w:type="pct"/>
            <w:vAlign w:val="center"/>
          </w:tcPr>
          <w:p w14:paraId="1B7DAB7A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一级指标</w:t>
            </w:r>
          </w:p>
        </w:tc>
        <w:tc>
          <w:tcPr>
            <w:tcW w:w="841" w:type="pct"/>
            <w:vAlign w:val="center"/>
          </w:tcPr>
          <w:p w14:paraId="1940E0B8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二级指标</w:t>
            </w:r>
          </w:p>
        </w:tc>
        <w:tc>
          <w:tcPr>
            <w:tcW w:w="934" w:type="pct"/>
            <w:vAlign w:val="center"/>
          </w:tcPr>
          <w:p w14:paraId="6DB62620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三级指标</w:t>
            </w:r>
          </w:p>
        </w:tc>
        <w:tc>
          <w:tcPr>
            <w:tcW w:w="697" w:type="pct"/>
            <w:vAlign w:val="center"/>
          </w:tcPr>
          <w:p w14:paraId="64480D8B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指标值及</w:t>
            </w:r>
          </w:p>
          <w:p w14:paraId="4A2D4307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单位</w:t>
            </w:r>
          </w:p>
        </w:tc>
        <w:tc>
          <w:tcPr>
            <w:tcW w:w="931" w:type="pct"/>
            <w:vAlign w:val="center"/>
          </w:tcPr>
          <w:p w14:paraId="2CF331E4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绩效标准</w:t>
            </w:r>
          </w:p>
        </w:tc>
      </w:tr>
      <w:tr w14:paraId="6D776E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5DF931FC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restart"/>
            <w:vAlign w:val="center"/>
          </w:tcPr>
          <w:p w14:paraId="47737E63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产出指标</w:t>
            </w:r>
          </w:p>
        </w:tc>
        <w:tc>
          <w:tcPr>
            <w:tcW w:w="841" w:type="pct"/>
            <w:vMerge w:val="restart"/>
            <w:vAlign w:val="center"/>
          </w:tcPr>
          <w:p w14:paraId="10AA7B54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数量指标</w:t>
            </w:r>
          </w:p>
        </w:tc>
        <w:tc>
          <w:tcPr>
            <w:tcW w:w="934" w:type="pct"/>
            <w:vAlign w:val="center"/>
          </w:tcPr>
          <w:p w14:paraId="3A105EB3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改造</w:t>
            </w: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街道</w:t>
            </w:r>
          </w:p>
        </w:tc>
        <w:tc>
          <w:tcPr>
            <w:tcW w:w="697" w:type="pct"/>
            <w:vAlign w:val="bottom"/>
          </w:tcPr>
          <w:p w14:paraId="2DF78E8E">
            <w:pPr>
              <w:widowControl/>
              <w:spacing w:line="240" w:lineRule="auto"/>
              <w:ind w:firstLine="0" w:firstLineChars="0"/>
              <w:jc w:val="center"/>
              <w:textAlignment w:val="bottom"/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2个</w:t>
            </w:r>
          </w:p>
        </w:tc>
        <w:tc>
          <w:tcPr>
            <w:tcW w:w="931" w:type="pct"/>
            <w:vAlign w:val="center"/>
          </w:tcPr>
          <w:p w14:paraId="66EC098F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1</w:t>
            </w:r>
          </w:p>
        </w:tc>
      </w:tr>
      <w:tr w14:paraId="2E7F07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676EBD9A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7B67F482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Merge w:val="continue"/>
            <w:vAlign w:val="center"/>
          </w:tcPr>
          <w:p w14:paraId="0985BEDC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934" w:type="pct"/>
            <w:vAlign w:val="center"/>
          </w:tcPr>
          <w:p w14:paraId="1700A78D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改造小区数量</w:t>
            </w:r>
          </w:p>
        </w:tc>
        <w:tc>
          <w:tcPr>
            <w:tcW w:w="697" w:type="pct"/>
            <w:vAlign w:val="bottom"/>
          </w:tcPr>
          <w:p w14:paraId="7468F7DC">
            <w:pPr>
              <w:widowControl/>
              <w:spacing w:line="240" w:lineRule="auto"/>
              <w:ind w:firstLine="0" w:firstLineChars="0"/>
              <w:jc w:val="center"/>
              <w:textAlignment w:val="bottom"/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17个</w:t>
            </w:r>
          </w:p>
        </w:tc>
        <w:tc>
          <w:tcPr>
            <w:tcW w:w="931" w:type="pct"/>
            <w:vAlign w:val="center"/>
          </w:tcPr>
          <w:p w14:paraId="0D5CAB28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1</w:t>
            </w:r>
          </w:p>
        </w:tc>
      </w:tr>
      <w:tr w14:paraId="7B6A8B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62E41BCC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0CCED577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Merge w:val="continue"/>
            <w:vAlign w:val="center"/>
          </w:tcPr>
          <w:p w14:paraId="5E750828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934" w:type="pct"/>
            <w:vAlign w:val="center"/>
          </w:tcPr>
          <w:p w14:paraId="756F7C87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改造</w:t>
            </w: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总户数</w:t>
            </w:r>
          </w:p>
        </w:tc>
        <w:tc>
          <w:tcPr>
            <w:tcW w:w="697" w:type="pct"/>
            <w:vAlign w:val="bottom"/>
          </w:tcPr>
          <w:p w14:paraId="5EAB178B">
            <w:pPr>
              <w:widowControl/>
              <w:spacing w:line="240" w:lineRule="auto"/>
              <w:ind w:firstLine="0" w:firstLineChars="0"/>
              <w:jc w:val="center"/>
              <w:textAlignment w:val="bottom"/>
              <w:rPr>
                <w:rFonts w:hint="default" w:ascii="Times New Roman" w:hAnsi="Times New Roman" w:eastAsia="仿宋" w:cs="Times New Roman"/>
                <w:sz w:val="21"/>
                <w:szCs w:val="21"/>
                <w:lang w:val="en-US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4770户</w:t>
            </w:r>
          </w:p>
        </w:tc>
        <w:tc>
          <w:tcPr>
            <w:tcW w:w="931" w:type="pct"/>
            <w:vAlign w:val="center"/>
          </w:tcPr>
          <w:p w14:paraId="6EC69E6C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1</w:t>
            </w:r>
          </w:p>
        </w:tc>
      </w:tr>
      <w:tr w14:paraId="2C121E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734A0ACE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0D12045E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Merge w:val="continue"/>
            <w:vAlign w:val="center"/>
          </w:tcPr>
          <w:p w14:paraId="1674E720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934" w:type="pct"/>
            <w:vAlign w:val="center"/>
          </w:tcPr>
          <w:p w14:paraId="37D03293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改造</w:t>
            </w: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总面积</w:t>
            </w:r>
          </w:p>
        </w:tc>
        <w:tc>
          <w:tcPr>
            <w:tcW w:w="697" w:type="pct"/>
            <w:vAlign w:val="bottom"/>
          </w:tcPr>
          <w:p w14:paraId="5A6A68D8">
            <w:pPr>
              <w:widowControl/>
              <w:spacing w:line="240" w:lineRule="auto"/>
              <w:ind w:firstLine="0" w:firstLineChars="0"/>
              <w:jc w:val="center"/>
              <w:textAlignment w:val="bottom"/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39.04万m³</w:t>
            </w:r>
          </w:p>
        </w:tc>
        <w:tc>
          <w:tcPr>
            <w:tcW w:w="931" w:type="pct"/>
            <w:vAlign w:val="center"/>
          </w:tcPr>
          <w:p w14:paraId="24F7DC40">
            <w:pPr>
              <w:widowControl/>
              <w:spacing w:line="240" w:lineRule="auto"/>
              <w:ind w:firstLine="0" w:firstLineChars="0"/>
              <w:jc w:val="center"/>
              <w:textAlignment w:val="center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1</w:t>
            </w:r>
          </w:p>
        </w:tc>
      </w:tr>
      <w:tr w14:paraId="6C6B93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2305BDCB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7C06CBF0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Align w:val="center"/>
          </w:tcPr>
          <w:p w14:paraId="173D683F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质量指标</w:t>
            </w:r>
          </w:p>
        </w:tc>
        <w:tc>
          <w:tcPr>
            <w:tcW w:w="934" w:type="pct"/>
            <w:vAlign w:val="center"/>
          </w:tcPr>
          <w:p w14:paraId="4ACED4A4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合格率</w:t>
            </w:r>
          </w:p>
        </w:tc>
        <w:tc>
          <w:tcPr>
            <w:tcW w:w="697" w:type="pct"/>
            <w:vAlign w:val="center"/>
          </w:tcPr>
          <w:p w14:paraId="357003A2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≥95%</w:t>
            </w:r>
          </w:p>
        </w:tc>
        <w:tc>
          <w:tcPr>
            <w:tcW w:w="931" w:type="pct"/>
            <w:vAlign w:val="center"/>
          </w:tcPr>
          <w:p w14:paraId="58C30058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≥95%</w:t>
            </w:r>
          </w:p>
        </w:tc>
      </w:tr>
      <w:tr w14:paraId="29A68F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7D5779DD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17D10A04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Align w:val="center"/>
          </w:tcPr>
          <w:p w14:paraId="004EE79C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时效指标</w:t>
            </w:r>
          </w:p>
        </w:tc>
        <w:tc>
          <w:tcPr>
            <w:tcW w:w="934" w:type="pct"/>
            <w:vAlign w:val="center"/>
          </w:tcPr>
          <w:p w14:paraId="3F4EBE8D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完工时间</w:t>
            </w:r>
          </w:p>
        </w:tc>
        <w:tc>
          <w:tcPr>
            <w:tcW w:w="697" w:type="pct"/>
            <w:vAlign w:val="center"/>
          </w:tcPr>
          <w:p w14:paraId="62899B36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1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年</w:t>
            </w:r>
          </w:p>
        </w:tc>
        <w:tc>
          <w:tcPr>
            <w:tcW w:w="931" w:type="pct"/>
            <w:vAlign w:val="center"/>
          </w:tcPr>
          <w:p w14:paraId="45EBC4A6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1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年</w:t>
            </w:r>
          </w:p>
        </w:tc>
      </w:tr>
      <w:tr w14:paraId="5C470D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75AC486F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374F437F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Align w:val="center"/>
          </w:tcPr>
          <w:p w14:paraId="1731E907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成本指标</w:t>
            </w:r>
          </w:p>
        </w:tc>
        <w:tc>
          <w:tcPr>
            <w:tcW w:w="934" w:type="pct"/>
            <w:vAlign w:val="center"/>
          </w:tcPr>
          <w:p w14:paraId="6B86F83C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项目总投资</w:t>
            </w:r>
          </w:p>
        </w:tc>
        <w:tc>
          <w:tcPr>
            <w:tcW w:w="697" w:type="pct"/>
            <w:vAlign w:val="center"/>
          </w:tcPr>
          <w:p w14:paraId="64738BAF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19844.26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万元</w:t>
            </w:r>
          </w:p>
        </w:tc>
        <w:tc>
          <w:tcPr>
            <w:tcW w:w="931" w:type="pct"/>
            <w:vAlign w:val="center"/>
          </w:tcPr>
          <w:p w14:paraId="2C466012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  <w:t>1</w:t>
            </w:r>
          </w:p>
        </w:tc>
      </w:tr>
      <w:tr w14:paraId="31D81E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78A0A612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restart"/>
            <w:vAlign w:val="center"/>
          </w:tcPr>
          <w:p w14:paraId="7D0665EF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效益指标</w:t>
            </w:r>
          </w:p>
        </w:tc>
        <w:tc>
          <w:tcPr>
            <w:tcW w:w="841" w:type="pct"/>
            <w:vAlign w:val="center"/>
          </w:tcPr>
          <w:p w14:paraId="22176EA6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经济效益指标</w:t>
            </w:r>
          </w:p>
        </w:tc>
        <w:tc>
          <w:tcPr>
            <w:tcW w:w="934" w:type="pct"/>
            <w:vAlign w:val="center"/>
          </w:tcPr>
          <w:p w14:paraId="1A20C7E2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带动行业发展</w:t>
            </w:r>
          </w:p>
        </w:tc>
        <w:tc>
          <w:tcPr>
            <w:tcW w:w="1628" w:type="pct"/>
            <w:gridSpan w:val="2"/>
            <w:vAlign w:val="center"/>
          </w:tcPr>
          <w:p w14:paraId="7DA6F7E8">
            <w:pPr>
              <w:pStyle w:val="19"/>
              <w:jc w:val="left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该项目通过实施道路、管线及其他配套设施工程以及配套服务设施建设，可以完善区域设施体系，改善居民生产生活条件，推进区域第二、三产业发展向规模、高效、集约转变，提高区域经济发展水平，促进区域经济发展。项目创造发展新动能老旧小区改造引入社会资金参与社区养老、托幼、 医疗、超市、文体等公共服务设施建设改造，开拓幼儿消费、绿色消费等新消费模式，持续有效地为小区和社会创造新动能，具有良好的经济效益。</w:t>
            </w:r>
          </w:p>
        </w:tc>
      </w:tr>
      <w:tr w14:paraId="7FC116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6240906E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1E68DBCD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Merge w:val="restart"/>
            <w:vAlign w:val="center"/>
          </w:tcPr>
          <w:p w14:paraId="76E7A5DD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社会效益指标</w:t>
            </w:r>
          </w:p>
        </w:tc>
        <w:tc>
          <w:tcPr>
            <w:tcW w:w="934" w:type="pct"/>
            <w:vAlign w:val="center"/>
          </w:tcPr>
          <w:p w14:paraId="5DF0C322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对居民经济影响</w:t>
            </w:r>
          </w:p>
        </w:tc>
        <w:tc>
          <w:tcPr>
            <w:tcW w:w="697" w:type="pct"/>
            <w:vAlign w:val="center"/>
          </w:tcPr>
          <w:p w14:paraId="270A4FFC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增加居民收入</w:t>
            </w:r>
          </w:p>
        </w:tc>
        <w:tc>
          <w:tcPr>
            <w:tcW w:w="931" w:type="pct"/>
            <w:vAlign w:val="center"/>
          </w:tcPr>
          <w:p w14:paraId="04D33B08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增加居民收入</w:t>
            </w:r>
          </w:p>
        </w:tc>
      </w:tr>
      <w:tr w14:paraId="09B63D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74F42658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7DFB35B2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Merge w:val="continue"/>
            <w:vAlign w:val="center"/>
          </w:tcPr>
          <w:p w14:paraId="65AB649E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934" w:type="pct"/>
            <w:vAlign w:val="center"/>
          </w:tcPr>
          <w:p w14:paraId="1C412061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对居民就业影响</w:t>
            </w:r>
          </w:p>
        </w:tc>
        <w:tc>
          <w:tcPr>
            <w:tcW w:w="697" w:type="pct"/>
            <w:vAlign w:val="center"/>
          </w:tcPr>
          <w:p w14:paraId="60D8BB0A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增加居民就业机会</w:t>
            </w:r>
          </w:p>
        </w:tc>
        <w:tc>
          <w:tcPr>
            <w:tcW w:w="931" w:type="pct"/>
            <w:vAlign w:val="center"/>
          </w:tcPr>
          <w:p w14:paraId="4F8ACF90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增加居民就业机会</w:t>
            </w:r>
          </w:p>
        </w:tc>
      </w:tr>
      <w:tr w14:paraId="2660D5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6C9339D2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05D89E21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Align w:val="center"/>
          </w:tcPr>
          <w:p w14:paraId="2A9ABB42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生态效益指标</w:t>
            </w:r>
          </w:p>
        </w:tc>
        <w:tc>
          <w:tcPr>
            <w:tcW w:w="934" w:type="pct"/>
            <w:vAlign w:val="center"/>
          </w:tcPr>
          <w:p w14:paraId="45E8FCEE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改善生活环境</w:t>
            </w:r>
          </w:p>
        </w:tc>
        <w:tc>
          <w:tcPr>
            <w:tcW w:w="1628" w:type="pct"/>
            <w:gridSpan w:val="2"/>
            <w:vAlign w:val="center"/>
          </w:tcPr>
          <w:p w14:paraId="79AEF2FB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改善居民群众的生产生活条件</w:t>
            </w:r>
          </w:p>
        </w:tc>
      </w:tr>
      <w:tr w14:paraId="420869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15CB0E99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59FD0622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Align w:val="center"/>
          </w:tcPr>
          <w:p w14:paraId="37937B5D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可持续影响指标</w:t>
            </w:r>
          </w:p>
        </w:tc>
        <w:tc>
          <w:tcPr>
            <w:tcW w:w="934" w:type="pct"/>
            <w:vAlign w:val="center"/>
          </w:tcPr>
          <w:p w14:paraId="077720E8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推动社会发展</w:t>
            </w:r>
          </w:p>
        </w:tc>
        <w:tc>
          <w:tcPr>
            <w:tcW w:w="1628" w:type="pct"/>
            <w:gridSpan w:val="2"/>
            <w:vAlign w:val="center"/>
          </w:tcPr>
          <w:p w14:paraId="5E932C19">
            <w:pPr>
              <w:pStyle w:val="19"/>
              <w:jc w:val="left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既可以带动社会投资，促进居民消费，扩大社会就业，又可以发展社会配套服务，加强社会管理，推进平安社会建设，是扩内需、惠民生、保稳定的重要结合点。</w:t>
            </w:r>
          </w:p>
        </w:tc>
      </w:tr>
      <w:tr w14:paraId="594D12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4" w:type="pct"/>
          <w:trHeight w:val="23" w:hRule="atLeast"/>
          <w:jc w:val="center"/>
        </w:trPr>
        <w:tc>
          <w:tcPr>
            <w:tcW w:w="971" w:type="pct"/>
            <w:vMerge w:val="continue"/>
            <w:vAlign w:val="center"/>
          </w:tcPr>
          <w:p w14:paraId="02F99F6A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620" w:type="pct"/>
            <w:vMerge w:val="continue"/>
            <w:vAlign w:val="center"/>
          </w:tcPr>
          <w:p w14:paraId="4620B9FB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</w:p>
        </w:tc>
        <w:tc>
          <w:tcPr>
            <w:tcW w:w="841" w:type="pct"/>
            <w:vAlign w:val="center"/>
          </w:tcPr>
          <w:p w14:paraId="71A86629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社会公众或服务对象满意度指标</w:t>
            </w:r>
          </w:p>
        </w:tc>
        <w:tc>
          <w:tcPr>
            <w:tcW w:w="934" w:type="pct"/>
            <w:vAlign w:val="center"/>
          </w:tcPr>
          <w:p w14:paraId="047F2444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公众社会满意度</w:t>
            </w:r>
          </w:p>
        </w:tc>
        <w:tc>
          <w:tcPr>
            <w:tcW w:w="697" w:type="pct"/>
            <w:vAlign w:val="center"/>
          </w:tcPr>
          <w:p w14:paraId="57B90DF5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≥90%</w:t>
            </w:r>
          </w:p>
        </w:tc>
        <w:tc>
          <w:tcPr>
            <w:tcW w:w="931" w:type="pct"/>
            <w:vAlign w:val="center"/>
          </w:tcPr>
          <w:p w14:paraId="1D459C8E">
            <w:pPr>
              <w:pStyle w:val="19"/>
              <w:rPr>
                <w:rFonts w:hint="default" w:ascii="Times New Roman" w:hAnsi="Times New Roman" w:eastAsia="仿宋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</w:rPr>
              <w:t>≥90%</w:t>
            </w:r>
          </w:p>
        </w:tc>
      </w:tr>
    </w:tbl>
    <w:p w14:paraId="0AE959CD">
      <w:p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 w14:paraId="3354D10E">
      <w:pPr>
        <w:pStyle w:val="4"/>
        <w:numPr>
          <w:ilvl w:val="0"/>
          <w:numId w:val="0"/>
        </w:numPr>
        <w:rPr>
          <w:rFonts w:hint="default" w:eastAsia="仿宋" w:cs="Times New Roman"/>
          <w:lang w:val="en-US" w:eastAsia="zh-CN"/>
        </w:rPr>
      </w:pPr>
      <w:r>
        <w:rPr>
          <w:rFonts w:eastAsia="仿宋" w:cs="Times New Roman"/>
          <w:lang w:eastAsia="zh-CN"/>
        </w:rPr>
        <w:t>附件</w:t>
      </w:r>
      <w:r>
        <w:rPr>
          <w:rFonts w:hint="eastAsia" w:eastAsia="仿宋" w:cs="Times New Roman"/>
          <w:lang w:val="en-US" w:eastAsia="zh-CN"/>
        </w:rPr>
        <w:t>6</w:t>
      </w:r>
    </w:p>
    <w:p w14:paraId="338D9A47">
      <w:pPr>
        <w:pStyle w:val="18"/>
        <w:keepNext w:val="0"/>
        <w:keepLines w:val="0"/>
        <w:pageBreakBefore w:val="0"/>
        <w:widowControl w:val="0"/>
        <w:numPr>
          <w:ilvl w:val="3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textAlignment w:val="auto"/>
        <w:rPr>
          <w:rFonts w:hint="default" w:ascii="Times New Roman" w:hAnsi="Times New Roman" w:eastAsia="仿宋" w:cs="Times New Roman"/>
        </w:rPr>
      </w:pPr>
      <w:r>
        <w:rPr>
          <w:rFonts w:hint="default" w:ascii="Times New Roman" w:hAnsi="Times New Roman" w:eastAsia="仿宋" w:cs="Times New Roman"/>
        </w:rPr>
        <w:t>项目</w:t>
      </w:r>
      <w:r>
        <w:rPr>
          <w:rFonts w:hint="eastAsia" w:eastAsia="仿宋" w:cs="Times New Roman"/>
          <w:lang w:val="en-US" w:eastAsia="zh-CN"/>
        </w:rPr>
        <w:t>事前</w:t>
      </w:r>
      <w:r>
        <w:rPr>
          <w:rFonts w:hint="default" w:ascii="Times New Roman" w:hAnsi="Times New Roman" w:eastAsia="仿宋" w:cs="Times New Roman"/>
        </w:rPr>
        <w:t>绩效目标表</w:t>
      </w:r>
    </w:p>
    <w:p w14:paraId="062CB6B2">
      <w:pPr>
        <w:pStyle w:val="18"/>
        <w:keepNext w:val="0"/>
        <w:keepLines w:val="0"/>
        <w:pageBreakBefore w:val="0"/>
        <w:widowControl w:val="0"/>
        <w:numPr>
          <w:ilvl w:val="3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textAlignment w:val="auto"/>
        <w:rPr>
          <w:rFonts w:hint="default" w:ascii="Times New Roman" w:hAnsi="Times New Roman" w:eastAsia="仿宋" w:cs="Times New Roman"/>
        </w:rPr>
      </w:pPr>
    </w:p>
    <w:tbl>
      <w:tblPr>
        <w:tblStyle w:val="20"/>
        <w:tblpPr w:leftFromText="180" w:rightFromText="180" w:vertAnchor="text" w:tblpXSpec="center" w:tblpY="1"/>
        <w:tblOverlap w:val="never"/>
        <w:tblW w:w="4999" w:type="pct"/>
        <w:jc w:val="center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autofit"/>
        <w:tblCellMar>
          <w:top w:w="17" w:type="dxa"/>
          <w:left w:w="17" w:type="dxa"/>
          <w:bottom w:w="17" w:type="dxa"/>
          <w:right w:w="17" w:type="dxa"/>
        </w:tblCellMar>
      </w:tblPr>
      <w:tblGrid>
        <w:gridCol w:w="1864"/>
        <w:gridCol w:w="764"/>
        <w:gridCol w:w="1406"/>
        <w:gridCol w:w="1565"/>
        <w:gridCol w:w="1148"/>
        <w:gridCol w:w="1591"/>
      </w:tblGrid>
      <w:tr w14:paraId="31CB141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3" w:hRule="atLeast"/>
          <w:jc w:val="center"/>
        </w:trPr>
        <w:tc>
          <w:tcPr>
            <w:tcW w:w="1118" w:type="pct"/>
            <w:vAlign w:val="center"/>
          </w:tcPr>
          <w:p w14:paraId="5C33C3D8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项目名称</w:t>
            </w:r>
          </w:p>
        </w:tc>
        <w:tc>
          <w:tcPr>
            <w:tcW w:w="3881" w:type="pct"/>
            <w:gridSpan w:val="5"/>
            <w:vAlign w:val="center"/>
          </w:tcPr>
          <w:p w14:paraId="2FDA29DD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岳阳楼区2023年老旧小区改造</w:t>
            </w:r>
            <w:r>
              <w:rPr>
                <w:rFonts w:hint="eastAsia" w:eastAsia="仿宋" w:cs="Times New Roman"/>
                <w:sz w:val="21"/>
                <w:szCs w:val="21"/>
                <w:lang w:val="en-US" w:eastAsia="zh-CN"/>
              </w:rPr>
              <w:t>（</w:t>
            </w: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洞庭路片区</w:t>
            </w:r>
            <w:r>
              <w:rPr>
                <w:rFonts w:hint="eastAsia" w:eastAsia="仿宋" w:cs="Times New Roman"/>
                <w:sz w:val="21"/>
                <w:szCs w:val="21"/>
                <w:lang w:val="en-US" w:eastAsia="zh-CN"/>
              </w:rPr>
              <w:t>）</w:t>
            </w: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及配套设施建设项目</w:t>
            </w:r>
          </w:p>
        </w:tc>
      </w:tr>
      <w:tr w14:paraId="6DA8C99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3" w:hRule="atLeast"/>
          <w:jc w:val="center"/>
        </w:trPr>
        <w:tc>
          <w:tcPr>
            <w:tcW w:w="1118" w:type="pct"/>
            <w:vAlign w:val="center"/>
          </w:tcPr>
          <w:p w14:paraId="5649EEF8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主管部门</w:t>
            </w:r>
          </w:p>
        </w:tc>
        <w:tc>
          <w:tcPr>
            <w:tcW w:w="3881" w:type="pct"/>
            <w:gridSpan w:val="5"/>
            <w:vAlign w:val="center"/>
          </w:tcPr>
          <w:p w14:paraId="1C854EB9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岳阳楼区住房和城乡建设局</w:t>
            </w:r>
          </w:p>
        </w:tc>
      </w:tr>
      <w:tr w14:paraId="7318484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3" w:hRule="atLeast"/>
          <w:jc w:val="center"/>
        </w:trPr>
        <w:tc>
          <w:tcPr>
            <w:tcW w:w="1118" w:type="pct"/>
            <w:vAlign w:val="center"/>
          </w:tcPr>
          <w:p w14:paraId="742C7DE8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项目负责人</w:t>
            </w:r>
          </w:p>
        </w:tc>
        <w:tc>
          <w:tcPr>
            <w:tcW w:w="1301" w:type="pct"/>
            <w:gridSpan w:val="2"/>
            <w:vAlign w:val="center"/>
          </w:tcPr>
          <w:p w14:paraId="32F73DE5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杨震</w:t>
            </w:r>
          </w:p>
        </w:tc>
        <w:tc>
          <w:tcPr>
            <w:tcW w:w="938" w:type="pct"/>
            <w:vAlign w:val="center"/>
          </w:tcPr>
          <w:p w14:paraId="415FBF34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联系电话</w:t>
            </w:r>
          </w:p>
        </w:tc>
        <w:tc>
          <w:tcPr>
            <w:tcW w:w="1642" w:type="pct"/>
            <w:gridSpan w:val="2"/>
            <w:vAlign w:val="center"/>
          </w:tcPr>
          <w:p w14:paraId="54D91E01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13975099338</w:t>
            </w:r>
          </w:p>
        </w:tc>
      </w:tr>
      <w:tr w14:paraId="4BFFE39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3" w:hRule="atLeast"/>
          <w:jc w:val="center"/>
        </w:trPr>
        <w:tc>
          <w:tcPr>
            <w:tcW w:w="1118" w:type="pct"/>
            <w:vMerge w:val="restart"/>
            <w:tcBorders>
              <w:bottom w:val="nil"/>
            </w:tcBorders>
            <w:vAlign w:val="center"/>
          </w:tcPr>
          <w:p w14:paraId="3C2A7798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项目资金</w:t>
            </w:r>
          </w:p>
          <w:p w14:paraId="050ABE03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eastAsia="仿宋" w:cs="Times New Roman"/>
                <w:sz w:val="21"/>
                <w:szCs w:val="21"/>
                <w:lang w:val="en-US" w:eastAsia="zh-CN"/>
              </w:rPr>
              <w:t>（</w:t>
            </w: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万元</w:t>
            </w:r>
            <w:r>
              <w:rPr>
                <w:rFonts w:hint="eastAsia" w:eastAsia="仿宋" w:cs="Times New Roman"/>
                <w:sz w:val="21"/>
                <w:szCs w:val="21"/>
                <w:lang w:val="en-US" w:eastAsia="zh-CN"/>
              </w:rPr>
              <w:t>）</w:t>
            </w:r>
          </w:p>
        </w:tc>
        <w:tc>
          <w:tcPr>
            <w:tcW w:w="3881" w:type="pct"/>
            <w:gridSpan w:val="5"/>
            <w:vAlign w:val="center"/>
          </w:tcPr>
          <w:p w14:paraId="19DA317E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资金总额：19448.14万元</w:t>
            </w:r>
          </w:p>
        </w:tc>
      </w:tr>
      <w:tr w14:paraId="49DDA18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3" w:hRule="atLeast"/>
          <w:jc w:val="center"/>
        </w:trPr>
        <w:tc>
          <w:tcPr>
            <w:tcW w:w="1118" w:type="pct"/>
            <w:vMerge w:val="continue"/>
            <w:tcBorders>
              <w:top w:val="nil"/>
              <w:bottom w:val="nil"/>
            </w:tcBorders>
            <w:vAlign w:val="center"/>
          </w:tcPr>
          <w:p w14:paraId="7A6D1F05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3881" w:type="pct"/>
            <w:gridSpan w:val="5"/>
            <w:vAlign w:val="center"/>
          </w:tcPr>
          <w:p w14:paraId="2F0897AB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一、政府专项债券资金：9600.00万元</w:t>
            </w:r>
          </w:p>
        </w:tc>
      </w:tr>
      <w:tr w14:paraId="220476A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3" w:hRule="atLeast"/>
          <w:jc w:val="center"/>
        </w:trPr>
        <w:tc>
          <w:tcPr>
            <w:tcW w:w="1118" w:type="pct"/>
            <w:vMerge w:val="continue"/>
            <w:tcBorders>
              <w:top w:val="nil"/>
            </w:tcBorders>
            <w:vAlign w:val="center"/>
          </w:tcPr>
          <w:p w14:paraId="66DC5D83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3881" w:type="pct"/>
            <w:gridSpan w:val="5"/>
            <w:vAlign w:val="center"/>
          </w:tcPr>
          <w:p w14:paraId="786BEF5C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二、其他资金：9848.14 万元</w:t>
            </w:r>
          </w:p>
        </w:tc>
      </w:tr>
      <w:tr w14:paraId="2D05C15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3" w:hRule="atLeast"/>
          <w:jc w:val="center"/>
        </w:trPr>
        <w:tc>
          <w:tcPr>
            <w:tcW w:w="1118" w:type="pct"/>
            <w:vMerge w:val="restart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6533E32D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项目实施进度计划</w:t>
            </w:r>
          </w:p>
        </w:tc>
        <w:tc>
          <w:tcPr>
            <w:tcW w:w="2239" w:type="pct"/>
            <w:gridSpan w:val="3"/>
            <w:tcBorders>
              <w:bottom w:val="single" w:color="auto" w:sz="4" w:space="0"/>
            </w:tcBorders>
            <w:vAlign w:val="center"/>
          </w:tcPr>
          <w:p w14:paraId="636216B3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开始时间</w:t>
            </w:r>
          </w:p>
        </w:tc>
        <w:tc>
          <w:tcPr>
            <w:tcW w:w="1642" w:type="pct"/>
            <w:gridSpan w:val="2"/>
            <w:vAlign w:val="center"/>
          </w:tcPr>
          <w:p w14:paraId="6CA8EFC1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完成时间</w:t>
            </w:r>
          </w:p>
        </w:tc>
      </w:tr>
      <w:tr w14:paraId="18646B3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3" w:hRule="atLeast"/>
          <w:jc w:val="center"/>
        </w:trPr>
        <w:tc>
          <w:tcPr>
            <w:tcW w:w="1118" w:type="pct"/>
            <w:vMerge w:val="continue"/>
            <w:tcBorders>
              <w:top w:val="single" w:color="auto" w:sz="4" w:space="0"/>
              <w:left w:val="single" w:color="auto" w:sz="4" w:space="0"/>
            </w:tcBorders>
            <w:vAlign w:val="center"/>
          </w:tcPr>
          <w:p w14:paraId="423265B0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2239" w:type="pct"/>
            <w:gridSpan w:val="3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 w14:paraId="5E6A30ED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2023年1月</w:t>
            </w:r>
          </w:p>
        </w:tc>
        <w:tc>
          <w:tcPr>
            <w:tcW w:w="1642" w:type="pct"/>
            <w:gridSpan w:val="2"/>
            <w:tcBorders>
              <w:left w:val="single" w:color="auto" w:sz="4" w:space="0"/>
            </w:tcBorders>
            <w:vAlign w:val="center"/>
          </w:tcPr>
          <w:p w14:paraId="58E6B167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2024年11月</w:t>
            </w:r>
          </w:p>
        </w:tc>
      </w:tr>
      <w:tr w14:paraId="2EEF088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3" w:hRule="atLeast"/>
          <w:jc w:val="center"/>
        </w:trPr>
        <w:tc>
          <w:tcPr>
            <w:tcW w:w="1118" w:type="pct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78BB351F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项目绩效目标</w:t>
            </w:r>
          </w:p>
        </w:tc>
        <w:tc>
          <w:tcPr>
            <w:tcW w:w="3881" w:type="pct"/>
            <w:gridSpan w:val="5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530089A4">
            <w:pPr>
              <w:pStyle w:val="19"/>
              <w:jc w:val="left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项</w:t>
            </w: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zh-CN" w:eastAsia="zh-CN"/>
              </w:rPr>
              <w:t>目涉及3个街道、23个老旧小区，改造总户数5274户、房屋总建筑面积41.43万平方米。建设内容主要包括房屋公共部分修缮，防洪排涝（雨污分流）、供电及管线、通信设施、供水管道、供气管道、破损道路修补、环卫设施、海绵城市建设、消防、安防设施等基础类改造；无障碍设施、绿化提质、照明亮化、停车场改造，充电桩、智能快件箱，文化休闲设施、体育健身设施、物业用房、建筑节能等完善类改造；卫生服务站、养老抚幼服务站、便民市场、邮政快递末端综合服务站等提升类改造。</w:t>
            </w:r>
          </w:p>
        </w:tc>
      </w:tr>
      <w:tr w14:paraId="7EE96F8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3" w:hRule="atLeast"/>
          <w:jc w:val="center"/>
        </w:trPr>
        <w:tc>
          <w:tcPr>
            <w:tcW w:w="1118" w:type="pct"/>
            <w:vMerge w:val="restart"/>
            <w:tcBorders>
              <w:top w:val="single" w:color="auto" w:sz="4" w:space="0"/>
              <w:left w:val="single" w:color="auto" w:sz="4" w:space="0"/>
            </w:tcBorders>
            <w:vAlign w:val="center"/>
          </w:tcPr>
          <w:p w14:paraId="5CC58BA3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项目绩效指标</w:t>
            </w:r>
          </w:p>
        </w:tc>
        <w:tc>
          <w:tcPr>
            <w:tcW w:w="458" w:type="pct"/>
            <w:tcBorders>
              <w:top w:val="single" w:color="auto" w:sz="4" w:space="0"/>
            </w:tcBorders>
            <w:vAlign w:val="center"/>
          </w:tcPr>
          <w:p w14:paraId="71AAF5A9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一级指标</w:t>
            </w:r>
          </w:p>
        </w:tc>
        <w:tc>
          <w:tcPr>
            <w:tcW w:w="843" w:type="pct"/>
            <w:tcBorders>
              <w:top w:val="single" w:color="auto" w:sz="4" w:space="0"/>
            </w:tcBorders>
            <w:vAlign w:val="center"/>
          </w:tcPr>
          <w:p w14:paraId="589723CE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二级指标</w:t>
            </w:r>
          </w:p>
        </w:tc>
        <w:tc>
          <w:tcPr>
            <w:tcW w:w="938" w:type="pct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 w14:paraId="6E25B69E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三级指标</w:t>
            </w:r>
          </w:p>
        </w:tc>
        <w:tc>
          <w:tcPr>
            <w:tcW w:w="688" w:type="pct"/>
            <w:tcBorders>
              <w:top w:val="single" w:color="auto" w:sz="4" w:space="0"/>
              <w:left w:val="single" w:color="auto" w:sz="4" w:space="0"/>
            </w:tcBorders>
            <w:vAlign w:val="center"/>
          </w:tcPr>
          <w:p w14:paraId="07284780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指标值及 单位</w:t>
            </w:r>
          </w:p>
        </w:tc>
        <w:tc>
          <w:tcPr>
            <w:tcW w:w="953" w:type="pct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 w14:paraId="55FD15EA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绩效标准</w:t>
            </w:r>
          </w:p>
        </w:tc>
      </w:tr>
      <w:tr w14:paraId="5A2D28F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3" w:hRule="atLeast"/>
          <w:jc w:val="center"/>
        </w:trPr>
        <w:tc>
          <w:tcPr>
            <w:tcW w:w="1118" w:type="pct"/>
            <w:vMerge w:val="continue"/>
            <w:tcBorders>
              <w:left w:val="single" w:color="auto" w:sz="4" w:space="0"/>
            </w:tcBorders>
            <w:vAlign w:val="center"/>
          </w:tcPr>
          <w:p w14:paraId="21174EA4">
            <w:pPr>
              <w:pStyle w:val="19"/>
              <w:jc w:val="both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458" w:type="pct"/>
            <w:vMerge w:val="restart"/>
            <w:tcBorders>
              <w:bottom w:val="nil"/>
            </w:tcBorders>
            <w:vAlign w:val="center"/>
          </w:tcPr>
          <w:p w14:paraId="3B467117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产出</w:t>
            </w:r>
          </w:p>
          <w:p w14:paraId="409F8C67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指标</w:t>
            </w:r>
          </w:p>
        </w:tc>
        <w:tc>
          <w:tcPr>
            <w:tcW w:w="843" w:type="pct"/>
            <w:vMerge w:val="restart"/>
            <w:tcBorders>
              <w:bottom w:val="nil"/>
            </w:tcBorders>
            <w:vAlign w:val="center"/>
          </w:tcPr>
          <w:p w14:paraId="34C2669F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数量指标</w:t>
            </w:r>
          </w:p>
        </w:tc>
        <w:tc>
          <w:tcPr>
            <w:tcW w:w="938" w:type="pct"/>
            <w:tcBorders>
              <w:right w:val="single" w:color="auto" w:sz="4" w:space="0"/>
            </w:tcBorders>
            <w:vAlign w:val="center"/>
          </w:tcPr>
          <w:p w14:paraId="2E0CED6B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改造建筑面积</w:t>
            </w:r>
          </w:p>
        </w:tc>
        <w:tc>
          <w:tcPr>
            <w:tcW w:w="688" w:type="pct"/>
            <w:tcBorders>
              <w:left w:val="single" w:color="auto" w:sz="4" w:space="0"/>
            </w:tcBorders>
            <w:vAlign w:val="center"/>
          </w:tcPr>
          <w:p w14:paraId="1B21F1C0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414300 m</w:t>
            </w:r>
          </w:p>
        </w:tc>
        <w:tc>
          <w:tcPr>
            <w:tcW w:w="953" w:type="pct"/>
            <w:tcBorders>
              <w:right w:val="single" w:color="auto" w:sz="4" w:space="0"/>
            </w:tcBorders>
            <w:vAlign w:val="center"/>
          </w:tcPr>
          <w:p w14:paraId="46DBFC10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1</w:t>
            </w:r>
          </w:p>
        </w:tc>
      </w:tr>
      <w:tr w14:paraId="6849AB0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3" w:hRule="atLeast"/>
          <w:jc w:val="center"/>
        </w:trPr>
        <w:tc>
          <w:tcPr>
            <w:tcW w:w="1118" w:type="pct"/>
            <w:vMerge w:val="continue"/>
            <w:tcBorders>
              <w:left w:val="single" w:color="auto" w:sz="4" w:space="0"/>
            </w:tcBorders>
            <w:vAlign w:val="center"/>
          </w:tcPr>
          <w:p w14:paraId="22D1494D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458" w:type="pct"/>
            <w:vMerge w:val="continue"/>
            <w:tcBorders>
              <w:top w:val="nil"/>
              <w:bottom w:val="nil"/>
            </w:tcBorders>
            <w:vAlign w:val="center"/>
          </w:tcPr>
          <w:p w14:paraId="789D4411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843" w:type="pct"/>
            <w:vMerge w:val="continue"/>
            <w:tcBorders>
              <w:top w:val="nil"/>
              <w:bottom w:val="nil"/>
            </w:tcBorders>
            <w:vAlign w:val="center"/>
          </w:tcPr>
          <w:p w14:paraId="5B060AE9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938" w:type="pct"/>
            <w:tcBorders>
              <w:right w:val="single" w:color="auto" w:sz="4" w:space="0"/>
            </w:tcBorders>
            <w:vAlign w:val="center"/>
          </w:tcPr>
          <w:p w14:paraId="1EF16041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改造小区数</w:t>
            </w:r>
          </w:p>
        </w:tc>
        <w:tc>
          <w:tcPr>
            <w:tcW w:w="688" w:type="pct"/>
            <w:tcBorders>
              <w:left w:val="single" w:color="auto" w:sz="4" w:space="0"/>
            </w:tcBorders>
            <w:vAlign w:val="center"/>
          </w:tcPr>
          <w:p w14:paraId="4476C483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23个</w:t>
            </w:r>
          </w:p>
        </w:tc>
        <w:tc>
          <w:tcPr>
            <w:tcW w:w="953" w:type="pct"/>
            <w:tcBorders>
              <w:right w:val="single" w:color="auto" w:sz="4" w:space="0"/>
            </w:tcBorders>
            <w:vAlign w:val="center"/>
          </w:tcPr>
          <w:p w14:paraId="40AF0D54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1</w:t>
            </w:r>
          </w:p>
        </w:tc>
      </w:tr>
      <w:tr w14:paraId="294365E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3" w:hRule="atLeast"/>
          <w:jc w:val="center"/>
        </w:trPr>
        <w:tc>
          <w:tcPr>
            <w:tcW w:w="1118" w:type="pct"/>
            <w:vMerge w:val="continue"/>
            <w:tcBorders>
              <w:left w:val="single" w:color="auto" w:sz="4" w:space="0"/>
            </w:tcBorders>
            <w:vAlign w:val="center"/>
          </w:tcPr>
          <w:p w14:paraId="7B77AC57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458" w:type="pct"/>
            <w:vMerge w:val="continue"/>
            <w:tcBorders>
              <w:top w:val="nil"/>
              <w:bottom w:val="nil"/>
            </w:tcBorders>
            <w:vAlign w:val="center"/>
          </w:tcPr>
          <w:p w14:paraId="5F1A6454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843" w:type="pct"/>
            <w:vMerge w:val="continue"/>
            <w:tcBorders>
              <w:top w:val="nil"/>
            </w:tcBorders>
            <w:vAlign w:val="center"/>
          </w:tcPr>
          <w:p w14:paraId="59B34662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938" w:type="pct"/>
            <w:tcBorders>
              <w:right w:val="single" w:color="auto" w:sz="4" w:space="0"/>
            </w:tcBorders>
            <w:vAlign w:val="center"/>
          </w:tcPr>
          <w:p w14:paraId="4698ABAA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改造户数</w:t>
            </w:r>
          </w:p>
        </w:tc>
        <w:tc>
          <w:tcPr>
            <w:tcW w:w="688" w:type="pct"/>
            <w:tcBorders>
              <w:left w:val="single" w:color="auto" w:sz="4" w:space="0"/>
            </w:tcBorders>
            <w:vAlign w:val="center"/>
          </w:tcPr>
          <w:p w14:paraId="19D174AA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1"/>
                <w:szCs w:val="21"/>
                <w:lang w:val="zh-CN"/>
              </w:rPr>
              <w:t>5274</w:t>
            </w: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户</w:t>
            </w:r>
          </w:p>
        </w:tc>
        <w:tc>
          <w:tcPr>
            <w:tcW w:w="953" w:type="pct"/>
            <w:tcBorders>
              <w:right w:val="single" w:color="auto" w:sz="4" w:space="0"/>
            </w:tcBorders>
            <w:vAlign w:val="center"/>
          </w:tcPr>
          <w:p w14:paraId="534B9828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1</w:t>
            </w:r>
          </w:p>
        </w:tc>
      </w:tr>
      <w:tr w14:paraId="0C4BEEF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3" w:hRule="atLeast"/>
          <w:jc w:val="center"/>
        </w:trPr>
        <w:tc>
          <w:tcPr>
            <w:tcW w:w="1118" w:type="pct"/>
            <w:vMerge w:val="continue"/>
            <w:tcBorders>
              <w:left w:val="single" w:color="auto" w:sz="4" w:space="0"/>
            </w:tcBorders>
            <w:vAlign w:val="center"/>
          </w:tcPr>
          <w:p w14:paraId="24DA4F7F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458" w:type="pct"/>
            <w:vMerge w:val="continue"/>
            <w:tcBorders>
              <w:top w:val="nil"/>
              <w:bottom w:val="nil"/>
            </w:tcBorders>
            <w:vAlign w:val="center"/>
          </w:tcPr>
          <w:p w14:paraId="7DB9139B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843" w:type="pct"/>
            <w:vAlign w:val="center"/>
          </w:tcPr>
          <w:p w14:paraId="3C68743C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质量指标</w:t>
            </w:r>
          </w:p>
        </w:tc>
        <w:tc>
          <w:tcPr>
            <w:tcW w:w="938" w:type="pct"/>
            <w:tcBorders>
              <w:right w:val="single" w:color="auto" w:sz="4" w:space="0"/>
            </w:tcBorders>
            <w:vAlign w:val="center"/>
          </w:tcPr>
          <w:p w14:paraId="5B7430E5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合格率</w:t>
            </w:r>
          </w:p>
        </w:tc>
        <w:tc>
          <w:tcPr>
            <w:tcW w:w="688" w:type="pct"/>
            <w:tcBorders>
              <w:left w:val="single" w:color="auto" w:sz="4" w:space="0"/>
            </w:tcBorders>
            <w:vAlign w:val="center"/>
          </w:tcPr>
          <w:p w14:paraId="169AEC2B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≥95%</w:t>
            </w:r>
          </w:p>
        </w:tc>
        <w:tc>
          <w:tcPr>
            <w:tcW w:w="953" w:type="pct"/>
            <w:tcBorders>
              <w:right w:val="single" w:color="auto" w:sz="4" w:space="0"/>
            </w:tcBorders>
            <w:vAlign w:val="center"/>
          </w:tcPr>
          <w:p w14:paraId="442CBA35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≥95%</w:t>
            </w:r>
          </w:p>
        </w:tc>
      </w:tr>
      <w:tr w14:paraId="455D83E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3" w:hRule="atLeast"/>
          <w:jc w:val="center"/>
        </w:trPr>
        <w:tc>
          <w:tcPr>
            <w:tcW w:w="1118" w:type="pct"/>
            <w:vMerge w:val="continue"/>
            <w:tcBorders>
              <w:left w:val="single" w:color="auto" w:sz="4" w:space="0"/>
            </w:tcBorders>
            <w:vAlign w:val="center"/>
          </w:tcPr>
          <w:p w14:paraId="421F1C8B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458" w:type="pct"/>
            <w:vMerge w:val="continue"/>
            <w:tcBorders>
              <w:top w:val="nil"/>
              <w:bottom w:val="nil"/>
            </w:tcBorders>
            <w:vAlign w:val="center"/>
          </w:tcPr>
          <w:p w14:paraId="5971F6AE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843" w:type="pct"/>
            <w:vAlign w:val="center"/>
          </w:tcPr>
          <w:p w14:paraId="0C5BC884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时效指标</w:t>
            </w:r>
          </w:p>
        </w:tc>
        <w:tc>
          <w:tcPr>
            <w:tcW w:w="938" w:type="pct"/>
            <w:tcBorders>
              <w:right w:val="single" w:color="auto" w:sz="4" w:space="0"/>
            </w:tcBorders>
            <w:vAlign w:val="center"/>
          </w:tcPr>
          <w:p w14:paraId="3621BBE2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完工时间</w:t>
            </w:r>
          </w:p>
        </w:tc>
        <w:tc>
          <w:tcPr>
            <w:tcW w:w="688" w:type="pct"/>
            <w:tcBorders>
              <w:left w:val="single" w:color="auto" w:sz="4" w:space="0"/>
            </w:tcBorders>
            <w:vAlign w:val="center"/>
          </w:tcPr>
          <w:p w14:paraId="22E48908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1年</w:t>
            </w:r>
          </w:p>
        </w:tc>
        <w:tc>
          <w:tcPr>
            <w:tcW w:w="953" w:type="pct"/>
            <w:tcBorders>
              <w:right w:val="single" w:color="auto" w:sz="4" w:space="0"/>
            </w:tcBorders>
            <w:vAlign w:val="center"/>
          </w:tcPr>
          <w:p w14:paraId="6F3C7B61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1年</w:t>
            </w:r>
          </w:p>
        </w:tc>
      </w:tr>
      <w:tr w14:paraId="061972B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3" w:hRule="atLeast"/>
          <w:jc w:val="center"/>
        </w:trPr>
        <w:tc>
          <w:tcPr>
            <w:tcW w:w="1118" w:type="pct"/>
            <w:vMerge w:val="continue"/>
            <w:tcBorders>
              <w:left w:val="single" w:color="auto" w:sz="4" w:space="0"/>
            </w:tcBorders>
            <w:vAlign w:val="center"/>
          </w:tcPr>
          <w:p w14:paraId="502351AE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458" w:type="pct"/>
            <w:vMerge w:val="continue"/>
            <w:tcBorders>
              <w:top w:val="nil"/>
              <w:bottom w:val="single" w:color="auto" w:sz="4" w:space="0"/>
            </w:tcBorders>
            <w:vAlign w:val="center"/>
          </w:tcPr>
          <w:p w14:paraId="2014D234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843" w:type="pct"/>
            <w:tcBorders>
              <w:bottom w:val="single" w:color="auto" w:sz="4" w:space="0"/>
            </w:tcBorders>
            <w:vAlign w:val="center"/>
          </w:tcPr>
          <w:p w14:paraId="1114A949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成本指标</w:t>
            </w:r>
          </w:p>
        </w:tc>
        <w:tc>
          <w:tcPr>
            <w:tcW w:w="938" w:type="pct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6E61A7A2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项目总投资</w:t>
            </w:r>
          </w:p>
        </w:tc>
        <w:tc>
          <w:tcPr>
            <w:tcW w:w="688" w:type="pct"/>
            <w:tcBorders>
              <w:left w:val="single" w:color="auto" w:sz="4" w:space="0"/>
            </w:tcBorders>
            <w:vAlign w:val="center"/>
          </w:tcPr>
          <w:p w14:paraId="14A8636D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19448.14 万元</w:t>
            </w:r>
          </w:p>
        </w:tc>
        <w:tc>
          <w:tcPr>
            <w:tcW w:w="953" w:type="pct"/>
            <w:tcBorders>
              <w:right w:val="single" w:color="auto" w:sz="4" w:space="0"/>
            </w:tcBorders>
            <w:vAlign w:val="center"/>
          </w:tcPr>
          <w:p w14:paraId="3E1C0F15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1</w:t>
            </w:r>
          </w:p>
        </w:tc>
      </w:tr>
      <w:tr w14:paraId="398886E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3" w:hRule="atLeast"/>
          <w:jc w:val="center"/>
        </w:trPr>
        <w:tc>
          <w:tcPr>
            <w:tcW w:w="1118" w:type="pct"/>
            <w:vMerge w:val="continue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1266E14A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458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643964B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效益指标</w:t>
            </w:r>
          </w:p>
        </w:tc>
        <w:tc>
          <w:tcPr>
            <w:tcW w:w="843" w:type="pc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1EEB972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经济效益指标</w:t>
            </w:r>
          </w:p>
        </w:tc>
        <w:tc>
          <w:tcPr>
            <w:tcW w:w="938" w:type="pc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4F68AA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带动行业发展</w:t>
            </w:r>
          </w:p>
        </w:tc>
        <w:tc>
          <w:tcPr>
            <w:tcW w:w="1642" w:type="pct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2BF5F72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该项目通过实施道路、管线 及其他配套设施工程以及配套服务设施建设，可以完善区域设施体系，改善居民生产生活条件，推进区域第二、三产业发展向规模、高效、集约转变，提高区域经济发展水平，促进区域经济发展。项目创造发展新动能老旧小区改造引入社会资金参与社区养老、托幼、医疗、超市、文体等公共服务设施建设改造，开拓幼儿消费、绿色消费等新消费模式，持续有效地为小区和社会创造新动能，具有良好的经济效益。</w:t>
            </w:r>
          </w:p>
        </w:tc>
      </w:tr>
      <w:tr w14:paraId="477E64D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3" w:hRule="atLeast"/>
          <w:jc w:val="center"/>
        </w:trPr>
        <w:tc>
          <w:tcPr>
            <w:tcW w:w="1118" w:type="pct"/>
            <w:vMerge w:val="continue"/>
            <w:tcBorders>
              <w:top w:val="single" w:color="auto" w:sz="4" w:space="0"/>
              <w:left w:val="single" w:color="auto" w:sz="4" w:space="0"/>
            </w:tcBorders>
            <w:vAlign w:val="center"/>
          </w:tcPr>
          <w:p w14:paraId="607823F1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458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9855552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843" w:type="pct"/>
            <w:vMerge w:val="restar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FB1DBCD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社会效益指标</w:t>
            </w:r>
          </w:p>
        </w:tc>
        <w:tc>
          <w:tcPr>
            <w:tcW w:w="938" w:type="pc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63DE306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对居民经济影响</w:t>
            </w:r>
          </w:p>
        </w:tc>
        <w:tc>
          <w:tcPr>
            <w:tcW w:w="688" w:type="pct"/>
            <w:tcBorders>
              <w:left w:val="single" w:color="auto" w:sz="4" w:space="0"/>
            </w:tcBorders>
            <w:vAlign w:val="center"/>
          </w:tcPr>
          <w:p w14:paraId="6F0F7505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增加居民收 入</w:t>
            </w:r>
          </w:p>
        </w:tc>
        <w:tc>
          <w:tcPr>
            <w:tcW w:w="953" w:type="pct"/>
            <w:tcBorders>
              <w:right w:val="single" w:color="auto" w:sz="4" w:space="0"/>
            </w:tcBorders>
            <w:vAlign w:val="center"/>
          </w:tcPr>
          <w:p w14:paraId="45C8242E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增加居民收入</w:t>
            </w:r>
          </w:p>
        </w:tc>
      </w:tr>
      <w:tr w14:paraId="4EABAE2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3" w:hRule="atLeast"/>
          <w:jc w:val="center"/>
        </w:trPr>
        <w:tc>
          <w:tcPr>
            <w:tcW w:w="1118" w:type="pct"/>
            <w:vMerge w:val="continue"/>
            <w:tcBorders>
              <w:left w:val="single" w:color="auto" w:sz="4" w:space="0"/>
            </w:tcBorders>
            <w:vAlign w:val="center"/>
          </w:tcPr>
          <w:p w14:paraId="64F75364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458" w:type="pct"/>
            <w:vMerge w:val="continue"/>
            <w:tcBorders>
              <w:top w:val="single" w:color="auto" w:sz="4" w:space="0"/>
              <w:left w:val="single" w:color="auto" w:sz="4" w:space="0"/>
              <w:bottom w:val="nil"/>
            </w:tcBorders>
            <w:vAlign w:val="center"/>
          </w:tcPr>
          <w:p w14:paraId="5D124913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843" w:type="pct"/>
            <w:vMerge w:val="continue"/>
            <w:tcBorders>
              <w:top w:val="single" w:color="auto" w:sz="4" w:space="0"/>
            </w:tcBorders>
            <w:vAlign w:val="center"/>
          </w:tcPr>
          <w:p w14:paraId="3B37FFF3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938" w:type="pct"/>
            <w:tcBorders>
              <w:top w:val="single" w:color="auto" w:sz="4" w:space="0"/>
            </w:tcBorders>
            <w:vAlign w:val="center"/>
          </w:tcPr>
          <w:p w14:paraId="07F7227E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对居民就业影响</w:t>
            </w:r>
          </w:p>
        </w:tc>
        <w:tc>
          <w:tcPr>
            <w:tcW w:w="688" w:type="pct"/>
            <w:vAlign w:val="center"/>
          </w:tcPr>
          <w:p w14:paraId="0D0AB58B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增加居民就 业机会</w:t>
            </w:r>
          </w:p>
        </w:tc>
        <w:tc>
          <w:tcPr>
            <w:tcW w:w="953" w:type="pct"/>
            <w:tcBorders>
              <w:right w:val="single" w:color="auto" w:sz="4" w:space="0"/>
            </w:tcBorders>
            <w:vAlign w:val="center"/>
          </w:tcPr>
          <w:p w14:paraId="2B0FC9BB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增加居民就业 机会</w:t>
            </w:r>
          </w:p>
        </w:tc>
      </w:tr>
      <w:tr w14:paraId="7E653C0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3" w:hRule="atLeast"/>
          <w:jc w:val="center"/>
        </w:trPr>
        <w:tc>
          <w:tcPr>
            <w:tcW w:w="1118" w:type="pct"/>
            <w:vMerge w:val="continue"/>
            <w:tcBorders>
              <w:left w:val="single" w:color="auto" w:sz="4" w:space="0"/>
            </w:tcBorders>
            <w:vAlign w:val="center"/>
          </w:tcPr>
          <w:p w14:paraId="6381E660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458" w:type="pct"/>
            <w:vMerge w:val="continue"/>
            <w:tcBorders>
              <w:top w:val="nil"/>
              <w:left w:val="single" w:color="auto" w:sz="4" w:space="0"/>
              <w:bottom w:val="nil"/>
            </w:tcBorders>
            <w:vAlign w:val="center"/>
          </w:tcPr>
          <w:p w14:paraId="5BFA8523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843" w:type="pct"/>
            <w:vAlign w:val="center"/>
          </w:tcPr>
          <w:p w14:paraId="104F458D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生态效益指标</w:t>
            </w:r>
          </w:p>
        </w:tc>
        <w:tc>
          <w:tcPr>
            <w:tcW w:w="938" w:type="pct"/>
            <w:vAlign w:val="center"/>
          </w:tcPr>
          <w:p w14:paraId="0378D0E6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改善生活环境</w:t>
            </w:r>
          </w:p>
        </w:tc>
        <w:tc>
          <w:tcPr>
            <w:tcW w:w="1642" w:type="pct"/>
            <w:gridSpan w:val="2"/>
            <w:tcBorders>
              <w:right w:val="single" w:color="auto" w:sz="4" w:space="0"/>
            </w:tcBorders>
            <w:vAlign w:val="center"/>
          </w:tcPr>
          <w:p w14:paraId="7235CE2A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改善居民群众的生产生活条件</w:t>
            </w:r>
          </w:p>
        </w:tc>
      </w:tr>
      <w:tr w14:paraId="68961E2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3" w:hRule="atLeast"/>
          <w:jc w:val="center"/>
        </w:trPr>
        <w:tc>
          <w:tcPr>
            <w:tcW w:w="1118" w:type="pct"/>
            <w:vMerge w:val="continue"/>
            <w:tcBorders>
              <w:left w:val="single" w:color="auto" w:sz="4" w:space="0"/>
            </w:tcBorders>
            <w:vAlign w:val="center"/>
          </w:tcPr>
          <w:p w14:paraId="2D463734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458" w:type="pct"/>
            <w:vMerge w:val="continue"/>
            <w:tcBorders>
              <w:top w:val="nil"/>
              <w:left w:val="single" w:color="auto" w:sz="4" w:space="0"/>
              <w:bottom w:val="nil"/>
            </w:tcBorders>
            <w:vAlign w:val="center"/>
          </w:tcPr>
          <w:p w14:paraId="7FF28A95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843" w:type="pct"/>
            <w:vAlign w:val="center"/>
          </w:tcPr>
          <w:p w14:paraId="168E89FF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可持续影响指 标</w:t>
            </w:r>
          </w:p>
        </w:tc>
        <w:tc>
          <w:tcPr>
            <w:tcW w:w="938" w:type="pct"/>
            <w:vAlign w:val="center"/>
          </w:tcPr>
          <w:p w14:paraId="78F65A4A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推动社会发展</w:t>
            </w:r>
          </w:p>
        </w:tc>
        <w:tc>
          <w:tcPr>
            <w:tcW w:w="1642" w:type="pct"/>
            <w:gridSpan w:val="2"/>
            <w:tcBorders>
              <w:right w:val="single" w:color="auto" w:sz="4" w:space="0"/>
            </w:tcBorders>
            <w:vAlign w:val="center"/>
          </w:tcPr>
          <w:p w14:paraId="709B2A3A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既可以带动社会投资，促进 居民消费，扩大社会就业， 又可以发展社会配套服务， 加强社会管理，推进平安社 会建设，是扩内需、惠民生、 保稳定的重要结合点。</w:t>
            </w:r>
          </w:p>
        </w:tc>
      </w:tr>
      <w:tr w14:paraId="403F47B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3" w:hRule="atLeast"/>
          <w:jc w:val="center"/>
        </w:trPr>
        <w:tc>
          <w:tcPr>
            <w:tcW w:w="1118" w:type="pct"/>
            <w:vMerge w:val="continue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3CE47BC8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45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</w:tcBorders>
            <w:vAlign w:val="center"/>
          </w:tcPr>
          <w:p w14:paraId="3493AE2B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843" w:type="pct"/>
            <w:tcBorders>
              <w:bottom w:val="single" w:color="auto" w:sz="4" w:space="0"/>
            </w:tcBorders>
            <w:vAlign w:val="center"/>
          </w:tcPr>
          <w:p w14:paraId="781BFE4F">
            <w:pPr>
              <w:pStyle w:val="19"/>
              <w:jc w:val="center"/>
              <w:rPr>
                <w:rFonts w:hint="default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社会公众或服 务对象满意度指标</w:t>
            </w:r>
          </w:p>
        </w:tc>
        <w:tc>
          <w:tcPr>
            <w:tcW w:w="938" w:type="pct"/>
            <w:tcBorders>
              <w:bottom w:val="single" w:color="auto" w:sz="4" w:space="0"/>
            </w:tcBorders>
            <w:vAlign w:val="center"/>
          </w:tcPr>
          <w:p w14:paraId="77BBF8FD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公众社会满意 度</w:t>
            </w:r>
          </w:p>
        </w:tc>
        <w:tc>
          <w:tcPr>
            <w:tcW w:w="688" w:type="pct"/>
            <w:tcBorders>
              <w:bottom w:val="single" w:color="auto" w:sz="4" w:space="0"/>
            </w:tcBorders>
            <w:vAlign w:val="center"/>
          </w:tcPr>
          <w:p w14:paraId="5488492F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≥90%</w:t>
            </w:r>
          </w:p>
        </w:tc>
        <w:tc>
          <w:tcPr>
            <w:tcW w:w="953" w:type="pct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4F25D4BB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≥90%</w:t>
            </w:r>
          </w:p>
        </w:tc>
      </w:tr>
    </w:tbl>
    <w:p w14:paraId="5CFC0BE3">
      <w:pPr>
        <w:pStyle w:val="15"/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 w14:paraId="59E31B81">
      <w:pPr>
        <w:pStyle w:val="4"/>
        <w:numPr>
          <w:ilvl w:val="0"/>
          <w:numId w:val="0"/>
        </w:numPr>
        <w:rPr>
          <w:rFonts w:hint="default" w:eastAsia="仿宋" w:cs="Times New Roman"/>
          <w:lang w:val="en-US" w:eastAsia="zh-CN"/>
        </w:rPr>
      </w:pPr>
      <w:r>
        <w:rPr>
          <w:rFonts w:eastAsia="仿宋" w:cs="Times New Roman"/>
          <w:lang w:eastAsia="zh-CN"/>
        </w:rPr>
        <w:t>附件</w:t>
      </w:r>
      <w:r>
        <w:rPr>
          <w:rFonts w:hint="eastAsia" w:eastAsia="仿宋" w:cs="Times New Roman"/>
          <w:lang w:val="en-US" w:eastAsia="zh-CN"/>
        </w:rPr>
        <w:t>7</w:t>
      </w:r>
    </w:p>
    <w:p w14:paraId="25163AA6">
      <w:pPr>
        <w:pStyle w:val="18"/>
        <w:keepNext w:val="0"/>
        <w:keepLines w:val="0"/>
        <w:pageBreakBefore w:val="0"/>
        <w:widowControl w:val="0"/>
        <w:numPr>
          <w:ilvl w:val="3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textAlignment w:val="auto"/>
        <w:rPr>
          <w:rFonts w:hint="default" w:ascii="Times New Roman" w:hAnsi="Times New Roman" w:eastAsia="仿宋" w:cs="Times New Roman"/>
        </w:rPr>
      </w:pPr>
      <w:r>
        <w:rPr>
          <w:rFonts w:hint="default" w:ascii="Times New Roman" w:hAnsi="Times New Roman" w:eastAsia="仿宋" w:cs="Times New Roman"/>
        </w:rPr>
        <w:t>项目</w:t>
      </w:r>
      <w:r>
        <w:rPr>
          <w:rFonts w:hint="eastAsia" w:eastAsia="仿宋" w:cs="Times New Roman"/>
          <w:lang w:val="en-US" w:eastAsia="zh-CN"/>
        </w:rPr>
        <w:t>事前</w:t>
      </w:r>
      <w:r>
        <w:rPr>
          <w:rFonts w:hint="default" w:ascii="Times New Roman" w:hAnsi="Times New Roman" w:eastAsia="仿宋" w:cs="Times New Roman"/>
        </w:rPr>
        <w:t>绩效目标表</w:t>
      </w:r>
    </w:p>
    <w:p w14:paraId="170C5ED9">
      <w:pPr>
        <w:pStyle w:val="18"/>
        <w:keepNext w:val="0"/>
        <w:keepLines w:val="0"/>
        <w:pageBreakBefore w:val="0"/>
        <w:widowControl w:val="0"/>
        <w:numPr>
          <w:ilvl w:val="3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textAlignment w:val="auto"/>
        <w:rPr>
          <w:rFonts w:hint="default" w:ascii="Times New Roman" w:hAnsi="Times New Roman" w:eastAsia="仿宋" w:cs="Times New Roman"/>
        </w:rPr>
      </w:pPr>
    </w:p>
    <w:tbl>
      <w:tblPr>
        <w:tblStyle w:val="20"/>
        <w:tblW w:w="5002" w:type="pct"/>
        <w:tblInd w:w="0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811"/>
        <w:gridCol w:w="712"/>
        <w:gridCol w:w="1354"/>
        <w:gridCol w:w="1512"/>
        <w:gridCol w:w="1386"/>
        <w:gridCol w:w="1540"/>
      </w:tblGrid>
      <w:tr w14:paraId="12D6B44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1089" w:type="pct"/>
            <w:vAlign w:val="center"/>
          </w:tcPr>
          <w:p w14:paraId="5EBBDEB7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项目名称</w:t>
            </w:r>
          </w:p>
        </w:tc>
        <w:tc>
          <w:tcPr>
            <w:tcW w:w="3910" w:type="pct"/>
            <w:gridSpan w:val="5"/>
            <w:vAlign w:val="center"/>
          </w:tcPr>
          <w:p w14:paraId="30E51D3A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岳阳楼区城市停车场建设项目</w:t>
            </w:r>
          </w:p>
        </w:tc>
      </w:tr>
      <w:tr w14:paraId="428F66E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1089" w:type="pct"/>
            <w:vAlign w:val="center"/>
          </w:tcPr>
          <w:p w14:paraId="79D1BE00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主管部门</w:t>
            </w:r>
          </w:p>
        </w:tc>
        <w:tc>
          <w:tcPr>
            <w:tcW w:w="3910" w:type="pct"/>
            <w:gridSpan w:val="5"/>
            <w:vAlign w:val="center"/>
          </w:tcPr>
          <w:p w14:paraId="7744EDC3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岳阳市岳阳楼区住房和城乡建设局</w:t>
            </w:r>
          </w:p>
        </w:tc>
      </w:tr>
      <w:tr w14:paraId="61D2D96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1089" w:type="pct"/>
            <w:vAlign w:val="center"/>
          </w:tcPr>
          <w:p w14:paraId="621B1B77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项目负责人</w:t>
            </w:r>
          </w:p>
        </w:tc>
        <w:tc>
          <w:tcPr>
            <w:tcW w:w="1242" w:type="pct"/>
            <w:gridSpan w:val="2"/>
            <w:vAlign w:val="center"/>
          </w:tcPr>
          <w:p w14:paraId="59045124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杨震</w:t>
            </w:r>
          </w:p>
        </w:tc>
        <w:tc>
          <w:tcPr>
            <w:tcW w:w="909" w:type="pct"/>
            <w:vAlign w:val="center"/>
          </w:tcPr>
          <w:p w14:paraId="3930624B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联系电话</w:t>
            </w:r>
          </w:p>
        </w:tc>
        <w:tc>
          <w:tcPr>
            <w:tcW w:w="1759" w:type="pct"/>
            <w:gridSpan w:val="2"/>
            <w:vAlign w:val="center"/>
          </w:tcPr>
          <w:p w14:paraId="215E1CD1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13975099338</w:t>
            </w:r>
          </w:p>
        </w:tc>
      </w:tr>
      <w:tr w14:paraId="10D7F13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1089" w:type="pct"/>
            <w:vMerge w:val="restart"/>
            <w:tcBorders>
              <w:bottom w:val="nil"/>
            </w:tcBorders>
            <w:vAlign w:val="center"/>
          </w:tcPr>
          <w:p w14:paraId="6C475822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项目资金</w:t>
            </w:r>
          </w:p>
          <w:p w14:paraId="6F595A96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eastAsia="仿宋" w:cs="Times New Roman"/>
                <w:sz w:val="21"/>
                <w:szCs w:val="21"/>
                <w:lang w:val="en-US" w:eastAsia="zh-CN"/>
              </w:rPr>
              <w:t>（</w:t>
            </w: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万元</w:t>
            </w:r>
            <w:r>
              <w:rPr>
                <w:rFonts w:hint="eastAsia" w:eastAsia="仿宋" w:cs="Times New Roman"/>
                <w:sz w:val="21"/>
                <w:szCs w:val="21"/>
                <w:lang w:val="en-US" w:eastAsia="zh-CN"/>
              </w:rPr>
              <w:t>）</w:t>
            </w:r>
          </w:p>
        </w:tc>
        <w:tc>
          <w:tcPr>
            <w:tcW w:w="3910" w:type="pct"/>
            <w:gridSpan w:val="5"/>
            <w:vAlign w:val="center"/>
          </w:tcPr>
          <w:p w14:paraId="2D423A67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资金总额：40101.21万元</w:t>
            </w:r>
          </w:p>
        </w:tc>
      </w:tr>
      <w:tr w14:paraId="5E8E40A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1089" w:type="pct"/>
            <w:vMerge w:val="continue"/>
            <w:tcBorders>
              <w:top w:val="nil"/>
              <w:bottom w:val="nil"/>
            </w:tcBorders>
            <w:vAlign w:val="center"/>
          </w:tcPr>
          <w:p w14:paraId="459294B7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3910" w:type="pct"/>
            <w:gridSpan w:val="5"/>
            <w:vAlign w:val="center"/>
          </w:tcPr>
          <w:p w14:paraId="3828D227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一、政府专项债券资金：20000.00万元</w:t>
            </w:r>
          </w:p>
        </w:tc>
      </w:tr>
      <w:tr w14:paraId="0F03299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1089" w:type="pct"/>
            <w:vMerge w:val="continue"/>
            <w:tcBorders>
              <w:top w:val="nil"/>
            </w:tcBorders>
            <w:vAlign w:val="center"/>
          </w:tcPr>
          <w:p w14:paraId="4DB326EE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3910" w:type="pct"/>
            <w:gridSpan w:val="5"/>
            <w:vAlign w:val="center"/>
          </w:tcPr>
          <w:p w14:paraId="0E7305E3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二、其他资金：20101.21万元</w:t>
            </w:r>
          </w:p>
        </w:tc>
      </w:tr>
      <w:tr w14:paraId="1F54CF3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1089" w:type="pct"/>
            <w:vMerge w:val="restart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1A7B9C4E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项目实施进度计划</w:t>
            </w:r>
          </w:p>
        </w:tc>
        <w:tc>
          <w:tcPr>
            <w:tcW w:w="2151" w:type="pct"/>
            <w:gridSpan w:val="3"/>
            <w:tcBorders>
              <w:bottom w:val="single" w:color="auto" w:sz="4" w:space="0"/>
            </w:tcBorders>
            <w:vAlign w:val="center"/>
          </w:tcPr>
          <w:p w14:paraId="69B1BC42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开始时间</w:t>
            </w:r>
          </w:p>
        </w:tc>
        <w:tc>
          <w:tcPr>
            <w:tcW w:w="1759" w:type="pct"/>
            <w:gridSpan w:val="2"/>
            <w:vAlign w:val="center"/>
          </w:tcPr>
          <w:p w14:paraId="207131D3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完成时间</w:t>
            </w:r>
          </w:p>
        </w:tc>
      </w:tr>
      <w:tr w14:paraId="2218D25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1089" w:type="pct"/>
            <w:vMerge w:val="continue"/>
            <w:tcBorders>
              <w:top w:val="single" w:color="auto" w:sz="4" w:space="0"/>
              <w:left w:val="single" w:color="auto" w:sz="4" w:space="0"/>
            </w:tcBorders>
            <w:vAlign w:val="center"/>
          </w:tcPr>
          <w:p w14:paraId="750CFABA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2151" w:type="pct"/>
            <w:gridSpan w:val="3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 w14:paraId="0EC8E2A9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2022年6月</w:t>
            </w:r>
          </w:p>
        </w:tc>
        <w:tc>
          <w:tcPr>
            <w:tcW w:w="1759" w:type="pct"/>
            <w:gridSpan w:val="2"/>
            <w:tcBorders>
              <w:left w:val="single" w:color="auto" w:sz="4" w:space="0"/>
            </w:tcBorders>
            <w:vAlign w:val="center"/>
          </w:tcPr>
          <w:p w14:paraId="6E5EB6F0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2024年5月</w:t>
            </w:r>
          </w:p>
        </w:tc>
      </w:tr>
      <w:tr w14:paraId="3EDE64C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1089" w:type="pct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53E9679E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项目绩效目标</w:t>
            </w:r>
          </w:p>
        </w:tc>
        <w:tc>
          <w:tcPr>
            <w:tcW w:w="3910" w:type="pct"/>
            <w:gridSpan w:val="5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42212BF9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本项目新建地面停车场8处，改造地面停车场6处，改建地下停车场一处，建设停车位共3197个。项目主要建设内容包括土建工程、给排水、电力及设备、绿化、安防、消防、给水、防洪排涝、海绵城市及其他配套服务设施等。建设规模如下：（1）新建地面停车场：新建东升社区、雷锋山社区、瑶塘坡社区、琵琶王社区、甘塘坡社区、栖凤亭社区等8处地面停车场，停车位2495个，建筑面积4178.38㎡，充电桩250个，配套道路改造1.2km；（2）改建地面停车场：对学坡社区、桥头社区、梅溪桥社区、鄢家冲社区、经编厂、观音阁社区等6处停车场进行改造，设置停车位322个，新增充电桩32个；（3）改建南湖大道市委周边地下停车场：拆除原建筑面积22896.00㎡，改建地下停车场2层共计14930㎡，设停车位380个，充电桩38个，并配套建设地面公共服务设施。</w:t>
            </w:r>
          </w:p>
        </w:tc>
      </w:tr>
      <w:tr w14:paraId="0045680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1089" w:type="pct"/>
            <w:vMerge w:val="restart"/>
            <w:tcBorders>
              <w:top w:val="single" w:color="auto" w:sz="4" w:space="0"/>
              <w:left w:val="single" w:color="auto" w:sz="4" w:space="0"/>
            </w:tcBorders>
            <w:vAlign w:val="center"/>
          </w:tcPr>
          <w:p w14:paraId="71436C8D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项目绩效指标</w:t>
            </w:r>
          </w:p>
        </w:tc>
        <w:tc>
          <w:tcPr>
            <w:tcW w:w="428" w:type="pct"/>
            <w:tcBorders>
              <w:top w:val="single" w:color="auto" w:sz="4" w:space="0"/>
            </w:tcBorders>
            <w:vAlign w:val="center"/>
          </w:tcPr>
          <w:p w14:paraId="5C762DA6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一级指标</w:t>
            </w:r>
          </w:p>
        </w:tc>
        <w:tc>
          <w:tcPr>
            <w:tcW w:w="814" w:type="pct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 w14:paraId="7B0280C1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二级指标</w:t>
            </w:r>
          </w:p>
        </w:tc>
        <w:tc>
          <w:tcPr>
            <w:tcW w:w="909" w:type="pct"/>
            <w:tcBorders>
              <w:top w:val="single" w:color="auto" w:sz="4" w:space="0"/>
              <w:left w:val="single" w:color="auto" w:sz="4" w:space="0"/>
            </w:tcBorders>
            <w:vAlign w:val="center"/>
          </w:tcPr>
          <w:p w14:paraId="0B39B89A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三级指标</w:t>
            </w:r>
          </w:p>
        </w:tc>
        <w:tc>
          <w:tcPr>
            <w:tcW w:w="833" w:type="pct"/>
            <w:tcBorders>
              <w:top w:val="single" w:color="auto" w:sz="4" w:space="0"/>
            </w:tcBorders>
            <w:vAlign w:val="center"/>
          </w:tcPr>
          <w:p w14:paraId="31E774A0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指标值及 单位</w:t>
            </w:r>
          </w:p>
        </w:tc>
        <w:tc>
          <w:tcPr>
            <w:tcW w:w="925" w:type="pct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 w14:paraId="4700794D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绩效标准</w:t>
            </w:r>
          </w:p>
        </w:tc>
      </w:tr>
      <w:tr w14:paraId="636B477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1089" w:type="pct"/>
            <w:vMerge w:val="continue"/>
            <w:tcBorders>
              <w:left w:val="single" w:color="auto" w:sz="4" w:space="0"/>
            </w:tcBorders>
            <w:vAlign w:val="center"/>
          </w:tcPr>
          <w:p w14:paraId="50767990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428" w:type="pct"/>
            <w:vMerge w:val="restart"/>
            <w:tcBorders>
              <w:bottom w:val="nil"/>
            </w:tcBorders>
            <w:vAlign w:val="center"/>
          </w:tcPr>
          <w:p w14:paraId="339FDEE6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产出指标</w:t>
            </w:r>
          </w:p>
        </w:tc>
        <w:tc>
          <w:tcPr>
            <w:tcW w:w="814" w:type="pct"/>
            <w:vMerge w:val="restart"/>
            <w:tcBorders>
              <w:bottom w:val="nil"/>
              <w:right w:val="single" w:color="auto" w:sz="4" w:space="0"/>
            </w:tcBorders>
            <w:vAlign w:val="center"/>
          </w:tcPr>
          <w:p w14:paraId="11260723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数量指标</w:t>
            </w:r>
          </w:p>
        </w:tc>
        <w:tc>
          <w:tcPr>
            <w:tcW w:w="909" w:type="pct"/>
            <w:tcBorders>
              <w:left w:val="single" w:color="auto" w:sz="4" w:space="0"/>
            </w:tcBorders>
            <w:vAlign w:val="center"/>
          </w:tcPr>
          <w:p w14:paraId="3F9EFA31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总建筑面积</w:t>
            </w:r>
          </w:p>
        </w:tc>
        <w:tc>
          <w:tcPr>
            <w:tcW w:w="833" w:type="pct"/>
            <w:vAlign w:val="center"/>
          </w:tcPr>
          <w:p w14:paraId="55039ECB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4178.38㎡</w:t>
            </w:r>
          </w:p>
        </w:tc>
        <w:tc>
          <w:tcPr>
            <w:tcW w:w="925" w:type="pct"/>
            <w:tcBorders>
              <w:right w:val="single" w:color="auto" w:sz="4" w:space="0"/>
            </w:tcBorders>
            <w:vAlign w:val="center"/>
          </w:tcPr>
          <w:p w14:paraId="1E193AC4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1</w:t>
            </w:r>
          </w:p>
        </w:tc>
      </w:tr>
      <w:tr w14:paraId="52FC904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1089" w:type="pct"/>
            <w:vMerge w:val="continue"/>
            <w:tcBorders>
              <w:left w:val="single" w:color="auto" w:sz="4" w:space="0"/>
            </w:tcBorders>
            <w:vAlign w:val="center"/>
          </w:tcPr>
          <w:p w14:paraId="6DB3AC1B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428" w:type="pct"/>
            <w:vMerge w:val="continue"/>
            <w:vAlign w:val="center"/>
          </w:tcPr>
          <w:p w14:paraId="60E96984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814" w:type="pct"/>
            <w:vMerge w:val="continue"/>
            <w:tcBorders>
              <w:right w:val="single" w:color="auto" w:sz="4" w:space="0"/>
            </w:tcBorders>
            <w:vAlign w:val="center"/>
          </w:tcPr>
          <w:p w14:paraId="4A0866D4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909" w:type="pct"/>
            <w:tcBorders>
              <w:left w:val="single" w:color="auto" w:sz="4" w:space="0"/>
            </w:tcBorders>
            <w:vAlign w:val="center"/>
          </w:tcPr>
          <w:p w14:paraId="0EA5042A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脐橙充电桩</w:t>
            </w:r>
          </w:p>
        </w:tc>
        <w:tc>
          <w:tcPr>
            <w:tcW w:w="833" w:type="pct"/>
            <w:vAlign w:val="center"/>
          </w:tcPr>
          <w:p w14:paraId="3DB20612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282个</w:t>
            </w:r>
          </w:p>
        </w:tc>
        <w:tc>
          <w:tcPr>
            <w:tcW w:w="925" w:type="pct"/>
            <w:tcBorders>
              <w:right w:val="single" w:color="auto" w:sz="4" w:space="0"/>
            </w:tcBorders>
            <w:vAlign w:val="center"/>
          </w:tcPr>
          <w:p w14:paraId="5BF68A09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1</w:t>
            </w:r>
          </w:p>
        </w:tc>
      </w:tr>
      <w:tr w14:paraId="65428E2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1089" w:type="pct"/>
            <w:vMerge w:val="continue"/>
            <w:tcBorders>
              <w:left w:val="single" w:color="auto" w:sz="4" w:space="0"/>
            </w:tcBorders>
            <w:vAlign w:val="center"/>
          </w:tcPr>
          <w:p w14:paraId="70984081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428" w:type="pct"/>
            <w:vMerge w:val="continue"/>
            <w:tcBorders>
              <w:top w:val="nil"/>
              <w:bottom w:val="nil"/>
            </w:tcBorders>
            <w:vAlign w:val="center"/>
          </w:tcPr>
          <w:p w14:paraId="5F5A5561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814" w:type="pct"/>
            <w:vMerge w:val="continue"/>
            <w:tcBorders>
              <w:top w:val="nil"/>
              <w:right w:val="single" w:color="auto" w:sz="4" w:space="0"/>
            </w:tcBorders>
            <w:vAlign w:val="center"/>
          </w:tcPr>
          <w:p w14:paraId="25531D11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909" w:type="pct"/>
            <w:tcBorders>
              <w:left w:val="single" w:color="auto" w:sz="4" w:space="0"/>
            </w:tcBorders>
            <w:vAlign w:val="center"/>
          </w:tcPr>
          <w:p w14:paraId="792B8FE7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总停车数量</w:t>
            </w:r>
          </w:p>
        </w:tc>
        <w:tc>
          <w:tcPr>
            <w:tcW w:w="833" w:type="pct"/>
            <w:vAlign w:val="center"/>
          </w:tcPr>
          <w:p w14:paraId="5655581B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2817个</w:t>
            </w:r>
          </w:p>
        </w:tc>
        <w:tc>
          <w:tcPr>
            <w:tcW w:w="925" w:type="pct"/>
            <w:tcBorders>
              <w:right w:val="single" w:color="auto" w:sz="4" w:space="0"/>
            </w:tcBorders>
            <w:vAlign w:val="center"/>
          </w:tcPr>
          <w:p w14:paraId="16914343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1</w:t>
            </w:r>
          </w:p>
        </w:tc>
      </w:tr>
      <w:tr w14:paraId="3512B89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1089" w:type="pct"/>
            <w:vMerge w:val="continue"/>
            <w:tcBorders>
              <w:left w:val="single" w:color="auto" w:sz="4" w:space="0"/>
            </w:tcBorders>
            <w:vAlign w:val="center"/>
          </w:tcPr>
          <w:p w14:paraId="4A9F0A76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428" w:type="pct"/>
            <w:vMerge w:val="continue"/>
            <w:tcBorders>
              <w:top w:val="nil"/>
              <w:bottom w:val="nil"/>
            </w:tcBorders>
            <w:vAlign w:val="center"/>
          </w:tcPr>
          <w:p w14:paraId="6DCB1962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814" w:type="pct"/>
            <w:tcBorders>
              <w:right w:val="single" w:color="auto" w:sz="4" w:space="0"/>
            </w:tcBorders>
            <w:vAlign w:val="center"/>
          </w:tcPr>
          <w:p w14:paraId="5847D963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质量指标</w:t>
            </w:r>
          </w:p>
        </w:tc>
        <w:tc>
          <w:tcPr>
            <w:tcW w:w="909" w:type="pct"/>
            <w:tcBorders>
              <w:left w:val="single" w:color="auto" w:sz="4" w:space="0"/>
            </w:tcBorders>
            <w:vAlign w:val="center"/>
          </w:tcPr>
          <w:p w14:paraId="53C670CA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合格率</w:t>
            </w:r>
          </w:p>
        </w:tc>
        <w:tc>
          <w:tcPr>
            <w:tcW w:w="833" w:type="pct"/>
            <w:vAlign w:val="center"/>
          </w:tcPr>
          <w:p w14:paraId="45793507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≥95%</w:t>
            </w:r>
          </w:p>
        </w:tc>
        <w:tc>
          <w:tcPr>
            <w:tcW w:w="925" w:type="pct"/>
            <w:tcBorders>
              <w:right w:val="single" w:color="auto" w:sz="4" w:space="0"/>
            </w:tcBorders>
            <w:vAlign w:val="center"/>
          </w:tcPr>
          <w:p w14:paraId="0B1233F6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≥95%</w:t>
            </w:r>
          </w:p>
        </w:tc>
      </w:tr>
      <w:tr w14:paraId="07DFC72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1089" w:type="pct"/>
            <w:vMerge w:val="continue"/>
            <w:tcBorders>
              <w:left w:val="single" w:color="auto" w:sz="4" w:space="0"/>
            </w:tcBorders>
            <w:vAlign w:val="center"/>
          </w:tcPr>
          <w:p w14:paraId="0B81FF9B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428" w:type="pct"/>
            <w:vMerge w:val="continue"/>
            <w:tcBorders>
              <w:top w:val="nil"/>
              <w:bottom w:val="nil"/>
            </w:tcBorders>
            <w:vAlign w:val="center"/>
          </w:tcPr>
          <w:p w14:paraId="2E8BC7B8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814" w:type="pct"/>
            <w:tcBorders>
              <w:right w:val="single" w:color="auto" w:sz="4" w:space="0"/>
            </w:tcBorders>
            <w:vAlign w:val="center"/>
          </w:tcPr>
          <w:p w14:paraId="04F1FB4D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时效指标</w:t>
            </w:r>
          </w:p>
        </w:tc>
        <w:tc>
          <w:tcPr>
            <w:tcW w:w="909" w:type="pct"/>
            <w:tcBorders>
              <w:left w:val="single" w:color="auto" w:sz="4" w:space="0"/>
            </w:tcBorders>
            <w:vAlign w:val="center"/>
          </w:tcPr>
          <w:p w14:paraId="4F24950B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完工时间</w:t>
            </w:r>
          </w:p>
        </w:tc>
        <w:tc>
          <w:tcPr>
            <w:tcW w:w="833" w:type="pct"/>
            <w:vAlign w:val="center"/>
          </w:tcPr>
          <w:p w14:paraId="3BD76E90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2年</w:t>
            </w:r>
          </w:p>
        </w:tc>
        <w:tc>
          <w:tcPr>
            <w:tcW w:w="925" w:type="pct"/>
            <w:tcBorders>
              <w:right w:val="single" w:color="auto" w:sz="4" w:space="0"/>
            </w:tcBorders>
            <w:vAlign w:val="center"/>
          </w:tcPr>
          <w:p w14:paraId="35D0DD13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2 年</w:t>
            </w:r>
          </w:p>
        </w:tc>
      </w:tr>
      <w:tr w14:paraId="2D7F284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1089" w:type="pct"/>
            <w:vMerge w:val="continue"/>
            <w:tcBorders>
              <w:left w:val="single" w:color="auto" w:sz="4" w:space="0"/>
            </w:tcBorders>
            <w:vAlign w:val="center"/>
          </w:tcPr>
          <w:p w14:paraId="7DEAAB31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428" w:type="pct"/>
            <w:vMerge w:val="continue"/>
            <w:tcBorders>
              <w:top w:val="nil"/>
              <w:bottom w:val="single" w:color="auto" w:sz="4" w:space="0"/>
            </w:tcBorders>
            <w:vAlign w:val="center"/>
          </w:tcPr>
          <w:p w14:paraId="634E7A92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814" w:type="pct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347FB35B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成本指标</w:t>
            </w:r>
          </w:p>
        </w:tc>
        <w:tc>
          <w:tcPr>
            <w:tcW w:w="909" w:type="pct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78290A08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项目总投资</w:t>
            </w:r>
          </w:p>
        </w:tc>
        <w:tc>
          <w:tcPr>
            <w:tcW w:w="833" w:type="pct"/>
            <w:vAlign w:val="center"/>
          </w:tcPr>
          <w:p w14:paraId="18C3D358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40,101.21  万元</w:t>
            </w:r>
          </w:p>
        </w:tc>
        <w:tc>
          <w:tcPr>
            <w:tcW w:w="925" w:type="pct"/>
            <w:tcBorders>
              <w:right w:val="single" w:color="auto" w:sz="4" w:space="0"/>
            </w:tcBorders>
            <w:vAlign w:val="center"/>
          </w:tcPr>
          <w:p w14:paraId="79AE9B68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1</w:t>
            </w:r>
          </w:p>
        </w:tc>
      </w:tr>
      <w:tr w14:paraId="7D613FE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1089" w:type="pct"/>
            <w:vMerge w:val="continue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5395DD5C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428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F832CAF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效益指标</w:t>
            </w:r>
          </w:p>
        </w:tc>
        <w:tc>
          <w:tcPr>
            <w:tcW w:w="814" w:type="pc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50C462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经济效益指标</w:t>
            </w:r>
          </w:p>
        </w:tc>
        <w:tc>
          <w:tcPr>
            <w:tcW w:w="909" w:type="pc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2B11FAFA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改善投资环境</w:t>
            </w:r>
          </w:p>
        </w:tc>
        <w:tc>
          <w:tcPr>
            <w:tcW w:w="1759" w:type="pct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4E8BAE25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（1）改善岳阳楼区基础设施不健全的弊端。（2）可提供一定量工程劳动人员岗位，一定程度上减轻城市就业压力。（3）缓解因交通拥堵而造成的社会矛盾，有益于社会的安定团结。（4）改善区域环境质量，提高当地居民的生活质量。（5）减少城市交通出行的污染，促进社会经济发展，保护人民身体健康。</w:t>
            </w:r>
          </w:p>
        </w:tc>
      </w:tr>
      <w:tr w14:paraId="25F5502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1089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EDEDB76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428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6B591CB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814" w:type="pct"/>
            <w:vMerge w:val="restart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6726042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社会效益指标</w:t>
            </w:r>
          </w:p>
        </w:tc>
        <w:tc>
          <w:tcPr>
            <w:tcW w:w="909" w:type="pct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6970B016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对居民经济影响</w:t>
            </w:r>
          </w:p>
        </w:tc>
        <w:tc>
          <w:tcPr>
            <w:tcW w:w="1759" w:type="pct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2E76306A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增加居民收入</w:t>
            </w:r>
          </w:p>
        </w:tc>
      </w:tr>
      <w:tr w14:paraId="4594345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1089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78CDD6F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428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92C119E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814" w:type="pct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BD2C2D8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909" w:type="pct"/>
            <w:tcBorders>
              <w:top w:val="single" w:color="auto" w:sz="4" w:space="0"/>
            </w:tcBorders>
            <w:vAlign w:val="center"/>
          </w:tcPr>
          <w:p w14:paraId="4933F5B9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对居民就业影响</w:t>
            </w:r>
          </w:p>
        </w:tc>
        <w:tc>
          <w:tcPr>
            <w:tcW w:w="1759" w:type="pct"/>
            <w:gridSpan w:val="2"/>
            <w:tcBorders>
              <w:right w:val="single" w:color="auto" w:sz="4" w:space="0"/>
            </w:tcBorders>
            <w:vAlign w:val="center"/>
          </w:tcPr>
          <w:p w14:paraId="6F4E9E10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增加居民就业机会</w:t>
            </w:r>
          </w:p>
        </w:tc>
      </w:tr>
      <w:tr w14:paraId="60D373A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1089" w:type="pct"/>
            <w:vMerge w:val="continue"/>
            <w:tcBorders>
              <w:top w:val="single" w:color="auto" w:sz="4" w:space="0"/>
              <w:left w:val="single" w:color="auto" w:sz="4" w:space="0"/>
            </w:tcBorders>
            <w:vAlign w:val="center"/>
          </w:tcPr>
          <w:p w14:paraId="654F6F06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428" w:type="pct"/>
            <w:vMerge w:val="continue"/>
            <w:tcBorders>
              <w:top w:val="single" w:color="auto" w:sz="4" w:space="0"/>
              <w:left w:val="single" w:color="auto" w:sz="4" w:space="0"/>
              <w:bottom w:val="nil"/>
            </w:tcBorders>
            <w:vAlign w:val="center"/>
          </w:tcPr>
          <w:p w14:paraId="542B3A4B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814" w:type="pct"/>
            <w:tcBorders>
              <w:top w:val="single" w:color="auto" w:sz="4" w:space="0"/>
            </w:tcBorders>
            <w:vAlign w:val="center"/>
          </w:tcPr>
          <w:p w14:paraId="67F8DFB8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生态效益指标</w:t>
            </w:r>
          </w:p>
        </w:tc>
        <w:tc>
          <w:tcPr>
            <w:tcW w:w="909" w:type="pct"/>
            <w:vAlign w:val="center"/>
          </w:tcPr>
          <w:p w14:paraId="41256DAA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改善生活环境</w:t>
            </w:r>
          </w:p>
        </w:tc>
        <w:tc>
          <w:tcPr>
            <w:tcW w:w="1759" w:type="pct"/>
            <w:gridSpan w:val="2"/>
            <w:tcBorders>
              <w:right w:val="single" w:color="auto" w:sz="4" w:space="0"/>
            </w:tcBorders>
            <w:vAlign w:val="center"/>
          </w:tcPr>
          <w:p w14:paraId="7A28D14C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缓解交通压力，减少尾气排放</w:t>
            </w:r>
          </w:p>
        </w:tc>
      </w:tr>
      <w:tr w14:paraId="27C0469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1089" w:type="pct"/>
            <w:vMerge w:val="continue"/>
            <w:tcBorders>
              <w:left w:val="single" w:color="auto" w:sz="4" w:space="0"/>
            </w:tcBorders>
            <w:vAlign w:val="center"/>
          </w:tcPr>
          <w:p w14:paraId="28DEFDD3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428" w:type="pct"/>
            <w:vMerge w:val="continue"/>
            <w:tcBorders>
              <w:top w:val="nil"/>
              <w:left w:val="single" w:color="auto" w:sz="4" w:space="0"/>
              <w:bottom w:val="nil"/>
            </w:tcBorders>
            <w:vAlign w:val="center"/>
          </w:tcPr>
          <w:p w14:paraId="3149CDB9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814" w:type="pct"/>
            <w:vAlign w:val="center"/>
          </w:tcPr>
          <w:p w14:paraId="744CF32F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可持续影响指 标</w:t>
            </w:r>
          </w:p>
        </w:tc>
        <w:tc>
          <w:tcPr>
            <w:tcW w:w="909" w:type="pct"/>
            <w:vAlign w:val="center"/>
          </w:tcPr>
          <w:p w14:paraId="0DD06D9F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推动社会发展</w:t>
            </w:r>
          </w:p>
        </w:tc>
        <w:tc>
          <w:tcPr>
            <w:tcW w:w="1759" w:type="pct"/>
            <w:gridSpan w:val="2"/>
            <w:tcBorders>
              <w:right w:val="single" w:color="auto" w:sz="4" w:space="0"/>
            </w:tcBorders>
            <w:vAlign w:val="center"/>
          </w:tcPr>
          <w:p w14:paraId="1CC498C0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建设文明城市，完善岳阳市主城区的基础设施建设。</w:t>
            </w:r>
          </w:p>
        </w:tc>
      </w:tr>
      <w:tr w14:paraId="36F1CFB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1089" w:type="pct"/>
            <w:vMerge w:val="continue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67ECD383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42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</w:tcBorders>
            <w:vAlign w:val="center"/>
          </w:tcPr>
          <w:p w14:paraId="5D84F30E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814" w:type="pct"/>
            <w:tcBorders>
              <w:bottom w:val="single" w:color="auto" w:sz="4" w:space="0"/>
            </w:tcBorders>
            <w:vAlign w:val="center"/>
          </w:tcPr>
          <w:p w14:paraId="7D52BB0E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社会公众或服 务对象满意度指标</w:t>
            </w:r>
          </w:p>
        </w:tc>
        <w:tc>
          <w:tcPr>
            <w:tcW w:w="909" w:type="pct"/>
            <w:tcBorders>
              <w:bottom w:val="single" w:color="auto" w:sz="4" w:space="0"/>
            </w:tcBorders>
            <w:vAlign w:val="center"/>
          </w:tcPr>
          <w:p w14:paraId="6D135C42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公众社会满意度</w:t>
            </w:r>
          </w:p>
        </w:tc>
        <w:tc>
          <w:tcPr>
            <w:tcW w:w="833" w:type="pct"/>
            <w:tcBorders>
              <w:bottom w:val="single" w:color="auto" w:sz="4" w:space="0"/>
            </w:tcBorders>
            <w:vAlign w:val="center"/>
          </w:tcPr>
          <w:p w14:paraId="110E4514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≥90%</w:t>
            </w:r>
          </w:p>
        </w:tc>
        <w:tc>
          <w:tcPr>
            <w:tcW w:w="925" w:type="pct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1264A37C">
            <w:pPr>
              <w:pStyle w:val="19"/>
              <w:jc w:val="center"/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1"/>
                <w:szCs w:val="21"/>
                <w:lang w:val="en-US" w:eastAsia="zh-CN"/>
              </w:rPr>
              <w:t>≥90%</w:t>
            </w:r>
          </w:p>
        </w:tc>
      </w:tr>
    </w:tbl>
    <w:p w14:paraId="0029C7C9">
      <w:pPr>
        <w:ind w:left="0" w:leftChars="0" w:firstLine="0" w:firstLineChars="0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EA8969E"/>
    <w:multiLevelType w:val="multilevel"/>
    <w:tmpl w:val="1EA8969E"/>
    <w:lvl w:ilvl="0" w:tentative="0">
      <w:start w:val="1"/>
      <w:numFmt w:val="chineseCounting"/>
      <w:pStyle w:val="4"/>
      <w:suff w:val="nothing"/>
      <w:lvlText w:val="第%1章 "/>
      <w:lvlJc w:val="left"/>
      <w:pPr>
        <w:tabs>
          <w:tab w:val="left" w:pos="0"/>
        </w:tabs>
        <w:ind w:left="432" w:hanging="432"/>
      </w:pPr>
      <w:rPr>
        <w:rFonts w:hint="eastAsia" w:ascii="Arial" w:hAnsi="Arial" w:eastAsia="仿宋" w:cs="Arial"/>
        <w:b/>
        <w:bCs/>
        <w:sz w:val="36"/>
        <w:szCs w:val="36"/>
      </w:rPr>
    </w:lvl>
    <w:lvl w:ilvl="1" w:tentative="0">
      <w:start w:val="1"/>
      <w:numFmt w:val="decimal"/>
      <w:pStyle w:val="5"/>
      <w:isLgl/>
      <w:suff w:val="nothing"/>
      <w:lvlText w:val="%1.%2"/>
      <w:lvlJc w:val="left"/>
      <w:pPr>
        <w:tabs>
          <w:tab w:val="left" w:pos="420"/>
        </w:tabs>
        <w:ind w:left="575" w:hanging="575"/>
      </w:pPr>
      <w:rPr>
        <w:rFonts w:hint="eastAsia" w:ascii="Arial" w:hAnsi="Arial" w:eastAsia="仿宋" w:cs="Arial"/>
        <w:b/>
        <w:bCs/>
        <w:sz w:val="32"/>
        <w:szCs w:val="32"/>
      </w:rPr>
    </w:lvl>
    <w:lvl w:ilvl="2" w:tentative="0">
      <w:start w:val="1"/>
      <w:numFmt w:val="decimal"/>
      <w:pStyle w:val="6"/>
      <w:isLgl/>
      <w:suff w:val="nothing"/>
      <w:lvlText w:val="%1.%2.%3"/>
      <w:lvlJc w:val="left"/>
      <w:pPr>
        <w:tabs>
          <w:tab w:val="left" w:pos="420"/>
        </w:tabs>
        <w:ind w:left="720" w:hanging="720"/>
      </w:pPr>
      <w:rPr>
        <w:rFonts w:hint="eastAsia" w:ascii="Arial" w:hAnsi="Arial" w:eastAsia="仿宋" w:cs="Arial"/>
        <w:b/>
        <w:bCs/>
        <w:sz w:val="30"/>
        <w:szCs w:val="30"/>
      </w:rPr>
    </w:lvl>
    <w:lvl w:ilvl="3" w:tentative="0">
      <w:start w:val="1"/>
      <w:numFmt w:val="decimal"/>
      <w:pStyle w:val="7"/>
      <w:isLgl/>
      <w:suff w:val="nothing"/>
      <w:lvlText w:val="%1.%2.%3.%4"/>
      <w:lvlJc w:val="left"/>
      <w:pPr>
        <w:tabs>
          <w:tab w:val="left" w:pos="420"/>
        </w:tabs>
        <w:ind w:left="864" w:hanging="864"/>
      </w:pPr>
      <w:rPr>
        <w:rFonts w:hint="eastAsia" w:ascii="Arial" w:hAnsi="Arial" w:eastAsia="仿宋" w:cs="Arial"/>
        <w:b/>
        <w:bCs/>
        <w:sz w:val="30"/>
        <w:szCs w:val="30"/>
      </w:rPr>
    </w:lvl>
    <w:lvl w:ilvl="4" w:tentative="0">
      <w:start w:val="1"/>
      <w:numFmt w:val="decimal"/>
      <w:pStyle w:val="8"/>
      <w:isLgl/>
      <w:lvlText w:val="%1.%2.%3.%4.%5."/>
      <w:lvlJc w:val="left"/>
      <w:pPr>
        <w:ind w:left="1008" w:hanging="1008"/>
      </w:pPr>
      <w:rPr>
        <w:rFonts w:hint="eastAsia"/>
      </w:rPr>
    </w:lvl>
    <w:lvl w:ilvl="5" w:tentative="0">
      <w:start w:val="1"/>
      <w:numFmt w:val="decimal"/>
      <w:pStyle w:val="9"/>
      <w:isLgl/>
      <w:lvlText w:val="%1.%2.%3.%4.%5.%6."/>
      <w:lvlJc w:val="left"/>
      <w:pPr>
        <w:ind w:left="1151" w:hanging="1151"/>
      </w:pPr>
      <w:rPr>
        <w:rFonts w:hint="eastAsia"/>
      </w:rPr>
    </w:lvl>
    <w:lvl w:ilvl="6" w:tentative="0">
      <w:start w:val="1"/>
      <w:numFmt w:val="decimal"/>
      <w:pStyle w:val="10"/>
      <w:isLgl/>
      <w:lvlText w:val="%1.%2.%3.%4.%5.%6.%7."/>
      <w:lvlJc w:val="left"/>
      <w:pPr>
        <w:ind w:left="1296" w:hanging="1296"/>
      </w:pPr>
      <w:rPr>
        <w:rFonts w:hint="eastAsia"/>
      </w:rPr>
    </w:lvl>
    <w:lvl w:ilvl="7" w:tentative="0">
      <w:start w:val="1"/>
      <w:numFmt w:val="decimal"/>
      <w:pStyle w:val="11"/>
      <w:isLgl/>
      <w:lvlText w:val="%1.%2.%3.%4.%5.%6.%7.%8."/>
      <w:lvlJc w:val="left"/>
      <w:pPr>
        <w:ind w:left="1440" w:hanging="1440"/>
      </w:pPr>
      <w:rPr>
        <w:rFonts w:hint="eastAsia"/>
      </w:rPr>
    </w:lvl>
    <w:lvl w:ilvl="8" w:tentative="0">
      <w:start w:val="1"/>
      <w:numFmt w:val="decimal"/>
      <w:pStyle w:val="12"/>
      <w:isLgl/>
      <w:lvlText w:val="%1.%2.%3.%4.%5.%6.%7.%8.%9."/>
      <w:lvlJc w:val="left"/>
      <w:pPr>
        <w:ind w:left="1583" w:hanging="1583"/>
      </w:pPr>
      <w:rPr>
        <w:rFonts w:hint="eastAsia"/>
      </w:rPr>
    </w:lvl>
  </w:abstractNum>
  <w:abstractNum w:abstractNumId="1">
    <w:nsid w:val="52083D0E"/>
    <w:multiLevelType w:val="multilevel"/>
    <w:tmpl w:val="52083D0E"/>
    <w:lvl w:ilvl="0" w:tentative="0">
      <w:start w:val="1"/>
      <w:numFmt w:val="chineseCountingThousand"/>
      <w:suff w:val="nothing"/>
      <w:lvlText w:val="%1、"/>
      <w:lvlJc w:val="left"/>
      <w:pPr>
        <w:ind w:left="0" w:firstLine="0"/>
      </w:pPr>
      <w:rPr>
        <w:rFonts w:hint="eastAsia"/>
      </w:rPr>
    </w:lvl>
    <w:lvl w:ilvl="1" w:tentative="0">
      <w:start w:val="1"/>
      <w:numFmt w:val="chineseCountingThousand"/>
      <w:suff w:val="nothing"/>
      <w:lvlText w:val="（%2）"/>
      <w:lvlJc w:val="left"/>
      <w:pPr>
        <w:ind w:left="0" w:firstLine="0"/>
      </w:pPr>
      <w:rPr>
        <w:rFonts w:hint="eastAsia"/>
      </w:rPr>
    </w:lvl>
    <w:lvl w:ilvl="2" w:tentative="0">
      <w:start w:val="1"/>
      <w:numFmt w:val="decimal"/>
      <w:suff w:val="nothing"/>
      <w:lvlText w:val="%3."/>
      <w:lvlJc w:val="left"/>
      <w:pPr>
        <w:ind w:left="0" w:firstLine="0"/>
      </w:pPr>
      <w:rPr>
        <w:rFonts w:hint="eastAsia"/>
      </w:rPr>
    </w:lvl>
    <w:lvl w:ilvl="3" w:tentative="0">
      <w:start w:val="1"/>
      <w:numFmt w:val="decimal"/>
      <w:lvlRestart w:val="1"/>
      <w:pStyle w:val="18"/>
      <w:isLgl/>
      <w:suff w:val="space"/>
      <w:lvlText w:val="表%1-%4"/>
      <w:lvlJc w:val="center"/>
      <w:pPr>
        <w:ind w:left="0" w:firstLine="0"/>
      </w:pPr>
      <w:rPr>
        <w:rFonts w:hint="eastAsia"/>
      </w:rPr>
    </w:lvl>
    <w:lvl w:ilvl="4" w:tentative="0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gzMzg4Y2Y4YzUyYTVhYzk3MTliMzdlOTQ0NzA5MDMifQ=="/>
  </w:docVars>
  <w:rsids>
    <w:rsidRoot w:val="7CA142AF"/>
    <w:rsid w:val="27307781"/>
    <w:rsid w:val="2E210A0D"/>
    <w:rsid w:val="47C50799"/>
    <w:rsid w:val="73B768C4"/>
    <w:rsid w:val="78D64319"/>
    <w:rsid w:val="7CA14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adjustRightInd w:val="0"/>
      <w:snapToGrid w:val="0"/>
      <w:spacing w:line="600" w:lineRule="exact"/>
      <w:ind w:firstLine="200" w:firstLineChars="200"/>
      <w:jc w:val="both"/>
    </w:pPr>
    <w:rPr>
      <w:rFonts w:ascii="Times New Roman" w:hAnsi="Times New Roman" w:eastAsia="仿宋_GB2312" w:cstheme="minorBidi"/>
      <w:kern w:val="2"/>
      <w:sz w:val="32"/>
      <w:szCs w:val="22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keepNext/>
      <w:keepLines/>
      <w:numPr>
        <w:ilvl w:val="0"/>
        <w:numId w:val="1"/>
      </w:numPr>
      <w:spacing w:before="340" w:beforeLines="0" w:beforeAutospacing="0" w:after="330" w:afterLines="0" w:afterAutospacing="0" w:line="576" w:lineRule="auto"/>
      <w:ind w:left="432" w:hanging="432"/>
      <w:outlineLvl w:val="0"/>
    </w:pPr>
    <w:rPr>
      <w:b/>
      <w:kern w:val="44"/>
      <w:sz w:val="44"/>
    </w:rPr>
  </w:style>
  <w:style w:type="paragraph" w:styleId="5">
    <w:name w:val="heading 2"/>
    <w:basedOn w:val="1"/>
    <w:next w:val="1"/>
    <w:semiHidden/>
    <w:unhideWhenUsed/>
    <w:qFormat/>
    <w:uiPriority w:val="0"/>
    <w:pPr>
      <w:keepNext w:val="0"/>
      <w:keepLines w:val="0"/>
      <w:widowControl w:val="0"/>
      <w:numPr>
        <w:ilvl w:val="1"/>
        <w:numId w:val="1"/>
      </w:numPr>
      <w:spacing w:before="50" w:beforeLines="50" w:line="560" w:lineRule="exact"/>
      <w:ind w:left="575" w:hanging="575" w:firstLineChars="0"/>
      <w:outlineLvl w:val="1"/>
    </w:pPr>
    <w:rPr>
      <w:rFonts w:ascii="Arial" w:hAnsi="Arial" w:eastAsia="仿宋" w:cs="Arial"/>
      <w:b/>
      <w:bCs/>
      <w:sz w:val="32"/>
      <w:szCs w:val="32"/>
    </w:rPr>
  </w:style>
  <w:style w:type="paragraph" w:styleId="6">
    <w:name w:val="heading 3"/>
    <w:basedOn w:val="1"/>
    <w:next w:val="1"/>
    <w:semiHidden/>
    <w:unhideWhenUsed/>
    <w:qFormat/>
    <w:uiPriority w:val="0"/>
    <w:pPr>
      <w:keepNext/>
      <w:keepLines/>
      <w:numPr>
        <w:ilvl w:val="2"/>
        <w:numId w:val="1"/>
      </w:numPr>
      <w:spacing w:before="260" w:beforeLines="0" w:beforeAutospacing="0" w:after="260" w:afterLines="0" w:afterAutospacing="0" w:line="413" w:lineRule="auto"/>
      <w:ind w:left="720" w:hanging="720"/>
      <w:outlineLvl w:val="2"/>
    </w:pPr>
    <w:rPr>
      <w:b/>
      <w:sz w:val="32"/>
    </w:rPr>
  </w:style>
  <w:style w:type="paragraph" w:styleId="7">
    <w:name w:val="heading 4"/>
    <w:basedOn w:val="1"/>
    <w:next w:val="1"/>
    <w:semiHidden/>
    <w:unhideWhenUsed/>
    <w:qFormat/>
    <w:uiPriority w:val="0"/>
    <w:pPr>
      <w:keepNext/>
      <w:keepLines/>
      <w:numPr>
        <w:ilvl w:val="3"/>
        <w:numId w:val="1"/>
      </w:numPr>
      <w:spacing w:before="280" w:beforeLines="0" w:beforeAutospacing="0" w:after="290" w:afterLines="0" w:afterAutospacing="0" w:line="372" w:lineRule="auto"/>
      <w:ind w:left="864" w:hanging="864"/>
      <w:outlineLvl w:val="3"/>
    </w:pPr>
    <w:rPr>
      <w:rFonts w:ascii="Arial" w:hAnsi="Arial" w:eastAsia="黑体"/>
      <w:b/>
      <w:sz w:val="28"/>
    </w:rPr>
  </w:style>
  <w:style w:type="paragraph" w:styleId="8">
    <w:name w:val="heading 5"/>
    <w:basedOn w:val="1"/>
    <w:next w:val="1"/>
    <w:semiHidden/>
    <w:unhideWhenUsed/>
    <w:qFormat/>
    <w:uiPriority w:val="0"/>
    <w:pPr>
      <w:keepNext/>
      <w:keepLines/>
      <w:numPr>
        <w:ilvl w:val="4"/>
        <w:numId w:val="1"/>
      </w:numPr>
      <w:spacing w:before="280" w:beforeLines="0" w:beforeAutospacing="0" w:after="290" w:afterLines="0" w:afterAutospacing="0" w:line="372" w:lineRule="auto"/>
      <w:ind w:left="1008" w:hanging="1008"/>
      <w:outlineLvl w:val="4"/>
    </w:pPr>
    <w:rPr>
      <w:b/>
      <w:sz w:val="28"/>
    </w:rPr>
  </w:style>
  <w:style w:type="paragraph" w:styleId="9">
    <w:name w:val="heading 6"/>
    <w:basedOn w:val="1"/>
    <w:next w:val="1"/>
    <w:semiHidden/>
    <w:unhideWhenUsed/>
    <w:qFormat/>
    <w:uiPriority w:val="0"/>
    <w:pPr>
      <w:keepNext/>
      <w:keepLines/>
      <w:numPr>
        <w:ilvl w:val="5"/>
        <w:numId w:val="1"/>
      </w:numPr>
      <w:spacing w:before="240" w:beforeLines="0" w:beforeAutospacing="0" w:after="64" w:afterLines="0" w:afterAutospacing="0" w:line="317" w:lineRule="auto"/>
      <w:ind w:left="1151" w:hanging="1151"/>
      <w:outlineLvl w:val="5"/>
    </w:pPr>
    <w:rPr>
      <w:rFonts w:ascii="Arial" w:hAnsi="Arial" w:eastAsia="黑体"/>
      <w:b/>
      <w:sz w:val="24"/>
    </w:rPr>
  </w:style>
  <w:style w:type="paragraph" w:styleId="10">
    <w:name w:val="heading 7"/>
    <w:basedOn w:val="1"/>
    <w:next w:val="1"/>
    <w:semiHidden/>
    <w:unhideWhenUsed/>
    <w:qFormat/>
    <w:uiPriority w:val="0"/>
    <w:pPr>
      <w:keepNext/>
      <w:keepLines/>
      <w:numPr>
        <w:ilvl w:val="6"/>
        <w:numId w:val="1"/>
      </w:numPr>
      <w:spacing w:before="240" w:beforeLines="0" w:beforeAutospacing="0" w:after="64" w:afterLines="0" w:afterAutospacing="0" w:line="317" w:lineRule="auto"/>
      <w:ind w:left="1296" w:hanging="1296"/>
      <w:outlineLvl w:val="6"/>
    </w:pPr>
    <w:rPr>
      <w:b/>
      <w:sz w:val="24"/>
    </w:rPr>
  </w:style>
  <w:style w:type="paragraph" w:styleId="11">
    <w:name w:val="heading 8"/>
    <w:basedOn w:val="1"/>
    <w:next w:val="1"/>
    <w:semiHidden/>
    <w:unhideWhenUsed/>
    <w:qFormat/>
    <w:uiPriority w:val="0"/>
    <w:pPr>
      <w:keepNext/>
      <w:keepLines/>
      <w:numPr>
        <w:ilvl w:val="7"/>
        <w:numId w:val="1"/>
      </w:numPr>
      <w:spacing w:before="240" w:beforeLines="0" w:beforeAutospacing="0" w:after="64" w:afterLines="0" w:afterAutospacing="0" w:line="317" w:lineRule="auto"/>
      <w:ind w:left="1440" w:hanging="1440"/>
      <w:outlineLvl w:val="7"/>
    </w:pPr>
    <w:rPr>
      <w:rFonts w:ascii="Arial" w:hAnsi="Arial" w:eastAsia="黑体"/>
      <w:sz w:val="24"/>
    </w:rPr>
  </w:style>
  <w:style w:type="paragraph" w:styleId="12">
    <w:name w:val="heading 9"/>
    <w:basedOn w:val="1"/>
    <w:next w:val="1"/>
    <w:semiHidden/>
    <w:unhideWhenUsed/>
    <w:qFormat/>
    <w:uiPriority w:val="0"/>
    <w:pPr>
      <w:keepNext/>
      <w:keepLines/>
      <w:numPr>
        <w:ilvl w:val="8"/>
        <w:numId w:val="1"/>
      </w:numPr>
      <w:spacing w:before="240" w:beforeLines="0" w:beforeAutospacing="0" w:after="64" w:afterLines="0" w:afterAutospacing="0" w:line="317" w:lineRule="auto"/>
      <w:ind w:left="1583" w:hanging="1583"/>
      <w:outlineLvl w:val="8"/>
    </w:pPr>
    <w:rPr>
      <w:rFonts w:ascii="Arial" w:hAnsi="Arial" w:eastAsia="黑体"/>
      <w:sz w:val="21"/>
    </w:rPr>
  </w:style>
  <w:style w:type="character" w:default="1" w:styleId="17">
    <w:name w:val="Default Paragraph Font"/>
    <w:semiHidden/>
    <w:qFormat/>
    <w:uiPriority w:val="0"/>
  </w:style>
  <w:style w:type="table" w:default="1" w:styleId="1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next w:val="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3">
    <w:name w:val="Block Text"/>
    <w:basedOn w:val="1"/>
    <w:qFormat/>
    <w:uiPriority w:val="0"/>
    <w:pPr>
      <w:spacing w:after="120"/>
      <w:ind w:left="1440" w:leftChars="700" w:right="1440" w:rightChars="700"/>
    </w:pPr>
  </w:style>
  <w:style w:type="paragraph" w:styleId="13">
    <w:name w:val="Body Text Indent"/>
    <w:basedOn w:val="1"/>
    <w:next w:val="14"/>
    <w:qFormat/>
    <w:uiPriority w:val="0"/>
    <w:pPr>
      <w:spacing w:line="500" w:lineRule="exact"/>
      <w:ind w:firstLine="600"/>
    </w:pPr>
    <w:rPr>
      <w:rFonts w:cs="Times New Roman"/>
      <w:kern w:val="0"/>
      <w:sz w:val="30"/>
      <w:szCs w:val="24"/>
    </w:rPr>
  </w:style>
  <w:style w:type="paragraph" w:styleId="14">
    <w:name w:val="Body Text Indent 2"/>
    <w:basedOn w:val="1"/>
    <w:qFormat/>
    <w:uiPriority w:val="0"/>
    <w:pPr>
      <w:ind w:left="200" w:leftChars="200"/>
    </w:pPr>
  </w:style>
  <w:style w:type="paragraph" w:styleId="15">
    <w:name w:val="Body Text First Indent 2"/>
    <w:basedOn w:val="13"/>
    <w:next w:val="1"/>
    <w:unhideWhenUsed/>
    <w:qFormat/>
    <w:uiPriority w:val="99"/>
    <w:pPr>
      <w:ind w:firstLine="960"/>
    </w:pPr>
  </w:style>
  <w:style w:type="paragraph" w:customStyle="1" w:styleId="18">
    <w:name w:val="表格标题"/>
    <w:basedOn w:val="1"/>
    <w:qFormat/>
    <w:uiPriority w:val="99"/>
    <w:pPr>
      <w:numPr>
        <w:ilvl w:val="3"/>
        <w:numId w:val="2"/>
      </w:numPr>
      <w:spacing w:line="560" w:lineRule="exact"/>
      <w:ind w:firstLineChars="0"/>
      <w:jc w:val="center"/>
    </w:pPr>
    <w:rPr>
      <w:b/>
      <w:sz w:val="30"/>
      <w:szCs w:val="24"/>
    </w:rPr>
  </w:style>
  <w:style w:type="paragraph" w:customStyle="1" w:styleId="19">
    <w:name w:val="表格"/>
    <w:qFormat/>
    <w:uiPriority w:val="99"/>
    <w:pPr>
      <w:adjustRightInd w:val="0"/>
      <w:snapToGrid w:val="0"/>
      <w:jc w:val="center"/>
    </w:pPr>
    <w:rPr>
      <w:rFonts w:ascii="Times New Roman" w:hAnsi="Times New Roman" w:eastAsia="仿宋_GB2312" w:cstheme="minorBidi"/>
      <w:kern w:val="2"/>
      <w:sz w:val="28"/>
      <w:szCs w:val="21"/>
      <w:lang w:val="en-US" w:eastAsia="zh-CN" w:bidi="ar-SA"/>
    </w:rPr>
  </w:style>
  <w:style w:type="table" w:customStyle="1" w:styleId="20">
    <w:name w:val="Table Normal"/>
    <w:unhideWhenUsed/>
    <w:qFormat/>
    <w:uiPriority w:val="0"/>
    <w:rPr>
      <w:lang w:val="en-US" w:eastAsia="zh-CN" w:bidi="ar-SA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14</Pages>
  <Words>5950</Words>
  <Characters>6511</Characters>
  <Lines>0</Lines>
  <Paragraphs>0</Paragraphs>
  <TotalTime>0</TotalTime>
  <ScaleCrop>false</ScaleCrop>
  <LinksUpToDate>false</LinksUpToDate>
  <CharactersWithSpaces>6559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2023-11-07T06:54:00Z</dcterms:created>
  <dc:creator>好想长出叶绿体</dc:creator>
  <cp:lastModifiedBy>周明</cp:lastModifiedBy>
  <dcterms:modified xsi:type="dcterms:W3CDTF">2024-10-14T01:57:35Z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D1F134E5D0B1426F8CB27089471FFE0C_13</vt:lpwstr>
  </property>
</Properties>
</file>