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854AD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200" w:line="1000" w:lineRule="exact"/>
        <w:ind w:left="0" w:leftChars="0" w:right="0" w:rightChars="0" w:firstLine="883" w:firstLineChars="200"/>
        <w:jc w:val="both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2023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年岳阳楼区政府债务情况说明</w:t>
      </w:r>
    </w:p>
    <w:p w14:paraId="0B845F3D">
      <w:pPr>
        <w:tabs>
          <w:tab w:val="left" w:pos="718"/>
        </w:tabs>
        <w:spacing w:line="600" w:lineRule="exact"/>
        <w:ind w:firstLine="640" w:firstLineChars="200"/>
        <w:jc w:val="left"/>
        <w:rPr>
          <w:rFonts w:ascii="黑体" w:hAnsi="黑体" w:eastAsia="黑体" w:cs="黑体"/>
          <w:kern w:val="13"/>
          <w:sz w:val="32"/>
          <w:szCs w:val="32"/>
        </w:rPr>
      </w:pPr>
      <w:r>
        <w:rPr>
          <w:rFonts w:hint="eastAsia" w:ascii="黑体" w:hAnsi="黑体" w:eastAsia="黑体" w:cs="黑体"/>
          <w:kern w:val="13"/>
          <w:sz w:val="32"/>
          <w:szCs w:val="32"/>
        </w:rPr>
        <w:t>一、</w:t>
      </w:r>
      <w:r>
        <w:rPr>
          <w:rFonts w:ascii="黑体" w:hAnsi="黑体" w:eastAsia="黑体" w:cs="黑体"/>
          <w:kern w:val="13"/>
          <w:sz w:val="32"/>
          <w:szCs w:val="32"/>
        </w:rPr>
        <w:t>2023</w:t>
      </w:r>
      <w:r>
        <w:rPr>
          <w:rFonts w:hint="eastAsia" w:ascii="黑体" w:hAnsi="黑体" w:eastAsia="黑体" w:cs="黑体"/>
          <w:kern w:val="13"/>
          <w:sz w:val="32"/>
          <w:szCs w:val="32"/>
        </w:rPr>
        <w:t>年我区新增地方政府债券资金安排</w:t>
      </w:r>
    </w:p>
    <w:p w14:paraId="2B89498A">
      <w:pPr>
        <w:tabs>
          <w:tab w:val="left" w:pos="718"/>
        </w:tabs>
        <w:spacing w:line="600" w:lineRule="exact"/>
        <w:ind w:firstLine="643" w:firstLineChars="200"/>
        <w:jc w:val="left"/>
        <w:rPr>
          <w:rFonts w:ascii="楷体_GB2312" w:hAnsi="楷体_GB2312" w:eastAsia="楷体_GB2312" w:cs="楷体_GB2312"/>
          <w:b/>
          <w:bCs/>
          <w:kern w:val="13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kern w:val="13"/>
          <w:sz w:val="32"/>
          <w:szCs w:val="32"/>
        </w:rPr>
        <w:t>（一）债券额度</w:t>
      </w:r>
    </w:p>
    <w:p w14:paraId="57E9DBF0">
      <w:pPr>
        <w:tabs>
          <w:tab w:val="left" w:pos="7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ascii="仿宋_GB2312" w:hAnsi="仿宋_GB2312" w:eastAsia="仿宋_GB2312" w:cs="仿宋_GB2312"/>
          <w:kern w:val="13"/>
          <w:sz w:val="32"/>
          <w:szCs w:val="32"/>
        </w:rPr>
        <w:t>2023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年，经省政府批准，省财政厅下达我区地方政府新增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债务限额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107800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万元。其中：一般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债务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7000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万元，专项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债务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100800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万元。</w:t>
      </w:r>
    </w:p>
    <w:p w14:paraId="5F19A5C3">
      <w:pPr>
        <w:tabs>
          <w:tab w:val="left" w:pos="718"/>
        </w:tabs>
        <w:spacing w:line="600" w:lineRule="exact"/>
        <w:ind w:firstLine="643" w:firstLineChars="200"/>
        <w:jc w:val="left"/>
        <w:rPr>
          <w:rFonts w:ascii="楷体_GB2312" w:hAnsi="楷体_GB2312" w:eastAsia="楷体_GB2312" w:cs="楷体_GB2312"/>
          <w:b/>
          <w:bCs/>
          <w:kern w:val="13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kern w:val="13"/>
          <w:sz w:val="32"/>
          <w:szCs w:val="32"/>
        </w:rPr>
        <w:t>（二）分配方案</w:t>
      </w:r>
    </w:p>
    <w:p w14:paraId="04F30391">
      <w:pPr>
        <w:tabs>
          <w:tab w:val="left" w:pos="7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按照科学安排政府债券资金、精心筛选新增债券支持项目、合规使用债券资金的要求，结合区情实际，具体安排如下：</w:t>
      </w:r>
    </w:p>
    <w:p w14:paraId="02AA3A87">
      <w:pPr>
        <w:tabs>
          <w:tab w:val="left" w:pos="718"/>
        </w:tabs>
        <w:spacing w:line="600" w:lineRule="exact"/>
        <w:ind w:firstLine="643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ascii="仿宋_GB2312" w:hAnsi="仿宋_GB2312" w:eastAsia="仿宋_GB2312" w:cs="仿宋_GB2312"/>
          <w:b/>
          <w:bCs/>
          <w:kern w:val="13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b/>
          <w:bCs/>
          <w:kern w:val="13"/>
          <w:sz w:val="32"/>
          <w:szCs w:val="32"/>
        </w:rPr>
        <w:t>一般债券资金。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新增一般债券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7000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万元，具体安排的项目如下：</w:t>
      </w:r>
    </w:p>
    <w:p w14:paraId="654B3F11">
      <w:pPr>
        <w:tabs>
          <w:tab w:val="left" w:pos="7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教育支出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2900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万元，用于市十中教学楼工程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万元、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南湖小学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教学楼工程与配套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万元、市外国语学校教学楼建设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500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万元、青年路小学教学楼建设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万元。</w:t>
      </w:r>
    </w:p>
    <w:p w14:paraId="4F2FCEE7">
      <w:pPr>
        <w:tabs>
          <w:tab w:val="left" w:pos="7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公共安全支出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2000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万元，用于区检察院停车场建设。</w:t>
      </w:r>
    </w:p>
    <w:p w14:paraId="780D2A28">
      <w:pPr>
        <w:tabs>
          <w:tab w:val="left" w:pos="718"/>
        </w:tabs>
        <w:spacing w:line="576" w:lineRule="exact"/>
        <w:ind w:firstLine="640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节能环保支出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1200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万元，用于南北港河流域综合治理。</w:t>
      </w:r>
    </w:p>
    <w:p w14:paraId="371E4E0F">
      <w:pPr>
        <w:tabs>
          <w:tab w:val="left" w:pos="718"/>
        </w:tabs>
        <w:spacing w:line="576" w:lineRule="exact"/>
        <w:ind w:firstLine="616" w:firstLineChars="200"/>
        <w:jc w:val="left"/>
        <w:rPr>
          <w:rFonts w:ascii="仿宋_GB2312" w:hAnsi="仿宋_GB2312" w:eastAsia="仿宋_GB2312" w:cs="仿宋_GB2312"/>
          <w:spacing w:val="-6"/>
          <w:kern w:val="13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6"/>
          <w:kern w:val="13"/>
          <w:sz w:val="32"/>
          <w:szCs w:val="32"/>
        </w:rPr>
        <w:t>灾害防治及应急管理支出</w:t>
      </w:r>
      <w:r>
        <w:rPr>
          <w:rFonts w:ascii="仿宋_GB2312" w:hAnsi="仿宋_GB2312" w:eastAsia="仿宋_GB2312" w:cs="仿宋_GB2312"/>
          <w:spacing w:val="-6"/>
          <w:kern w:val="13"/>
          <w:sz w:val="32"/>
          <w:szCs w:val="32"/>
        </w:rPr>
        <w:t>900</w:t>
      </w:r>
      <w:r>
        <w:rPr>
          <w:rFonts w:hint="eastAsia" w:ascii="仿宋_GB2312" w:hAnsi="仿宋_GB2312" w:eastAsia="仿宋_GB2312" w:cs="仿宋_GB2312"/>
          <w:spacing w:val="-6"/>
          <w:kern w:val="13"/>
          <w:sz w:val="32"/>
          <w:szCs w:val="32"/>
        </w:rPr>
        <w:t>万元，用于仓田消防站建设。</w:t>
      </w:r>
    </w:p>
    <w:p w14:paraId="3A661005">
      <w:pPr>
        <w:tabs>
          <w:tab w:val="left" w:pos="718"/>
        </w:tabs>
        <w:spacing w:line="576" w:lineRule="exact"/>
        <w:ind w:firstLine="643" w:firstLineChars="200"/>
        <w:jc w:val="left"/>
        <w:rPr>
          <w:rFonts w:ascii="仿宋_GB2312" w:hAnsi="仿宋_GB2312" w:eastAsia="仿宋_GB2312" w:cs="仿宋_GB2312"/>
          <w:kern w:val="13"/>
          <w:sz w:val="32"/>
          <w:szCs w:val="32"/>
        </w:rPr>
      </w:pPr>
      <w:r>
        <w:rPr>
          <w:rFonts w:ascii="仿宋_GB2312" w:hAnsi="仿宋_GB2312" w:eastAsia="仿宋_GB2312" w:cs="仿宋_GB2312"/>
          <w:b/>
          <w:bCs/>
          <w:kern w:val="13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b/>
          <w:bCs/>
          <w:kern w:val="13"/>
          <w:sz w:val="32"/>
          <w:szCs w:val="32"/>
        </w:rPr>
        <w:t>专项债券资金。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新增专项债券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100800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万元，具体安排的项目如下：</w:t>
      </w:r>
    </w:p>
    <w:p w14:paraId="57D38286">
      <w:pPr>
        <w:tabs>
          <w:tab w:val="left" w:pos="718"/>
        </w:tabs>
        <w:spacing w:line="576" w:lineRule="exact"/>
        <w:ind w:firstLine="640" w:firstLineChars="200"/>
        <w:jc w:val="left"/>
        <w:rPr>
          <w:rFonts w:hint="default" w:ascii="仿宋_GB2312" w:hAnsi="仿宋_GB2312" w:eastAsia="仿宋_GB2312" w:cs="仿宋_GB2312"/>
          <w:kern w:val="13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老旧小区改造项目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67400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万元。其中：王家河片区及配套设施建设项目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9600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万元；洛王片区及配套设施建设项目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万元；洞庭路片区及配套设施建设项目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9600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万元；枫桥湖片区及配套设施建设项目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9700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万元；五里牌片区及配套设施建设项目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9400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万元；望岳路片区及配套设施建设项目</w:t>
      </w:r>
      <w:r>
        <w:rPr>
          <w:rFonts w:ascii="仿宋_GB2312" w:hAnsi="仿宋_GB2312" w:eastAsia="仿宋_GB2312" w:cs="仿宋_GB2312"/>
          <w:kern w:val="13"/>
          <w:sz w:val="32"/>
          <w:szCs w:val="32"/>
        </w:rPr>
        <w:t>9800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万元；站前路片区及配套设施建设项目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9500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</w:rPr>
        <w:t>万元。</w:t>
      </w:r>
      <w:r>
        <w:rPr>
          <w:rFonts w:hint="eastAsia" w:ascii="仿宋_GB2312" w:hAnsi="仿宋_GB2312" w:eastAsia="仿宋_GB2312" w:cs="仿宋_GB2312"/>
          <w:kern w:val="13"/>
          <w:sz w:val="32"/>
          <w:szCs w:val="32"/>
          <w:lang w:val="en-US" w:eastAsia="zh-CN"/>
        </w:rPr>
        <w:t>城市停车场建设项目5100万元。</w:t>
      </w:r>
    </w:p>
    <w:p w14:paraId="157EF2EE">
      <w:pPr>
        <w:numPr>
          <w:ilvl w:val="0"/>
          <w:numId w:val="0"/>
        </w:numPr>
        <w:tabs>
          <w:tab w:val="left" w:pos="718"/>
        </w:tabs>
        <w:ind w:firstLine="640"/>
        <w:jc w:val="left"/>
        <w:rPr>
          <w:rFonts w:hint="default" w:ascii="仿宋" w:hAnsi="仿宋" w:eastAsia="仿宋" w:cs="仿宋"/>
          <w:b w:val="0"/>
          <w:bCs w:val="0"/>
          <w:color w:val="auto"/>
          <w:spacing w:val="0"/>
          <w:kern w:val="13"/>
          <w:sz w:val="32"/>
          <w:szCs w:val="32"/>
          <w:lang w:val="en-US" w:eastAsia="zh-CN"/>
        </w:rPr>
      </w:pPr>
    </w:p>
    <w:p w14:paraId="43D89833">
      <w:pPr>
        <w:spacing w:line="220" w:lineRule="atLeast"/>
        <w:rPr>
          <w:rFonts w:hint="eastAsia" w:ascii="宋体" w:hAnsi="宋体" w:eastAsia="宋体" w:cs="宋体"/>
          <w:sz w:val="30"/>
          <w:szCs w:val="30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zMzg4Y2Y4YzUyYTVhYzk3MTliMzdlOTQ0NzA5MDMifQ=="/>
  </w:docVars>
  <w:rsids>
    <w:rsidRoot w:val="00D31D50"/>
    <w:rsid w:val="00323B43"/>
    <w:rsid w:val="003D2B1E"/>
    <w:rsid w:val="003D37D8"/>
    <w:rsid w:val="00426133"/>
    <w:rsid w:val="004358AB"/>
    <w:rsid w:val="00454197"/>
    <w:rsid w:val="008B7726"/>
    <w:rsid w:val="00D31D50"/>
    <w:rsid w:val="00EB3B36"/>
    <w:rsid w:val="147F1F76"/>
    <w:rsid w:val="175D1536"/>
    <w:rsid w:val="218D54E5"/>
    <w:rsid w:val="2477697F"/>
    <w:rsid w:val="280328B5"/>
    <w:rsid w:val="6260424C"/>
    <w:rsid w:val="680B3210"/>
    <w:rsid w:val="767F559D"/>
    <w:rsid w:val="7D8B6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spacing w:before="100" w:beforeAutospacing="1"/>
      <w:ind w:firstLine="420" w:firstLineChars="200"/>
    </w:pPr>
  </w:style>
  <w:style w:type="paragraph" w:styleId="3">
    <w:name w:val="Body Text Indent"/>
    <w:basedOn w:val="1"/>
    <w:semiHidden/>
    <w:qFormat/>
    <w:uiPriority w:val="99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477</Words>
  <Characters>550</Characters>
  <Lines>7</Lines>
  <Paragraphs>2</Paragraphs>
  <TotalTime>0</TotalTime>
  <ScaleCrop>false</ScaleCrop>
  <LinksUpToDate>false</LinksUpToDate>
  <CharactersWithSpaces>552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周明</cp:lastModifiedBy>
  <dcterms:modified xsi:type="dcterms:W3CDTF">2024-10-14T01:23:33Z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BDA46A64928A4915B70EF6D2905C5ACB_13</vt:lpwstr>
  </property>
</Properties>
</file>