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0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spacing w:line="251" w:lineRule="auto"/>
        <w:rPr>
          <w:rFonts w:ascii="Arial"/>
          <w:sz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2023年度岳阳市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南湖小学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教学楼建设及配套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工程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3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spacing w:line="244" w:lineRule="auto"/>
        <w:rPr>
          <w:rFonts w:ascii="Arial"/>
          <w:sz w:val="21"/>
        </w:rPr>
      </w:pPr>
    </w:p>
    <w:p>
      <w:pPr>
        <w:pStyle w:val="2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rFonts w:hint="eastAsia"/>
          <w:spacing w:val="-75"/>
          <w:u w:val="single" w:color="auto"/>
          <w:lang w:eastAsia="zh-CN"/>
        </w:rPr>
        <w:t>岳</w:t>
      </w:r>
      <w:r>
        <w:rPr>
          <w:rFonts w:hint="eastAsia"/>
          <w:spacing w:val="-75"/>
          <w:u w:val="single" w:color="auto"/>
          <w:lang w:val="en-US" w:eastAsia="zh-CN"/>
        </w:rPr>
        <w:t xml:space="preserve">   </w:t>
      </w:r>
      <w:r>
        <w:rPr>
          <w:rFonts w:hint="eastAsia"/>
          <w:spacing w:val="-75"/>
          <w:u w:val="single" w:color="auto"/>
          <w:lang w:eastAsia="zh-CN"/>
        </w:rPr>
        <w:t>阳</w:t>
      </w:r>
      <w:r>
        <w:rPr>
          <w:rFonts w:hint="eastAsia"/>
          <w:spacing w:val="-75"/>
          <w:u w:val="single" w:color="auto"/>
          <w:lang w:val="en-US" w:eastAsia="zh-CN"/>
        </w:rPr>
        <w:t xml:space="preserve">   </w:t>
      </w:r>
      <w:r>
        <w:rPr>
          <w:rFonts w:hint="eastAsia"/>
          <w:spacing w:val="-75"/>
          <w:u w:val="single" w:color="auto"/>
          <w:lang w:eastAsia="zh-CN"/>
        </w:rPr>
        <w:t>市</w:t>
      </w:r>
      <w:r>
        <w:rPr>
          <w:rFonts w:hint="eastAsia"/>
          <w:spacing w:val="-75"/>
          <w:u w:val="single" w:color="auto"/>
          <w:lang w:val="en-US" w:eastAsia="zh-CN"/>
        </w:rPr>
        <w:t xml:space="preserve">   南   湖   小    学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hint="eastAsia" w:ascii="楷体" w:hAnsi="楷体" w:eastAsia="楷体" w:cs="楷体"/>
          <w:spacing w:val="-8"/>
          <w:sz w:val="31"/>
          <w:szCs w:val="31"/>
          <w:lang w:val="en-US" w:eastAsia="zh-CN"/>
        </w:rPr>
        <w:t>2024</w:t>
      </w: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</w:t>
      </w:r>
      <w:r>
        <w:rPr>
          <w:rFonts w:hint="eastAsia" w:ascii="楷体" w:hAnsi="楷体" w:eastAsia="楷体" w:cs="楷体"/>
          <w:spacing w:val="21"/>
          <w:sz w:val="31"/>
          <w:szCs w:val="31"/>
          <w:lang w:val="en-US" w:eastAsia="zh-CN"/>
        </w:rPr>
        <w:t>05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</w:t>
      </w:r>
      <w:r>
        <w:rPr>
          <w:rFonts w:hint="eastAsia" w:ascii="楷体" w:hAnsi="楷体" w:eastAsia="楷体" w:cs="楷体"/>
          <w:spacing w:val="43"/>
          <w:sz w:val="31"/>
          <w:szCs w:val="31"/>
          <w:lang w:val="en-US" w:eastAsia="zh-CN"/>
        </w:rPr>
        <w:t>30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>
      <w:pPr>
        <w:spacing w:line="335" w:lineRule="auto"/>
        <w:rPr>
          <w:rFonts w:ascii="Arial"/>
          <w:sz w:val="21"/>
        </w:rPr>
      </w:pPr>
    </w:p>
    <w:p>
      <w:pPr>
        <w:pStyle w:val="2"/>
        <w:spacing w:before="102" w:line="224" w:lineRule="auto"/>
        <w:ind w:left="3216"/>
      </w:pPr>
      <w:r>
        <w:rPr>
          <w:spacing w:val="8"/>
        </w:rPr>
        <w:t>（此页为封面）</w:t>
      </w:r>
    </w:p>
    <w:p>
      <w:pPr>
        <w:spacing w:line="224" w:lineRule="auto"/>
        <w:sectPr>
          <w:footerReference r:id="rId3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2023年度岳阳市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南湖小学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教学楼建设及配套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工程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>
      <w:pPr>
        <w:pStyle w:val="2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bookmarkStart w:id="0" w:name="_GoBack"/>
      <w:bookmarkEnd w:id="0"/>
    </w:p>
    <w:p>
      <w:pPr>
        <w:numPr>
          <w:ilvl w:val="0"/>
          <w:numId w:val="1"/>
        </w:numPr>
        <w:rPr>
          <w:rFonts w:hint="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项目基本情况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1、上级部门为改善岳阳市南湖小学的基础设施条件，完善学校功能布局，提高学校的教学质量，同意实施岳阳市南湖小学教学楼建设及配套工程。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2、项目建设地址：岳阳市南湖小学内。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3、项目建设规模：项目总建筑面积22877平方米，其中地上建筑面积8700平方米，地下建筑面积14177平方米，岳阳市南湖小学的项目为一栋综合楼和两层地下停车场，以及学校运动场的复建，综合楼层数为地上6层，建筑高度23.55米。地下停车场为地下2层，结合现场地形设计，地下一层结合地形形成一个西面开放，南、北、东面围合的地下室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4、项目资金来源：岳阳楼区财政资金。</w:t>
      </w:r>
    </w:p>
    <w:p>
      <w:pPr>
        <w:pStyle w:val="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项目资金支出情况</w:t>
      </w:r>
    </w:p>
    <w:p>
      <w:pPr>
        <w:pStyle w:val="2"/>
        <w:numPr>
          <w:ilvl w:val="0"/>
          <w:numId w:val="0"/>
        </w:numPr>
        <w:spacing w:line="360" w:lineRule="auto"/>
        <w:ind w:left="0" w:leftChars="0" w:firstLine="480" w:firstLineChars="200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项目总投资14906.95万元，其中：</w:t>
      </w:r>
    </w:p>
    <w:p>
      <w:pPr>
        <w:pStyle w:val="2"/>
        <w:numPr>
          <w:ilvl w:val="0"/>
          <w:numId w:val="0"/>
        </w:numPr>
        <w:spacing w:line="360" w:lineRule="auto"/>
        <w:ind w:leftChars="0" w:firstLine="562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1、建筑安装工程费13163.21万元。</w:t>
      </w:r>
    </w:p>
    <w:p>
      <w:pPr>
        <w:pStyle w:val="2"/>
        <w:numPr>
          <w:ilvl w:val="0"/>
          <w:numId w:val="0"/>
        </w:numPr>
        <w:spacing w:line="360" w:lineRule="auto"/>
        <w:ind w:leftChars="0" w:firstLine="562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2、工程建设其他费310.83万元，包含工程设计费156.64万元，预算清单标底编制费29.13万元，工程保险费55.58万元，场地准备及临时设施费69.48万元。</w:t>
      </w:r>
    </w:p>
    <w:p>
      <w:pPr>
        <w:pStyle w:val="2"/>
        <w:numPr>
          <w:ilvl w:val="0"/>
          <w:numId w:val="0"/>
        </w:numPr>
        <w:spacing w:line="360" w:lineRule="auto"/>
        <w:ind w:leftChars="0" w:firstLine="562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3、预备费1432.91万元，包含基本预备费895.57万元，涨价预备费537.34万元。</w:t>
      </w:r>
    </w:p>
    <w:p>
      <w:pPr>
        <w:pStyle w:val="2"/>
        <w:numPr>
          <w:ilvl w:val="0"/>
          <w:numId w:val="0"/>
        </w:numPr>
        <w:spacing w:line="360" w:lineRule="auto"/>
        <w:ind w:leftChars="0" w:firstLine="562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4、2023年度共支付2000万元。</w:t>
      </w:r>
    </w:p>
    <w:p>
      <w:pPr>
        <w:pStyle w:val="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项目资金支出绩效情况</w:t>
      </w:r>
    </w:p>
    <w:p>
      <w:pPr>
        <w:pStyle w:val="2"/>
        <w:numPr>
          <w:ilvl w:val="0"/>
          <w:numId w:val="0"/>
        </w:numPr>
        <w:spacing w:line="360" w:lineRule="auto"/>
        <w:ind w:leftChars="0" w:firstLine="562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此项目严格按照专项资金的使用范围和用途，做到了专款专用，并根据真实合法有效的支付凭证，严格按流程审批后予以支付，充分保障了资金的安全运行，正常发挥资金的使用效益，使教学楼建设及配套工程按期交付使用。具体绩效情况入下：</w:t>
      </w:r>
    </w:p>
    <w:p>
      <w:pPr>
        <w:pStyle w:val="2"/>
        <w:numPr>
          <w:ilvl w:val="0"/>
          <w:numId w:val="2"/>
        </w:numPr>
        <w:spacing w:line="360" w:lineRule="auto"/>
        <w:ind w:leftChars="0" w:firstLine="562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 xml:space="preserve">数量指标   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教学楼建设及配套工程项目总建筑面积22877㎡，实际完成22877㎡，完成率100%，综合楼层数为地上6层，建筑高度23.55米。</w:t>
      </w:r>
    </w:p>
    <w:p>
      <w:pPr>
        <w:pStyle w:val="2"/>
        <w:numPr>
          <w:ilvl w:val="0"/>
          <w:numId w:val="2"/>
        </w:numPr>
        <w:spacing w:line="360" w:lineRule="auto"/>
        <w:ind w:leftChars="0" w:firstLine="562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 xml:space="preserve">质量指标   </w:t>
      </w:r>
    </w:p>
    <w:p>
      <w:pPr>
        <w:pStyle w:val="2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质量指标有工程量完成率，工程验收合格率，工程按期完成率，施工单位资质达标率，四个指标经考核评定全部完成情况为100%。</w:t>
      </w:r>
    </w:p>
    <w:p>
      <w:pPr>
        <w:pStyle w:val="2"/>
        <w:numPr>
          <w:ilvl w:val="0"/>
          <w:numId w:val="2"/>
        </w:numPr>
        <w:spacing w:line="360" w:lineRule="auto"/>
        <w:ind w:leftChars="0" w:firstLine="562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 xml:space="preserve">时效指标  </w:t>
      </w:r>
    </w:p>
    <w:p>
      <w:pPr>
        <w:pStyle w:val="2"/>
        <w:numPr>
          <w:numId w:val="0"/>
        </w:numPr>
        <w:spacing w:line="360" w:lineRule="auto"/>
        <w:ind w:left="562" w:leftChars="0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 xml:space="preserve"> 根据合同约定按照工程进度支付款项，工程款拨款及时有效，达标率100%。</w:t>
      </w:r>
    </w:p>
    <w:p>
      <w:pPr>
        <w:pStyle w:val="2"/>
        <w:numPr>
          <w:ilvl w:val="0"/>
          <w:numId w:val="2"/>
        </w:numPr>
        <w:spacing w:line="360" w:lineRule="auto"/>
        <w:ind w:leftChars="0" w:firstLine="562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 xml:space="preserve">成本指标   </w:t>
      </w:r>
    </w:p>
    <w:p>
      <w:pPr>
        <w:pStyle w:val="2"/>
        <w:numPr>
          <w:numId w:val="0"/>
        </w:numPr>
        <w:spacing w:line="360" w:lineRule="auto"/>
        <w:ind w:left="562" w:leftChars="0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工程单位成本在合同约定范围之内，达标率100%。</w:t>
      </w:r>
    </w:p>
    <w:p>
      <w:pPr>
        <w:pStyle w:val="2"/>
        <w:numPr>
          <w:ilvl w:val="0"/>
          <w:numId w:val="2"/>
        </w:numPr>
        <w:spacing w:line="360" w:lineRule="auto"/>
        <w:ind w:leftChars="0" w:firstLine="562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 xml:space="preserve">效益指标   </w:t>
      </w:r>
    </w:p>
    <w:p>
      <w:pPr>
        <w:pStyle w:val="2"/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设计功能实现率，业务保障能力，综合利用率三个指标值，经过使用情况反馈，全部达到预期使用效果，达标率100%。</w:t>
      </w:r>
    </w:p>
    <w:p>
      <w:pPr>
        <w:pStyle w:val="2"/>
        <w:numPr>
          <w:ilvl w:val="0"/>
          <w:numId w:val="2"/>
        </w:numPr>
        <w:spacing w:line="360" w:lineRule="auto"/>
        <w:ind w:leftChars="0" w:firstLine="562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 xml:space="preserve">满意度指标  </w:t>
      </w:r>
    </w:p>
    <w:p>
      <w:pPr>
        <w:pStyle w:val="2"/>
        <w:numPr>
          <w:numId w:val="0"/>
        </w:numPr>
        <w:spacing w:line="360" w:lineRule="auto"/>
        <w:ind w:left="562" w:leftChars="0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通过对受益群体使用者的调查，满意度98%。</w:t>
      </w:r>
    </w:p>
    <w:p>
      <w:pPr>
        <w:pStyle w:val="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存在的问题及原因分析</w:t>
      </w:r>
    </w:p>
    <w:p>
      <w:pPr>
        <w:pStyle w:val="2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本着高标准严要求的宗旨，一是监管制度可以更具体，二是监管范围既要大而全，也要小而精。</w:t>
      </w:r>
    </w:p>
    <w:p>
      <w:pPr>
        <w:pStyle w:val="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下一步改进措施</w:t>
      </w:r>
    </w:p>
    <w:p>
      <w:pPr>
        <w:pStyle w:val="2"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针对上述问题，一是需主管部门加强制度建设和完善，二是做好资金的专项检查，做到事前评估，事中监督，事后检查验收，在资金的检查过程中，不仅只关注大额资金的使用安全性和合法合规性，对小额资金的使用也要做到有法可依有据可查。</w:t>
      </w:r>
    </w:p>
    <w:p>
      <w:pPr>
        <w:pStyle w:val="2"/>
        <w:numPr>
          <w:ilvl w:val="0"/>
          <w:numId w:val="1"/>
        </w:numPr>
        <w:spacing w:line="360" w:lineRule="auto"/>
        <w:ind w:left="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项目支出绩效自评结果拟应用和公开情况</w:t>
      </w:r>
    </w:p>
    <w:p>
      <w:pPr>
        <w:pStyle w:val="2"/>
        <w:numPr>
          <w:ilvl w:val="0"/>
          <w:numId w:val="0"/>
        </w:numPr>
        <w:spacing w:line="360" w:lineRule="auto"/>
        <w:ind w:leftChars="0"/>
        <w:rPr>
          <w:rFonts w:hint="default" w:ascii="宋体" w:hAnsi="宋体" w:eastAsia="宋体" w:cs="宋体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 xml:space="preserve">  本项目严格按照规定的程序申请设立，符合国家相关法律法规规定的立项条件。在项目资金使用管理过程中，严格按照相关文件的使用要求，专款专用，没有截留挤占挪用资金现象，确保项目资金不折不扣全部用在此项目上。并将绩效评价结果根据政府信息公开的要求进行公开，接受社会公众对财政资金使用效益的监督。本项目自评得分99分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BMUE45GQIAACEEAAAOAAAA&#10;AAAAAAEAIAAAAB8BAABkcnMvZTJvRG9jLnhtbFBLBQYAAAAABgAGAFkBAACq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B2EFC74"/>
    <w:multiLevelType w:val="singleLevel"/>
    <w:tmpl w:val="9B2EFC7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B711E1FB"/>
    <w:multiLevelType w:val="singleLevel"/>
    <w:tmpl w:val="B711E1F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723252"/>
    <w:rsid w:val="45723252"/>
    <w:rsid w:val="63CB2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2024-06-24T02:01:00Z</dcterms:created>
  <dc:creator>Administrator</dc:creator>
  <cp:lastModifiedBy>Administrator</cp:lastModifiedBy>
  <dcterms:modified xsi:type="dcterms:W3CDTF">2024-06-24T02:42:33Z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