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60001D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/>
          <w:spacing w:val="2"/>
          <w:sz w:val="44"/>
          <w:szCs w:val="44"/>
        </w:rPr>
      </w:pPr>
      <w:r>
        <w:rPr>
          <w:rFonts w:ascii="方正小标宋简体" w:hAnsi="方正小标宋简体" w:eastAsia="方正小标宋简体" w:cs="方正小标宋简体"/>
          <w:color w:val="000000"/>
          <w:spacing w:val="2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pacing w:val="2"/>
          <w:sz w:val="44"/>
          <w:szCs w:val="44"/>
        </w:rPr>
        <w:t>3</w:t>
      </w:r>
      <w:r>
        <w:rPr>
          <w:rFonts w:ascii="方正小标宋简体" w:hAnsi="方正小标宋简体" w:eastAsia="方正小标宋简体" w:cs="方正小标宋简体"/>
          <w:color w:val="000000"/>
          <w:spacing w:val="2"/>
          <w:sz w:val="44"/>
          <w:szCs w:val="44"/>
        </w:rPr>
        <w:t>年度</w:t>
      </w:r>
      <w:r>
        <w:rPr>
          <w:rFonts w:hint="eastAsia" w:ascii="方正小标宋简体" w:hAnsi="方正小标宋简体" w:eastAsia="方正小标宋简体" w:cs="方正小标宋简体"/>
          <w:color w:val="000000"/>
          <w:spacing w:val="2"/>
          <w:sz w:val="44"/>
          <w:szCs w:val="44"/>
        </w:rPr>
        <w:t>岳阳市岳阳楼区司法局</w:t>
      </w:r>
      <w:r>
        <w:rPr>
          <w:rFonts w:ascii="方正小标宋简体" w:hAnsi="方正小标宋简体" w:eastAsia="方正小标宋简体" w:cs="方正小标宋简体"/>
          <w:color w:val="000000"/>
          <w:spacing w:val="2"/>
          <w:sz w:val="44"/>
          <w:szCs w:val="44"/>
        </w:rPr>
        <w:t>整体支出</w:t>
      </w:r>
    </w:p>
    <w:p w14:paraId="575DCE60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/>
          <w:spacing w:val="2"/>
          <w:sz w:val="44"/>
          <w:szCs w:val="44"/>
        </w:rPr>
      </w:pPr>
      <w:r>
        <w:rPr>
          <w:rFonts w:ascii="方正小标宋简体" w:hAnsi="方正小标宋简体" w:eastAsia="方正小标宋简体" w:cs="方正小标宋简体"/>
          <w:color w:val="000000"/>
          <w:spacing w:val="2"/>
          <w:sz w:val="44"/>
          <w:szCs w:val="44"/>
        </w:rPr>
        <w:t>绩效自评报告</w:t>
      </w:r>
    </w:p>
    <w:p w14:paraId="1FC77248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52A3163B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678E08E7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6C1D7620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56A6CA2F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5D7BDC24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2157786D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6A0F21C4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46F247D9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54CC16F7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5675622C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60F8A8D0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03B4A215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558A30F2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736AFC04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24B31922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4570F0C3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06C4009C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3A8979D5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71A29B64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581B1BD3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3205D5E4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6677314E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0A1DB3EE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0490DE82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642CB622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79C59096">
      <w:pPr>
        <w:jc w:val="center"/>
        <w:rPr>
          <w:rFonts w:ascii="楷体_GB2312" w:hAnsi="楷体_GB2312" w:eastAsia="楷体_GB2312" w:cs="楷体_GB2312"/>
          <w:color w:val="000000"/>
          <w:sz w:val="36"/>
          <w:szCs w:val="36"/>
        </w:rPr>
      </w:pPr>
      <w:r>
        <w:rPr>
          <w:rFonts w:hint="eastAsia" w:ascii="楷体_GB2312" w:hAnsi="楷体_GB2312" w:eastAsia="楷体_GB2312" w:cs="楷体_GB2312"/>
          <w:color w:val="000000"/>
          <w:sz w:val="36"/>
          <w:szCs w:val="36"/>
        </w:rPr>
        <w:t>部门(单位)名称：   ( 盖 章 )</w:t>
      </w:r>
    </w:p>
    <w:p w14:paraId="6F6C0027">
      <w:pPr>
        <w:jc w:val="center"/>
        <w:rPr>
          <w:rFonts w:ascii="楷体_GB2312" w:hAnsi="楷体_GB2312" w:eastAsia="楷体_GB2312" w:cs="楷体_GB2312"/>
          <w:color w:val="000000"/>
          <w:sz w:val="36"/>
          <w:szCs w:val="36"/>
        </w:rPr>
      </w:pPr>
      <w:r>
        <w:rPr>
          <w:rFonts w:hint="eastAsia" w:ascii="楷体_GB2312" w:hAnsi="楷体_GB2312" w:eastAsia="楷体_GB2312" w:cs="楷体_GB2312"/>
          <w:color w:val="000000"/>
          <w:sz w:val="36"/>
          <w:szCs w:val="36"/>
        </w:rPr>
        <w:t>2024年 5 月 3</w:t>
      </w:r>
      <w:r>
        <w:rPr>
          <w:rFonts w:hint="eastAsia" w:ascii="楷体_GB2312" w:hAnsi="楷体_GB2312" w:eastAsia="楷体_GB2312" w:cs="楷体_GB2312"/>
          <w:color w:val="000000"/>
          <w:sz w:val="36"/>
          <w:szCs w:val="36"/>
          <w:lang w:val="en-US" w:eastAsia="zh-CN"/>
        </w:rPr>
        <w:t>0</w:t>
      </w:r>
      <w:r>
        <w:rPr>
          <w:rFonts w:hint="eastAsia" w:ascii="楷体_GB2312" w:hAnsi="楷体_GB2312" w:eastAsia="楷体_GB2312" w:cs="楷体_GB2312"/>
          <w:color w:val="000000"/>
          <w:sz w:val="36"/>
          <w:szCs w:val="36"/>
        </w:rPr>
        <w:t xml:space="preserve"> 日</w:t>
      </w:r>
    </w:p>
    <w:p w14:paraId="0A823B49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379B952E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406FEE45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04E96FC6">
      <w:pPr>
        <w:spacing w:line="700" w:lineRule="exact"/>
        <w:ind w:firstLine="2420" w:firstLineChars="550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</w:p>
    <w:p w14:paraId="2B23418B">
      <w:pPr>
        <w:spacing w:line="700" w:lineRule="exact"/>
        <w:ind w:firstLine="2420" w:firstLineChars="550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</w:p>
    <w:p w14:paraId="770CDE56">
      <w:pPr>
        <w:spacing w:line="700" w:lineRule="exact"/>
        <w:ind w:firstLine="2420" w:firstLineChars="550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2023年度岳阳楼区司法局</w:t>
      </w:r>
    </w:p>
    <w:p w14:paraId="3B772247"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单位整体支出绩效自评报告</w:t>
      </w:r>
    </w:p>
    <w:p w14:paraId="11D4CCCC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3B92F94A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3DB8A307">
      <w:pPr>
        <w:jc w:val="left"/>
        <w:rPr>
          <w:rFonts w:ascii="仿宋" w:hAnsi="仿宋" w:eastAsia="仿宋" w:cs="仿宋"/>
          <w:color w:val="000000"/>
          <w:sz w:val="22"/>
          <w:szCs w:val="22"/>
        </w:rPr>
      </w:pPr>
    </w:p>
    <w:p w14:paraId="04BE4491">
      <w:pPr>
        <w:numPr>
          <w:ilvl w:val="0"/>
          <w:numId w:val="1"/>
        </w:numPr>
        <w:ind w:firstLine="640" w:firstLineChars="200"/>
        <w:jc w:val="left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单位基本情况</w:t>
      </w:r>
    </w:p>
    <w:p w14:paraId="33E01FFD">
      <w:pPr>
        <w:widowControl/>
        <w:spacing w:line="600" w:lineRule="exact"/>
        <w:ind w:firstLine="643" w:firstLineChars="200"/>
        <w:rPr>
          <w:rFonts w:ascii="仿宋" w:hAnsi="仿宋" w:eastAsia="仿宋" w:cs="仿宋_GB2312"/>
          <w:b/>
          <w:bCs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kern w:val="0"/>
          <w:sz w:val="32"/>
          <w:szCs w:val="32"/>
        </w:rPr>
        <w:t>（一）职能职责</w:t>
      </w:r>
    </w:p>
    <w:p w14:paraId="166F6116"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1、贯彻执行国家和省、市有关司法行政工作的方针、政策、法律、法规，编制全区司法行政发展中、长期规划和年度计划并监督实施，指导、管理全区法律服务机构和法律服务市场。</w:t>
      </w:r>
    </w:p>
    <w:p w14:paraId="3F6F5A0F"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2、制定全区法制宣传教育和依法治理规划并组织实施，指导全区地方、行业、基层的依法治理工作，负责全区干部学法用法培训、考试、考核工作，负责牵头“法治楼区”建设工作。</w:t>
      </w:r>
    </w:p>
    <w:p w14:paraId="4E90D4D0"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3、管理指导监督全区律师、法律顾问工作，管理直属本局的法律服务机构，协助组织司法考试。</w:t>
      </w:r>
    </w:p>
    <w:p w14:paraId="3412B7DB"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4、管理指导监督公证业务活动。</w:t>
      </w:r>
    </w:p>
    <w:p w14:paraId="0E23CFA9"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5、代表政府实施法律援助工作 ，对受援对象提花法律服务。</w:t>
      </w:r>
    </w:p>
    <w:p w14:paraId="3EF79BFA"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6、管理指导全区街道乡、司法所、基层法律服务所和人民调解委员会工作，负责全区“调委会”组织建设和业务培训工作，负责全区法律服务机构的申报、年检和法律服务工作者资格考试、年检、注册工作，参与社会治安综合治理。</w:t>
      </w:r>
    </w:p>
    <w:p w14:paraId="4BE31EBF"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7、负责对全区的刑满释放人员的安置帮教工作，承担区刑释解教安置帮教领导小组办公室日常工作。</w:t>
      </w:r>
    </w:p>
    <w:p w14:paraId="4C0F9BDD"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8、负责对全区的社区矫正工作，承担区社区矫正领导小组办公室的日常工作。</w:t>
      </w:r>
    </w:p>
    <w:p w14:paraId="65278543"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9、负责对市中心城区患有尿毒症、癌症、脉管炎、肺结核等涉毒重症违法犯罪人员进行集中收治。</w:t>
      </w:r>
    </w:p>
    <w:p w14:paraId="1088CE86"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10、指导管理全区面向社区服务的司法鉴定工作。</w:t>
      </w:r>
    </w:p>
    <w:p w14:paraId="391D2E8A"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11、管理指导全区司法行政系统的队伍建设和思想政法工作，管理司法所编制和人事任免工作。</w:t>
      </w:r>
    </w:p>
    <w:p w14:paraId="59E722D2"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12、依法监督商业投资企业执行有关法律法规规章、合同章程的情况并协调解决有关问题，及时预防调处商业纠纷；进行专项法制宣传，提供相应法律服务。</w:t>
      </w:r>
    </w:p>
    <w:p w14:paraId="48013A70"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13、负责本单位、本系统的信访维稳和安全生产工作。承办区委、区人民政府交办的其他事项。岳阳楼区司法局主要负责全区司法行政工作。</w:t>
      </w:r>
    </w:p>
    <w:p w14:paraId="496D70B2">
      <w:pPr>
        <w:widowControl/>
        <w:spacing w:line="600" w:lineRule="exact"/>
        <w:ind w:firstLine="643" w:firstLineChars="200"/>
        <w:rPr>
          <w:rFonts w:ascii="仿宋" w:hAnsi="仿宋" w:eastAsia="仿宋" w:cs="仿宋_GB2312"/>
          <w:b/>
          <w:bCs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kern w:val="0"/>
          <w:sz w:val="32"/>
          <w:szCs w:val="32"/>
        </w:rPr>
        <w:t>（二）机构设置</w:t>
      </w:r>
    </w:p>
    <w:p w14:paraId="26CCA743">
      <w:pPr>
        <w:widowControl/>
        <w:spacing w:line="600" w:lineRule="exact"/>
        <w:ind w:firstLine="640" w:firstLineChars="200"/>
        <w:rPr>
          <w:rFonts w:ascii="仿宋" w:hAnsi="仿宋" w:eastAsia="仿宋" w:cs="仿宋_GB2312"/>
          <w:b/>
          <w:bCs/>
          <w:kern w:val="0"/>
          <w:sz w:val="32"/>
          <w:szCs w:val="32"/>
        </w:rPr>
      </w:pPr>
      <w:r>
        <w:rPr>
          <w:rFonts w:ascii="仿宋" w:hAnsi="仿宋" w:eastAsia="仿宋" w:cs="仿宋_GB2312"/>
          <w:kern w:val="0"/>
          <w:sz w:val="32"/>
          <w:szCs w:val="32"/>
        </w:rPr>
        <w:t>本部门现有干部职工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68</w:t>
      </w:r>
      <w:r>
        <w:rPr>
          <w:rFonts w:ascii="仿宋" w:hAnsi="仿宋" w:eastAsia="仿宋" w:cs="仿宋_GB2312"/>
          <w:kern w:val="0"/>
          <w:sz w:val="32"/>
          <w:szCs w:val="32"/>
        </w:rPr>
        <w:t>人，其中：公务员编制干部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42</w:t>
      </w:r>
      <w:r>
        <w:rPr>
          <w:rFonts w:ascii="仿宋" w:hAnsi="仿宋" w:eastAsia="仿宋" w:cs="仿宋_GB2312"/>
          <w:kern w:val="0"/>
          <w:sz w:val="32"/>
          <w:szCs w:val="32"/>
        </w:rPr>
        <w:t>人，事业编制职工26人。本部门内设：办公室、政工室、行政复议股、规范性文件审查股、律师管理股、基层工作管理股、社区矫正工作管理股、法制宣传教育股、执法监督股、财务装备股10个股室；下设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三个二级机构：岳阳市中心城区涉毒重症违法犯罪人员收治中心、岳阳市岳阳楼区法律援助中心、岳阳市岳阳楼区商业纠纷预防调处服务中心。 </w:t>
      </w:r>
    </w:p>
    <w:p w14:paraId="7095F36D">
      <w:pPr>
        <w:ind w:firstLine="320" w:firstLineChars="100"/>
        <w:jc w:val="left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二、一般公共预算支出情况</w:t>
      </w:r>
    </w:p>
    <w:p w14:paraId="6B9DAA8B">
      <w:pPr>
        <w:ind w:firstLine="643" w:firstLineChars="200"/>
        <w:jc w:val="left"/>
        <w:rPr>
          <w:rFonts w:ascii="楷体_GB2312" w:hAnsi="楷体_GB2312" w:eastAsia="楷体_GB2312" w:cs="楷体_GB2312"/>
          <w:b/>
          <w:bCs/>
          <w:color w:val="00000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000000"/>
          <w:sz w:val="32"/>
          <w:szCs w:val="32"/>
        </w:rPr>
        <w:t>(一)基本支出情况</w:t>
      </w:r>
    </w:p>
    <w:p w14:paraId="58AC5E1D">
      <w:pPr>
        <w:spacing w:line="48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2023年基本支出1164.3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仿宋"/>
          <w:sz w:val="32"/>
          <w:szCs w:val="32"/>
        </w:rPr>
        <w:t>万元，主要列支人员工资福利和公用工作经费。具体支出项目如下：</w:t>
      </w:r>
    </w:p>
    <w:p w14:paraId="7936E5AD">
      <w:pPr>
        <w:spacing w:line="48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1.人员工资福利经费支出</w:t>
      </w:r>
      <w:r>
        <w:rPr>
          <w:rFonts w:ascii="仿宋" w:hAnsi="仿宋" w:eastAsia="仿宋" w:cs="仿宋"/>
          <w:sz w:val="32"/>
          <w:szCs w:val="32"/>
        </w:rPr>
        <w:t>937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ascii="仿宋" w:hAnsi="仿宋" w:eastAsia="仿宋" w:cs="仿宋"/>
          <w:sz w:val="32"/>
          <w:szCs w:val="32"/>
        </w:rPr>
        <w:t>79</w:t>
      </w:r>
      <w:r>
        <w:rPr>
          <w:rFonts w:hint="eastAsia" w:ascii="仿宋" w:hAnsi="仿宋" w:eastAsia="仿宋" w:cs="仿宋"/>
          <w:sz w:val="32"/>
          <w:szCs w:val="32"/>
        </w:rPr>
        <w:t>万元，主要用于在职职工基本工资、绩效工资、奖金、津贴补贴、社会保障缴费、住房公积金、伙食补助费等;</w:t>
      </w:r>
    </w:p>
    <w:p w14:paraId="2FC34ED5">
      <w:pPr>
        <w:spacing w:line="48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2.商品和服务支出161.45万元，主要用于办公费、水电费、维修费、劳务费、专用材料费、工会经费等单位基本运行费用支出;</w:t>
      </w:r>
    </w:p>
    <w:p w14:paraId="2444C14E">
      <w:pPr>
        <w:spacing w:line="48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3.对个人和家庭补助支出62.70万元，主要用于退休费支出;</w:t>
      </w:r>
    </w:p>
    <w:p w14:paraId="002D4254">
      <w:pPr>
        <w:widowControl w:val="0"/>
        <w:ind w:firstLine="640" w:firstLineChars="200"/>
        <w:jc w:val="both"/>
        <w:rPr>
          <w:rFonts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4.资本性支出2.42万元,主要用于办公设备购置。</w:t>
      </w:r>
    </w:p>
    <w:p w14:paraId="7F77A804">
      <w:pPr>
        <w:widowControl w:val="0"/>
        <w:ind w:left="0" w:leftChars="0"/>
        <w:jc w:val="both"/>
        <w:rPr>
          <w:rFonts w:ascii="Times New Roman" w:hAnsi="Times New Roman" w:eastAsia="宋体" w:cs="Times New Roman"/>
          <w:kern w:val="2"/>
          <w:sz w:val="21"/>
          <w:szCs w:val="24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 xml:space="preserve">    5.本年度公务接待费1.48万元，公务用车购置和运行维护费4.27元，因公出国（境）费用0.00万元。</w:t>
      </w:r>
    </w:p>
    <w:p w14:paraId="2E094E32">
      <w:pPr>
        <w:numPr>
          <w:ilvl w:val="0"/>
          <w:numId w:val="2"/>
        </w:numPr>
        <w:ind w:firstLine="643" w:firstLineChars="200"/>
        <w:jc w:val="left"/>
        <w:rPr>
          <w:rFonts w:ascii="楷体_GB2312" w:hAnsi="楷体_GB2312" w:eastAsia="楷体_GB2312" w:cs="楷体_GB2312"/>
          <w:b/>
          <w:bCs/>
          <w:color w:val="00000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000000"/>
          <w:sz w:val="32"/>
          <w:szCs w:val="32"/>
        </w:rPr>
        <w:t>项目支出情况</w:t>
      </w:r>
    </w:p>
    <w:p w14:paraId="1F8B2EFD">
      <w:pPr>
        <w:widowControl w:val="0"/>
        <w:ind w:firstLine="640" w:firstLineChars="200"/>
        <w:jc w:val="both"/>
        <w:rPr>
          <w:rFonts w:ascii="仿宋" w:hAnsi="仿宋" w:eastAsia="仿宋" w:cs="仿宋"/>
          <w:kern w:val="2"/>
          <w:sz w:val="32"/>
          <w:szCs w:val="24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24"/>
          <w:lang w:val="en-US" w:eastAsia="zh-CN" w:bidi="ar-SA"/>
        </w:rPr>
        <w:t>2023年项目支出644.79万元，主要列支社区矫正安置帮教、政府购买服务、矛盾多元化调解、法治普法、法律援助、三调联动、戒毒收治中心运行维护等费用。</w:t>
      </w:r>
    </w:p>
    <w:p w14:paraId="654C2DEF">
      <w:pPr>
        <w:tabs>
          <w:tab w:val="left" w:pos="605"/>
        </w:tabs>
        <w:ind w:firstLine="320" w:firstLineChars="100"/>
        <w:jc w:val="left"/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三、政府性基金预算支出情况</w:t>
      </w:r>
      <w:r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  <w:t>（无）</w:t>
      </w:r>
    </w:p>
    <w:p w14:paraId="233A8930">
      <w:pPr>
        <w:tabs>
          <w:tab w:val="left" w:pos="632"/>
        </w:tabs>
        <w:ind w:firstLine="320" w:firstLineChars="100"/>
        <w:jc w:val="left"/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四、国有资本经营预算支出情况</w:t>
      </w:r>
      <w:r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  <w:t>（无）</w:t>
      </w:r>
    </w:p>
    <w:p w14:paraId="013A354B">
      <w:pPr>
        <w:ind w:firstLine="320" w:firstLineChars="100"/>
        <w:jc w:val="left"/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五、社会保险基金预算支出情况</w:t>
      </w:r>
      <w:r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  <w:t>（无）</w:t>
      </w:r>
    </w:p>
    <w:p w14:paraId="5E58F572">
      <w:pPr>
        <w:ind w:firstLine="320" w:firstLineChars="100"/>
        <w:jc w:val="left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六、部门整体支出绩效情况</w:t>
      </w:r>
    </w:p>
    <w:p w14:paraId="607C60A4">
      <w:pPr>
        <w:adjustRightInd w:val="0"/>
        <w:snapToGrid w:val="0"/>
        <w:spacing w:line="400" w:lineRule="exact"/>
        <w:ind w:firstLine="643" w:firstLineChars="200"/>
        <w:contextualSpacing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（一）部门整体支出情况分析</w:t>
      </w:r>
    </w:p>
    <w:p w14:paraId="6E3CC33B">
      <w:pPr>
        <w:adjustRightInd w:val="0"/>
        <w:snapToGrid w:val="0"/>
        <w:spacing w:line="540" w:lineRule="atLeast"/>
        <w:ind w:firstLine="664" w:firstLineChars="200"/>
        <w:contextualSpacing/>
        <w:rPr>
          <w:rFonts w:ascii="仿宋" w:hAnsi="仿宋" w:eastAsia="仿宋" w:cs="仿宋"/>
          <w:spacing w:val="6"/>
          <w:sz w:val="32"/>
          <w:szCs w:val="32"/>
        </w:rPr>
      </w:pPr>
      <w:r>
        <w:rPr>
          <w:rFonts w:hint="eastAsia" w:ascii="仿宋" w:hAnsi="仿宋" w:eastAsia="仿宋" w:cs="仿宋"/>
          <w:spacing w:val="6"/>
          <w:sz w:val="32"/>
          <w:szCs w:val="32"/>
        </w:rPr>
        <w:t>从整体情况来看，我局严格按照年初预算进行部门整体支出。在支出过程中，能严格遵守各项规章制度，“三公经费”明显下降。所有项目都详细制定了方案，严格按方案组织实施，并加强了监督。尤其是在专项经费支出上，我们能专款专用，按项目实施计划的进度情况进行资金拨付，无截留、无挪用等现象。为建设“名副其实的省域副中心城市”目标任务做出了重要贡献。实行了先有预算、后有执行、“用钱必问效、无效必问责”的新常态。</w:t>
      </w:r>
    </w:p>
    <w:p w14:paraId="51F76FD6">
      <w:pPr>
        <w:adjustRightInd w:val="0"/>
        <w:snapToGrid w:val="0"/>
        <w:spacing w:line="400" w:lineRule="exact"/>
        <w:ind w:firstLine="643" w:firstLineChars="200"/>
        <w:contextualSpacing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（二）绩效评价工作情况</w:t>
      </w:r>
    </w:p>
    <w:p w14:paraId="4C19A58D">
      <w:pPr>
        <w:adjustRightInd w:val="0"/>
        <w:snapToGrid w:val="0"/>
        <w:spacing w:line="520" w:lineRule="exact"/>
        <w:ind w:firstLine="664" w:firstLineChars="200"/>
        <w:contextualSpacing/>
        <w:rPr>
          <w:rFonts w:ascii="仿宋" w:hAnsi="仿宋" w:eastAsia="仿宋" w:cs="仿宋"/>
          <w:spacing w:val="6"/>
          <w:sz w:val="32"/>
          <w:szCs w:val="32"/>
        </w:rPr>
      </w:pPr>
      <w:r>
        <w:rPr>
          <w:rFonts w:hint="eastAsia" w:ascii="仿宋" w:hAnsi="仿宋" w:eastAsia="仿宋" w:cs="仿宋"/>
          <w:spacing w:val="6"/>
          <w:sz w:val="32"/>
          <w:szCs w:val="32"/>
        </w:rPr>
        <w:t>1.</w:t>
      </w:r>
      <w:r>
        <w:rPr>
          <w:rFonts w:ascii="仿宋" w:hAnsi="仿宋" w:eastAsia="仿宋" w:cs="仿宋"/>
          <w:spacing w:val="6"/>
          <w:sz w:val="32"/>
          <w:szCs w:val="32"/>
        </w:rPr>
        <w:t>绩效评价目的</w:t>
      </w:r>
    </w:p>
    <w:p w14:paraId="5E5CD43E">
      <w:pPr>
        <w:adjustRightInd w:val="0"/>
        <w:snapToGrid w:val="0"/>
        <w:spacing w:line="520" w:lineRule="exact"/>
        <w:ind w:firstLine="664" w:firstLineChars="200"/>
        <w:contextualSpacing/>
        <w:rPr>
          <w:rFonts w:ascii="仿宋" w:hAnsi="仿宋" w:eastAsia="仿宋" w:cs="仿宋"/>
          <w:spacing w:val="6"/>
          <w:sz w:val="32"/>
          <w:szCs w:val="32"/>
        </w:rPr>
      </w:pPr>
      <w:r>
        <w:rPr>
          <w:rFonts w:ascii="仿宋" w:hAnsi="仿宋" w:eastAsia="仿宋" w:cs="仿宋"/>
          <w:spacing w:val="6"/>
          <w:sz w:val="32"/>
          <w:szCs w:val="32"/>
        </w:rPr>
        <w:t>此次绩效评价的目的是：严格落实《预算法》及省、市</w:t>
      </w:r>
      <w:r>
        <w:rPr>
          <w:rFonts w:hint="eastAsia" w:ascii="仿宋" w:hAnsi="仿宋" w:eastAsia="仿宋" w:cs="仿宋"/>
          <w:spacing w:val="6"/>
          <w:sz w:val="32"/>
          <w:szCs w:val="32"/>
        </w:rPr>
        <w:t>、区</w:t>
      </w:r>
      <w:r>
        <w:rPr>
          <w:rFonts w:ascii="仿宋" w:hAnsi="仿宋" w:eastAsia="仿宋" w:cs="仿宋"/>
          <w:spacing w:val="6"/>
          <w:sz w:val="32"/>
          <w:szCs w:val="32"/>
        </w:rPr>
        <w:t>绩效管理工作的有关规定，进一步规范财政资金的管理，强化财政支出绩效理念，提升部门责任意识，提高资金使用效益，促进</w:t>
      </w:r>
      <w:r>
        <w:rPr>
          <w:rFonts w:hint="eastAsia" w:ascii="仿宋" w:hAnsi="仿宋" w:eastAsia="仿宋" w:cs="仿宋"/>
          <w:spacing w:val="6"/>
          <w:sz w:val="32"/>
          <w:szCs w:val="32"/>
        </w:rPr>
        <w:t>司法</w:t>
      </w:r>
      <w:r>
        <w:rPr>
          <w:rFonts w:ascii="仿宋" w:hAnsi="仿宋" w:eastAsia="仿宋" w:cs="仿宋"/>
          <w:spacing w:val="6"/>
          <w:sz w:val="32"/>
          <w:szCs w:val="32"/>
        </w:rPr>
        <w:t>事业的发展。</w:t>
      </w:r>
    </w:p>
    <w:p w14:paraId="7D606E70">
      <w:pPr>
        <w:adjustRightInd w:val="0"/>
        <w:snapToGrid w:val="0"/>
        <w:spacing w:line="520" w:lineRule="exact"/>
        <w:ind w:firstLine="664" w:firstLineChars="200"/>
        <w:contextualSpacing/>
        <w:rPr>
          <w:rFonts w:ascii="仿宋" w:hAnsi="仿宋" w:eastAsia="仿宋" w:cs="仿宋"/>
          <w:spacing w:val="6"/>
          <w:sz w:val="32"/>
          <w:szCs w:val="32"/>
        </w:rPr>
      </w:pPr>
      <w:r>
        <w:rPr>
          <w:rFonts w:hint="eastAsia" w:ascii="仿宋" w:hAnsi="仿宋" w:eastAsia="仿宋" w:cs="仿宋"/>
          <w:spacing w:val="6"/>
          <w:sz w:val="32"/>
          <w:szCs w:val="32"/>
        </w:rPr>
        <w:t>2.</w:t>
      </w:r>
      <w:r>
        <w:rPr>
          <w:rFonts w:ascii="仿宋" w:hAnsi="仿宋" w:eastAsia="仿宋" w:cs="仿宋"/>
          <w:spacing w:val="6"/>
          <w:sz w:val="32"/>
          <w:szCs w:val="32"/>
        </w:rPr>
        <w:t>绩效评价的主要过程</w:t>
      </w:r>
    </w:p>
    <w:p w14:paraId="2B038CFE">
      <w:pPr>
        <w:adjustRightInd w:val="0"/>
        <w:snapToGrid w:val="0"/>
        <w:spacing w:line="520" w:lineRule="exact"/>
        <w:ind w:firstLine="664" w:firstLineChars="200"/>
        <w:contextualSpacing/>
        <w:rPr>
          <w:rFonts w:ascii="仿宋" w:hAnsi="仿宋" w:eastAsia="仿宋" w:cs="仿宋"/>
          <w:spacing w:val="6"/>
          <w:sz w:val="32"/>
          <w:szCs w:val="32"/>
        </w:rPr>
      </w:pPr>
      <w:r>
        <w:rPr>
          <w:rFonts w:ascii="仿宋" w:hAnsi="仿宋" w:eastAsia="仿宋" w:cs="仿宋"/>
          <w:spacing w:val="6"/>
          <w:sz w:val="32"/>
          <w:szCs w:val="32"/>
        </w:rPr>
        <w:t>根据绩效评价的要求，我们成立了自评工作领导小组，对照自评方案进行研究和布署，党</w:t>
      </w:r>
      <w:r>
        <w:rPr>
          <w:rFonts w:hint="eastAsia" w:ascii="仿宋" w:hAnsi="仿宋" w:eastAsia="仿宋" w:cs="仿宋"/>
          <w:spacing w:val="6"/>
          <w:sz w:val="32"/>
          <w:szCs w:val="32"/>
          <w:lang w:eastAsia="zh-CN"/>
        </w:rPr>
        <w:t>组</w:t>
      </w:r>
      <w:r>
        <w:rPr>
          <w:rFonts w:ascii="仿宋" w:hAnsi="仿宋" w:eastAsia="仿宋" w:cs="仿宋"/>
          <w:spacing w:val="6"/>
          <w:sz w:val="32"/>
          <w:szCs w:val="32"/>
        </w:rPr>
        <w:t>成员及机关各</w:t>
      </w:r>
      <w:r>
        <w:rPr>
          <w:rFonts w:hint="eastAsia" w:ascii="仿宋" w:hAnsi="仿宋" w:eastAsia="仿宋" w:cs="仿宋"/>
          <w:spacing w:val="6"/>
          <w:sz w:val="32"/>
          <w:szCs w:val="32"/>
        </w:rPr>
        <w:t>股</w:t>
      </w:r>
      <w:r>
        <w:rPr>
          <w:rFonts w:ascii="仿宋" w:hAnsi="仿宋" w:eastAsia="仿宋" w:cs="仿宋"/>
          <w:spacing w:val="6"/>
          <w:sz w:val="32"/>
          <w:szCs w:val="32"/>
        </w:rPr>
        <w:t>室</w:t>
      </w:r>
      <w:r>
        <w:rPr>
          <w:rFonts w:hint="eastAsia" w:ascii="仿宋" w:hAnsi="仿宋" w:eastAsia="仿宋" w:cs="仿宋"/>
          <w:spacing w:val="6"/>
          <w:sz w:val="32"/>
          <w:szCs w:val="32"/>
        </w:rPr>
        <w:t>成员</w:t>
      </w:r>
      <w:r>
        <w:rPr>
          <w:rFonts w:ascii="仿宋" w:hAnsi="仿宋" w:eastAsia="仿宋" w:cs="仿宋"/>
          <w:spacing w:val="6"/>
          <w:sz w:val="32"/>
          <w:szCs w:val="32"/>
        </w:rPr>
        <w:t>全程参与，按照自评方案的要求，对照各实施项目的内容逐条逐项自评。在自评过程发现问题，查找原因，及时纠正偏差，为下一步工作夯实基础。</w:t>
      </w:r>
    </w:p>
    <w:p w14:paraId="1051EA61">
      <w:pPr>
        <w:adjustRightInd w:val="0"/>
        <w:snapToGrid w:val="0"/>
        <w:spacing w:line="400" w:lineRule="exact"/>
        <w:ind w:firstLine="643" w:firstLineChars="200"/>
        <w:contextualSpacing/>
        <w:rPr>
          <w:rFonts w:ascii="宋体" w:hAnsi="宋体" w:eastAsia="宋体" w:cs="宋体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（三）主要绩效及评价结论</w:t>
      </w:r>
    </w:p>
    <w:p w14:paraId="4DF15AAC">
      <w:pPr>
        <w:adjustRightInd w:val="0"/>
        <w:snapToGrid w:val="0"/>
        <w:spacing w:line="520" w:lineRule="exact"/>
        <w:ind w:firstLine="855" w:firstLineChars="25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1.全面依法治区工作稳步前进</w:t>
      </w:r>
    </w:p>
    <w:p w14:paraId="7D67F5F8">
      <w:pPr>
        <w:adjustRightInd w:val="0"/>
        <w:snapToGrid w:val="0"/>
        <w:spacing w:line="520" w:lineRule="exact"/>
        <w:ind w:firstLine="687" w:firstLineChars="200"/>
        <w:contextualSpacing/>
        <w:rPr>
          <w:rFonts w:hint="eastAsia"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pacing w:val="11"/>
          <w:position w:val="1"/>
          <w:sz w:val="32"/>
          <w:szCs w:val="32"/>
        </w:rPr>
        <w:t>（1）积极创建全国法治政府建设示范区。</w:t>
      </w: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2021年5月12日，我区被正式命名为全省首批法治政府建设示范区。2023年，我局将申创全国法治政府建设示范区纳入重点工作，进行专项部署。</w:t>
      </w:r>
    </w:p>
    <w:p w14:paraId="20FFAF7E">
      <w:pPr>
        <w:adjustRightInd w:val="0"/>
        <w:snapToGrid w:val="0"/>
        <w:spacing w:line="520" w:lineRule="exact"/>
        <w:ind w:firstLine="684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（</w:t>
      </w:r>
      <w:r>
        <w:rPr>
          <w:rFonts w:hint="eastAsia" w:ascii="仿宋" w:hAnsi="仿宋" w:eastAsia="仿宋" w:cs="仿宋"/>
          <w:b/>
          <w:bCs/>
          <w:spacing w:val="11"/>
          <w:position w:val="1"/>
          <w:sz w:val="32"/>
          <w:szCs w:val="32"/>
        </w:rPr>
        <w:t>2）持续深化行政复议体制改革落地成效。一是</w:t>
      </w: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健全行政复议案件审理机制。2023年办理行政复议案件154件（办结139件）；办理或组织、协调、指导行政应诉案件139件，代理区政府出庭应诉的案件48件，为违建整治、危房治理等重要工作以及重大诉讼案件提供法律意见45份</w:t>
      </w:r>
      <w:r>
        <w:rPr>
          <w:rFonts w:hint="eastAsia" w:ascii="仿宋" w:hAnsi="仿宋" w:eastAsia="仿宋" w:cs="仿宋"/>
          <w:spacing w:val="11"/>
          <w:position w:val="1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牵头组织参与和宸公司案、龙峰公司案等重大案件研讨会、调度会，为案件办理提供法律分析与支持。</w:t>
      </w:r>
    </w:p>
    <w:p w14:paraId="6E926D72">
      <w:pPr>
        <w:adjustRightInd w:val="0"/>
        <w:snapToGrid w:val="0"/>
        <w:spacing w:line="520" w:lineRule="exact"/>
        <w:ind w:firstLine="687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pacing w:val="11"/>
          <w:position w:val="1"/>
          <w:sz w:val="32"/>
          <w:szCs w:val="32"/>
        </w:rPr>
        <w:t>（3）开创依法治区工作新局面</w:t>
      </w:r>
      <w:r>
        <w:rPr>
          <w:rFonts w:hint="eastAsia" w:ascii="仿宋" w:hAnsi="仿宋" w:eastAsia="仿宋" w:cs="仿宋"/>
          <w:b/>
          <w:spacing w:val="11"/>
          <w:position w:val="1"/>
          <w:sz w:val="32"/>
          <w:szCs w:val="32"/>
        </w:rPr>
        <w:t>。</w:t>
      </w: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对城管直属一大队、区市场监督管理局等7家单位开展专项法治建设督察；组织全区347名执法工作人员参加行政执法资格考试，合格人数156人</w:t>
      </w:r>
      <w:r>
        <w:rPr>
          <w:rFonts w:hint="eastAsia" w:ascii="仿宋" w:hAnsi="仿宋" w:eastAsia="仿宋" w:cs="仿宋"/>
          <w:b/>
          <w:bCs/>
          <w:spacing w:val="11"/>
          <w:position w:val="1"/>
          <w:sz w:val="32"/>
          <w:szCs w:val="32"/>
        </w:rPr>
        <w:t>；</w:t>
      </w: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开设周五执法培训“微”课堂、行政执法干部交流研讨会；5月16日-18日，组织全区41个区直单位及街道（乡）的法治工作骨干开展全区行政执法人员业务培训；制发《岳阳楼区人民政府行政规范性文件管理办法》</w:t>
      </w:r>
      <w:r>
        <w:rPr>
          <w:rFonts w:hint="eastAsia" w:ascii="仿宋" w:hAnsi="仿宋" w:eastAsia="仿宋" w:cs="仿宋"/>
          <w:spacing w:val="11"/>
          <w:position w:val="1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共审查规范性文件7件，其他文件、合同、协议等100件，为政府依法决策提供了强有力的法治保障。</w:t>
      </w:r>
    </w:p>
    <w:p w14:paraId="1007E118">
      <w:pPr>
        <w:adjustRightInd w:val="0"/>
        <w:snapToGrid w:val="0"/>
        <w:spacing w:line="520" w:lineRule="exact"/>
        <w:ind w:firstLine="687" w:firstLineChars="200"/>
        <w:contextualSpacing/>
        <w:rPr>
          <w:rFonts w:ascii="仿宋" w:hAnsi="仿宋" w:eastAsia="仿宋" w:cs="仿宋"/>
          <w:bCs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b/>
          <w:spacing w:val="11"/>
          <w:position w:val="1"/>
          <w:sz w:val="32"/>
          <w:szCs w:val="32"/>
        </w:rPr>
        <w:t>（4）全面提升依法行政水平。</w:t>
      </w:r>
      <w:r>
        <w:rPr>
          <w:rFonts w:hint="eastAsia" w:ascii="仿宋" w:hAnsi="仿宋" w:eastAsia="仿宋" w:cs="仿宋"/>
          <w:bCs/>
          <w:spacing w:val="11"/>
          <w:position w:val="1"/>
          <w:sz w:val="32"/>
          <w:szCs w:val="32"/>
        </w:rPr>
        <w:t>审议通过《2023年度岳阳楼区人民政府重大行政决策事项目录、标准清单》；聘请1家顾问单位、11名法学专家和社会律师担任区政府法律顾问，推动35家行政执法单位、15家街道（乡）配备专门法律顾问</w:t>
      </w:r>
      <w:r>
        <w:rPr>
          <w:rFonts w:hint="eastAsia" w:ascii="仿宋" w:hAnsi="仿宋" w:eastAsia="仿宋" w:cs="仿宋"/>
          <w:b/>
          <w:spacing w:val="11"/>
          <w:position w:val="1"/>
          <w:sz w:val="32"/>
          <w:szCs w:val="32"/>
        </w:rPr>
        <w:t>；</w:t>
      </w:r>
      <w:r>
        <w:rPr>
          <w:rFonts w:hint="eastAsia" w:ascii="仿宋" w:hAnsi="仿宋" w:eastAsia="仿宋" w:cs="仿宋"/>
          <w:bCs/>
          <w:spacing w:val="11"/>
          <w:position w:val="1"/>
          <w:sz w:val="32"/>
          <w:szCs w:val="32"/>
        </w:rPr>
        <w:t>组织43家行政执法资格考试。</w:t>
      </w:r>
    </w:p>
    <w:p w14:paraId="3A3193E8">
      <w:pPr>
        <w:adjustRightInd w:val="0"/>
        <w:snapToGrid w:val="0"/>
        <w:spacing w:line="520" w:lineRule="exact"/>
        <w:ind w:firstLine="684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2.市域社会治理现代化工作成效显著</w:t>
      </w:r>
    </w:p>
    <w:p w14:paraId="218A93F9">
      <w:pPr>
        <w:adjustRightInd w:val="0"/>
        <w:snapToGrid w:val="0"/>
        <w:spacing w:line="520" w:lineRule="exact"/>
        <w:ind w:firstLine="684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（1）推动岳阳楼、站前路、城陵矶、洛王、东茅岭、金鹗山等所重新选址或提质改造。</w:t>
      </w:r>
    </w:p>
    <w:p w14:paraId="1650E2C5">
      <w:pPr>
        <w:adjustRightInd w:val="0"/>
        <w:snapToGrid w:val="0"/>
        <w:spacing w:line="520" w:lineRule="exact"/>
        <w:ind w:firstLine="687" w:firstLineChars="200"/>
        <w:contextualSpacing/>
        <w:rPr>
          <w:rFonts w:ascii="仿宋" w:hAnsi="仿宋" w:eastAsia="仿宋" w:cs="仿宋"/>
          <w:bCs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pacing w:val="11"/>
          <w:position w:val="1"/>
          <w:sz w:val="32"/>
          <w:szCs w:val="32"/>
        </w:rPr>
        <w:t>（2）</w:t>
      </w:r>
      <w:r>
        <w:rPr>
          <w:rFonts w:hint="eastAsia" w:ascii="仿宋" w:hAnsi="仿宋" w:eastAsia="仿宋" w:cs="仿宋"/>
          <w:bCs/>
          <w:spacing w:val="11"/>
          <w:position w:val="1"/>
          <w:sz w:val="32"/>
          <w:szCs w:val="32"/>
        </w:rPr>
        <w:t>加强对矫正人员的管控。今年以来，</w:t>
      </w:r>
      <w:r>
        <w:rPr>
          <w:rFonts w:hint="eastAsia" w:ascii="仿宋" w:hAnsi="仿宋" w:eastAsia="仿宋" w:cs="仿宋"/>
          <w:bCs/>
          <w:spacing w:val="11"/>
          <w:position w:val="1"/>
          <w:sz w:val="32"/>
          <w:szCs w:val="32"/>
          <w:lang w:eastAsia="zh-CN"/>
        </w:rPr>
        <w:t>全年</w:t>
      </w:r>
      <w:r>
        <w:rPr>
          <w:rFonts w:hint="eastAsia" w:ascii="仿宋" w:hAnsi="仿宋" w:eastAsia="仿宋" w:cs="仿宋"/>
          <w:bCs/>
          <w:spacing w:val="11"/>
          <w:position w:val="1"/>
          <w:sz w:val="32"/>
          <w:szCs w:val="32"/>
        </w:rPr>
        <w:t>共接收社区矫正对象309人，解除225人，在册344人，实现了“零脱管”“零漏管”；对刑满释放人员和解除矫正人员的衔接管控，形成全方位的帮教管理，</w:t>
      </w:r>
      <w:r>
        <w:rPr>
          <w:rFonts w:hint="eastAsia" w:ascii="仿宋" w:hAnsi="仿宋" w:eastAsia="仿宋" w:cs="仿宋"/>
          <w:bCs/>
          <w:spacing w:val="11"/>
          <w:position w:val="1"/>
          <w:sz w:val="32"/>
          <w:szCs w:val="32"/>
          <w:lang w:eastAsia="zh-CN"/>
        </w:rPr>
        <w:t>全年</w:t>
      </w:r>
      <w:r>
        <w:rPr>
          <w:rFonts w:hint="eastAsia" w:ascii="仿宋" w:hAnsi="仿宋" w:eastAsia="仿宋" w:cs="仿宋"/>
          <w:bCs/>
          <w:spacing w:val="11"/>
          <w:position w:val="1"/>
          <w:sz w:val="32"/>
          <w:szCs w:val="32"/>
        </w:rPr>
        <w:t>共接收安置帮教对象408人，接回重点对象13人，接回率达100%；接收法院、检察院平台线上流转调查评估委托227件；办理社区矫正对象入矫登记128人；实时传送回复来自公安部门推送的外部监管信息245条。</w:t>
      </w:r>
    </w:p>
    <w:p w14:paraId="6CEAE1D7">
      <w:pPr>
        <w:adjustRightInd w:val="0"/>
        <w:snapToGrid w:val="0"/>
        <w:spacing w:line="520" w:lineRule="exact"/>
        <w:ind w:firstLine="687" w:firstLineChars="200"/>
        <w:contextualSpacing/>
        <w:rPr>
          <w:rFonts w:hint="eastAsia" w:ascii="仿宋" w:hAnsi="仿宋" w:eastAsia="仿宋" w:cs="仿宋"/>
          <w:bCs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b/>
          <w:spacing w:val="11"/>
          <w:position w:val="1"/>
          <w:sz w:val="32"/>
          <w:szCs w:val="32"/>
        </w:rPr>
        <w:t>（3）加大全区病残吸毒人员收治力度。</w:t>
      </w:r>
      <w:r>
        <w:rPr>
          <w:rFonts w:hint="eastAsia" w:ascii="仿宋" w:hAnsi="仿宋" w:eastAsia="仿宋" w:cs="仿宋"/>
          <w:b w:val="0"/>
          <w:bCs/>
          <w:spacing w:val="11"/>
          <w:position w:val="1"/>
          <w:sz w:val="32"/>
          <w:szCs w:val="32"/>
          <w:lang w:eastAsia="zh-CN"/>
        </w:rPr>
        <w:t>全年</w:t>
      </w:r>
      <w:r>
        <w:rPr>
          <w:rFonts w:hint="eastAsia" w:ascii="仿宋" w:hAnsi="仿宋" w:eastAsia="仿宋" w:cs="仿宋"/>
          <w:bCs/>
          <w:spacing w:val="11"/>
          <w:position w:val="1"/>
          <w:sz w:val="32"/>
          <w:szCs w:val="32"/>
        </w:rPr>
        <w:t>共依法收治病残吸毒人员30人；将2022年按市防疫指挥部指令收押的33名收治学员顺利移交给岳阳县收治中心；投入资金五万多元，对中心安防进行了全面整改升级。</w:t>
      </w:r>
    </w:p>
    <w:p w14:paraId="396CB4D0">
      <w:pPr>
        <w:adjustRightInd w:val="0"/>
        <w:snapToGrid w:val="0"/>
        <w:spacing w:line="520" w:lineRule="exact"/>
        <w:ind w:firstLine="687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pacing w:val="11"/>
          <w:position w:val="1"/>
          <w:sz w:val="32"/>
          <w:szCs w:val="32"/>
        </w:rPr>
        <w:t>（4）大力推介“群英断是非”工作法。</w:t>
      </w: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我局结合“群英断是非”工作法和基层调解工作，</w:t>
      </w:r>
      <w:r>
        <w:rPr>
          <w:rFonts w:hint="eastAsia" w:ascii="仿宋" w:hAnsi="仿宋" w:eastAsia="仿宋" w:cs="仿宋"/>
          <w:spacing w:val="11"/>
          <w:position w:val="1"/>
          <w:sz w:val="32"/>
          <w:szCs w:val="32"/>
          <w:lang w:eastAsia="zh-CN"/>
        </w:rPr>
        <w:t>全</w:t>
      </w: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年共调解各类矛盾纠纷1277起，调解成功1232起，调处成功率为96.48%。；组织全区行业性专业性调委会、街道（乡）调委会、社区（村）调委会调解员开展了2次全区人民调解专项培训；对司法所指导管理人民调解、参与实施“群英断是非”工作法情况进行视察，并组织人民调解案件“百案评查、优案评选”活动。</w:t>
      </w:r>
    </w:p>
    <w:p w14:paraId="14AA84DE">
      <w:pPr>
        <w:adjustRightInd w:val="0"/>
        <w:snapToGrid w:val="0"/>
        <w:spacing w:line="520" w:lineRule="exact"/>
        <w:ind w:firstLine="684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3.打造便捷高效惠民的公共法律服务体系</w:t>
      </w:r>
    </w:p>
    <w:p w14:paraId="4EF91708">
      <w:pPr>
        <w:adjustRightInd w:val="0"/>
        <w:snapToGrid w:val="0"/>
        <w:spacing w:line="520" w:lineRule="exact"/>
        <w:ind w:firstLine="687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pacing w:val="11"/>
          <w:position w:val="1"/>
          <w:sz w:val="32"/>
          <w:szCs w:val="32"/>
        </w:rPr>
        <w:t>（1）推动普法与依法治理工作有机融合。</w:t>
      </w:r>
      <w:r>
        <w:rPr>
          <w:rFonts w:hint="eastAsia" w:ascii="仿宋" w:hAnsi="仿宋" w:eastAsia="仿宋" w:cs="仿宋"/>
          <w:b w:val="0"/>
          <w:bCs w:val="0"/>
          <w:spacing w:val="11"/>
          <w:position w:val="1"/>
          <w:sz w:val="32"/>
          <w:szCs w:val="32"/>
          <w:lang w:eastAsia="zh-CN"/>
        </w:rPr>
        <w:t>全</w:t>
      </w:r>
      <w:r>
        <w:rPr>
          <w:rFonts w:hint="eastAsia" w:ascii="仿宋" w:hAnsi="仿宋" w:eastAsia="仿宋" w:cs="仿宋"/>
          <w:b w:val="0"/>
          <w:bCs w:val="0"/>
          <w:spacing w:val="11"/>
          <w:position w:val="1"/>
          <w:sz w:val="32"/>
          <w:szCs w:val="32"/>
        </w:rPr>
        <w:t>年</w:t>
      </w: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开展普法宣传活动36场，提供免费法律咨询1100余人次，发放宣传资料13000余份；择优选拔10名干部担任中小学校的法治副校长，在市十中、东升小学、市一幼等10所中小学校开展法治讲堂18次，发放宣传资料15000余本；组织全区近一万名国家工作人员开展网上学法用法考试，参考率与通过率都达到100%。</w:t>
      </w:r>
    </w:p>
    <w:p w14:paraId="1FBB894C">
      <w:pPr>
        <w:adjustRightInd w:val="0"/>
        <w:snapToGrid w:val="0"/>
        <w:spacing w:line="520" w:lineRule="exact"/>
        <w:ind w:firstLine="687" w:firstLineChars="200"/>
        <w:contextualSpacing/>
        <w:rPr>
          <w:rFonts w:hint="eastAsia" w:ascii="仿宋" w:hAnsi="仿宋" w:eastAsia="仿宋" w:cs="仿宋"/>
          <w:spacing w:val="11"/>
          <w:position w:val="1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spacing w:val="11"/>
          <w:position w:val="1"/>
          <w:sz w:val="32"/>
          <w:szCs w:val="32"/>
        </w:rPr>
        <w:t>（2）</w:t>
      </w:r>
      <w:r>
        <w:rPr>
          <w:rFonts w:ascii="仿宋" w:hAnsi="仿宋" w:eastAsia="仿宋" w:cs="仿宋"/>
          <w:b/>
          <w:spacing w:val="11"/>
          <w:position w:val="1"/>
          <w:sz w:val="32"/>
          <w:szCs w:val="32"/>
        </w:rPr>
        <w:t>提高</w:t>
      </w:r>
      <w:r>
        <w:rPr>
          <w:rFonts w:hint="eastAsia" w:ascii="仿宋" w:hAnsi="仿宋" w:eastAsia="仿宋" w:cs="仿宋"/>
          <w:b/>
          <w:spacing w:val="11"/>
          <w:position w:val="1"/>
          <w:sz w:val="32"/>
          <w:szCs w:val="32"/>
        </w:rPr>
        <w:t>便民</w:t>
      </w:r>
      <w:r>
        <w:rPr>
          <w:rFonts w:ascii="仿宋" w:hAnsi="仿宋" w:eastAsia="仿宋" w:cs="仿宋"/>
          <w:b/>
          <w:spacing w:val="11"/>
          <w:position w:val="1"/>
          <w:sz w:val="32"/>
          <w:szCs w:val="32"/>
        </w:rPr>
        <w:t>公共法律服务水平</w:t>
      </w:r>
      <w:r>
        <w:rPr>
          <w:rFonts w:hint="eastAsia" w:ascii="仿宋" w:hAnsi="仿宋" w:eastAsia="仿宋" w:cs="仿宋"/>
          <w:b/>
          <w:spacing w:val="11"/>
          <w:position w:val="1"/>
          <w:sz w:val="32"/>
          <w:szCs w:val="32"/>
        </w:rPr>
        <w:t>。</w:t>
      </w:r>
      <w:r>
        <w:rPr>
          <w:rFonts w:hint="eastAsia" w:ascii="仿宋" w:hAnsi="仿宋" w:eastAsia="仿宋" w:cs="仿宋"/>
          <w:b w:val="0"/>
          <w:bCs/>
          <w:spacing w:val="11"/>
          <w:position w:val="1"/>
          <w:sz w:val="32"/>
          <w:szCs w:val="32"/>
          <w:lang w:eastAsia="zh-CN"/>
        </w:rPr>
        <w:t>全年</w:t>
      </w: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共受理各类法律援助案件384件，接待网络、热线、实体平台各类法律咨询近1500人次及两起特殊群体性案件；组建“法律援助”服务团队，为全区防范化解风险隐患贡献法治力量</w:t>
      </w:r>
      <w:r>
        <w:rPr>
          <w:rFonts w:hint="eastAsia" w:ascii="仿宋" w:hAnsi="仿宋" w:eastAsia="仿宋" w:cs="仿宋"/>
          <w:spacing w:val="11"/>
          <w:position w:val="1"/>
          <w:sz w:val="32"/>
          <w:szCs w:val="32"/>
          <w:lang w:eastAsia="zh-CN"/>
        </w:rPr>
        <w:t>。</w:t>
      </w:r>
    </w:p>
    <w:p w14:paraId="57C4E507">
      <w:pPr>
        <w:adjustRightInd w:val="0"/>
        <w:snapToGrid w:val="0"/>
        <w:spacing w:line="520" w:lineRule="exact"/>
        <w:ind w:firstLine="687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pacing w:val="11"/>
          <w:position w:val="1"/>
          <w:sz w:val="32"/>
          <w:szCs w:val="32"/>
        </w:rPr>
        <w:t>（3）扎实开展“走基层、惠民生”活动。</w:t>
      </w:r>
      <w:r>
        <w:rPr>
          <w:rFonts w:hint="eastAsia" w:ascii="仿宋" w:hAnsi="仿宋" w:eastAsia="仿宋" w:cs="仿宋"/>
          <w:b w:val="0"/>
          <w:bCs w:val="0"/>
          <w:spacing w:val="11"/>
          <w:position w:val="1"/>
          <w:sz w:val="32"/>
          <w:szCs w:val="32"/>
          <w:lang w:eastAsia="zh-CN"/>
        </w:rPr>
        <w:t>全年</w:t>
      </w: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组织全区律师和基层法律工作者开展了为期3个月的专题活动，开展法治宣传教育活动41次；推进一村（社区）一法律顾问工作，共聘请法律顾问的村（居）108个，顾问律师108名，村（社区）法律顾问覆盖率达到 100%；组织全区各律所开展“千所联千企”专项活动，“一对一”精准提供法律服务，共开展惠民惠企普法宣传、法律咨询60余次。</w:t>
      </w:r>
    </w:p>
    <w:p w14:paraId="415EE05A">
      <w:pPr>
        <w:adjustRightInd w:val="0"/>
        <w:snapToGrid w:val="0"/>
        <w:spacing w:line="520" w:lineRule="exact"/>
        <w:ind w:firstLine="684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4.建设干净担当、专业内行的司法行政队伍</w:t>
      </w:r>
    </w:p>
    <w:p w14:paraId="5B4EB3EE">
      <w:pPr>
        <w:adjustRightInd w:val="0"/>
        <w:snapToGrid w:val="0"/>
        <w:spacing w:line="520" w:lineRule="exact"/>
        <w:ind w:firstLine="687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pacing w:val="11"/>
          <w:position w:val="1"/>
          <w:sz w:val="32"/>
          <w:szCs w:val="32"/>
        </w:rPr>
        <w:t>（1）加强意识形态理论学习。</w:t>
      </w: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制定《2023年岳阳楼区司法局理论学习中心组专题学习实施方案》；常态化开展青年法治讲堂，共开展青年法治讲堂8次，增强了干部职工的法治素养和依法行政能力。</w:t>
      </w:r>
    </w:p>
    <w:p w14:paraId="30F8097D">
      <w:pPr>
        <w:adjustRightInd w:val="0"/>
        <w:snapToGrid w:val="0"/>
        <w:spacing w:line="520" w:lineRule="exact"/>
        <w:ind w:firstLine="687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pacing w:val="11"/>
          <w:position w:val="1"/>
          <w:sz w:val="32"/>
          <w:szCs w:val="32"/>
        </w:rPr>
        <w:t>（2）优化司法行政队伍政治生态。</w:t>
      </w: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认真开展“两带头五整治”纠风防腐专项行动、深化整治利用领导干部职权或影响力“打牌子”“提篮子”牟取利益问题专项工作、党员干部和公职人员酒驾醉驾问题专项治理工作等专项整治活动；在“元旦”、“春节”等节假日期间，配合派驻纪检组大力开展廉政建设专项督查，重点督查公车私用、财务报账、工会经费、公务接待、扫黑除恶及扶贫领域作风等方面的问题。</w:t>
      </w:r>
    </w:p>
    <w:p w14:paraId="3F36BFA0">
      <w:pPr>
        <w:adjustRightInd w:val="0"/>
        <w:snapToGrid w:val="0"/>
        <w:spacing w:line="520" w:lineRule="exact"/>
        <w:ind w:firstLine="684" w:firstLineChars="200"/>
        <w:contextualSpacing/>
        <w:rPr>
          <w:rFonts w:hint="eastAsia"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（3） 2023年我局深入推动市级文明单位申创工作。</w:t>
      </w:r>
    </w:p>
    <w:p w14:paraId="17979BB7">
      <w:pPr>
        <w:adjustRightInd w:val="0"/>
        <w:snapToGrid w:val="0"/>
        <w:spacing w:line="520" w:lineRule="exact"/>
        <w:ind w:firstLine="684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根据对我单位2023年部门整体支出项目绩效评价指标体系和绩效情况的检查，2023年我单位部门整体绩效自评分9</w:t>
      </w:r>
      <w:r>
        <w:rPr>
          <w:rFonts w:hint="eastAsia" w:ascii="仿宋" w:hAnsi="仿宋" w:eastAsia="仿宋" w:cs="仿宋"/>
          <w:spacing w:val="11"/>
          <w:position w:val="1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分，为“优”等级。</w:t>
      </w:r>
    </w:p>
    <w:p w14:paraId="416992DA">
      <w:pPr>
        <w:numPr>
          <w:ilvl w:val="0"/>
          <w:numId w:val="3"/>
        </w:numPr>
        <w:ind w:firstLine="640" w:firstLineChars="200"/>
        <w:jc w:val="left"/>
        <w:rPr>
          <w:rFonts w:hint="eastAsia"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存在的问题及原因分析</w:t>
      </w:r>
    </w:p>
    <w:p w14:paraId="1838663B">
      <w:pPr>
        <w:adjustRightInd w:val="0"/>
        <w:snapToGrid w:val="0"/>
        <w:spacing w:line="520" w:lineRule="exact"/>
        <w:ind w:firstLine="684" w:firstLineChars="200"/>
        <w:contextualSpacing/>
        <w:rPr>
          <w:rFonts w:hint="eastAsia"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（一）行政执法水平有待加强。一是执法权限有待进一步理清。二是执法力量不均衡，部分行政执法单位持证人数无法满足执法需求，一线执法人员法治素养不高，专业水平有待进一步加强。</w:t>
      </w:r>
    </w:p>
    <w:p w14:paraId="18A1AA1D">
      <w:pPr>
        <w:adjustRightInd w:val="0"/>
        <w:snapToGrid w:val="0"/>
        <w:spacing w:line="520" w:lineRule="exact"/>
        <w:ind w:firstLine="684" w:firstLineChars="200"/>
        <w:contextualSpacing/>
        <w:rPr>
          <w:rFonts w:hint="eastAsia"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（二）全区司法行政队伍力量相对薄弱。随着行政复议、行政诉讼案件的不断增长，但目前我局取得法律职业资格证的同事仅有6人，在未新增专业人员及编制的情况下，人手紧张，人案矛盾突出。</w:t>
      </w:r>
    </w:p>
    <w:p w14:paraId="10D2BD72">
      <w:pPr>
        <w:adjustRightInd w:val="0"/>
        <w:snapToGrid w:val="0"/>
        <w:spacing w:line="520" w:lineRule="exact"/>
        <w:ind w:firstLine="684" w:firstLineChars="200"/>
        <w:contextualSpacing/>
        <w:rPr>
          <w:rFonts w:hint="eastAsia"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（三）相关制度落实有待加强。部分行政机关存在“重实体、轻程序”的现象。随意简化程序或者不遵守程序的现象较为突出；</w:t>
      </w:r>
      <w:bookmarkStart w:id="0" w:name="_GoBack"/>
      <w:bookmarkEnd w:id="0"/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“谁执法、谁普法”普法责任制度落实还不到位。</w:t>
      </w:r>
    </w:p>
    <w:p w14:paraId="0DE2DB02">
      <w:pPr>
        <w:adjustRightInd w:val="0"/>
        <w:snapToGrid w:val="0"/>
        <w:spacing w:line="520" w:lineRule="exact"/>
        <w:ind w:firstLine="684" w:firstLineChars="200"/>
        <w:contextualSpacing/>
        <w:rPr>
          <w:rFonts w:hint="eastAsia"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（四）政法部门协作配合有待加强。在齐抓共管、合力推进的方面还需提高。</w:t>
      </w:r>
    </w:p>
    <w:p w14:paraId="1F473975">
      <w:pPr>
        <w:widowControl w:val="0"/>
        <w:spacing w:before="120" w:after="200" w:line="440" w:lineRule="exact"/>
        <w:ind w:firstLine="540"/>
        <w:jc w:val="both"/>
        <w:rPr>
          <w:rFonts w:ascii="仿宋" w:hAnsi="仿宋" w:eastAsia="仿宋" w:cs="仿宋"/>
          <w:b/>
          <w:spacing w:val="11"/>
          <w:kern w:val="2"/>
          <w:position w:val="1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b/>
          <w:spacing w:val="11"/>
          <w:kern w:val="2"/>
          <w:position w:val="1"/>
          <w:sz w:val="32"/>
          <w:szCs w:val="32"/>
          <w:lang w:val="en-US" w:eastAsia="zh-CN" w:bidi="ar-SA"/>
        </w:rPr>
        <w:t>八、下一步改进措施</w:t>
      </w:r>
    </w:p>
    <w:p w14:paraId="2D6AFC9E">
      <w:pPr>
        <w:adjustRightInd w:val="0"/>
        <w:snapToGrid w:val="0"/>
        <w:spacing w:line="520" w:lineRule="exact"/>
        <w:ind w:firstLine="684" w:firstLineChars="200"/>
        <w:contextualSpacing/>
        <w:rPr>
          <w:rFonts w:hint="eastAsia"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（一）坚持统筹推进法治政府建设，落实党政主要负责人履行推进法治政府建设第一责任人职责规定；开展规范性文件备案审查、规范清理工作，落实证明事项告知承诺制度；强化行政复议监督力度，建立健全败诉案件通报制度。</w:t>
      </w:r>
    </w:p>
    <w:p w14:paraId="62E5A5FB">
      <w:pPr>
        <w:adjustRightInd w:val="0"/>
        <w:snapToGrid w:val="0"/>
        <w:spacing w:line="520" w:lineRule="exact"/>
        <w:ind w:firstLine="684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（二）坚持维护社会和谐稳定大局。完善矛盾纠纷多元化调解机制，加大对人民调解员的指导、培训力度，提升矛盾纠纷化解能力；加强重点人员摸排管控工作，确保做到不脱管、不漏管，加大收治力度。</w:t>
      </w:r>
    </w:p>
    <w:p w14:paraId="4B64D093">
      <w:pPr>
        <w:adjustRightInd w:val="0"/>
        <w:snapToGrid w:val="0"/>
        <w:spacing w:line="520" w:lineRule="exact"/>
        <w:ind w:firstLine="684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（三）坚持抓好民生领域法律服务。完善法律援助案件质量监控体系，引导律师事务所拓宽服务领域，参与化解矛盾纠纷和涉法涉诉信访案件，深入推进“一村（社区）一法律顾问”工作，完善考核奖惩机制。</w:t>
      </w:r>
    </w:p>
    <w:p w14:paraId="27972264">
      <w:pPr>
        <w:adjustRightInd w:val="0"/>
        <w:snapToGrid w:val="0"/>
        <w:spacing w:line="520" w:lineRule="exact"/>
        <w:ind w:firstLine="684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（四）坚持全面提高干部队伍素质。通过完善考评体系，树立实干实绩失效导向；鼓励政法干部深化继续教育，提高干部法律职业资格政考试通过率。</w:t>
      </w:r>
    </w:p>
    <w:p w14:paraId="645E9C93">
      <w:pPr>
        <w:ind w:firstLine="640" w:firstLineChars="200"/>
        <w:jc w:val="left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九、部门整体支出绩效自评结果拟应用和公开情况</w:t>
      </w:r>
    </w:p>
    <w:p w14:paraId="428AF2B3">
      <w:pPr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其他需要说明的情况</w:t>
      </w:r>
    </w:p>
    <w:p w14:paraId="6DDF50FB">
      <w:pPr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</w:p>
    <w:p w14:paraId="2AD01D39">
      <w:pPr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</w:p>
    <w:p w14:paraId="7B69FD4F">
      <w:pPr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报告需要以下附件：</w:t>
      </w:r>
    </w:p>
    <w:p w14:paraId="58C01481">
      <w:pPr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1、部门整体支出绩效评价基础数据表</w:t>
      </w:r>
    </w:p>
    <w:p w14:paraId="2D6A6A15">
      <w:pPr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2、部门整体支出绩效自评表</w:t>
      </w:r>
    </w:p>
    <w:p w14:paraId="5354252A">
      <w:pPr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3、项目支出绩效自评表</w:t>
      </w:r>
    </w:p>
    <w:p w14:paraId="335A60AC">
      <w:pPr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</w:p>
    <w:p w14:paraId="4701155F">
      <w:pPr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</w:p>
    <w:p w14:paraId="5CEFAC2B">
      <w:pPr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</w:p>
    <w:p w14:paraId="13C88B73">
      <w:pPr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</w:p>
    <w:p w14:paraId="34ADDF5E">
      <w:pPr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</w:p>
    <w:p w14:paraId="342611A9">
      <w:pPr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</w:p>
    <w:p w14:paraId="75ABD97A">
      <w:pPr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</w:p>
    <w:p w14:paraId="32D735DC">
      <w:pPr>
        <w:spacing w:before="169" w:line="776" w:lineRule="exact"/>
        <w:ind w:left="372"/>
        <w:rPr>
          <w:rFonts w:ascii="宋体" w:hAnsi="宋体" w:eastAsia="宋体" w:cs="宋体"/>
          <w:b/>
          <w:bCs/>
          <w:color w:val="000000"/>
          <w:spacing w:val="19"/>
          <w:position w:val="17"/>
          <w:sz w:val="36"/>
          <w:szCs w:val="36"/>
        </w:rPr>
        <w:sectPr>
          <w:pgSz w:w="11906" w:h="16838"/>
          <w:pgMar w:top="1701" w:right="1701" w:bottom="1701" w:left="1701" w:header="851" w:footer="992" w:gutter="0"/>
          <w:cols w:space="0" w:num="1"/>
          <w:docGrid w:type="lines" w:linePitch="312" w:charSpace="0"/>
        </w:sectPr>
      </w:pPr>
    </w:p>
    <w:p w14:paraId="2A287EE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BC75C79"/>
    <w:multiLevelType w:val="singleLevel"/>
    <w:tmpl w:val="BBC75C79"/>
    <w:lvl w:ilvl="0" w:tentative="0">
      <w:start w:val="7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FEBDE9E"/>
    <w:multiLevelType w:val="singleLevel"/>
    <w:tmpl w:val="FFEBDE9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22C26E8E"/>
    <w:multiLevelType w:val="singleLevel"/>
    <w:tmpl w:val="22C26E8E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U5NTE3ODAwMGFkOGYzYjY5ODE4Y2VlZGFmYmNjNzAifQ=="/>
  </w:docVars>
  <w:rsids>
    <w:rsidRoot w:val="68373B54"/>
    <w:rsid w:val="145C3F10"/>
    <w:rsid w:val="151C58D4"/>
    <w:rsid w:val="328317BC"/>
    <w:rsid w:val="3BF713A9"/>
    <w:rsid w:val="68373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4412</Words>
  <Characters>4598</Characters>
  <Lines>0</Lines>
  <Paragraphs>0</Paragraphs>
  <TotalTime>9</TotalTime>
  <ScaleCrop>false</ScaleCrop>
  <LinksUpToDate>false</LinksUpToDate>
  <CharactersWithSpaces>4617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2024-06-03T07:38:00Z</dcterms:created>
  <dc:creator>泽</dc:creator>
  <cp:lastModifiedBy>泽</cp:lastModifiedBy>
  <dcterms:modified xsi:type="dcterms:W3CDTF">2024-10-04T12:41:57Z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2F5A6020C6FC4F889A041D57B7BE487E_11</vt:lpwstr>
  </property>
</Properties>
</file>