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pPr>
        <w:spacing w:line="115" w:lineRule="exact"/>
        <w:rPr>
          <w:color w:val="000000"/>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405" w:hRule="atLeast"/>
        </w:trPr>
        <w:tc>
          <w:tcPr>
            <w:tcW w:w="3850" w:type="dxa"/>
            <w:tcBorders>
              <w:bottom w:val="nil"/>
            </w:tcBorders>
            <w:vAlign w:val="center"/>
          </w:tcPr>
          <w:p>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vAlign w:val="top"/>
          </w:tcPr>
          <w:p>
            <w:pPr>
              <w:spacing w:before="103" w:line="219" w:lineRule="auto"/>
              <w:ind w:left="708"/>
              <w:rPr>
                <w:rFonts w:hint="eastAsia" w:ascii="宋体" w:hAnsi="宋体" w:eastAsia="宋体" w:cs="宋体"/>
                <w:color w:val="000000"/>
                <w:spacing w:val="-2"/>
                <w:sz w:val="20"/>
                <w:szCs w:val="20"/>
              </w:rPr>
            </w:pPr>
            <w:r>
              <w:rPr>
                <w:rFonts w:hint="eastAsia" w:ascii="宋体" w:hAnsi="宋体" w:eastAsia="宋体" w:cs="宋体"/>
                <w:color w:val="000000"/>
                <w:spacing w:val="-2"/>
                <w:sz w:val="20"/>
                <w:szCs w:val="20"/>
              </w:rPr>
              <w:t>岳阳市岳阳楼区望岳街道办事处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5" w:hRule="atLeast"/>
        </w:trPr>
        <w:tc>
          <w:tcPr>
            <w:tcW w:w="3850" w:type="dxa"/>
            <w:vMerge w:val="restart"/>
            <w:tcBorders>
              <w:bottom w:val="nil"/>
            </w:tcBorders>
            <w:vAlign w:val="top"/>
          </w:tcPr>
          <w:p>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vAlign w:val="top"/>
          </w:tcPr>
          <w:p>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vAlign w:val="top"/>
          </w:tcPr>
          <w:p>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vAlign w:val="top"/>
          </w:tcPr>
          <w:p>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Merge w:val="continue"/>
            <w:tcBorders>
              <w:top w:val="nil"/>
            </w:tcBorders>
            <w:vAlign w:val="top"/>
          </w:tcPr>
          <w:p>
            <w:pPr>
              <w:jc w:val="left"/>
              <w:rPr>
                <w:rFonts w:hint="eastAsia" w:ascii="宋体" w:hAnsi="宋体" w:eastAsia="宋体" w:cs="宋体"/>
                <w:color w:val="000000"/>
                <w:sz w:val="24"/>
                <w:szCs w:val="24"/>
              </w:rPr>
            </w:pPr>
          </w:p>
        </w:tc>
        <w:tc>
          <w:tcPr>
            <w:tcW w:w="1815" w:type="dxa"/>
            <w:gridSpan w:val="2"/>
            <w:vAlign w:val="top"/>
          </w:tcPr>
          <w:p>
            <w:pPr>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69</w:t>
            </w:r>
          </w:p>
        </w:tc>
        <w:tc>
          <w:tcPr>
            <w:tcW w:w="2325" w:type="dxa"/>
            <w:gridSpan w:val="2"/>
            <w:vAlign w:val="top"/>
          </w:tcPr>
          <w:p>
            <w:pPr>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69</w:t>
            </w:r>
          </w:p>
        </w:tc>
        <w:tc>
          <w:tcPr>
            <w:tcW w:w="1679" w:type="dxa"/>
            <w:gridSpan w:val="2"/>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97" w:hRule="atLeast"/>
        </w:trPr>
        <w:tc>
          <w:tcPr>
            <w:tcW w:w="3850" w:type="dxa"/>
            <w:vAlign w:val="top"/>
          </w:tcPr>
          <w:p>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vAlign w:val="top"/>
          </w:tcPr>
          <w:p>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1.86</w:t>
            </w:r>
          </w:p>
        </w:tc>
        <w:tc>
          <w:tcPr>
            <w:tcW w:w="2325" w:type="dxa"/>
            <w:gridSpan w:val="2"/>
            <w:vAlign w:val="top"/>
          </w:tcPr>
          <w:p>
            <w:pPr>
              <w:rPr>
                <w:rFonts w:hint="eastAsia" w:ascii="宋体" w:hAnsi="宋体" w:eastAsia="宋体" w:cs="宋体"/>
                <w:color w:val="000000"/>
                <w:sz w:val="24"/>
                <w:szCs w:val="24"/>
              </w:rPr>
            </w:pPr>
          </w:p>
        </w:tc>
        <w:tc>
          <w:tcPr>
            <w:tcW w:w="1679" w:type="dxa"/>
            <w:gridSpan w:val="2"/>
            <w:vAlign w:val="top"/>
          </w:tcPr>
          <w:p>
            <w:pPr>
              <w:rPr>
                <w:rFonts w:hint="eastAsia" w:ascii="宋体" w:hAnsi="宋体" w:eastAsia="宋体" w:cs="宋体"/>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70" w:hRule="atLeast"/>
        </w:trPr>
        <w:tc>
          <w:tcPr>
            <w:tcW w:w="3850" w:type="dxa"/>
            <w:vAlign w:val="top"/>
          </w:tcPr>
          <w:p>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49" w:hRule="atLeast"/>
        </w:trPr>
        <w:tc>
          <w:tcPr>
            <w:tcW w:w="3850" w:type="dxa"/>
            <w:vAlign w:val="top"/>
          </w:tcPr>
          <w:p>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1.86</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881.00</w:t>
            </w:r>
          </w:p>
        </w:tc>
        <w:tc>
          <w:tcPr>
            <w:tcW w:w="2325" w:type="dxa"/>
            <w:gridSpan w:val="2"/>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5.83</w:t>
            </w: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1431.36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0" w:hRule="atLeast"/>
        </w:trPr>
        <w:tc>
          <w:tcPr>
            <w:tcW w:w="3850" w:type="dxa"/>
            <w:vAlign w:val="top"/>
          </w:tcPr>
          <w:p>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5.83</w:t>
            </w: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70" w:hRule="atLeast"/>
        </w:trPr>
        <w:tc>
          <w:tcPr>
            <w:tcW w:w="3850" w:type="dxa"/>
            <w:vAlign w:val="top"/>
          </w:tcPr>
          <w:p>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9" w:hRule="atLeast"/>
        </w:trPr>
        <w:tc>
          <w:tcPr>
            <w:tcW w:w="3850" w:type="dxa"/>
            <w:vAlign w:val="top"/>
          </w:tcPr>
          <w:p>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881.00</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1431.36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残联专项支出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5.58</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环境整治专项支出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47.79</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996.05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环卫专项支出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320.24</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288.30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计生专项支出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10.69</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民政专项支出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6.35</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人社专项支出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18.33</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社区建设支出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269.88</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38.78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退役服务专项支出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87.96</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42.37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疫情防控专项支出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101.35</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应急专项支出</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12.83</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41.30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default"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就业创业服务</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default"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食品安全</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default"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医保专项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default"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专场招聘会</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25.19</w:t>
            </w:r>
          </w:p>
        </w:tc>
        <w:tc>
          <w:tcPr>
            <w:tcW w:w="232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w:t>
            </w: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41.58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0" w:hRule="atLeast"/>
        </w:trPr>
        <w:tc>
          <w:tcPr>
            <w:tcW w:w="3850" w:type="dxa"/>
            <w:vAlign w:val="top"/>
          </w:tcPr>
          <w:p>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6.77</w:t>
            </w:r>
          </w:p>
        </w:tc>
        <w:tc>
          <w:tcPr>
            <w:tcW w:w="2325" w:type="dxa"/>
            <w:gridSpan w:val="2"/>
            <w:vAlign w:val="top"/>
          </w:tcPr>
          <w:p>
            <w:pP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5</w:t>
            </w: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2.81</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0" w:hRule="atLeast"/>
        </w:trPr>
        <w:tc>
          <w:tcPr>
            <w:tcW w:w="3850" w:type="dxa"/>
            <w:vAlign w:val="top"/>
          </w:tcPr>
          <w:p>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100.40</w:t>
            </w: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574.81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59" w:hRule="atLeast"/>
        </w:trPr>
        <w:tc>
          <w:tcPr>
            <w:tcW w:w="3850" w:type="dxa"/>
            <w:vMerge w:val="restart"/>
            <w:tcBorders>
              <w:bottom w:val="nil"/>
            </w:tcBorders>
            <w:vAlign w:val="center"/>
          </w:tcPr>
          <w:p>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0" w:hRule="atLeast"/>
        </w:trPr>
        <w:tc>
          <w:tcPr>
            <w:tcW w:w="3850" w:type="dxa"/>
            <w:vMerge w:val="continue"/>
            <w:tcBorders>
              <w:top w:val="nil"/>
            </w:tcBorders>
            <w:vAlign w:val="top"/>
          </w:tcPr>
          <w:p>
            <w:pPr>
              <w:jc w:val="left"/>
              <w:rPr>
                <w:rFonts w:hint="eastAsia" w:ascii="宋体" w:hAnsi="宋体" w:eastAsia="宋体" w:cs="宋体"/>
                <w:color w:val="000000"/>
                <w:sz w:val="24"/>
                <w:szCs w:val="24"/>
              </w:rPr>
            </w:pPr>
          </w:p>
        </w:tc>
        <w:tc>
          <w:tcPr>
            <w:tcW w:w="825" w:type="dxa"/>
            <w:vAlign w:val="top"/>
          </w:tcPr>
          <w:p>
            <w:pPr>
              <w:rPr>
                <w:rFonts w:hint="eastAsia" w:ascii="宋体" w:hAnsi="宋体" w:eastAsia="宋体" w:cs="宋体"/>
                <w:color w:val="000000"/>
                <w:sz w:val="21"/>
              </w:rPr>
            </w:pPr>
          </w:p>
        </w:tc>
        <w:tc>
          <w:tcPr>
            <w:tcW w:w="990" w:type="dxa"/>
            <w:vAlign w:val="top"/>
          </w:tcPr>
          <w:p>
            <w:pPr>
              <w:rPr>
                <w:rFonts w:hint="eastAsia" w:ascii="宋体" w:hAnsi="宋体" w:eastAsia="宋体" w:cs="宋体"/>
                <w:color w:val="000000"/>
                <w:sz w:val="21"/>
              </w:rPr>
            </w:pPr>
          </w:p>
        </w:tc>
        <w:tc>
          <w:tcPr>
            <w:tcW w:w="1140" w:type="dxa"/>
            <w:vAlign w:val="top"/>
          </w:tcPr>
          <w:p>
            <w:pPr>
              <w:rPr>
                <w:rFonts w:hint="eastAsia" w:ascii="宋体" w:hAnsi="宋体" w:eastAsia="宋体" w:cs="宋体"/>
                <w:color w:val="000000"/>
                <w:sz w:val="21"/>
              </w:rPr>
            </w:pPr>
          </w:p>
        </w:tc>
        <w:tc>
          <w:tcPr>
            <w:tcW w:w="1185" w:type="dxa"/>
            <w:vAlign w:val="top"/>
          </w:tcPr>
          <w:p>
            <w:pPr>
              <w:rPr>
                <w:rFonts w:hint="eastAsia" w:ascii="宋体" w:hAnsi="宋体" w:eastAsia="宋体" w:cs="宋体"/>
                <w:color w:val="000000"/>
                <w:sz w:val="21"/>
              </w:rPr>
            </w:pPr>
          </w:p>
        </w:tc>
        <w:tc>
          <w:tcPr>
            <w:tcW w:w="810" w:type="dxa"/>
            <w:vAlign w:val="top"/>
          </w:tcPr>
          <w:p>
            <w:pPr>
              <w:rPr>
                <w:rFonts w:hint="eastAsia" w:ascii="宋体" w:hAnsi="宋体" w:eastAsia="宋体" w:cs="宋体"/>
                <w:color w:val="000000"/>
                <w:sz w:val="21"/>
              </w:rPr>
            </w:pPr>
          </w:p>
        </w:tc>
        <w:tc>
          <w:tcPr>
            <w:tcW w:w="869" w:type="dxa"/>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9" w:hRule="atLeast"/>
        </w:trPr>
        <w:tc>
          <w:tcPr>
            <w:tcW w:w="3850" w:type="dxa"/>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r>
              <w:rPr>
                <w:rFonts w:hint="eastAsia" w:ascii="宋体" w:hAnsi="宋体" w:eastAsia="宋体" w:cs="宋体"/>
                <w:color w:val="000000"/>
              </w:rPr>
              <w:t>一是严格控制一般性支出，降低行政运行成本，提高公用经费使用效率；二是严控楼堂馆所建设；三是推进节能减排。</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pPr>
        <w:keepNext w:val="0"/>
        <w:keepLines w:val="0"/>
        <w:pageBreakBefore w:val="0"/>
        <w:widowControl w:val="0"/>
        <w:kinsoku/>
        <w:wordWrap/>
        <w:overflowPunct/>
        <w:topLinePunct w:val="0"/>
        <w:autoSpaceDE/>
        <w:autoSpaceDN/>
        <w:bidi w:val="0"/>
        <w:adjustRightInd/>
        <w:snapToGrid/>
        <w:jc w:val="left"/>
        <w:textAlignment w:val="auto"/>
        <w:rPr>
          <w:sz w:val="28"/>
          <w:szCs w:val="28"/>
        </w:rPr>
        <w:sectPr>
          <w:footerReference r:id="rId3"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周泽俪</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13618405555</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hint="eastAsia" w:ascii="Times New Roman" w:hAnsi="Times New Roman" w:eastAsia="宋体" w:cs="Times New Roman"/>
          <w:spacing w:val="-4"/>
          <w:sz w:val="31"/>
          <w:szCs w:val="31"/>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9" w:hRule="atLeast"/>
        </w:trPr>
        <w:tc>
          <w:tcPr>
            <w:tcW w:w="3197" w:type="dxa"/>
            <w:gridSpan w:val="3"/>
            <w:vAlign w:val="top"/>
          </w:tcPr>
          <w:p>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vAlign w:val="top"/>
          </w:tcPr>
          <w:p>
            <w:pPr>
              <w:pStyle w:val="9"/>
              <w:spacing w:line="239" w:lineRule="exact"/>
              <w:rPr>
                <w:rFonts w:hint="eastAsia" w:ascii="宋体" w:hAnsi="宋体" w:eastAsia="宋体" w:cs="宋体"/>
                <w:sz w:val="20"/>
              </w:rPr>
            </w:pPr>
            <w:r>
              <w:rPr>
                <w:rFonts w:hint="eastAsia" w:ascii="宋体" w:hAnsi="宋体" w:eastAsia="宋体" w:cs="宋体"/>
                <w:sz w:val="20"/>
              </w:rPr>
              <w:t>岳阳市岳阳楼区望岳街道办事处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restart"/>
            <w:tcBorders>
              <w:bottom w:val="nil"/>
            </w:tcBorders>
            <w:vAlign w:val="top"/>
          </w:tcPr>
          <w:p>
            <w:pPr>
              <w:pStyle w:val="9"/>
              <w:spacing w:line="467" w:lineRule="auto"/>
              <w:rPr>
                <w:rFonts w:hint="eastAsia" w:ascii="宋体" w:hAnsi="宋体" w:eastAsia="宋体" w:cs="宋体"/>
              </w:rPr>
            </w:pPr>
          </w:p>
          <w:p>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vAlign w:val="top"/>
          </w:tcPr>
          <w:p>
            <w:pPr>
              <w:pStyle w:val="9"/>
              <w:spacing w:line="235" w:lineRule="exact"/>
              <w:rPr>
                <w:rFonts w:hint="eastAsia" w:ascii="宋体" w:hAnsi="宋体" w:eastAsia="宋体" w:cs="宋体"/>
                <w:sz w:val="20"/>
              </w:rPr>
            </w:pPr>
          </w:p>
        </w:tc>
        <w:tc>
          <w:tcPr>
            <w:tcW w:w="1269" w:type="dxa"/>
            <w:vAlign w:val="top"/>
          </w:tcPr>
          <w:p>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vAlign w:val="top"/>
          </w:tcPr>
          <w:p>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vAlign w:val="top"/>
          </w:tcPr>
          <w:p>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vAlign w:val="top"/>
          </w:tcPr>
          <w:p>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vAlign w:val="top"/>
          </w:tcPr>
          <w:p>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2113" w:type="dxa"/>
            <w:gridSpan w:val="2"/>
            <w:vAlign w:val="top"/>
          </w:tcPr>
          <w:p>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942.79</w:t>
            </w:r>
          </w:p>
        </w:tc>
        <w:tc>
          <w:tcPr>
            <w:tcW w:w="1310" w:type="dxa"/>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2706.79</w:t>
            </w:r>
          </w:p>
        </w:tc>
        <w:tc>
          <w:tcPr>
            <w:tcW w:w="1268" w:type="dxa"/>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2706.79</w:t>
            </w:r>
          </w:p>
        </w:tc>
        <w:tc>
          <w:tcPr>
            <w:tcW w:w="716" w:type="dxa"/>
            <w:vAlign w:val="top"/>
          </w:tcPr>
          <w:p>
            <w:pPr>
              <w:pStyle w:val="9"/>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4692" w:type="dxa"/>
            <w:gridSpan w:val="4"/>
            <w:vAlign w:val="top"/>
          </w:tcPr>
          <w:p>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vAlign w:val="top"/>
          </w:tcPr>
          <w:p>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4692" w:type="dxa"/>
            <w:gridSpan w:val="4"/>
            <w:vAlign w:val="top"/>
          </w:tcPr>
          <w:p>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2502.06</w:t>
            </w:r>
          </w:p>
        </w:tc>
        <w:tc>
          <w:tcPr>
            <w:tcW w:w="4307" w:type="dxa"/>
            <w:gridSpan w:val="4"/>
            <w:vAlign w:val="top"/>
          </w:tcPr>
          <w:p>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1275.43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4692" w:type="dxa"/>
            <w:gridSpan w:val="4"/>
            <w:vAlign w:val="top"/>
          </w:tcPr>
          <w:p>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vAlign w:val="top"/>
          </w:tcPr>
          <w:p>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1431.36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4692" w:type="dxa"/>
            <w:gridSpan w:val="4"/>
            <w:vAlign w:val="top"/>
          </w:tcPr>
          <w:p>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tcBorders>
            <w:vAlign w:val="top"/>
          </w:tcPr>
          <w:p>
            <w:pPr>
              <w:pStyle w:val="9"/>
              <w:rPr>
                <w:rFonts w:hint="eastAsia" w:ascii="宋体" w:hAnsi="宋体" w:eastAsia="宋体" w:cs="宋体"/>
              </w:rPr>
            </w:pPr>
          </w:p>
        </w:tc>
        <w:tc>
          <w:tcPr>
            <w:tcW w:w="4692" w:type="dxa"/>
            <w:gridSpan w:val="4"/>
            <w:vAlign w:val="top"/>
          </w:tcPr>
          <w:p>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204.72</w:t>
            </w:r>
          </w:p>
        </w:tc>
        <w:tc>
          <w:tcPr>
            <w:tcW w:w="4307" w:type="dxa"/>
            <w:gridSpan w:val="4"/>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restart"/>
            <w:tcBorders>
              <w:bottom w:val="nil"/>
            </w:tcBorders>
            <w:vAlign w:val="top"/>
          </w:tcPr>
          <w:p>
            <w:pPr>
              <w:pStyle w:val="9"/>
              <w:spacing w:line="242" w:lineRule="auto"/>
              <w:rPr>
                <w:rFonts w:hint="eastAsia" w:ascii="宋体" w:hAnsi="宋体" w:eastAsia="宋体" w:cs="宋体"/>
              </w:rPr>
            </w:pPr>
          </w:p>
          <w:p>
            <w:pPr>
              <w:pStyle w:val="9"/>
              <w:spacing w:line="243" w:lineRule="auto"/>
              <w:rPr>
                <w:rFonts w:hint="eastAsia" w:ascii="宋体" w:hAnsi="宋体" w:eastAsia="宋体" w:cs="宋体"/>
              </w:rPr>
            </w:pP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vAlign w:val="top"/>
          </w:tcPr>
          <w:p>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vAlign w:val="top"/>
          </w:tcPr>
          <w:p>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94" w:hRule="atLeast"/>
        </w:trPr>
        <w:tc>
          <w:tcPr>
            <w:tcW w:w="1084" w:type="dxa"/>
            <w:vMerge w:val="continue"/>
            <w:tcBorders>
              <w:top w:val="nil"/>
              <w:bottom w:val="single" w:color="auto" w:sz="4" w:space="0"/>
            </w:tcBorders>
            <w:vAlign w:val="top"/>
          </w:tcPr>
          <w:p>
            <w:pPr>
              <w:pStyle w:val="9"/>
              <w:rPr>
                <w:rFonts w:hint="eastAsia" w:ascii="宋体" w:hAnsi="宋体" w:eastAsia="宋体" w:cs="宋体"/>
              </w:rPr>
            </w:pPr>
          </w:p>
        </w:tc>
        <w:tc>
          <w:tcPr>
            <w:tcW w:w="4692" w:type="dxa"/>
            <w:gridSpan w:val="4"/>
            <w:tcBorders>
              <w:bottom w:val="single" w:color="auto" w:sz="4" w:space="0"/>
            </w:tcBorders>
            <w:vAlign w:val="top"/>
          </w:tcPr>
          <w:p>
            <w:pPr>
              <w:pStyle w:val="9"/>
              <w:numPr>
                <w:ilvl w:val="0"/>
                <w:numId w:val="1"/>
              </w:numPr>
              <w:rPr>
                <w:rFonts w:hint="eastAsia" w:ascii="仿宋_GB2312" w:hAnsi="仿宋" w:eastAsia="宋体"/>
                <w:szCs w:val="32"/>
                <w:lang w:val="en-US" w:eastAsia="zh-CN"/>
              </w:rPr>
            </w:pPr>
            <w:r>
              <w:rPr>
                <w:rFonts w:hint="eastAsia" w:ascii="宋体" w:hAnsi="宋体" w:eastAsia="宋体" w:cs="宋体"/>
                <w:lang w:val="en-US" w:eastAsia="zh-CN"/>
              </w:rPr>
              <w:t>全年</w:t>
            </w:r>
            <w:r>
              <w:rPr>
                <w:rFonts w:hint="eastAsia" w:ascii="仿宋_GB2312" w:hAnsi="仿宋_GB2312" w:cs="仿宋_GB2312"/>
                <w:szCs w:val="32"/>
              </w:rPr>
              <w:t>拆除</w:t>
            </w:r>
            <w:r>
              <w:rPr>
                <w:rFonts w:hint="eastAsia" w:ascii="仿宋_GB2312" w:hAnsi="仿宋"/>
                <w:szCs w:val="32"/>
              </w:rPr>
              <w:t>违法建设</w:t>
            </w:r>
            <w:r>
              <w:rPr>
                <w:rFonts w:hint="eastAsia" w:ascii="仿宋_GB2312" w:hAnsi="仿宋" w:eastAsia="宋体"/>
                <w:szCs w:val="32"/>
                <w:lang w:val="en-US" w:eastAsia="zh-CN"/>
              </w:rPr>
              <w:t>139处；</w:t>
            </w:r>
          </w:p>
          <w:p>
            <w:pPr>
              <w:pStyle w:val="9"/>
              <w:numPr>
                <w:ilvl w:val="0"/>
                <w:numId w:val="1"/>
              </w:numPr>
              <w:rPr>
                <w:rFonts w:hint="default" w:ascii="仿宋_GB2312" w:hAnsi="仿宋" w:eastAsia="宋体"/>
                <w:szCs w:val="32"/>
                <w:lang w:val="en-US" w:eastAsia="zh-CN"/>
              </w:rPr>
            </w:pPr>
            <w:r>
              <w:rPr>
                <w:rFonts w:hint="eastAsia" w:ascii="仿宋_GB2312"/>
                <w:szCs w:val="32"/>
              </w:rPr>
              <w:t>开展重点区域环境整治，扎实开展每周大扫除</w:t>
            </w:r>
            <w:r>
              <w:rPr>
                <w:rFonts w:hint="eastAsia" w:ascii="仿宋_GB2312" w:eastAsia="宋体"/>
                <w:szCs w:val="32"/>
                <w:lang w:eastAsia="zh-CN"/>
              </w:rPr>
              <w:t>，</w:t>
            </w:r>
            <w:r>
              <w:rPr>
                <w:rFonts w:hint="eastAsia" w:ascii="仿宋_GB2312" w:eastAsia="宋体"/>
                <w:szCs w:val="32"/>
                <w:lang w:val="en-US" w:eastAsia="zh-CN"/>
              </w:rPr>
              <w:t>共</w:t>
            </w:r>
            <w:r>
              <w:rPr>
                <w:rFonts w:hint="eastAsia" w:ascii="仿宋_GB2312"/>
                <w:szCs w:val="32"/>
              </w:rPr>
              <w:t>270场次</w:t>
            </w:r>
            <w:r>
              <w:rPr>
                <w:rFonts w:hint="eastAsia" w:ascii="仿宋_GB2312" w:eastAsia="宋体"/>
                <w:szCs w:val="32"/>
                <w:lang w:eastAsia="zh-CN"/>
              </w:rPr>
              <w:t>。</w:t>
            </w:r>
          </w:p>
          <w:p>
            <w:pPr>
              <w:pStyle w:val="9"/>
              <w:numPr>
                <w:ilvl w:val="0"/>
                <w:numId w:val="1"/>
              </w:numPr>
              <w:rPr>
                <w:rFonts w:hint="default" w:ascii="仿宋_GB2312" w:hAnsi="仿宋" w:eastAsia="宋体"/>
                <w:szCs w:val="32"/>
                <w:lang w:val="en-US" w:eastAsia="zh-CN"/>
              </w:rPr>
            </w:pPr>
            <w:r>
              <w:rPr>
                <w:rFonts w:hint="eastAsia" w:ascii="仿宋_GB2312" w:cs="Times New Roman"/>
                <w:szCs w:val="32"/>
              </w:rPr>
              <w:t>完成学法、普法考试</w:t>
            </w:r>
            <w:r>
              <w:rPr>
                <w:rFonts w:hint="eastAsia" w:ascii="仿宋_GB2312" w:eastAsia="宋体" w:cs="Times New Roman"/>
                <w:szCs w:val="32"/>
                <w:lang w:val="en-US" w:eastAsia="zh-CN"/>
              </w:rPr>
              <w:t>70人</w:t>
            </w:r>
            <w:r>
              <w:rPr>
                <w:rFonts w:hint="eastAsia" w:ascii="仿宋_GB2312" w:cs="Times New Roman"/>
                <w:szCs w:val="32"/>
              </w:rPr>
              <w:t>。</w:t>
            </w:r>
          </w:p>
          <w:p>
            <w:pPr>
              <w:pStyle w:val="9"/>
              <w:numPr>
                <w:ilvl w:val="0"/>
                <w:numId w:val="1"/>
              </w:numPr>
              <w:rPr>
                <w:rFonts w:hint="default" w:ascii="仿宋_GB2312" w:hAnsi="仿宋" w:eastAsia="宋体"/>
                <w:szCs w:val="32"/>
                <w:lang w:val="en-US" w:eastAsia="zh-CN"/>
              </w:rPr>
            </w:pPr>
            <w:r>
              <w:rPr>
                <w:rFonts w:hint="eastAsia" w:ascii="仿宋_GB2312" w:cs="Times New Roman"/>
                <w:szCs w:val="32"/>
              </w:rPr>
              <w:t>完</w:t>
            </w:r>
            <w:r>
              <w:rPr>
                <w:rFonts w:hint="eastAsia" w:ascii="仿宋_GB2312" w:hAnsi="仿宋_GB2312" w:cs="Times New Roman"/>
                <w:szCs w:val="32"/>
              </w:rPr>
              <w:t>成医保参保</w:t>
            </w:r>
            <w:r>
              <w:rPr>
                <w:rFonts w:hint="eastAsia" w:ascii="仿宋_GB2312" w:hAnsi="仿宋_GB2312" w:eastAsia="宋体" w:cs="Times New Roman"/>
                <w:szCs w:val="32"/>
                <w:lang w:val="en-US" w:eastAsia="zh-CN"/>
              </w:rPr>
              <w:t>19000人；</w:t>
            </w:r>
          </w:p>
        </w:tc>
        <w:tc>
          <w:tcPr>
            <w:tcW w:w="4307" w:type="dxa"/>
            <w:gridSpan w:val="4"/>
            <w:tcBorders>
              <w:bottom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1、</w:t>
            </w:r>
            <w:r>
              <w:rPr>
                <w:rFonts w:hint="eastAsia" w:ascii="仿宋_GB2312" w:hAnsi="仿宋_GB2312" w:cs="仿宋_GB2312"/>
                <w:szCs w:val="32"/>
              </w:rPr>
              <w:t>全年拆除</w:t>
            </w:r>
            <w:r>
              <w:rPr>
                <w:rFonts w:hint="eastAsia" w:ascii="仿宋_GB2312"/>
                <w:szCs w:val="32"/>
              </w:rPr>
              <w:t>己内酰胺</w:t>
            </w:r>
            <w:r>
              <w:rPr>
                <w:rFonts w:hint="eastAsia" w:ascii="仿宋_GB2312" w:hAnsi="仿宋"/>
                <w:szCs w:val="32"/>
              </w:rPr>
              <w:t>收储项目、宝德东堤湾别墅区、</w:t>
            </w:r>
            <w:r>
              <w:rPr>
                <w:rFonts w:hint="eastAsia" w:ascii="仿宋_GB2312"/>
                <w:szCs w:val="32"/>
              </w:rPr>
              <w:t>岳建小区</w:t>
            </w:r>
            <w:r>
              <w:rPr>
                <w:rFonts w:hint="eastAsia" w:ascii="仿宋_GB2312" w:hAnsi="仿宋"/>
                <w:szCs w:val="32"/>
              </w:rPr>
              <w:t>旧改项目等违法建设</w:t>
            </w:r>
            <w:r>
              <w:rPr>
                <w:rFonts w:hint="eastAsia" w:ascii="仿宋_GB2312" w:hAnsi="仿宋" w:cs="仿宋"/>
                <w:szCs w:val="32"/>
              </w:rPr>
              <w:t>139处，共4496平方米</w:t>
            </w:r>
            <w:r>
              <w:rPr>
                <w:rFonts w:hint="eastAsia" w:ascii="仿宋_GB2312" w:hAnsi="仿宋" w:eastAsia="宋体" w:cs="仿宋"/>
                <w:szCs w:val="32"/>
                <w:lang w:eastAsia="zh-CN"/>
              </w:rPr>
              <w:t>；</w:t>
            </w:r>
            <w:r>
              <w:rPr>
                <w:rFonts w:hint="eastAsia" w:ascii="仿宋_GB2312" w:hAnsi="仿宋" w:eastAsia="宋体" w:cs="仿宋"/>
                <w:szCs w:val="32"/>
                <w:lang w:val="en-US" w:eastAsia="zh-CN"/>
              </w:rPr>
              <w:t>2、</w:t>
            </w:r>
            <w:r>
              <w:rPr>
                <w:rFonts w:hint="eastAsia" w:ascii="仿宋_GB2312"/>
                <w:szCs w:val="32"/>
              </w:rPr>
              <w:t>开展重点区域环境整治，扎实开展每周大扫除</w:t>
            </w:r>
            <w:r>
              <w:rPr>
                <w:rFonts w:hint="eastAsia" w:ascii="仿宋_GB2312" w:eastAsia="宋体"/>
                <w:szCs w:val="32"/>
                <w:lang w:eastAsia="zh-CN"/>
              </w:rPr>
              <w:t>，</w:t>
            </w:r>
            <w:r>
              <w:rPr>
                <w:rFonts w:hint="eastAsia" w:ascii="仿宋_GB2312" w:eastAsia="宋体"/>
                <w:szCs w:val="32"/>
                <w:lang w:val="en-US" w:eastAsia="zh-CN"/>
              </w:rPr>
              <w:t>共</w:t>
            </w:r>
            <w:r>
              <w:rPr>
                <w:rFonts w:hint="eastAsia" w:ascii="仿宋_GB2312"/>
                <w:szCs w:val="32"/>
              </w:rPr>
              <w:t>270场次，对辖区内无人清理的卫生死角、“牛皮癣”、零散建筑垃圾等进行了全面清理。</w:t>
            </w:r>
            <w:r>
              <w:rPr>
                <w:rFonts w:hint="eastAsia" w:ascii="仿宋_GB2312" w:eastAsia="宋体"/>
                <w:szCs w:val="32"/>
                <w:lang w:val="en-US" w:eastAsia="zh-CN"/>
              </w:rPr>
              <w:t>3、</w:t>
            </w:r>
            <w:r>
              <w:rPr>
                <w:rFonts w:hint="eastAsia" w:ascii="仿宋_GB2312" w:cs="Times New Roman"/>
                <w:szCs w:val="32"/>
              </w:rPr>
              <w:t>推进“八五”学法、普法考试工作，共70人完成学法、普法考试，通过率达100%。</w:t>
            </w:r>
            <w:r>
              <w:rPr>
                <w:rFonts w:hint="eastAsia" w:ascii="仿宋_GB2312" w:eastAsia="宋体" w:cs="Times New Roman"/>
                <w:szCs w:val="32"/>
                <w:lang w:val="en-US" w:eastAsia="zh-CN"/>
              </w:rPr>
              <w:t>4、</w:t>
            </w:r>
            <w:r>
              <w:rPr>
                <w:rFonts w:hint="eastAsia" w:ascii="仿宋_GB2312" w:cs="Times New Roman"/>
                <w:szCs w:val="32"/>
              </w:rPr>
              <w:t>全年共完</w:t>
            </w:r>
            <w:r>
              <w:rPr>
                <w:rFonts w:hint="eastAsia" w:ascii="仿宋_GB2312" w:hAnsi="仿宋_GB2312" w:cs="Times New Roman"/>
                <w:szCs w:val="32"/>
              </w:rPr>
              <w:t>成医保参保人数</w:t>
            </w:r>
            <w:r>
              <w:rPr>
                <w:rFonts w:hint="eastAsia" w:ascii="仿宋_GB2312" w:hAnsi="Times New Roman" w:cs="Times New Roman"/>
                <w:szCs w:val="32"/>
              </w:rPr>
              <w:t>近19000</w:t>
            </w:r>
            <w:r>
              <w:rPr>
                <w:rFonts w:hint="eastAsia" w:ascii="仿宋_GB2312" w:cs="Times New Roman"/>
                <w:szCs w:val="32"/>
              </w:rPr>
              <w:t>人，超额完成任务数，排名居全区前列。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84" w:hRule="atLeast"/>
        </w:trPr>
        <w:tc>
          <w:tcPr>
            <w:tcW w:w="1084" w:type="dxa"/>
            <w:vMerge w:val="restart"/>
            <w:tcBorders>
              <w:top w:val="single" w:color="auto" w:sz="4" w:space="0"/>
              <w:left w:val="single" w:color="auto" w:sz="4" w:space="0"/>
              <w:bottom w:val="single" w:color="auto" w:sz="4" w:space="0"/>
              <w:right w:val="single" w:color="auto" w:sz="4" w:space="0"/>
            </w:tcBorders>
            <w:textDirection w:val="tbRlV"/>
            <w:vAlign w:val="top"/>
          </w:tcPr>
          <w:p>
            <w:pPr>
              <w:pStyle w:val="9"/>
              <w:spacing w:line="364" w:lineRule="auto"/>
              <w:rPr>
                <w:rFonts w:hint="eastAsia" w:ascii="宋体" w:hAnsi="宋体" w:eastAsia="宋体" w:cs="宋体"/>
              </w:rPr>
            </w:pPr>
          </w:p>
          <w:p>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tcBorders>
              <w:top w:val="single" w:color="auto" w:sz="4" w:space="0"/>
              <w:left w:val="single" w:color="auto" w:sz="4" w:space="0"/>
              <w:bottom w:val="single" w:color="auto" w:sz="4" w:space="0"/>
              <w:right w:val="single" w:color="auto" w:sz="4" w:space="0"/>
            </w:tcBorders>
            <w:vAlign w:val="top"/>
          </w:tcPr>
          <w:p>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tcBorders>
              <w:top w:val="single" w:color="auto" w:sz="4" w:space="0"/>
              <w:left w:val="single" w:color="auto" w:sz="4" w:space="0"/>
              <w:bottom w:val="single" w:color="auto" w:sz="4" w:space="0"/>
              <w:right w:val="single" w:color="auto" w:sz="4" w:space="0"/>
            </w:tcBorders>
            <w:vAlign w:val="top"/>
          </w:tcPr>
          <w:p>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tcBorders>
              <w:top w:val="single" w:color="auto" w:sz="4" w:space="0"/>
              <w:left w:val="single" w:color="auto" w:sz="4" w:space="0"/>
              <w:bottom w:val="single" w:color="auto" w:sz="4" w:space="0"/>
              <w:right w:val="single" w:color="auto" w:sz="4" w:space="0"/>
            </w:tcBorders>
            <w:vAlign w:val="top"/>
          </w:tcPr>
          <w:p>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pPr>
              <w:pStyle w:val="9"/>
              <w:spacing w:line="272" w:lineRule="auto"/>
              <w:rPr>
                <w:rFonts w:hint="eastAsia" w:ascii="宋体" w:hAnsi="宋体" w:eastAsia="宋体" w:cs="宋体"/>
              </w:rPr>
            </w:pPr>
          </w:p>
          <w:p>
            <w:pPr>
              <w:pStyle w:val="9"/>
              <w:spacing w:line="272" w:lineRule="auto"/>
              <w:rPr>
                <w:rFonts w:hint="eastAsia" w:ascii="宋体" w:hAnsi="宋体" w:eastAsia="宋体" w:cs="宋体"/>
              </w:rPr>
            </w:pPr>
          </w:p>
          <w:p>
            <w:pPr>
              <w:pStyle w:val="9"/>
              <w:spacing w:line="272" w:lineRule="auto"/>
              <w:rPr>
                <w:rFonts w:hint="eastAsia" w:ascii="宋体" w:hAnsi="宋体" w:eastAsia="宋体" w:cs="宋体"/>
              </w:rPr>
            </w:pPr>
          </w:p>
          <w:p>
            <w:pPr>
              <w:pStyle w:val="9"/>
              <w:spacing w:line="273" w:lineRule="auto"/>
              <w:rPr>
                <w:rFonts w:hint="eastAsia" w:ascii="宋体" w:hAnsi="宋体" w:eastAsia="宋体" w:cs="宋体"/>
              </w:rPr>
            </w:pPr>
          </w:p>
          <w:p>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仿宋_GB2312" w:hAnsi="仿宋_GB2312" w:cs="仿宋_GB2312"/>
                <w:szCs w:val="32"/>
              </w:rPr>
              <w:t>拆除</w:t>
            </w:r>
            <w:r>
              <w:rPr>
                <w:rFonts w:hint="eastAsia" w:ascii="仿宋_GB2312" w:hAnsi="仿宋"/>
                <w:szCs w:val="32"/>
              </w:rPr>
              <w:t>违法建设</w:t>
            </w:r>
            <w:r>
              <w:rPr>
                <w:rFonts w:hint="eastAsia" w:ascii="仿宋_GB2312" w:hAnsi="仿宋" w:eastAsia="宋体"/>
                <w:szCs w:val="32"/>
                <w:lang w:val="en-US" w:eastAsia="zh-CN"/>
              </w:rPr>
              <w:t>数量</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仿宋" w:cs="仿宋"/>
                <w:szCs w:val="32"/>
              </w:rPr>
              <w:t>139处</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仿宋" w:cs="仿宋"/>
                <w:szCs w:val="32"/>
              </w:rPr>
              <w:t>139处</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仿宋_GB2312"/>
                <w:szCs w:val="32"/>
              </w:rPr>
              <w:t>开展重点区域环境整治</w:t>
            </w:r>
            <w:r>
              <w:rPr>
                <w:rFonts w:hint="eastAsia" w:ascii="仿宋_GB2312" w:eastAsia="宋体"/>
                <w:szCs w:val="32"/>
                <w:lang w:val="en-US" w:eastAsia="zh-CN"/>
              </w:rPr>
              <w:t>场次</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szCs w:val="32"/>
              </w:rPr>
              <w:t>270场次</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szCs w:val="32"/>
              </w:rPr>
              <w:t>270场次</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仿宋_GB2312" w:cs="Times New Roman"/>
                <w:szCs w:val="32"/>
              </w:rPr>
              <w:t>完成学法、普法考试</w:t>
            </w:r>
            <w:r>
              <w:rPr>
                <w:rFonts w:hint="eastAsia" w:ascii="仿宋_GB2312" w:eastAsia="宋体" w:cs="Times New Roman"/>
                <w:szCs w:val="32"/>
                <w:lang w:val="en-US" w:eastAsia="zh-CN"/>
              </w:rPr>
              <w:t>人数</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仿宋_GB2312"/>
                <w:szCs w:val="32"/>
                <w:lang w:val="en-US" w:eastAsia="zh-CN"/>
              </w:rPr>
            </w:pPr>
            <w:r>
              <w:rPr>
                <w:rFonts w:hint="eastAsia" w:ascii="仿宋_GB2312"/>
                <w:szCs w:val="32"/>
                <w:lang w:val="en-US" w:eastAsia="zh-CN"/>
              </w:rPr>
              <w:t>70人</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仿宋_GB2312"/>
                <w:szCs w:val="32"/>
              </w:rPr>
            </w:pPr>
            <w:r>
              <w:rPr>
                <w:rFonts w:hint="eastAsia" w:ascii="仿宋_GB2312"/>
                <w:szCs w:val="32"/>
                <w:lang w:val="en-US" w:eastAsia="zh-CN"/>
              </w:rPr>
              <w:t>70人</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cs="Times New Roman"/>
                <w:szCs w:val="32"/>
              </w:rPr>
              <w:t>完</w:t>
            </w:r>
            <w:r>
              <w:rPr>
                <w:rFonts w:hint="eastAsia" w:ascii="仿宋_GB2312" w:hAnsi="仿宋_GB2312" w:cs="Times New Roman"/>
                <w:szCs w:val="32"/>
              </w:rPr>
              <w:t>成医保参保人数</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Times New Roman" w:cs="Times New Roman"/>
                <w:szCs w:val="32"/>
              </w:rPr>
              <w:t>19000</w:t>
            </w:r>
            <w:r>
              <w:rPr>
                <w:rFonts w:hint="eastAsia" w:ascii="仿宋_GB2312" w:cs="Times New Roman"/>
                <w:szCs w:val="32"/>
              </w:rPr>
              <w:t>人</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Times New Roman" w:cs="Times New Roman"/>
                <w:szCs w:val="32"/>
              </w:rPr>
              <w:t>19000</w:t>
            </w:r>
            <w:r>
              <w:rPr>
                <w:rFonts w:hint="eastAsia" w:ascii="仿宋_GB2312" w:cs="Times New Roman"/>
                <w:szCs w:val="32"/>
              </w:rPr>
              <w:t>人</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仿宋_GB2312" w:hAnsi="仿宋_GB2312" w:cs="Times New Roman"/>
                <w:szCs w:val="32"/>
              </w:rPr>
              <w:t>组织企业参加</w:t>
            </w:r>
            <w:r>
              <w:rPr>
                <w:rFonts w:hint="eastAsia" w:ascii="仿宋_GB2312" w:hAnsi="仿宋_GB2312" w:eastAsia="宋体" w:cs="Times New Roman"/>
                <w:szCs w:val="32"/>
                <w:lang w:val="en-US" w:eastAsia="zh-CN"/>
              </w:rPr>
              <w:t>招聘</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Times New Roman" w:cs="Times New Roman"/>
                <w:szCs w:val="32"/>
              </w:rPr>
              <w:t>120</w:t>
            </w:r>
            <w:r>
              <w:rPr>
                <w:rFonts w:hint="eastAsia" w:ascii="仿宋_GB2312" w:hAnsi="仿宋_GB2312" w:cs="Times New Roman"/>
                <w:szCs w:val="32"/>
              </w:rPr>
              <w:t>余家</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Times New Roman" w:cs="Times New Roman"/>
                <w:szCs w:val="32"/>
              </w:rPr>
              <w:t>120</w:t>
            </w:r>
            <w:r>
              <w:rPr>
                <w:rFonts w:hint="eastAsia" w:ascii="仿宋_GB2312" w:hAnsi="仿宋_GB2312" w:cs="Times New Roman"/>
                <w:szCs w:val="32"/>
              </w:rPr>
              <w:t>余家</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仿宋_GB2312" w:cs="仿宋_GB2312"/>
                <w:szCs w:val="32"/>
              </w:rPr>
              <w:t>危房处置率达</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仿宋_GB2312" w:cs="仿宋_GB2312"/>
                <w:szCs w:val="32"/>
              </w:rPr>
              <w:t>100％</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仿宋_GB2312" w:cs="仿宋_GB2312"/>
                <w:szCs w:val="32"/>
              </w:rPr>
              <w:t>100％</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安全成产事故发生率</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0%</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cs="Times New Roman"/>
                <w:szCs w:val="32"/>
              </w:rPr>
              <w:t>化解矛盾纠纷</w:t>
            </w:r>
            <w:r>
              <w:rPr>
                <w:rFonts w:hint="eastAsia" w:ascii="仿宋_GB2312" w:eastAsia="宋体" w:cs="Times New Roman"/>
                <w:szCs w:val="32"/>
                <w:lang w:eastAsia="zh-CN"/>
              </w:rPr>
              <w:t>，</w:t>
            </w:r>
            <w:r>
              <w:rPr>
                <w:rFonts w:hint="eastAsia" w:ascii="仿宋_GB2312" w:hAnsi="仿宋" w:cs="Times New Roman"/>
                <w:szCs w:val="32"/>
              </w:rPr>
              <w:t>按期办结率</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Times New Roman" w:cs="Times New Roman"/>
                <w:szCs w:val="32"/>
              </w:rPr>
              <w:t>100</w:t>
            </w:r>
            <w:r>
              <w:rPr>
                <w:rFonts w:hint="eastAsia" w:ascii="仿宋_GB2312" w:hAnsi="仿宋" w:cs="Times New Roman"/>
                <w:szCs w:val="32"/>
              </w:rPr>
              <w:t>％</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Times New Roman" w:cs="Times New Roman"/>
                <w:szCs w:val="32"/>
              </w:rPr>
              <w:t>100</w:t>
            </w:r>
            <w:r>
              <w:rPr>
                <w:rFonts w:hint="eastAsia" w:ascii="仿宋_GB2312" w:hAnsi="仿宋" w:cs="Times New Roman"/>
                <w:szCs w:val="32"/>
              </w:rPr>
              <w:t>％</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6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仿宋_GB2312" w:cs="Times New Roman"/>
                <w:szCs w:val="32"/>
              </w:rPr>
              <w:t>完成学法、普法考试</w:t>
            </w:r>
            <w:r>
              <w:rPr>
                <w:rFonts w:hint="eastAsia" w:ascii="仿宋_GB2312" w:eastAsia="宋体" w:cs="Times New Roman"/>
                <w:szCs w:val="32"/>
                <w:lang w:val="en-US" w:eastAsia="zh-CN"/>
              </w:rPr>
              <w:t>通过率</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en-US" w:bidi="ar-SA"/>
              </w:rPr>
            </w:pPr>
            <w:r>
              <w:rPr>
                <w:rFonts w:hint="eastAsia" w:ascii="仿宋_GB2312" w:hAnsi="Times New Roman" w:cs="Times New Roman"/>
                <w:szCs w:val="32"/>
              </w:rPr>
              <w:t>100</w:t>
            </w:r>
            <w:r>
              <w:rPr>
                <w:rFonts w:hint="eastAsia" w:ascii="仿宋_GB2312" w:hAnsi="仿宋" w:cs="Times New Roman"/>
                <w:szCs w:val="32"/>
              </w:rPr>
              <w:t>％</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en-US" w:bidi="ar-SA"/>
              </w:rPr>
            </w:pPr>
            <w:r>
              <w:rPr>
                <w:rFonts w:hint="eastAsia" w:ascii="仿宋_GB2312" w:hAnsi="Times New Roman" w:cs="Times New Roman"/>
                <w:szCs w:val="32"/>
              </w:rPr>
              <w:t>100</w:t>
            </w:r>
            <w:r>
              <w:rPr>
                <w:rFonts w:hint="eastAsia" w:ascii="仿宋_GB2312" w:hAnsi="仿宋" w:cs="Times New Roman"/>
                <w:szCs w:val="32"/>
              </w:rPr>
              <w:t>％</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cs="Times New Roman"/>
                <w:szCs w:val="32"/>
              </w:rPr>
              <w:t>每月为辖区残疾对象发放残疾人重度护理补贴和困难生活补贴</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每月完成</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已完成</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cs="Times New Roman"/>
                <w:szCs w:val="32"/>
              </w:rPr>
              <w:t>组织开展社区工作者能力培训提升班活动</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cs="Times New Roman"/>
                <w:szCs w:val="32"/>
              </w:rPr>
              <w:t>每周五下午</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已完成</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vAlign w:val="top"/>
          </w:tcPr>
          <w:p>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总成本控制</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不超过年初预算投入</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2706.79万元</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宋体" w:hAnsi="宋体" w:eastAsia="宋体" w:cs="宋体"/>
                <w:sz w:val="20"/>
              </w:rPr>
              <w:t>只做了年初在编人员的人员经费和公用经费预算，没有包含临聘人员的经费预算。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8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仿宋_GB2312" w:cs="仿宋_GB2312"/>
                <w:szCs w:val="32"/>
              </w:rPr>
              <w:t>争取资金开展老旧小区改造</w:t>
            </w:r>
          </w:p>
        </w:tc>
        <w:tc>
          <w:tcPr>
            <w:tcW w:w="1310"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仿宋_GB2312" w:cs="仿宋_GB2312"/>
                <w:szCs w:val="32"/>
              </w:rPr>
              <w:t>1亿元</w:t>
            </w:r>
          </w:p>
        </w:tc>
        <w:tc>
          <w:tcPr>
            <w:tcW w:w="1268"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仿宋_GB2312" w:cs="仿宋_GB2312"/>
                <w:szCs w:val="32"/>
              </w:rPr>
              <w:t>1亿元</w:t>
            </w:r>
          </w:p>
        </w:tc>
        <w:tc>
          <w:tcPr>
            <w:tcW w:w="716"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仿宋_GB2312" w:cs="仿宋_GB2312"/>
                <w:szCs w:val="32"/>
              </w:rPr>
              <w:t>加强</w:t>
            </w:r>
            <w:r>
              <w:rPr>
                <w:rFonts w:hint="eastAsia" w:ascii="仿宋_GB2312" w:hAnsi="仿宋_GB2312" w:eastAsia="宋体" w:cs="仿宋_GB2312"/>
                <w:szCs w:val="32"/>
                <w:lang w:val="en-US" w:eastAsia="zh-CN"/>
              </w:rPr>
              <w:t>职工</w:t>
            </w:r>
            <w:r>
              <w:rPr>
                <w:rFonts w:hint="eastAsia" w:ascii="仿宋_GB2312" w:hAnsi="仿宋_GB2312" w:cs="仿宋_GB2312"/>
                <w:szCs w:val="32"/>
              </w:rPr>
              <w:t>能力培训</w:t>
            </w:r>
          </w:p>
        </w:tc>
        <w:tc>
          <w:tcPr>
            <w:tcW w:w="131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显著加强</w:t>
            </w:r>
          </w:p>
        </w:tc>
        <w:tc>
          <w:tcPr>
            <w:tcW w:w="1268"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en-US" w:bidi="ar-SA"/>
              </w:rPr>
            </w:pPr>
            <w:r>
              <w:rPr>
                <w:rFonts w:hint="eastAsia" w:ascii="宋体" w:hAnsi="宋体" w:eastAsia="宋体" w:cs="宋体"/>
                <w:lang w:val="en-US" w:eastAsia="zh-CN"/>
              </w:rPr>
              <w:t>显著加强</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方正仿宋_GB2312" w:cs="Times New Roman"/>
                <w:szCs w:val="32"/>
              </w:rPr>
              <w:t>多层级养老服务体系</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努力打造</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仿宋_GB2312" w:hAnsi="方正仿宋_GB2312" w:cs="Times New Roman"/>
                <w:szCs w:val="32"/>
              </w:rPr>
              <w:t>在全区走在前列</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4"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310"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不适用</w:t>
            </w:r>
          </w:p>
        </w:tc>
        <w:tc>
          <w:tcPr>
            <w:tcW w:w="1268"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不适用</w:t>
            </w:r>
          </w:p>
        </w:tc>
        <w:tc>
          <w:tcPr>
            <w:tcW w:w="716"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p>
        </w:tc>
        <w:tc>
          <w:tcPr>
            <w:tcW w:w="873"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4"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r>
              <w:rPr>
                <w:rFonts w:hint="eastAsia" w:ascii="仿宋_GB2312" w:hAnsi="仿宋" w:cs="Times New Roman"/>
                <w:szCs w:val="32"/>
              </w:rPr>
              <w:t>对接企业需求、解决企业难题</w:t>
            </w:r>
          </w:p>
        </w:tc>
        <w:tc>
          <w:tcPr>
            <w:tcW w:w="1310" w:type="dxa"/>
            <w:tcBorders>
              <w:top w:val="single" w:color="auto" w:sz="4" w:space="0"/>
              <w:left w:val="single" w:color="auto" w:sz="4" w:space="0"/>
              <w:bottom w:val="single" w:color="auto" w:sz="4" w:space="0"/>
              <w:right w:val="single" w:color="auto" w:sz="4" w:space="0"/>
            </w:tcBorders>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制定方案</w:t>
            </w:r>
          </w:p>
        </w:tc>
        <w:tc>
          <w:tcPr>
            <w:tcW w:w="1268"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r>
              <w:rPr>
                <w:rFonts w:hint="eastAsia" w:ascii="仿宋_GB2312" w:hAnsi="仿宋" w:cs="Times New Roman"/>
                <w:szCs w:val="32"/>
              </w:rPr>
              <w:t>制定了</w:t>
            </w:r>
            <w:r>
              <w:rPr>
                <w:rFonts w:hint="eastAsia" w:ascii="仿宋_GB2312" w:hAnsi="Times New Roman" w:cs="Times New Roman"/>
                <w:szCs w:val="32"/>
              </w:rPr>
              <w:t>“</w:t>
            </w:r>
            <w:r>
              <w:rPr>
                <w:rFonts w:hint="eastAsia" w:ascii="仿宋_GB2312" w:hAnsi="仿宋" w:cs="Times New Roman"/>
                <w:szCs w:val="32"/>
              </w:rPr>
              <w:t>七联七包</w:t>
            </w:r>
            <w:r>
              <w:rPr>
                <w:rFonts w:hint="eastAsia" w:ascii="仿宋_GB2312" w:hAnsi="Times New Roman" w:cs="Times New Roman"/>
                <w:szCs w:val="32"/>
              </w:rPr>
              <w:t>”</w:t>
            </w:r>
            <w:r>
              <w:rPr>
                <w:rFonts w:hint="eastAsia" w:ascii="仿宋_GB2312" w:hAnsi="仿宋" w:cs="Times New Roman"/>
                <w:szCs w:val="32"/>
              </w:rPr>
              <w:t>实施方案</w:t>
            </w:r>
          </w:p>
        </w:tc>
        <w:tc>
          <w:tcPr>
            <w:tcW w:w="716"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6</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6</w:t>
            </w:r>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r>
              <w:rPr>
                <w:rFonts w:hint="eastAsia" w:ascii="仿宋_GB2312"/>
                <w:spacing w:val="4"/>
                <w:szCs w:val="32"/>
              </w:rPr>
              <w:t>人才引进力度</w:t>
            </w:r>
          </w:p>
        </w:tc>
        <w:tc>
          <w:tcPr>
            <w:tcW w:w="1310" w:type="dxa"/>
            <w:tcBorders>
              <w:top w:val="single" w:color="auto" w:sz="4" w:space="0"/>
              <w:left w:val="single" w:color="auto" w:sz="4" w:space="0"/>
              <w:bottom w:val="single" w:color="auto" w:sz="4" w:space="0"/>
              <w:right w:val="single" w:color="auto" w:sz="4" w:space="0"/>
            </w:tcBorders>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显著加强</w:t>
            </w:r>
          </w:p>
        </w:tc>
        <w:tc>
          <w:tcPr>
            <w:tcW w:w="1268"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r>
              <w:rPr>
                <w:rFonts w:hint="eastAsia" w:ascii="宋体" w:hAnsi="宋体" w:eastAsia="宋体" w:cs="宋体"/>
                <w:lang w:val="en-US" w:eastAsia="zh-CN"/>
              </w:rPr>
              <w:t>显著加强</w:t>
            </w:r>
          </w:p>
        </w:tc>
        <w:tc>
          <w:tcPr>
            <w:tcW w:w="716"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6</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6</w:t>
            </w:r>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34"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服务对象满意度</w:t>
            </w:r>
          </w:p>
        </w:tc>
        <w:tc>
          <w:tcPr>
            <w:tcW w:w="131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≥95%</w:t>
            </w:r>
          </w:p>
        </w:tc>
        <w:tc>
          <w:tcPr>
            <w:tcW w:w="1268"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98%</w:t>
            </w:r>
          </w:p>
        </w:tc>
        <w:tc>
          <w:tcPr>
            <w:tcW w:w="716"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单位职工满意度</w:t>
            </w:r>
          </w:p>
        </w:tc>
        <w:tc>
          <w:tcPr>
            <w:tcW w:w="1310" w:type="dxa"/>
            <w:tcBorders>
              <w:top w:val="single" w:color="auto" w:sz="4" w:space="0"/>
              <w:left w:val="single" w:color="auto" w:sz="4" w:space="0"/>
              <w:bottom w:val="single" w:color="auto" w:sz="4" w:space="0"/>
              <w:right w:val="single" w:color="auto" w:sz="4" w:space="0"/>
            </w:tcBorders>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≥95%</w:t>
            </w:r>
          </w:p>
        </w:tc>
        <w:tc>
          <w:tcPr>
            <w:tcW w:w="1268" w:type="dxa"/>
            <w:tcBorders>
              <w:top w:val="single" w:color="auto" w:sz="4" w:space="0"/>
              <w:left w:val="single" w:color="auto" w:sz="4" w:space="0"/>
              <w:bottom w:val="single" w:color="auto" w:sz="4" w:space="0"/>
              <w:right w:val="single" w:color="auto" w:sz="4" w:space="0"/>
            </w:tcBorders>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98%</w:t>
            </w:r>
          </w:p>
        </w:tc>
        <w:tc>
          <w:tcPr>
            <w:tcW w:w="716"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9" w:hRule="atLeast"/>
        </w:trPr>
        <w:tc>
          <w:tcPr>
            <w:tcW w:w="7044" w:type="dxa"/>
            <w:gridSpan w:val="6"/>
            <w:tcBorders>
              <w:top w:val="single" w:color="auto" w:sz="4" w:space="0"/>
              <w:left w:val="single" w:color="auto" w:sz="4" w:space="0"/>
              <w:bottom w:val="single" w:color="auto" w:sz="4" w:space="0"/>
              <w:right w:val="single" w:color="auto" w:sz="4" w:space="0"/>
            </w:tcBorders>
            <w:vAlign w:val="top"/>
          </w:tcPr>
          <w:p>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tcBorders>
              <w:top w:val="single" w:color="auto" w:sz="4" w:space="0"/>
              <w:left w:val="single" w:color="auto" w:sz="4" w:space="0"/>
              <w:bottom w:val="single" w:color="auto" w:sz="4" w:space="0"/>
              <w:right w:val="single" w:color="auto" w:sz="4" w:space="0"/>
            </w:tcBorders>
            <w:vAlign w:val="top"/>
          </w:tcPr>
          <w:p>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99</w:t>
            </w:r>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4"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周泽俪</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13618405555</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p>
    <w:p>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8"/>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9" w:hRule="atLeast"/>
        </w:trPr>
        <w:tc>
          <w:tcPr>
            <w:tcW w:w="3118" w:type="dxa"/>
            <w:gridSpan w:val="3"/>
            <w:vAlign w:val="top"/>
          </w:tcPr>
          <w:p>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4" w:hRule="atLeast"/>
        </w:trPr>
        <w:tc>
          <w:tcPr>
            <w:tcW w:w="1084" w:type="dxa"/>
            <w:vAlign w:val="top"/>
          </w:tcPr>
          <w:p>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vAlign w:val="top"/>
          </w:tcPr>
          <w:p>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5" w:hRule="atLeast"/>
        </w:trPr>
        <w:tc>
          <w:tcPr>
            <w:tcW w:w="1084" w:type="dxa"/>
            <w:vMerge w:val="restart"/>
            <w:tcBorders>
              <w:bottom w:val="nil"/>
            </w:tcBorders>
            <w:vAlign w:val="top"/>
          </w:tcPr>
          <w:p>
            <w:pPr>
              <w:spacing w:before="61" w:line="241" w:lineRule="auto"/>
              <w:ind w:right="141"/>
              <w:jc w:val="both"/>
              <w:rPr>
                <w:rFonts w:hint="eastAsia" w:ascii="宋体" w:hAnsi="宋体" w:cs="宋体"/>
                <w:sz w:val="19"/>
                <w:szCs w:val="19"/>
                <w:lang w:eastAsia="zh-CN"/>
              </w:rPr>
            </w:pPr>
          </w:p>
          <w:p>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vAlign w:val="top"/>
          </w:tcPr>
          <w:p>
            <w:pPr>
              <w:pStyle w:val="9"/>
              <w:rPr>
                <w:rFonts w:hint="eastAsia" w:ascii="宋体" w:hAnsi="宋体" w:eastAsia="宋体" w:cs="宋体"/>
              </w:rPr>
            </w:pPr>
          </w:p>
        </w:tc>
        <w:tc>
          <w:tcPr>
            <w:tcW w:w="1244" w:type="dxa"/>
            <w:vAlign w:val="top"/>
          </w:tcPr>
          <w:p>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vAlign w:val="top"/>
          </w:tcPr>
          <w:p>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vAlign w:val="top"/>
          </w:tcPr>
          <w:p>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vAlign w:val="top"/>
          </w:tcPr>
          <w:p>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vAlign w:val="top"/>
          </w:tcPr>
          <w:p>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2034" w:type="dxa"/>
            <w:gridSpan w:val="2"/>
            <w:vAlign w:val="top"/>
          </w:tcPr>
          <w:p>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44"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673" w:type="dxa"/>
            <w:vAlign w:val="top"/>
          </w:tcPr>
          <w:p>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2034" w:type="dxa"/>
            <w:gridSpan w:val="2"/>
            <w:vAlign w:val="top"/>
          </w:tcPr>
          <w:p>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vAlign w:val="top"/>
          </w:tcPr>
          <w:p>
            <w:pPr>
              <w:pStyle w:val="9"/>
              <w:rPr>
                <w:rFonts w:hint="eastAsia" w:ascii="宋体" w:hAnsi="宋体" w:eastAsia="宋体" w:cs="宋体"/>
              </w:rPr>
            </w:pPr>
          </w:p>
        </w:tc>
        <w:tc>
          <w:tcPr>
            <w:tcW w:w="1244" w:type="dxa"/>
            <w:vAlign w:val="top"/>
          </w:tcPr>
          <w:p>
            <w:pPr>
              <w:pStyle w:val="9"/>
              <w:rPr>
                <w:rFonts w:hint="eastAsia" w:ascii="宋体" w:hAnsi="宋体" w:eastAsia="宋体" w:cs="宋体"/>
              </w:rPr>
            </w:pPr>
          </w:p>
        </w:tc>
        <w:tc>
          <w:tcPr>
            <w:tcW w:w="1281" w:type="dxa"/>
            <w:vAlign w:val="top"/>
          </w:tcPr>
          <w:p>
            <w:pPr>
              <w:pStyle w:val="9"/>
              <w:rPr>
                <w:rFonts w:hint="eastAsia" w:ascii="宋体" w:hAnsi="宋体" w:eastAsia="宋体" w:cs="宋体"/>
              </w:rPr>
            </w:pPr>
          </w:p>
        </w:tc>
        <w:tc>
          <w:tcPr>
            <w:tcW w:w="673" w:type="dxa"/>
            <w:vAlign w:val="top"/>
          </w:tcPr>
          <w:p>
            <w:pPr>
              <w:pStyle w:val="9"/>
              <w:rPr>
                <w:rFonts w:hint="eastAsia" w:ascii="宋体" w:hAnsi="宋体" w:eastAsia="宋体" w:cs="宋体"/>
              </w:rPr>
            </w:pP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2034" w:type="dxa"/>
            <w:gridSpan w:val="2"/>
            <w:vAlign w:val="top"/>
          </w:tcPr>
          <w:p>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vAlign w:val="top"/>
          </w:tcPr>
          <w:p>
            <w:pPr>
              <w:pStyle w:val="9"/>
              <w:rPr>
                <w:rFonts w:hint="eastAsia" w:ascii="宋体" w:hAnsi="宋体" w:eastAsia="宋体" w:cs="宋体"/>
              </w:rPr>
            </w:pPr>
          </w:p>
        </w:tc>
        <w:tc>
          <w:tcPr>
            <w:tcW w:w="1244" w:type="dxa"/>
            <w:vAlign w:val="top"/>
          </w:tcPr>
          <w:p>
            <w:pPr>
              <w:pStyle w:val="9"/>
              <w:rPr>
                <w:rFonts w:hint="eastAsia" w:ascii="宋体" w:hAnsi="宋体" w:eastAsia="宋体" w:cs="宋体"/>
              </w:rPr>
            </w:pPr>
          </w:p>
        </w:tc>
        <w:tc>
          <w:tcPr>
            <w:tcW w:w="1281" w:type="dxa"/>
            <w:vAlign w:val="top"/>
          </w:tcPr>
          <w:p>
            <w:pPr>
              <w:pStyle w:val="9"/>
              <w:rPr>
                <w:rFonts w:hint="eastAsia" w:ascii="宋体" w:hAnsi="宋体" w:eastAsia="宋体" w:cs="宋体"/>
              </w:rPr>
            </w:pPr>
          </w:p>
        </w:tc>
        <w:tc>
          <w:tcPr>
            <w:tcW w:w="673" w:type="dxa"/>
            <w:vAlign w:val="top"/>
          </w:tcPr>
          <w:p>
            <w:pPr>
              <w:pStyle w:val="9"/>
              <w:rPr>
                <w:rFonts w:hint="eastAsia" w:ascii="宋体" w:hAnsi="宋体" w:eastAsia="宋体" w:cs="宋体"/>
              </w:rPr>
            </w:pP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4" w:hRule="atLeast"/>
        </w:trPr>
        <w:tc>
          <w:tcPr>
            <w:tcW w:w="1084" w:type="dxa"/>
            <w:vMerge w:val="continue"/>
            <w:tcBorders>
              <w:top w:val="nil"/>
            </w:tcBorders>
            <w:vAlign w:val="top"/>
          </w:tcPr>
          <w:p>
            <w:pPr>
              <w:pStyle w:val="9"/>
              <w:rPr>
                <w:rFonts w:hint="eastAsia" w:ascii="宋体" w:hAnsi="宋体" w:eastAsia="宋体" w:cs="宋体"/>
              </w:rPr>
            </w:pPr>
          </w:p>
        </w:tc>
        <w:tc>
          <w:tcPr>
            <w:tcW w:w="2034" w:type="dxa"/>
            <w:gridSpan w:val="2"/>
            <w:vAlign w:val="top"/>
          </w:tcPr>
          <w:p>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vAlign w:val="top"/>
          </w:tcPr>
          <w:p>
            <w:pPr>
              <w:pStyle w:val="9"/>
              <w:rPr>
                <w:rFonts w:hint="eastAsia" w:ascii="宋体" w:hAnsi="宋体" w:eastAsia="宋体" w:cs="宋体"/>
              </w:rPr>
            </w:pPr>
          </w:p>
        </w:tc>
        <w:tc>
          <w:tcPr>
            <w:tcW w:w="1244" w:type="dxa"/>
            <w:vAlign w:val="top"/>
          </w:tcPr>
          <w:p>
            <w:pPr>
              <w:pStyle w:val="9"/>
              <w:rPr>
                <w:rFonts w:hint="eastAsia" w:ascii="宋体" w:hAnsi="宋体" w:eastAsia="宋体" w:cs="宋体"/>
              </w:rPr>
            </w:pPr>
          </w:p>
        </w:tc>
        <w:tc>
          <w:tcPr>
            <w:tcW w:w="1281" w:type="dxa"/>
            <w:vAlign w:val="top"/>
          </w:tcPr>
          <w:p>
            <w:pPr>
              <w:pStyle w:val="9"/>
              <w:rPr>
                <w:rFonts w:hint="eastAsia" w:ascii="宋体" w:hAnsi="宋体" w:eastAsia="宋体" w:cs="宋体"/>
              </w:rPr>
            </w:pPr>
          </w:p>
        </w:tc>
        <w:tc>
          <w:tcPr>
            <w:tcW w:w="673" w:type="dxa"/>
            <w:vAlign w:val="top"/>
          </w:tcPr>
          <w:p>
            <w:pPr>
              <w:pStyle w:val="9"/>
              <w:rPr>
                <w:rFonts w:hint="eastAsia" w:ascii="宋体" w:hAnsi="宋体" w:eastAsia="宋体" w:cs="宋体"/>
              </w:rPr>
            </w:pP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5" w:hRule="atLeast"/>
        </w:trPr>
        <w:tc>
          <w:tcPr>
            <w:tcW w:w="108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vAlign w:val="top"/>
          </w:tcPr>
          <w:p>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vAlign w:val="top"/>
          </w:tcPr>
          <w:p>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47" w:hRule="atLeast"/>
        </w:trPr>
        <w:tc>
          <w:tcPr>
            <w:tcW w:w="1084" w:type="dxa"/>
            <w:vMerge w:val="continue"/>
            <w:tcBorders>
              <w:top w:val="nil"/>
            </w:tcBorders>
            <w:vAlign w:val="top"/>
          </w:tcPr>
          <w:p>
            <w:pPr>
              <w:pStyle w:val="9"/>
              <w:rPr>
                <w:rFonts w:hint="eastAsia" w:ascii="宋体" w:hAnsi="宋体" w:eastAsia="宋体" w:cs="宋体"/>
              </w:rPr>
            </w:pPr>
          </w:p>
        </w:tc>
        <w:tc>
          <w:tcPr>
            <w:tcW w:w="4522" w:type="dxa"/>
            <w:gridSpan w:val="4"/>
            <w:vAlign w:val="top"/>
          </w:tcPr>
          <w:p>
            <w:pPr>
              <w:pStyle w:val="9"/>
              <w:rPr>
                <w:rFonts w:hint="eastAsia" w:ascii="宋体" w:hAnsi="宋体" w:eastAsia="宋体" w:cs="宋体"/>
              </w:rPr>
            </w:pPr>
          </w:p>
        </w:tc>
        <w:tc>
          <w:tcPr>
            <w:tcW w:w="4249" w:type="dxa"/>
            <w:gridSpan w:val="4"/>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7" w:hRule="atLeast"/>
        </w:trPr>
        <w:tc>
          <w:tcPr>
            <w:tcW w:w="1084" w:type="dxa"/>
            <w:vMerge w:val="restart"/>
            <w:tcBorders>
              <w:bottom w:val="nil"/>
            </w:tcBorders>
            <w:textDirection w:val="tbRlV"/>
            <w:vAlign w:val="top"/>
          </w:tcPr>
          <w:p>
            <w:pPr>
              <w:pStyle w:val="9"/>
              <w:spacing w:line="366" w:lineRule="auto"/>
              <w:rPr>
                <w:rFonts w:hint="eastAsia" w:ascii="宋体" w:hAnsi="宋体" w:eastAsia="宋体" w:cs="宋体"/>
              </w:rPr>
            </w:pPr>
          </w:p>
          <w:p>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vAlign w:val="top"/>
          </w:tcPr>
          <w:p>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vAlign w:val="top"/>
          </w:tcPr>
          <w:p>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vAlign w:val="top"/>
          </w:tcPr>
          <w:p>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vAlign w:val="top"/>
          </w:tcPr>
          <w:p>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vAlign w:val="top"/>
          </w:tcPr>
          <w:p>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vAlign w:val="top"/>
          </w:tcPr>
          <w:p>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vAlign w:val="top"/>
          </w:tcPr>
          <w:p>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restart"/>
            <w:tcBorders>
              <w:bottom w:val="nil"/>
            </w:tcBorders>
            <w:vAlign w:val="top"/>
          </w:tcPr>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7" w:lineRule="auto"/>
              <w:rPr>
                <w:rFonts w:hint="eastAsia" w:ascii="宋体" w:hAnsi="宋体" w:eastAsia="宋体" w:cs="宋体"/>
              </w:rPr>
            </w:pPr>
          </w:p>
          <w:p>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vAlign w:val="top"/>
          </w:tcPr>
          <w:p>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pPr>
              <w:spacing w:before="126" w:line="239" w:lineRule="auto"/>
              <w:ind w:left="379" w:right="175" w:hanging="192"/>
              <w:rPr>
                <w:rFonts w:hint="eastAsia" w:ascii="宋体" w:hAnsi="宋体" w:eastAsia="宋体" w:cs="宋体"/>
                <w:sz w:val="19"/>
                <w:szCs w:val="19"/>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bottom w:val="nil"/>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tcBorders>
            <w:vAlign w:val="top"/>
          </w:tcPr>
          <w:p>
            <w:pPr>
              <w:pStyle w:val="9"/>
              <w:rPr>
                <w:rFonts w:hint="eastAsia" w:ascii="宋体" w:hAnsi="宋体" w:eastAsia="宋体" w:cs="宋体"/>
              </w:rPr>
            </w:pPr>
          </w:p>
        </w:tc>
        <w:tc>
          <w:tcPr>
            <w:tcW w:w="1244" w:type="dxa"/>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restart"/>
            <w:tcBorders>
              <w:bottom w:val="nil"/>
            </w:tcBorders>
            <w:vAlign w:val="top"/>
          </w:tcPr>
          <w:p>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pPr>
              <w:spacing w:before="126" w:line="239" w:lineRule="auto"/>
              <w:ind w:left="379" w:right="175" w:hanging="196"/>
              <w:rPr>
                <w:rFonts w:hint="eastAsia" w:ascii="宋体" w:hAnsi="宋体" w:eastAsia="宋体" w:cs="宋体"/>
                <w:sz w:val="19"/>
                <w:szCs w:val="19"/>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bottom w:val="nil"/>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tcBorders>
            <w:vAlign w:val="top"/>
          </w:tcPr>
          <w:p>
            <w:pPr>
              <w:pStyle w:val="9"/>
              <w:rPr>
                <w:rFonts w:hint="eastAsia" w:ascii="宋体" w:hAnsi="宋体" w:eastAsia="宋体" w:cs="宋体"/>
              </w:rPr>
            </w:pPr>
          </w:p>
        </w:tc>
        <w:tc>
          <w:tcPr>
            <w:tcW w:w="1244" w:type="dxa"/>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restart"/>
            <w:tcBorders>
              <w:bottom w:val="nil"/>
            </w:tcBorders>
            <w:vAlign w:val="top"/>
          </w:tcPr>
          <w:p>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pPr>
              <w:spacing w:before="126" w:line="239" w:lineRule="auto"/>
              <w:ind w:left="379" w:right="175" w:hanging="178"/>
              <w:rPr>
                <w:rFonts w:hint="eastAsia" w:ascii="宋体" w:hAnsi="宋体" w:eastAsia="宋体" w:cs="宋体"/>
                <w:sz w:val="19"/>
                <w:szCs w:val="19"/>
              </w:rPr>
            </w:pPr>
          </w:p>
        </w:tc>
        <w:tc>
          <w:tcPr>
            <w:tcW w:w="1244" w:type="dxa"/>
            <w:vAlign w:val="top"/>
          </w:tcPr>
          <w:p>
            <w:pPr>
              <w:pStyle w:val="9"/>
              <w:spacing w:line="224" w:lineRule="exact"/>
              <w:rPr>
                <w:rFonts w:hint="eastAsia" w:ascii="宋体" w:hAnsi="宋体" w:eastAsia="宋体" w:cs="宋体"/>
                <w:sz w:val="19"/>
              </w:rPr>
            </w:pPr>
          </w:p>
        </w:tc>
        <w:tc>
          <w:tcPr>
            <w:tcW w:w="1244" w:type="dxa"/>
            <w:vAlign w:val="top"/>
          </w:tcPr>
          <w:p>
            <w:pPr>
              <w:pStyle w:val="9"/>
              <w:spacing w:line="224" w:lineRule="exact"/>
              <w:rPr>
                <w:rFonts w:hint="eastAsia" w:ascii="宋体" w:hAnsi="宋体" w:eastAsia="宋体" w:cs="宋体"/>
                <w:sz w:val="19"/>
              </w:rPr>
            </w:pPr>
          </w:p>
        </w:tc>
        <w:tc>
          <w:tcPr>
            <w:tcW w:w="1281" w:type="dxa"/>
            <w:vAlign w:val="top"/>
          </w:tcPr>
          <w:p>
            <w:pPr>
              <w:pStyle w:val="9"/>
              <w:spacing w:line="224" w:lineRule="exact"/>
              <w:rPr>
                <w:rFonts w:hint="eastAsia" w:ascii="宋体" w:hAnsi="宋体" w:eastAsia="宋体" w:cs="宋体"/>
                <w:sz w:val="19"/>
              </w:rPr>
            </w:pPr>
          </w:p>
        </w:tc>
        <w:tc>
          <w:tcPr>
            <w:tcW w:w="673" w:type="dxa"/>
            <w:vAlign w:val="top"/>
          </w:tcPr>
          <w:p>
            <w:pPr>
              <w:pStyle w:val="9"/>
              <w:spacing w:line="224" w:lineRule="exact"/>
              <w:rPr>
                <w:rFonts w:hint="eastAsia" w:ascii="宋体" w:hAnsi="宋体" w:eastAsia="宋体" w:cs="宋体"/>
                <w:sz w:val="19"/>
              </w:rPr>
            </w:pPr>
          </w:p>
        </w:tc>
        <w:tc>
          <w:tcPr>
            <w:tcW w:w="873" w:type="dxa"/>
            <w:vAlign w:val="top"/>
          </w:tcPr>
          <w:p>
            <w:pPr>
              <w:pStyle w:val="9"/>
              <w:spacing w:line="224" w:lineRule="exact"/>
              <w:rPr>
                <w:rFonts w:hint="eastAsia" w:ascii="宋体" w:hAnsi="宋体" w:eastAsia="宋体" w:cs="宋体"/>
                <w:sz w:val="19"/>
              </w:rPr>
            </w:pPr>
          </w:p>
        </w:tc>
        <w:tc>
          <w:tcPr>
            <w:tcW w:w="1422" w:type="dxa"/>
            <w:vAlign w:val="top"/>
          </w:tcPr>
          <w:p>
            <w:pPr>
              <w:pStyle w:val="9"/>
              <w:spacing w:line="224"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bottom w:val="nil"/>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tcBorders>
            <w:vAlign w:val="top"/>
          </w:tcPr>
          <w:p>
            <w:pPr>
              <w:pStyle w:val="9"/>
              <w:rPr>
                <w:rFonts w:hint="eastAsia" w:ascii="宋体" w:hAnsi="宋体" w:eastAsia="宋体" w:cs="宋体"/>
              </w:rPr>
            </w:pPr>
          </w:p>
        </w:tc>
        <w:tc>
          <w:tcPr>
            <w:tcW w:w="1244" w:type="dxa"/>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restart"/>
            <w:tcBorders>
              <w:bottom w:val="nil"/>
            </w:tcBorders>
            <w:vAlign w:val="top"/>
          </w:tcPr>
          <w:p>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pPr>
              <w:spacing w:before="127" w:line="239" w:lineRule="auto"/>
              <w:ind w:left="379" w:right="175" w:hanging="192"/>
              <w:rPr>
                <w:rFonts w:hint="eastAsia" w:ascii="宋体" w:hAnsi="宋体" w:eastAsia="宋体" w:cs="宋体"/>
                <w:sz w:val="19"/>
                <w:szCs w:val="19"/>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bottom w:val="nil"/>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single" w:color="auto" w:sz="4" w:space="0"/>
            </w:tcBorders>
            <w:vAlign w:val="top"/>
          </w:tcPr>
          <w:p>
            <w:pPr>
              <w:pStyle w:val="9"/>
              <w:rPr>
                <w:rFonts w:hint="eastAsia" w:ascii="宋体" w:hAnsi="宋体" w:eastAsia="宋体" w:cs="宋体"/>
              </w:rPr>
            </w:pPr>
          </w:p>
        </w:tc>
        <w:tc>
          <w:tcPr>
            <w:tcW w:w="955" w:type="dxa"/>
            <w:vMerge w:val="continue"/>
            <w:tcBorders>
              <w:top w:val="nil"/>
              <w:bottom w:val="single" w:color="auto" w:sz="4" w:space="0"/>
            </w:tcBorders>
            <w:vAlign w:val="top"/>
          </w:tcPr>
          <w:p>
            <w:pPr>
              <w:pStyle w:val="9"/>
              <w:rPr>
                <w:rFonts w:hint="eastAsia" w:ascii="宋体" w:hAnsi="宋体" w:eastAsia="宋体" w:cs="宋体"/>
              </w:rPr>
            </w:pPr>
          </w:p>
        </w:tc>
        <w:tc>
          <w:tcPr>
            <w:tcW w:w="1244" w:type="dxa"/>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nil"/>
            </w:tcBorders>
            <w:vAlign w:val="top"/>
          </w:tcPr>
          <w:p>
            <w:pPr>
              <w:pStyle w:val="9"/>
              <w:spacing w:line="315" w:lineRule="auto"/>
              <w:rPr>
                <w:rFonts w:hint="eastAsia" w:ascii="宋体" w:hAnsi="宋体" w:eastAsia="宋体" w:cs="宋体"/>
              </w:rPr>
            </w:pPr>
          </w:p>
          <w:p>
            <w:pPr>
              <w:pStyle w:val="9"/>
              <w:spacing w:line="315" w:lineRule="auto"/>
              <w:rPr>
                <w:rFonts w:hint="eastAsia" w:ascii="宋体" w:hAnsi="宋体" w:eastAsia="宋体" w:cs="宋体"/>
              </w:rPr>
            </w:pPr>
          </w:p>
          <w:p>
            <w:pPr>
              <w:pStyle w:val="9"/>
              <w:spacing w:line="315" w:lineRule="auto"/>
              <w:rPr>
                <w:rFonts w:hint="eastAsia" w:ascii="宋体" w:hAnsi="宋体" w:eastAsia="宋体" w:cs="宋体"/>
              </w:rPr>
            </w:pPr>
          </w:p>
          <w:p>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restart"/>
            <w:tcBorders>
              <w:bottom w:val="nil"/>
              <w:right w:val="single" w:color="auto" w:sz="4" w:space="0"/>
            </w:tcBorders>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restart"/>
            <w:tcBorders>
              <w:bottom w:val="nil"/>
              <w:right w:val="single" w:color="auto" w:sz="4" w:space="0"/>
            </w:tcBorders>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tcBorders>
              <w:bottom w:val="nil"/>
              <w:right w:val="single" w:color="auto" w:sz="4" w:space="0"/>
            </w:tcBorders>
            <w:vAlign w:val="top"/>
          </w:tcPr>
          <w:p>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single" w:color="auto" w:sz="4" w:space="0"/>
            </w:tcBorders>
            <w:vAlign w:val="top"/>
          </w:tcPr>
          <w:p>
            <w:pPr>
              <w:pStyle w:val="9"/>
              <w:rPr>
                <w:rFonts w:hint="eastAsia" w:ascii="宋体" w:hAnsi="宋体" w:eastAsia="宋体" w:cs="宋体"/>
              </w:rPr>
            </w:pPr>
          </w:p>
        </w:tc>
        <w:tc>
          <w:tcPr>
            <w:tcW w:w="955" w:type="dxa"/>
            <w:vMerge w:val="restart"/>
            <w:tcBorders>
              <w:bottom w:val="single" w:color="auto" w:sz="4" w:space="0"/>
              <w:right w:val="single" w:color="auto" w:sz="4" w:space="0"/>
            </w:tcBorders>
            <w:vAlign w:val="top"/>
          </w:tcPr>
          <w:p>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bottom w:val="single" w:color="auto" w:sz="4" w:space="0"/>
            </w:tcBorders>
            <w:vAlign w:val="top"/>
          </w:tcPr>
          <w:p>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02" w:hRule="atLeast"/>
        </w:trPr>
        <w:tc>
          <w:tcPr>
            <w:tcW w:w="1084" w:type="dxa"/>
            <w:vMerge w:val="continue"/>
            <w:tcBorders>
              <w:top w:val="nil"/>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tcBorders>
            <w:vAlign w:val="top"/>
          </w:tcPr>
          <w:p>
            <w:pPr>
              <w:pStyle w:val="9"/>
              <w:rPr>
                <w:rFonts w:hint="eastAsia" w:ascii="宋体" w:hAnsi="宋体" w:eastAsia="宋体" w:cs="宋体"/>
              </w:rPr>
            </w:pPr>
          </w:p>
        </w:tc>
        <w:tc>
          <w:tcPr>
            <w:tcW w:w="1244" w:type="dxa"/>
            <w:vAlign w:val="top"/>
          </w:tcPr>
          <w:p>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rPr>
                <w:rFonts w:hint="eastAsia" w:ascii="宋体" w:hAnsi="宋体" w:eastAsia="宋体" w:cs="宋体"/>
              </w:rPr>
            </w:pPr>
          </w:p>
        </w:tc>
        <w:tc>
          <w:tcPr>
            <w:tcW w:w="1281" w:type="dxa"/>
            <w:vAlign w:val="top"/>
          </w:tcPr>
          <w:p>
            <w:pPr>
              <w:pStyle w:val="9"/>
              <w:rPr>
                <w:rFonts w:hint="eastAsia" w:ascii="宋体" w:hAnsi="宋体" w:eastAsia="宋体" w:cs="宋体"/>
              </w:rPr>
            </w:pPr>
          </w:p>
        </w:tc>
        <w:tc>
          <w:tcPr>
            <w:tcW w:w="673" w:type="dxa"/>
            <w:vAlign w:val="top"/>
          </w:tcPr>
          <w:p>
            <w:pPr>
              <w:pStyle w:val="9"/>
              <w:rPr>
                <w:rFonts w:hint="eastAsia" w:ascii="宋体" w:hAnsi="宋体" w:eastAsia="宋体" w:cs="宋体"/>
              </w:rPr>
            </w:pP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9" w:hRule="atLeast"/>
        </w:trPr>
        <w:tc>
          <w:tcPr>
            <w:tcW w:w="6887" w:type="dxa"/>
            <w:gridSpan w:val="6"/>
            <w:vAlign w:val="top"/>
          </w:tcPr>
          <w:p>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vAlign w:val="top"/>
          </w:tcPr>
          <w:p>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bl>
    <w:p>
      <w:pPr>
        <w:pStyle w:val="3"/>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pPr>
        <w:spacing w:line="217" w:lineRule="auto"/>
        <w:rPr>
          <w:sz w:val="22"/>
          <w:szCs w:val="22"/>
        </w:rPr>
      </w:pPr>
    </w:p>
    <w:p>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5"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hint="eastAsia" w:ascii="Times New Roman" w:hAnsi="Times New Roman" w:eastAsia="宋体" w:cs="Times New Roman"/>
          <w:spacing w:val="-4"/>
          <w:sz w:val="31"/>
          <w:szCs w:val="31"/>
          <w:lang w:val="en-US" w:eastAsia="zh-CN"/>
        </w:rPr>
        <w:t>4</w:t>
      </w: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年度岳阳市岳阳楼区望岳街道办事处单位整体支出绩效自评报告</w:t>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3"/>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hint="eastAsia" w:ascii="楷体" w:hAnsi="楷体" w:eastAsia="楷体" w:cs="楷体"/>
          <w:spacing w:val="21"/>
          <w:sz w:val="31"/>
          <w:szCs w:val="31"/>
          <w:lang w:val="en-US" w:eastAsia="zh-CN"/>
        </w:rPr>
        <w:t>06</w:t>
      </w:r>
      <w:r>
        <w:rPr>
          <w:rFonts w:ascii="楷体" w:hAnsi="楷体" w:eastAsia="楷体" w:cs="楷体"/>
          <w:spacing w:val="-8"/>
          <w:sz w:val="31"/>
          <w:szCs w:val="31"/>
        </w:rPr>
        <w:t>月</w:t>
      </w:r>
      <w:r>
        <w:rPr>
          <w:rFonts w:hint="eastAsia" w:ascii="楷体" w:hAnsi="楷体" w:eastAsia="楷体" w:cs="楷体"/>
          <w:spacing w:val="43"/>
          <w:sz w:val="31"/>
          <w:szCs w:val="31"/>
          <w:lang w:val="en-US" w:eastAsia="zh-CN"/>
        </w:rPr>
        <w:t>04</w:t>
      </w:r>
      <w:r>
        <w:rPr>
          <w:rFonts w:ascii="楷体" w:hAnsi="楷体" w:eastAsia="楷体" w:cs="楷体"/>
          <w:spacing w:val="-8"/>
          <w:sz w:val="31"/>
          <w:szCs w:val="31"/>
        </w:rPr>
        <w:t>日</w:t>
      </w:r>
    </w:p>
    <w:p>
      <w:pPr>
        <w:spacing w:line="335" w:lineRule="auto"/>
        <w:rPr>
          <w:rFonts w:ascii="Arial"/>
          <w:sz w:val="21"/>
        </w:rPr>
      </w:pPr>
    </w:p>
    <w:p>
      <w:pPr>
        <w:spacing w:line="224" w:lineRule="auto"/>
        <w:sectPr>
          <w:footerReference r:id="rId6" w:type="default"/>
          <w:pgSz w:w="11900" w:h="16833"/>
          <w:pgMar w:top="1401" w:right="1583" w:bottom="1445" w:left="1618" w:header="0" w:footer="1170" w:gutter="0"/>
          <w:pgNumType w:fmt="decimal"/>
          <w:cols w:space="720" w:num="1"/>
        </w:sect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年度岳阳市岳阳楼区望岳街道办事处</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pPr>
        <w:spacing w:line="283" w:lineRule="auto"/>
        <w:rPr>
          <w:rFonts w:ascii="Arial"/>
          <w:sz w:val="21"/>
        </w:rPr>
      </w:pP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（一）职能职责</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default" w:ascii="楷体" w:hAnsi="楷体" w:eastAsia="楷体" w:cs="楷体"/>
          <w:spacing w:val="9"/>
          <w:position w:val="21"/>
          <w:sz w:val="31"/>
          <w:szCs w:val="31"/>
          <w:lang w:val="en-US" w:eastAsia="zh-CN"/>
        </w:rPr>
        <w:t>望岳路街道党工委领导本地区政治、经济、文化、社会、生态文明建设等各项工作和基层社会治理；望岳路街道办事处依法行使政府管理和服务职能。主要职责是：</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w:t>
      </w:r>
      <w:r>
        <w:rPr>
          <w:rFonts w:hint="default" w:ascii="楷体" w:hAnsi="楷体" w:eastAsia="楷体" w:cs="楷体"/>
          <w:spacing w:val="9"/>
          <w:position w:val="21"/>
          <w:sz w:val="31"/>
          <w:szCs w:val="31"/>
          <w:lang w:val="en-US" w:eastAsia="zh-CN"/>
        </w:rPr>
        <w:t>加强党的建设。落实基层党建工作责任制，统筹街道和社区区域化党建，指导巩固社区党组织建设，完善社区党组织负责人和提拨，优化基层党组织经费保障；</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w:t>
      </w:r>
      <w:r>
        <w:rPr>
          <w:rFonts w:hint="default" w:ascii="楷体" w:hAnsi="楷体" w:eastAsia="楷体" w:cs="楷体"/>
          <w:spacing w:val="9"/>
          <w:position w:val="21"/>
          <w:sz w:val="31"/>
          <w:szCs w:val="31"/>
          <w:lang w:val="en-US" w:eastAsia="zh-CN"/>
        </w:rPr>
        <w:t>统筹社区发展。统筹落实市、区关于辖区发展的重大决策和建设规划，负责优化发展环境、采集企业信息、服务辖区企业、促进项目发展等工作，整合街道管理、监督职责和力量，为审批服务等工作提供支持和保障；</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3、</w:t>
      </w:r>
      <w:r>
        <w:rPr>
          <w:rFonts w:hint="default" w:ascii="楷体" w:hAnsi="楷体" w:eastAsia="楷体" w:cs="楷体"/>
          <w:spacing w:val="9"/>
          <w:position w:val="21"/>
          <w:sz w:val="31"/>
          <w:szCs w:val="31"/>
          <w:lang w:val="en-US" w:eastAsia="zh-CN"/>
        </w:rPr>
        <w:t>组织公共服务。组织实施各项公共服务，在整合基层行政审批和公共服务职责基础上，加强服务机构和平台建设，充分发挥综合便民服务作用。</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4、</w:t>
      </w:r>
      <w:r>
        <w:rPr>
          <w:rFonts w:hint="default" w:ascii="楷体" w:hAnsi="楷体" w:eastAsia="楷体" w:cs="楷体"/>
          <w:spacing w:val="9"/>
          <w:position w:val="21"/>
          <w:sz w:val="31"/>
          <w:szCs w:val="31"/>
          <w:lang w:val="en-US" w:eastAsia="zh-CN"/>
        </w:rPr>
        <w:t>实施综合管理。负责辖区内城市管理等综合性管理工作，承担组织领导和综合协调职能。</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5、</w:t>
      </w:r>
      <w:r>
        <w:rPr>
          <w:rFonts w:hint="default" w:ascii="楷体" w:hAnsi="楷体" w:eastAsia="楷体" w:cs="楷体"/>
          <w:spacing w:val="9"/>
          <w:position w:val="21"/>
          <w:sz w:val="31"/>
          <w:szCs w:val="31"/>
          <w:lang w:val="en-US" w:eastAsia="zh-CN"/>
        </w:rPr>
        <w:t>维护平安稳定。承担辖区内社会安综治理、维护稳定、平安建设、应急管理与处置、安全生产监督管理等有关工作，接待群众来信来访，化解矛盾纠纷等。</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6、</w:t>
      </w:r>
      <w:r>
        <w:rPr>
          <w:rFonts w:hint="default" w:ascii="楷体" w:hAnsi="楷体" w:eastAsia="楷体" w:cs="楷体"/>
          <w:spacing w:val="9"/>
          <w:position w:val="21"/>
          <w:sz w:val="31"/>
          <w:szCs w:val="31"/>
          <w:lang w:val="en-US" w:eastAsia="zh-CN"/>
        </w:rPr>
        <w:t>监督执法管理。对辖区内各类行政执法工作进行统筹协调、监管和执法，组织开展群众监督和社会监督。</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7、</w:t>
      </w:r>
      <w:r>
        <w:rPr>
          <w:rFonts w:hint="default" w:ascii="楷体" w:hAnsi="楷体" w:eastAsia="楷体" w:cs="楷体"/>
          <w:spacing w:val="9"/>
          <w:position w:val="21"/>
          <w:sz w:val="31"/>
          <w:szCs w:val="31"/>
          <w:lang w:val="en-US" w:eastAsia="zh-CN"/>
        </w:rPr>
        <w:t>动员社会参与。动员辖区内各类单位、社会组织、居民等社会力量参与社会治理，为街道发展服务。</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8、</w:t>
      </w:r>
      <w:r>
        <w:rPr>
          <w:rFonts w:hint="default" w:ascii="楷体" w:hAnsi="楷体" w:eastAsia="楷体" w:cs="楷体"/>
          <w:spacing w:val="9"/>
          <w:position w:val="21"/>
          <w:sz w:val="31"/>
          <w:szCs w:val="31"/>
          <w:lang w:val="en-US" w:eastAsia="zh-CN"/>
        </w:rPr>
        <w:t>指导基层自治。指导居民委员会建设，健全社区自治平台，组织辖区单位、居民参与社区建设和管理。</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9、</w:t>
      </w:r>
      <w:r>
        <w:rPr>
          <w:rFonts w:hint="default" w:ascii="楷体" w:hAnsi="楷体" w:eastAsia="楷体" w:cs="楷体"/>
          <w:spacing w:val="9"/>
          <w:position w:val="21"/>
          <w:sz w:val="31"/>
          <w:szCs w:val="31"/>
          <w:lang w:val="en-US" w:eastAsia="zh-CN"/>
        </w:rPr>
        <w:t>履行法定职责。负责落实街道权力清单和责任清单规定的法定职责任务；根据授权，负责承接上级人民政府赋权、委托下放、服务前移等有关事项。</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10、</w:t>
      </w:r>
      <w:r>
        <w:rPr>
          <w:rFonts w:hint="default" w:ascii="楷体" w:hAnsi="楷体" w:eastAsia="楷体" w:cs="楷体"/>
          <w:spacing w:val="9"/>
          <w:position w:val="21"/>
          <w:sz w:val="31"/>
          <w:szCs w:val="31"/>
          <w:lang w:val="en-US" w:eastAsia="zh-CN"/>
        </w:rPr>
        <w:t>完成区委区人民政府交办的其他任务。</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（二）机构设置</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default" w:ascii="楷体" w:hAnsi="楷体" w:eastAsia="楷体" w:cs="楷体"/>
          <w:spacing w:val="9"/>
          <w:position w:val="21"/>
          <w:sz w:val="31"/>
          <w:szCs w:val="31"/>
          <w:lang w:val="en-US" w:eastAsia="zh-CN"/>
        </w:rPr>
        <w:t xml:space="preserve">根据编办核定，机关设置6个股室：党政办公室、党建办公室、经济发展办公室、社会事务办公室、应急管理办公室、综治信访办公室、人民武装部、综合行政执法大队，下设社会事业服务中心、产业项目综合服务中心、环境卫生服务中心、公共服务和网格化中心、退役军人服务站4个事业单位；辖望岳、七里山、鹰山、栖凤亭、北环路、长虹路6个社区。现有行政事业编制人员 </w:t>
      </w:r>
      <w:r>
        <w:rPr>
          <w:rFonts w:hint="eastAsia" w:ascii="楷体" w:hAnsi="楷体" w:eastAsia="楷体" w:cs="楷体"/>
          <w:spacing w:val="9"/>
          <w:position w:val="21"/>
          <w:sz w:val="31"/>
          <w:szCs w:val="31"/>
          <w:lang w:val="en-US" w:eastAsia="zh-CN"/>
        </w:rPr>
        <w:t>69</w:t>
      </w:r>
      <w:r>
        <w:rPr>
          <w:rFonts w:hint="default" w:ascii="楷体" w:hAnsi="楷体" w:eastAsia="楷体" w:cs="楷体"/>
          <w:spacing w:val="9"/>
          <w:position w:val="21"/>
          <w:sz w:val="31"/>
          <w:szCs w:val="31"/>
          <w:lang w:val="en-US" w:eastAsia="zh-CN"/>
        </w:rPr>
        <w:t xml:space="preserve"> 人，社区人员61人</w:t>
      </w:r>
      <w:r>
        <w:rPr>
          <w:rFonts w:hint="eastAsia" w:ascii="楷体" w:hAnsi="楷体" w:eastAsia="楷体" w:cs="楷体"/>
          <w:spacing w:val="9"/>
          <w:position w:val="21"/>
          <w:sz w:val="31"/>
          <w:szCs w:val="31"/>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2023年我单位基本支出是1070.70万元，其中：人员经费：859.31万元，占基本支出的80.26%，主要是包括基本工资、津贴补贴、奖金、伙食补助费、绩效工资、机关事业单位养老保险缴费、职工基本医疗保险缴费、其他社会保险缴费、住房公积金、医疗费、退休费、救济费、其他对个人和家庭的补助；公用经费：211.39万元，占基本支出的19.74%，主要包括办公费、印刷费、咨询费、水费、电费、邮电费、差旅费、维修（护）费、租赁费、会议费、培训费、专用材料费、劳务费、工会经费、其他交通费、税金及附加费用、其他商品和服务支出。</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楷体" w:hAnsi="楷体" w:eastAsia="楷体" w:cs="楷体"/>
          <w:spacing w:val="9"/>
          <w:position w:val="21"/>
          <w:sz w:val="31"/>
          <w:szCs w:val="31"/>
          <w:lang w:val="en-US" w:eastAsia="zh-CN"/>
        </w:rPr>
      </w:pPr>
      <w:r>
        <w:rPr>
          <w:rFonts w:ascii="楷体" w:hAnsi="楷体" w:eastAsia="楷体" w:cs="楷体"/>
          <w:spacing w:val="9"/>
          <w:position w:val="21"/>
          <w:sz w:val="31"/>
          <w:szCs w:val="31"/>
        </w:rPr>
        <w:t>（</w:t>
      </w:r>
      <w:r>
        <w:rPr>
          <w:rFonts w:hint="eastAsia" w:ascii="楷体" w:hAnsi="楷体" w:eastAsia="楷体" w:cs="楷体"/>
          <w:spacing w:val="9"/>
          <w:position w:val="21"/>
          <w:sz w:val="31"/>
          <w:szCs w:val="31"/>
          <w:lang w:val="en-US" w:eastAsia="zh-CN"/>
        </w:rPr>
        <w:t>二</w:t>
      </w:r>
      <w:r>
        <w:rPr>
          <w:rFonts w:ascii="楷体" w:hAnsi="楷体" w:eastAsia="楷体" w:cs="楷体"/>
          <w:spacing w:val="9"/>
          <w:position w:val="21"/>
          <w:sz w:val="31"/>
          <w:szCs w:val="31"/>
        </w:rPr>
        <w:t>）</w:t>
      </w:r>
      <w:r>
        <w:rPr>
          <w:rFonts w:hint="eastAsia" w:ascii="楷体" w:hAnsi="楷体" w:eastAsia="楷体" w:cs="楷体"/>
          <w:spacing w:val="9"/>
          <w:position w:val="21"/>
          <w:sz w:val="31"/>
          <w:szCs w:val="31"/>
          <w:lang w:val="en-US" w:eastAsia="zh-CN"/>
        </w:rPr>
        <w:t>项目支出情况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我单位2023年度项目支出1426.36万元，明细如下（单位：万元</w:t>
      </w:r>
      <w:bookmarkStart w:id="0" w:name="_GoBack"/>
      <w:bookmarkEnd w:id="0"/>
      <w:r>
        <w:rPr>
          <w:rFonts w:hint="eastAsia" w:ascii="楷体" w:hAnsi="楷体" w:eastAsia="楷体" w:cs="楷体"/>
          <w:spacing w:val="9"/>
          <w:position w:val="21"/>
          <w:sz w:val="31"/>
          <w:szCs w:val="31"/>
          <w:lang w:val="en-US" w:eastAsia="zh-CN"/>
        </w:rPr>
        <w:t>）：</w:t>
      </w: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1815"/>
        <w:gridCol w:w="2325"/>
        <w:gridCol w:w="16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楷体" w:hAnsi="楷体" w:eastAsia="楷体" w:cs="楷体"/>
                <w:color w:val="000000"/>
                <w:sz w:val="32"/>
                <w:szCs w:val="32"/>
              </w:rPr>
            </w:pPr>
            <w:r>
              <w:rPr>
                <w:rFonts w:hint="eastAsia" w:ascii="楷体" w:hAnsi="楷体" w:eastAsia="楷体" w:cs="楷体"/>
                <w:color w:val="000000"/>
                <w:sz w:val="32"/>
                <w:szCs w:val="32"/>
              </w:rPr>
              <w:t>残联专项支出</w:t>
            </w:r>
          </w:p>
        </w:tc>
        <w:tc>
          <w:tcPr>
            <w:tcW w:w="1815" w:type="dxa"/>
            <w:vAlign w:val="top"/>
          </w:tcPr>
          <w:p>
            <w:pPr>
              <w:rPr>
                <w:rFonts w:hint="eastAsia" w:ascii="楷体" w:hAnsi="楷体" w:eastAsia="楷体" w:cs="楷体"/>
                <w:color w:val="000000"/>
                <w:sz w:val="32"/>
                <w:szCs w:val="32"/>
                <w:lang w:val="en-US" w:eastAsia="zh-CN"/>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4.28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楷体" w:hAnsi="楷体" w:eastAsia="楷体" w:cs="楷体"/>
                <w:color w:val="000000"/>
                <w:sz w:val="32"/>
                <w:szCs w:val="32"/>
              </w:rPr>
            </w:pPr>
            <w:r>
              <w:rPr>
                <w:rFonts w:hint="eastAsia" w:ascii="楷体" w:hAnsi="楷体" w:eastAsia="楷体" w:cs="楷体"/>
                <w:color w:val="000000"/>
                <w:sz w:val="32"/>
                <w:szCs w:val="32"/>
              </w:rPr>
              <w:t>环境整治专项支出</w:t>
            </w:r>
          </w:p>
        </w:tc>
        <w:tc>
          <w:tcPr>
            <w:tcW w:w="1815" w:type="dxa"/>
            <w:vAlign w:val="top"/>
          </w:tcPr>
          <w:p>
            <w:pPr>
              <w:rPr>
                <w:rFonts w:hint="eastAsia" w:ascii="楷体" w:hAnsi="楷体" w:eastAsia="楷体" w:cs="楷体"/>
                <w:color w:val="000000"/>
                <w:sz w:val="32"/>
                <w:szCs w:val="32"/>
                <w:lang w:val="en-US" w:eastAsia="zh-CN"/>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996.05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楷体" w:hAnsi="楷体" w:eastAsia="楷体" w:cs="楷体"/>
                <w:color w:val="000000"/>
                <w:sz w:val="32"/>
                <w:szCs w:val="32"/>
              </w:rPr>
            </w:pPr>
            <w:r>
              <w:rPr>
                <w:rFonts w:hint="eastAsia" w:ascii="楷体" w:hAnsi="楷体" w:eastAsia="楷体" w:cs="楷体"/>
                <w:color w:val="000000"/>
                <w:sz w:val="32"/>
                <w:szCs w:val="32"/>
              </w:rPr>
              <w:t>环卫专项支出</w:t>
            </w:r>
          </w:p>
        </w:tc>
        <w:tc>
          <w:tcPr>
            <w:tcW w:w="1815" w:type="dxa"/>
            <w:vAlign w:val="top"/>
          </w:tcPr>
          <w:p>
            <w:pPr>
              <w:rPr>
                <w:rFonts w:hint="eastAsia" w:ascii="楷体" w:hAnsi="楷体" w:eastAsia="楷体" w:cs="楷体"/>
                <w:color w:val="000000"/>
                <w:sz w:val="32"/>
                <w:szCs w:val="32"/>
                <w:lang w:val="en-US" w:eastAsia="zh-CN"/>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288.30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楷体" w:hAnsi="楷体" w:eastAsia="楷体" w:cs="楷体"/>
                <w:color w:val="000000"/>
                <w:sz w:val="32"/>
                <w:szCs w:val="32"/>
              </w:rPr>
            </w:pPr>
            <w:r>
              <w:rPr>
                <w:rFonts w:hint="eastAsia" w:ascii="楷体" w:hAnsi="楷体" w:eastAsia="楷体" w:cs="楷体"/>
                <w:color w:val="000000"/>
                <w:sz w:val="32"/>
                <w:szCs w:val="32"/>
              </w:rPr>
              <w:t>民政专项支出</w:t>
            </w:r>
          </w:p>
        </w:tc>
        <w:tc>
          <w:tcPr>
            <w:tcW w:w="1815" w:type="dxa"/>
            <w:vAlign w:val="top"/>
          </w:tcPr>
          <w:p>
            <w:pPr>
              <w:rPr>
                <w:rFonts w:hint="eastAsia" w:ascii="楷体" w:hAnsi="楷体" w:eastAsia="楷体" w:cs="楷体"/>
                <w:color w:val="000000"/>
                <w:sz w:val="32"/>
                <w:szCs w:val="32"/>
                <w:lang w:val="en-US" w:eastAsia="zh-CN"/>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9.98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楷体" w:hAnsi="楷体" w:eastAsia="楷体" w:cs="楷体"/>
                <w:color w:val="000000"/>
                <w:sz w:val="32"/>
                <w:szCs w:val="32"/>
              </w:rPr>
            </w:pPr>
            <w:r>
              <w:rPr>
                <w:rFonts w:hint="eastAsia" w:ascii="楷体" w:hAnsi="楷体" w:eastAsia="楷体" w:cs="楷体"/>
                <w:color w:val="000000"/>
                <w:sz w:val="32"/>
                <w:szCs w:val="32"/>
              </w:rPr>
              <w:t>人社专项支出</w:t>
            </w:r>
          </w:p>
        </w:tc>
        <w:tc>
          <w:tcPr>
            <w:tcW w:w="1815" w:type="dxa"/>
            <w:vAlign w:val="top"/>
          </w:tcPr>
          <w:p>
            <w:pPr>
              <w:rPr>
                <w:rFonts w:hint="eastAsia" w:ascii="楷体" w:hAnsi="楷体" w:eastAsia="楷体" w:cs="楷体"/>
                <w:color w:val="000000"/>
                <w:sz w:val="32"/>
                <w:szCs w:val="32"/>
                <w:lang w:val="en-US" w:eastAsia="zh-CN"/>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楷体" w:hAnsi="楷体" w:eastAsia="楷体" w:cs="楷体"/>
                <w:color w:val="000000"/>
                <w:sz w:val="32"/>
                <w:szCs w:val="32"/>
              </w:rPr>
            </w:pPr>
            <w:r>
              <w:rPr>
                <w:rFonts w:hint="eastAsia" w:ascii="楷体" w:hAnsi="楷体" w:eastAsia="楷体" w:cs="楷体"/>
                <w:color w:val="000000"/>
                <w:sz w:val="32"/>
                <w:szCs w:val="32"/>
              </w:rPr>
              <w:t>社区建设支出</w:t>
            </w:r>
          </w:p>
        </w:tc>
        <w:tc>
          <w:tcPr>
            <w:tcW w:w="1815" w:type="dxa"/>
            <w:vAlign w:val="top"/>
          </w:tcPr>
          <w:p>
            <w:pPr>
              <w:rPr>
                <w:rFonts w:hint="eastAsia" w:ascii="楷体" w:hAnsi="楷体" w:eastAsia="楷体" w:cs="楷体"/>
                <w:color w:val="000000"/>
                <w:sz w:val="32"/>
                <w:szCs w:val="32"/>
                <w:lang w:val="en-US" w:eastAsia="zh-CN"/>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38.78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楷体" w:hAnsi="楷体" w:eastAsia="楷体" w:cs="楷体"/>
                <w:color w:val="000000"/>
                <w:sz w:val="32"/>
                <w:szCs w:val="32"/>
              </w:rPr>
            </w:pPr>
            <w:r>
              <w:rPr>
                <w:rFonts w:hint="eastAsia" w:ascii="楷体" w:hAnsi="楷体" w:eastAsia="楷体" w:cs="楷体"/>
                <w:color w:val="000000"/>
                <w:sz w:val="32"/>
                <w:szCs w:val="32"/>
              </w:rPr>
              <w:t>退役服务专项支出</w:t>
            </w:r>
          </w:p>
        </w:tc>
        <w:tc>
          <w:tcPr>
            <w:tcW w:w="1815" w:type="dxa"/>
            <w:vAlign w:val="top"/>
          </w:tcPr>
          <w:p>
            <w:pPr>
              <w:rPr>
                <w:rFonts w:hint="eastAsia" w:ascii="楷体" w:hAnsi="楷体" w:eastAsia="楷体" w:cs="楷体"/>
                <w:color w:val="000000"/>
                <w:sz w:val="32"/>
                <w:szCs w:val="32"/>
                <w:lang w:val="en-US" w:eastAsia="zh-CN"/>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42.37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eastAsia" w:ascii="楷体" w:hAnsi="楷体" w:eastAsia="楷体" w:cs="楷体"/>
                <w:color w:val="000000"/>
                <w:spacing w:val="3"/>
                <w:sz w:val="32"/>
                <w:szCs w:val="32"/>
                <w:lang w:val="en-US" w:eastAsia="zh-CN"/>
              </w:rPr>
            </w:pPr>
            <w:r>
              <w:rPr>
                <w:rFonts w:hint="eastAsia" w:ascii="楷体" w:hAnsi="楷体" w:eastAsia="楷体" w:cs="楷体"/>
                <w:color w:val="000000"/>
                <w:spacing w:val="3"/>
                <w:sz w:val="32"/>
                <w:szCs w:val="32"/>
                <w:lang w:val="en-US" w:eastAsia="zh-CN"/>
              </w:rPr>
              <w:t>疫情防控专项支出</w:t>
            </w:r>
          </w:p>
        </w:tc>
        <w:tc>
          <w:tcPr>
            <w:tcW w:w="1815" w:type="dxa"/>
            <w:vAlign w:val="top"/>
          </w:tcPr>
          <w:p>
            <w:pPr>
              <w:rPr>
                <w:rFonts w:hint="eastAsia" w:ascii="楷体" w:hAnsi="楷体" w:eastAsia="楷体" w:cs="楷体"/>
                <w:color w:val="000000"/>
                <w:sz w:val="32"/>
                <w:szCs w:val="32"/>
                <w:lang w:val="en-US" w:eastAsia="zh-CN"/>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eastAsia" w:ascii="楷体" w:hAnsi="楷体" w:eastAsia="楷体" w:cs="楷体"/>
                <w:color w:val="000000"/>
                <w:spacing w:val="3"/>
                <w:sz w:val="32"/>
                <w:szCs w:val="32"/>
                <w:lang w:val="en-US" w:eastAsia="zh-CN"/>
              </w:rPr>
            </w:pPr>
            <w:r>
              <w:rPr>
                <w:rFonts w:hint="eastAsia" w:ascii="楷体" w:hAnsi="楷体" w:eastAsia="楷体" w:cs="楷体"/>
                <w:color w:val="000000"/>
                <w:spacing w:val="3"/>
                <w:sz w:val="32"/>
                <w:szCs w:val="32"/>
                <w:lang w:val="en-US" w:eastAsia="zh-CN"/>
              </w:rPr>
              <w:t>应急专项支出</w:t>
            </w:r>
          </w:p>
        </w:tc>
        <w:tc>
          <w:tcPr>
            <w:tcW w:w="1815" w:type="dxa"/>
            <w:vAlign w:val="top"/>
          </w:tcPr>
          <w:p>
            <w:pPr>
              <w:rPr>
                <w:rFonts w:hint="eastAsia" w:ascii="楷体" w:hAnsi="楷体" w:eastAsia="楷体" w:cs="楷体"/>
                <w:color w:val="000000"/>
                <w:sz w:val="32"/>
                <w:szCs w:val="32"/>
                <w:lang w:val="en-US" w:eastAsia="zh-CN"/>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41.30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eastAsia" w:ascii="楷体" w:hAnsi="楷体" w:eastAsia="楷体" w:cs="楷体"/>
                <w:color w:val="000000"/>
                <w:spacing w:val="3"/>
                <w:sz w:val="32"/>
                <w:szCs w:val="32"/>
                <w:lang w:val="en-US" w:eastAsia="zh-CN"/>
              </w:rPr>
            </w:pPr>
            <w:r>
              <w:rPr>
                <w:rFonts w:hint="eastAsia" w:ascii="楷体" w:hAnsi="楷体" w:eastAsia="楷体" w:cs="楷体"/>
                <w:color w:val="000000"/>
                <w:spacing w:val="3"/>
                <w:sz w:val="32"/>
                <w:szCs w:val="32"/>
                <w:lang w:val="en-US" w:eastAsia="zh-CN"/>
              </w:rPr>
              <w:t>就业创业服务</w:t>
            </w:r>
          </w:p>
        </w:tc>
        <w:tc>
          <w:tcPr>
            <w:tcW w:w="1815" w:type="dxa"/>
            <w:vAlign w:val="top"/>
          </w:tcPr>
          <w:p>
            <w:pPr>
              <w:rPr>
                <w:rFonts w:hint="eastAsia" w:ascii="楷体" w:hAnsi="楷体" w:eastAsia="楷体" w:cs="楷体"/>
                <w:color w:val="000000"/>
                <w:sz w:val="32"/>
                <w:szCs w:val="32"/>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1.05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eastAsia" w:ascii="楷体" w:hAnsi="楷体" w:eastAsia="楷体" w:cs="楷体"/>
                <w:color w:val="000000"/>
                <w:spacing w:val="3"/>
                <w:sz w:val="32"/>
                <w:szCs w:val="32"/>
                <w:lang w:val="en-US" w:eastAsia="zh-CN"/>
              </w:rPr>
            </w:pPr>
            <w:r>
              <w:rPr>
                <w:rFonts w:hint="eastAsia" w:ascii="楷体" w:hAnsi="楷体" w:eastAsia="楷体" w:cs="楷体"/>
                <w:color w:val="000000"/>
                <w:spacing w:val="3"/>
                <w:sz w:val="32"/>
                <w:szCs w:val="32"/>
                <w:lang w:val="en-US" w:eastAsia="zh-CN"/>
              </w:rPr>
              <w:t>食品安全</w:t>
            </w:r>
          </w:p>
        </w:tc>
        <w:tc>
          <w:tcPr>
            <w:tcW w:w="1815" w:type="dxa"/>
            <w:vAlign w:val="top"/>
          </w:tcPr>
          <w:p>
            <w:pPr>
              <w:rPr>
                <w:rFonts w:hint="eastAsia" w:ascii="楷体" w:hAnsi="楷体" w:eastAsia="楷体" w:cs="楷体"/>
                <w:color w:val="000000"/>
                <w:sz w:val="32"/>
                <w:szCs w:val="32"/>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2.58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eastAsia" w:ascii="楷体" w:hAnsi="楷体" w:eastAsia="楷体" w:cs="楷体"/>
                <w:color w:val="000000"/>
                <w:spacing w:val="3"/>
                <w:sz w:val="32"/>
                <w:szCs w:val="32"/>
                <w:lang w:val="en-US" w:eastAsia="zh-CN"/>
              </w:rPr>
            </w:pPr>
            <w:r>
              <w:rPr>
                <w:rFonts w:hint="eastAsia" w:ascii="楷体" w:hAnsi="楷体" w:eastAsia="楷体" w:cs="楷体"/>
                <w:color w:val="000000"/>
                <w:spacing w:val="3"/>
                <w:sz w:val="32"/>
                <w:szCs w:val="32"/>
                <w:lang w:val="en-US" w:eastAsia="zh-CN"/>
              </w:rPr>
              <w:t>医保专项</w:t>
            </w:r>
          </w:p>
        </w:tc>
        <w:tc>
          <w:tcPr>
            <w:tcW w:w="1815" w:type="dxa"/>
            <w:vAlign w:val="top"/>
          </w:tcPr>
          <w:p>
            <w:pPr>
              <w:rPr>
                <w:rFonts w:hint="eastAsia" w:ascii="楷体" w:hAnsi="楷体" w:eastAsia="楷体" w:cs="楷体"/>
                <w:color w:val="000000"/>
                <w:sz w:val="32"/>
                <w:szCs w:val="32"/>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1.27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jc w:val="left"/>
              <w:rPr>
                <w:rFonts w:hint="eastAsia" w:ascii="楷体" w:hAnsi="楷体" w:eastAsia="楷体" w:cs="楷体"/>
                <w:color w:val="000000"/>
                <w:spacing w:val="3"/>
                <w:sz w:val="32"/>
                <w:szCs w:val="32"/>
                <w:lang w:val="en-US" w:eastAsia="zh-CN"/>
              </w:rPr>
            </w:pPr>
            <w:r>
              <w:rPr>
                <w:rFonts w:hint="eastAsia" w:ascii="楷体" w:hAnsi="楷体" w:eastAsia="楷体" w:cs="楷体"/>
                <w:color w:val="000000"/>
                <w:spacing w:val="3"/>
                <w:sz w:val="32"/>
                <w:szCs w:val="32"/>
                <w:lang w:val="en-US" w:eastAsia="zh-CN"/>
              </w:rPr>
              <w:t>专场招聘会</w:t>
            </w:r>
          </w:p>
        </w:tc>
        <w:tc>
          <w:tcPr>
            <w:tcW w:w="1815" w:type="dxa"/>
            <w:vAlign w:val="top"/>
          </w:tcPr>
          <w:p>
            <w:pPr>
              <w:rPr>
                <w:rFonts w:hint="eastAsia" w:ascii="楷体" w:hAnsi="楷体" w:eastAsia="楷体" w:cs="楷体"/>
                <w:color w:val="000000"/>
                <w:sz w:val="32"/>
                <w:szCs w:val="32"/>
              </w:rPr>
            </w:pPr>
          </w:p>
        </w:tc>
        <w:tc>
          <w:tcPr>
            <w:tcW w:w="2325" w:type="dxa"/>
            <w:vAlign w:val="top"/>
          </w:tcPr>
          <w:p>
            <w:pPr>
              <w:rPr>
                <w:rFonts w:hint="eastAsia" w:ascii="楷体" w:hAnsi="楷体" w:eastAsia="楷体" w:cs="楷体"/>
                <w:color w:val="000000"/>
                <w:sz w:val="32"/>
                <w:szCs w:val="32"/>
              </w:rPr>
            </w:pPr>
          </w:p>
        </w:tc>
        <w:tc>
          <w:tcPr>
            <w:tcW w:w="1679" w:type="dxa"/>
            <w:vAlign w:val="top"/>
          </w:tcPr>
          <w:p>
            <w:pPr>
              <w:rPr>
                <w:rFonts w:hint="eastAsia" w:ascii="楷体" w:hAnsi="楷体" w:eastAsia="楷体" w:cs="楷体"/>
                <w:color w:val="000000"/>
                <w:sz w:val="32"/>
                <w:szCs w:val="32"/>
                <w:lang w:val="en-US" w:eastAsia="zh-CN"/>
              </w:rPr>
            </w:pPr>
            <w:r>
              <w:rPr>
                <w:rFonts w:hint="eastAsia" w:ascii="楷体" w:hAnsi="楷体" w:eastAsia="楷体" w:cs="楷体"/>
                <w:color w:val="000000"/>
                <w:sz w:val="32"/>
                <w:szCs w:val="32"/>
                <w:lang w:val="en-US" w:eastAsia="zh-CN"/>
              </w:rPr>
              <w:t>4.81</w:t>
            </w:r>
          </w:p>
        </w:tc>
      </w:tr>
    </w:tbl>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楷体" w:hAnsi="楷体" w:eastAsia="楷体" w:cs="楷体"/>
          <w:spacing w:val="9"/>
          <w:position w:val="21"/>
          <w:sz w:val="31"/>
          <w:szCs w:val="31"/>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8"/>
          <w:sz w:val="31"/>
          <w:szCs w:val="31"/>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我单位2023年度无政府性基金预算。</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四、国有资本经营预算支出情况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我单位2023年度无国有资本经营预算。</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五、社会保险基金预算支出情况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我单位2023年度无社会保险基金预算。</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六、</w:t>
      </w: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望岳路街道党工委、办事处在区委、区政府的坚强领导下，始终坚持以习近平新时代中国特色社会主义思想为指导,紧紧围绕建设名副其实省域副中心城市的核心引领区和首善之区目标，立足实际，主动谋划,各项工作取得一定成效。</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一、基层党建不断加强</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扎实开展主题教育。坚持以学习贯彻党的二十大精神为主旨，扎实开展面向全体党员的主题教育，成立领导机构，建成工作机制，通过“一月一课一片一实践”、集中学习、送学上门等方式，让2700多名党员都受到了不同程度的教育，真正教育了党员、解决了问题、促进了发展。省委指导组对我街道“走找想促”的居民自建房排查整改工作给予了高度评价，在区主题教育整改整治“公开评议”活动中获得全票“满意”通过。高标准推进调查研究工作走深走实,共收集问题清单110条，现已全部解决到位。</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严格落实意识形态工作责任制。党工委始终把意识形态工作作为一项极端重要的工作，多次召开意识形态工作专题研究会议，分析研判风险隐患，开展了专题学习，推动意识形态工作落细落实。加强与公安、国安、网信等部门沟通和对接，上报省内舆情550余条，处置回复辖区各类网络舆情8条，做到抓早抓小，有效遏制较大负面舆情出现，成功处置3起网络不当言论事件。将统战工作、武装工作纳入党工委日常议事日程，筑牢中华民族共同体工作意识，严格落实三级网络两级责任制，依法打击辖区内私设宗教聚会点；坚持贯彻党管武装方针，从政治领导、思想领导和组织领导等方面谋划推动街道武装工作，顺利通过岳阳军分区“五星”乡镇人民武装部评级验收。</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推进基层党组织建设。根据各社区实际，对社区工作人员进行了优化调整，1名社区书记到龄退休，择优任命了北环路、栖凤亭社区书记，调整了3名社区副书记，补充了1名社区党委委员，都开展了任前审查、考察、谈话、报备，社区班子实现了配齐配强。全面推行“片长组长邻长”制，构建党建引领社会治理新格局，制作工作笔记本、工作证、工作手册等，扩大知晓面，延伸组织建设触角。加强能力培训, 每周五下午组织开展社区工作者能力培训提升班活动，内容涵盖了社会管理、法律知识、城市管理、安全管理等多个方面。</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四是整体提升班子素质。根据区委要求，对班子成员中年龄偏大的3名同志进行了谈话，他们主动申请退出了领导岗位。区委将街道2名副主任重用为党工委委员，又安排了3名年纪轻、素质高，能力强的同志到街道工作，这是望岳路街道历史上班子调整最大、调得最强的一次。执行“导师帮带”制度，资历深的“导师”干部对帮带对象全程提供指导和帮助，关心其工作、生活、发展，使其尽快适应角色，高效开展工作。</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五是持续推进党风廉政建设。严格落实全面从严治党主体责任，深入开展领导干部子女相互请托办事、“两带头五整治”等专项整治。扎实推进清廉楼区建设，制定《望岳路街道清廉建设工作方案》，开展清廉建设“四个一”活动，组织85人参观廉洁文化作品展，工委书记、班子成员带头讲授廉政党课，邀请区纪委领导对清廉建设情况进行了现场检查验收。着力推动巡察整改，结合“未巡先改”，严肃认真迎接了区委第五轮巡察，制定了《巡察反馈意见整改方案》，共计4大方面82条整改措施。持之以恒正风肃纪，全年提醒谈话1人，诫勉谈话4人，立案6件。根据区委组织部加强和改进领导干部因私出国（境）管理监督工作的要求，对单位公职人员因私出国（境）情况严格审查把关，集中管理护照、港澳通行证、台湾通信证等，今年无因私出国境情况。</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三、经济发展稳中向好</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全力推动项目。己内酰胺片区是全市征拆工作中单体最大的项目，我街道负责9块红线区，共计816亩，已签约腾房300余户，腾地450余亩。争取资金1亿元开展老旧小区改造，彻底解决了岳纺片区基础设施问题，共改造房屋94栋，3175户，总建筑面积约27万平方米，基础配套设施建设项目15个，11月底已全面完工。实施了洞庭湖滨带生态修复凉亭山水库改造工程，总投资1500万元，在全市11个项目中率先开工，最先竣工。</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全面完成指标。加大协税护税力度，辖区企业做到了应缴尽缴。全面完成固定资产投资13.46亿元，在库项目9个，今年新增项目6个，超额完成街道全年固定资产投资额。完成全年名录库改错任务，共改错1437条。对寓外乡友进行摸底上报，新增187人。内联引资到位资金5000万元，湘商回归投资新注册企业3家，湘商投资项目实际到位资金1500万元。</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全心服务企业。辖区民营工业企业、个体工商户较多，街道制定了“七联七包”实施方案，班子成员、股室长联点企业，定期上门走访，及时对接企业需求、解决企业难题；相较去年同期我街道商贸业上报数据同比增长107%，呈良好发展态势，已经基本走出疫情影响。己内酰胺整体搬迁计划实施以来，部分企业面临走与留的问题，为帮助解决其在“关、改、搬、转”工作中存在的问题，调研撰写《加大助企纾困力度，促进己内酰胺片区产业转型高质量发展》报告，得到了市委主要领导的肯定批示。支持凯美特气扩能扩产，新注册企业一家。在房地产行业颓势中，辖区宝德公司投资7亿元，所建房屋销售情况较好。</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四、基层治理成效明显</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自建房排查整治到位。街道自建房排查录入率达到100%，对判定存在重大安全隐患的3栋C级自建房，整改后报上级部门测评已全部销号，危房处置率达100％。全年拆除己内酰胺收储项目、宝德东堤湾别墅区、岳建小区旧改项目等违法建设139处，共4496平方米。</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人居环境持续优化。坚持多管齐下，按照“修补设施、整治重点、干部动手、全体动员”的思路，定期召开“书记抓环卫”工作推进会，认真落实区委、区政府工作部署。常态化开展巡查整治工作，对发现的问题及时进行整改，确保环境卫生干净整洁，环卫工人管理规范有序；开展重点区域环境整治，扎实开展每周大扫除270场次，对辖区内无人清理的卫生死角、“牛皮癣”、零散建筑垃圾等进行了全面清理。落实“河长制” “田长制”，守护好东风湖堤岸，辖区内居住环境品质有效提升。</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安全生产平稳有序。建立健全组织机构，抓好安全生产监督管理。广泛开展安全知识宣传和应急演练，提升居民安全意识。认真落实燃气安全工作，街道燃气“三件套”安装任务总数11239户。抓好汛期防汛工作，确保居民人身财产安全。今年全街道未发生一起安全生产责任事故。</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四是平安建设稳中有进。积极排查化解矛盾纠纷，全年处理12345市长热线851条，市长信箱8件，按期办结率均达到100％。全面夯实禁毒基础工作,涉毒人员信息核查率、社康社戒执行率、出所必接率均为100%，肇事肇祸发生为零。落实“五包一”责任制，掌握重点信访对象的情况，及时上门做工作，将辖区内的重点人员都稳控在当地，全年未发生一起群访和越级访事件。</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五是法治建设一以贯之。坚持“办事依法、遇事找法、解决问题用法、化解矛盾靠法”原则，从街道党工委班子抓起，把法治思维作为一切工作的指导方向，把法律法规作为工作准绳，做到崇尚法律、遵守法律、执行法律。推进“八五”学法、普法考试工作，共70人完成学法、普法考试，通过率达100%。街道、社区聘请法律顾问、扩充人民调解委员会队伍，成功调解矛盾纠纷194起，将司法纠纷解决在基层。多次在辖区内开展普法宣传活动，全年总计发放宣传资料2.6万余份。认真做好社区矫正人员的监管、教育、帮教工作，引导其融入社会，辖区56名安置帮教人员目前思想情况稳定，未出现重新违法犯罪现象。</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五、民生福祉稳步提升</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社会保障提质扩面。全年共完成医保参保人数近19000人，超额完成任务数，排名居全区前列。走访低保、残疾、因病因灾、“两劳”释放等困难对象，开展各类专项救助33次；每月为辖区328名残疾对象发放残疾人重度护理补贴和困难生活补贴，低保救助287户446人，较去年有明显下降。</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就业平台保障有力。认真贯彻落实区委《关于印发〈岳阳楼区推进人才强区建设若干措施〉的通知》，加大人才引进力度，支持巴陵石化等大型企业在七里山社区建设人才公寓。联合区人社局、区退役军人事务局在北环路社区举办大型现场招聘会，通过“线上+线下”的服务方式，共组织120余家企业参加，招聘岗位达3000余个，当场签约就业450多人。</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both"/>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构建多层次养老服务体系。街道打造多层级养老服务体系，在全区走在前列。广济医院试行老年人智能健康检测跟进项目，洞氮医院推行医养结合理念，完善基础设施建设，提升服务，建成了全市规模最大的医养一体场所。以“15分钟便民服务圈”为半径，建设社区食堂，为老年人提供便利的就餐环境，建成鹰山社区老年活动中心、七里山社区党建主题公园和北环路社区文化广场等，丰富了居民活动场地。</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六、文明建设向好发展</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深化精神文明建设。依托新时代文明实践所、站等阵地，面向社区基层党组织、居民群众开展理论学习、政策宣讲100余场次，开展各类文化活动262次；常态化开展各类志愿活动，在“湖南志愿服务网”发布志愿服务活动120次；指导、支持七里山社区、北环路社区创建市级文明单位。通过形式多样、群众喜闻乐见的各类活动，传播新思想、新理念、新战略，切实将精神文明建设工作落细、落实。精心准备、真抓实干、优质完成了国家文明城市测评的相关任务。</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扎实推进移风易俗。制定《望岳路街道新时代文明实践所移风易俗活动实施方案》，成立移风易俗工作领导小组，实现宣传阵地全覆盖，引导群众摒弃陈规陋习，树立文明新风。积极倡导“文明治丧”，着力解决违规治丧和违规安葬等殡葬领域突出问题，率先关停洞氮殡仪馆非法治丧点，得到市、区领导高度肯定，全市殡葬秩序整治现场会议在我街道召开。</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强化舆论正面宣传。积极向上级媒体投稿，及时将街道开展的各类活动进行正面的宣传报道，全年省级媒体上稿1篇，市、区级媒体上稿190篇，宣传氛围浓厚；开展小微邻里活动10场次，鹰山社区举办“百家宴”大型邻里节活动，邻里和谐氛围日益浓厚。</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56" w:firstLineChars="200"/>
        <w:textAlignment w:val="auto"/>
        <w:rPr>
          <w:rFonts w:ascii="黑体" w:hAnsi="黑体" w:eastAsia="黑体" w:cs="黑体"/>
          <w:spacing w:val="9"/>
          <w:position w:val="21"/>
          <w:sz w:val="31"/>
          <w:szCs w:val="31"/>
        </w:rPr>
      </w:pPr>
      <w:r>
        <w:rPr>
          <w:rFonts w:hint="eastAsia" w:ascii="楷体" w:hAnsi="楷体" w:eastAsia="楷体" w:cs="楷体"/>
          <w:spacing w:val="9"/>
          <w:kern w:val="2"/>
          <w:position w:val="21"/>
          <w:sz w:val="31"/>
          <w:szCs w:val="31"/>
          <w:lang w:val="en-US" w:eastAsia="zh-CN" w:bidi="ar-SA"/>
        </w:rPr>
        <w:t>一是基层党建仍有欠缺。党员队伍中仍存在不自觉履行义务，不自觉参加党组织活动，不主动交纳党费的情况，缺乏严格有效的组织处理措施，没有全面充分调动党员的积极性，部分党员先锋模范作用没有得到充分体现。二是干部管理“宽松软”仍存在。违纪问题总有发生，对工作人员经常性教育监督管理不力，对干部8小时以外监管不严。1名班子成员因酒驾受到了处分，1名班子成员因打牌赌博被免去职务，还有4名机关、社区工作人员因违纪受到党纪处分。三是地方发展的可持续性研究不够。如己内酰胺征拆项目推进上办法还不多、力度还不大；己内酰胺片区原有化工企业基本外迁，洞纺厂停产，对经济总量、税收、就业影响极大，新的产业布局落地还要相当长时间，对如何度过接续期、引进新的产业等目前缺乏系统规划和有效措施。</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下一步改进措施</w:t>
      </w:r>
    </w:p>
    <w:p>
      <w:pPr>
        <w:keepNext w:val="0"/>
        <w:keepLines w:val="0"/>
        <w:pageBreakBefore w:val="0"/>
        <w:widowControl w:val="0"/>
        <w:kinsoku/>
        <w:wordWrap/>
        <w:overflowPunct/>
        <w:topLinePunct w:val="0"/>
        <w:autoSpaceDE/>
        <w:autoSpaceDN/>
        <w:bidi w:val="0"/>
        <w:adjustRightInd/>
        <w:snapToGrid/>
        <w:spacing w:line="0" w:lineRule="atLeast"/>
        <w:ind w:firstLine="656" w:firstLineChars="200"/>
        <w:jc w:val="left"/>
        <w:textAlignment w:val="auto"/>
        <w:rPr>
          <w:rFonts w:ascii="黑体" w:hAnsi="黑体" w:eastAsia="黑体" w:cs="黑体"/>
          <w:spacing w:val="8"/>
          <w:sz w:val="31"/>
          <w:szCs w:val="31"/>
        </w:rPr>
      </w:pPr>
      <w:r>
        <w:rPr>
          <w:rFonts w:hint="eastAsia" w:ascii="楷体" w:hAnsi="楷体" w:eastAsia="楷体" w:cs="楷体"/>
          <w:spacing w:val="9"/>
          <w:kern w:val="2"/>
          <w:position w:val="21"/>
          <w:sz w:val="31"/>
          <w:szCs w:val="31"/>
          <w:lang w:val="en-US" w:eastAsia="zh-CN" w:bidi="ar-SA"/>
        </w:rPr>
        <w:t>一是抓管理，把党建基础做得更实。进一步落实党建工作责任制、年度目标责任考核制和支部书记抓党建工作述职评议考核管理。针对不同党支部，结合实际、因地制宜开展“三会一课”等，部署党建工作任务。进一步严格干部管理，严肃执纪，对违反党纪国法的工作人员不姑息，不手软。二是抓稳定，把平安基石筑得更牢。落实领导干部、机关工作人员联系社区制度，加大网格员民情熟悉度，加大力度排查影响社会治安稳定因素，认真开展打击整治，维护社会公平正义，维护正常信访秩序，全面推进社会治安综合治理。三是抓民生，把群众生活建得更优。积极整合各类资源，切实解决居民反映强烈的问题，全力推进旧改、“城市六治”等工作，提升改善居民生活环境。认真落实低保、救助、就业等惠民政策，让困难群众得到更多实惠和关怀。</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Arial"/>
          <w:sz w:val="21"/>
        </w:rPr>
      </w:pPr>
    </w:p>
    <w:p>
      <w:pPr>
        <w:pStyle w:val="3"/>
        <w:keepNext w:val="0"/>
        <w:keepLines w:val="0"/>
        <w:pageBreakBefore w:val="0"/>
        <w:widowControl w:val="0"/>
        <w:kinsoku/>
        <w:wordWrap/>
        <w:overflowPunct/>
        <w:topLinePunct w:val="0"/>
        <w:autoSpaceDE/>
        <w:autoSpaceDN/>
        <w:bidi w:val="0"/>
        <w:adjustRightInd/>
        <w:snapToGrid/>
        <w:spacing w:line="240" w:lineRule="auto"/>
        <w:ind w:left="0" w:right="0" w:firstLine="960" w:firstLineChars="300"/>
        <w:jc w:val="left"/>
        <w:textAlignment w:val="auto"/>
        <w:rPr>
          <w:rFonts w:hint="eastAsia" w:ascii="仿宋_GB2312" w:hAnsi="仿宋_GB2312" w:eastAsia="仿宋_GB2312" w:cs="仿宋_GB2312"/>
          <w:sz w:val="32"/>
          <w:szCs w:val="32"/>
        </w:rPr>
      </w:pP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方正仿宋_GB2312">
    <w:altName w:val="仿宋"/>
    <w:panose1 w:val="00000000000000000000"/>
    <w:charset w:val="86"/>
    <w:family w:val="auto"/>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华文彩云">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华文琥珀">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华文行楷">
    <w:panose1 w:val="02010800040101010101"/>
    <w:charset w:val="86"/>
    <w:family w:val="auto"/>
    <w:pitch w:val="default"/>
    <w:sig w:usb0="00000001" w:usb1="080F0000" w:usb2="00000000" w:usb3="00000000" w:csb0="00040000" w:csb1="00000000"/>
  </w:font>
  <w:font w:name="华文隶书">
    <w:panose1 w:val="02010800040101010101"/>
    <w:charset w:val="86"/>
    <w:family w:val="auto"/>
    <w:pitch w:val="default"/>
    <w:sig w:usb0="00000001" w:usb1="080F0000" w:usb2="00000000" w:usb3="00000000" w:csb0="00040000" w:csb1="00000000"/>
  </w:font>
  <w:font w:name="幼圆">
    <w:panose1 w:val="0201050906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auto"/>
    <w:pitch w:val="default"/>
    <w:sig w:usb0="00000003" w:usb1="288F0000" w:usb2="00000006" w:usb3="00000000" w:csb0="00040001" w:csb1="00000000"/>
  </w:font>
  <w:font w:name="方正姚体">
    <w:panose1 w:val="02010601030101010101"/>
    <w:charset w:val="86"/>
    <w:family w:val="auto"/>
    <w:pitch w:val="default"/>
    <w:sig w:usb0="00000003" w:usb1="080E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rz7aEBoCAAAhBAAADgAA&#10;AAAAAAABACAAAAAfAQAAZHJzL2Uyb0RvYy54bWxQSwUGAAAAAAYABgBZAQAAqw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yMZ+WxoCAAAhBAAADgAA&#10;AAAAAAABACAAAAAfAQAAZHJzL2Uyb0RvYy54bWxQSwUGAAAAAAYABgBZAQAAqw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before="1" w:line="174" w:lineRule="auto"/>
      <w:ind w:left="574"/>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before="1" w:line="174" w:lineRule="auto"/>
      <w:jc w:val="right"/>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55B3C37"/>
    <w:multiLevelType w:val="singleLevel"/>
    <w:tmpl w:val="A55B3C37"/>
    <w:lvl w:ilvl="0" w:tentative="0">
      <w:start w:val="1"/>
      <w:numFmt w:val="decimal"/>
      <w:suff w:val="nothing"/>
      <w:lvlText w:val="%1、"/>
      <w:lvlJc w:val="left"/>
    </w:lvl>
  </w:abstractNum>
  <w:abstractNum w:abstractNumId="1">
    <w:nsid w:val="D0B4E98E"/>
    <w:multiLevelType w:val="singleLevel"/>
    <w:tmpl w:val="D0B4E98E"/>
    <w:lvl w:ilvl="0" w:tentative="0">
      <w:start w:val="7"/>
      <w:numFmt w:val="chineseCounting"/>
      <w:suff w:val="nothing"/>
      <w:lvlText w:val="%1、"/>
      <w:lvlJc w:val="left"/>
      <w:rPr>
        <w:rFonts w:hint="eastAsia"/>
      </w:rPr>
    </w:lvl>
  </w:abstractNum>
  <w:abstractNum w:abstractNumId="2">
    <w:nsid w:val="244548FC"/>
    <w:multiLevelType w:val="singleLevel"/>
    <w:tmpl w:val="244548FC"/>
    <w:lvl w:ilvl="0" w:tentative="0">
      <w:start w:val="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wMmJlYzJhMzIwMmQ1NjY3N2FiZmZhNTZiNzgxM2Y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1F1D02"/>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B120F"/>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8C735E"/>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475E5"/>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472E7"/>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A675E9"/>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AF4BC3"/>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5C5C1F"/>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90A6C"/>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CF1836"/>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5D743E"/>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E50F6A"/>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9D083C"/>
    <w:rsid w:val="1EB95D76"/>
    <w:rsid w:val="1EC02D79"/>
    <w:rsid w:val="1EC54236"/>
    <w:rsid w:val="1ED464CA"/>
    <w:rsid w:val="1EDA5DF7"/>
    <w:rsid w:val="1EDB3703"/>
    <w:rsid w:val="1EE3245B"/>
    <w:rsid w:val="1EED4A44"/>
    <w:rsid w:val="1EF21DDF"/>
    <w:rsid w:val="1EF57ED7"/>
    <w:rsid w:val="1EFA39EA"/>
    <w:rsid w:val="1F00206F"/>
    <w:rsid w:val="1F0177DA"/>
    <w:rsid w:val="1F031993"/>
    <w:rsid w:val="1F10474A"/>
    <w:rsid w:val="1F18467A"/>
    <w:rsid w:val="1F232A42"/>
    <w:rsid w:val="1F2645A8"/>
    <w:rsid w:val="1F2A3ED5"/>
    <w:rsid w:val="1F345333"/>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E5D4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371D4"/>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A74F8B"/>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734F4"/>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A66C9C"/>
    <w:rsid w:val="34B510BB"/>
    <w:rsid w:val="34BB2714"/>
    <w:rsid w:val="34C25EF7"/>
    <w:rsid w:val="34CC620E"/>
    <w:rsid w:val="34D20F28"/>
    <w:rsid w:val="34E22DC0"/>
    <w:rsid w:val="34F211E2"/>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75643"/>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6F020EC"/>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05F65"/>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9B34CA"/>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2E0076"/>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96579C"/>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40A45"/>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0562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45840"/>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3F95709"/>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B050F"/>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7F368C"/>
    <w:rsid w:val="498413E9"/>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4A0D21"/>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776B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EA1D8E"/>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3834C3"/>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26EB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39223F"/>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E40DB2"/>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671FC"/>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BA52C3"/>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3457EE"/>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A1D9A"/>
    <w:rsid w:val="5FEB2206"/>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02776"/>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C17E4E"/>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5A00E6"/>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3F17B5"/>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B1E34"/>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5D623A"/>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1B2B08"/>
    <w:rsid w:val="6F226923"/>
    <w:rsid w:val="6F2302E3"/>
    <w:rsid w:val="6F285225"/>
    <w:rsid w:val="6F314C13"/>
    <w:rsid w:val="6F382FA6"/>
    <w:rsid w:val="6F391F60"/>
    <w:rsid w:val="6F4B2CC1"/>
    <w:rsid w:val="6F4D42A4"/>
    <w:rsid w:val="6F694006"/>
    <w:rsid w:val="6F6C5490"/>
    <w:rsid w:val="6F6D23E0"/>
    <w:rsid w:val="6F6D4CE5"/>
    <w:rsid w:val="6F6D6A5C"/>
    <w:rsid w:val="6F75014C"/>
    <w:rsid w:val="6F761900"/>
    <w:rsid w:val="6FA71AD5"/>
    <w:rsid w:val="6FAF2607"/>
    <w:rsid w:val="6FB0729E"/>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76DE0"/>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07C4E"/>
    <w:rsid w:val="79987ED2"/>
    <w:rsid w:val="79AE1AE3"/>
    <w:rsid w:val="79AE77FB"/>
    <w:rsid w:val="79AF50E3"/>
    <w:rsid w:val="79B85AA8"/>
    <w:rsid w:val="79C342A8"/>
    <w:rsid w:val="79C34F9F"/>
    <w:rsid w:val="79C81B6A"/>
    <w:rsid w:val="79D46A29"/>
    <w:rsid w:val="79DA750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7336B3"/>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7D06A6"/>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4F3EAA"/>
    <w:rsid w:val="7E5341B1"/>
    <w:rsid w:val="7E613E8F"/>
    <w:rsid w:val="7E616C7B"/>
    <w:rsid w:val="7E733A70"/>
    <w:rsid w:val="7E7B6F02"/>
    <w:rsid w:val="7E7C322C"/>
    <w:rsid w:val="7E892220"/>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 w:val="D7D65B9E"/>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8">
    <w:name w:val="Table Normal"/>
    <w:unhideWhenUsed/>
    <w:qFormat/>
    <w:uiPriority w:val="0"/>
    <w:tblPr>
      <w:tblLayout w:type="fixed"/>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7562</Words>
  <Characters>7945</Characters>
  <Lines>0</Lines>
  <Paragraphs>0</Paragraphs>
  <TotalTime>1</TotalTime>
  <ScaleCrop>false</ScaleCrop>
  <LinksUpToDate>false</LinksUpToDate>
  <CharactersWithSpaces>8059</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2024-04-21T00:44:00Z</dcterms:created>
  <dc:creator>新一天</dc:creator>
  <cp:lastModifiedBy>青海</cp:lastModifiedBy>
  <dcterms:modified xsi:type="dcterms:W3CDTF">2024-06-19T13:14:47Z</dcterms:modified>
  <dc:title>附件1</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26EA791A61B343A3B5B6B561FEAAFDD4_13</vt:lpwstr>
  </property>
</Properties>
</file>