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岳阳市岳阳楼区城市管理督查考评中心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181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28</w:t>
            </w:r>
          </w:p>
        </w:tc>
        <w:tc>
          <w:tcPr>
            <w:tcW w:w="2325" w:type="dxa"/>
            <w:gridSpan w:val="2"/>
            <w:noWrap w:val="0"/>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28</w:t>
            </w:r>
          </w:p>
        </w:tc>
        <w:tc>
          <w:tcPr>
            <w:tcW w:w="1679"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pPr>
              <w:rPr>
                <w:rFonts w:hint="eastAsia" w:ascii="宋体" w:hAnsi="宋体" w:eastAsia="宋体" w:cs="宋体"/>
                <w:color w:val="000000"/>
                <w:sz w:val="24"/>
                <w:szCs w:val="24"/>
              </w:rPr>
            </w:pPr>
          </w:p>
        </w:tc>
        <w:tc>
          <w:tcPr>
            <w:tcW w:w="2325" w:type="dxa"/>
            <w:gridSpan w:val="2"/>
            <w:noWrap w:val="0"/>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6.00</w:t>
            </w:r>
          </w:p>
        </w:tc>
        <w:tc>
          <w:tcPr>
            <w:tcW w:w="1679" w:type="dxa"/>
            <w:gridSpan w:val="2"/>
            <w:noWrap w:val="0"/>
            <w:vAlign w:val="top"/>
          </w:tcPr>
          <w:p>
            <w:pPr>
              <w:rPr>
                <w:rFonts w:hint="eastAsia" w:ascii="宋体" w:hAnsi="宋体" w:eastAsia="宋体" w:cs="宋体"/>
                <w:color w:val="000000"/>
                <w:sz w:val="24"/>
                <w:szCs w:val="24"/>
              </w:rPr>
            </w:pPr>
            <w:r>
              <w:rPr>
                <w:rFonts w:hint="eastAsia" w:ascii="宋体" w:hAnsi="宋体" w:eastAsia="宋体" w:cs="宋体"/>
                <w:color w:val="000000"/>
                <w:sz w:val="21"/>
                <w:lang w:val="en-US" w:eastAsia="zh-CN"/>
              </w:rPr>
              <w:t>11.48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919.42</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131.54</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1146.79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173.00</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84.63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27.00</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719.42</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66.00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1037.16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城市综合管理专项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61.03</w:t>
            </w:r>
          </w:p>
        </w:tc>
        <w:tc>
          <w:tcPr>
            <w:tcW w:w="2325" w:type="dxa"/>
            <w:gridSpan w:val="2"/>
            <w:noWrap w:val="0"/>
            <w:vAlign w:val="top"/>
          </w:tcPr>
          <w:p>
            <w:pPr>
              <w:rPr>
                <w:rFonts w:hint="eastAsia" w:ascii="宋体" w:hAnsi="宋体" w:eastAsia="宋体" w:cs="宋体"/>
                <w:color w:val="000000"/>
                <w:sz w:val="21"/>
                <w:lang w:val="en-US" w:eastAsia="zh-CN"/>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工资性支出预留专项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139.88</w:t>
            </w:r>
          </w:p>
        </w:tc>
        <w:tc>
          <w:tcPr>
            <w:tcW w:w="2325" w:type="dxa"/>
            <w:gridSpan w:val="2"/>
            <w:noWrap w:val="0"/>
            <w:vAlign w:val="top"/>
          </w:tcPr>
          <w:p>
            <w:pPr>
              <w:rPr>
                <w:rFonts w:hint="eastAsia" w:ascii="宋体" w:hAnsi="宋体" w:eastAsia="宋体" w:cs="宋体"/>
                <w:color w:val="000000"/>
                <w:sz w:val="21"/>
                <w:lang w:val="en-US" w:eastAsia="zh-CN"/>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会议经费专项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0.60</w:t>
            </w:r>
          </w:p>
        </w:tc>
        <w:tc>
          <w:tcPr>
            <w:tcW w:w="2325" w:type="dxa"/>
            <w:gridSpan w:val="2"/>
            <w:noWrap w:val="0"/>
            <w:vAlign w:val="top"/>
          </w:tcPr>
          <w:p>
            <w:pPr>
              <w:rPr>
                <w:rFonts w:hint="eastAsia" w:ascii="宋体" w:hAnsi="宋体" w:eastAsia="宋体" w:cs="宋体"/>
                <w:color w:val="000000"/>
                <w:sz w:val="21"/>
                <w:lang w:val="en-US" w:eastAsia="zh-CN"/>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禁毒经费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0.56</w:t>
            </w:r>
          </w:p>
        </w:tc>
        <w:tc>
          <w:tcPr>
            <w:tcW w:w="2325" w:type="dxa"/>
            <w:gridSpan w:val="2"/>
            <w:noWrap w:val="0"/>
            <w:vAlign w:val="top"/>
          </w:tcPr>
          <w:p>
            <w:pPr>
              <w:rPr>
                <w:rFonts w:hint="eastAsia" w:ascii="宋体" w:hAnsi="宋体" w:eastAsia="宋体" w:cs="宋体"/>
                <w:color w:val="000000"/>
                <w:sz w:val="21"/>
                <w:lang w:val="en-US" w:eastAsia="zh-CN"/>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文明创建经费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23.27</w:t>
            </w:r>
          </w:p>
        </w:tc>
        <w:tc>
          <w:tcPr>
            <w:tcW w:w="2325" w:type="dxa"/>
            <w:gridSpan w:val="2"/>
            <w:noWrap w:val="0"/>
            <w:vAlign w:val="top"/>
          </w:tcPr>
          <w:p>
            <w:pPr>
              <w:rPr>
                <w:rFonts w:hint="eastAsia" w:ascii="宋体" w:hAnsi="宋体" w:eastAsia="宋体" w:cs="宋体"/>
                <w:color w:val="000000"/>
                <w:sz w:val="21"/>
                <w:lang w:val="en-US" w:eastAsia="zh-CN"/>
              </w:rPr>
            </w:pPr>
          </w:p>
        </w:tc>
        <w:tc>
          <w:tcPr>
            <w:tcW w:w="1679" w:type="dxa"/>
            <w:gridSpan w:val="2"/>
            <w:noWrap w:val="0"/>
            <w:vAlign w:val="top"/>
          </w:tcPr>
          <w:p>
            <w:pPr>
              <w:rPr>
                <w:rFonts w:hint="eastAsia" w:ascii="宋体" w:hAnsi="宋体" w:eastAsia="宋体" w:cs="宋体"/>
                <w:color w:val="000000"/>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编外用工人员经费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60.54</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76.29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标准化考核奖励（防暑慰问）</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25.63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城南所2022年单位结转资金</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107.92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非税收入拨款</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159.72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公务用车运行维护费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环卫清扫经费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302.55</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54.71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上年指标年终结转</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173.40</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设施设备采购</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503.36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疫情防控专项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18.13</w:t>
            </w: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48.53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left"/>
              <w:rPr>
                <w:rFonts w:hint="eastAsia" w:ascii="宋体" w:hAnsi="宋体" w:eastAsia="宋体" w:cs="宋体"/>
                <w:color w:val="000000"/>
                <w:sz w:val="24"/>
                <w:szCs w:val="24"/>
              </w:rPr>
            </w:pPr>
            <w:r>
              <w:rPr>
                <w:rFonts w:hint="eastAsia" w:ascii="宋体" w:hAnsi="宋体" w:eastAsia="宋体" w:cs="宋体"/>
                <w:color w:val="000000"/>
                <w:sz w:val="24"/>
                <w:szCs w:val="24"/>
              </w:rPr>
              <w:t>渣土运输费用</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1.65</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4.00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2.96</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8.40</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249.54</w:t>
            </w:r>
          </w:p>
        </w:tc>
        <w:tc>
          <w:tcPr>
            <w:tcW w:w="2325"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50.04</w:t>
            </w:r>
          </w:p>
        </w:tc>
        <w:tc>
          <w:tcPr>
            <w:tcW w:w="1679" w:type="dxa"/>
            <w:gridSpan w:val="2"/>
            <w:noWrap w:val="0"/>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298.62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pPr>
              <w:rPr>
                <w:rFonts w:hint="eastAsia" w:ascii="宋体" w:hAnsi="宋体" w:eastAsia="宋体" w:cs="宋体"/>
                <w:color w:val="000000"/>
                <w:sz w:val="21"/>
              </w:rPr>
            </w:pPr>
          </w:p>
        </w:tc>
        <w:tc>
          <w:tcPr>
            <w:tcW w:w="2325" w:type="dxa"/>
            <w:gridSpan w:val="2"/>
            <w:noWrap w:val="0"/>
            <w:vAlign w:val="top"/>
          </w:tcPr>
          <w:p>
            <w:pPr>
              <w:rPr>
                <w:rFonts w:hint="eastAsia" w:ascii="宋体" w:hAnsi="宋体" w:eastAsia="宋体" w:cs="宋体"/>
                <w:color w:val="000000"/>
                <w:sz w:val="21"/>
              </w:rPr>
            </w:pPr>
          </w:p>
        </w:tc>
        <w:tc>
          <w:tcPr>
            <w:tcW w:w="1679" w:type="dxa"/>
            <w:gridSpan w:val="2"/>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宋体" w:hAnsi="宋体" w:eastAsia="宋体" w:cs="宋体"/>
                <w:color w:val="000000"/>
                <w:sz w:val="24"/>
                <w:szCs w:val="24"/>
              </w:rPr>
            </w:pPr>
          </w:p>
        </w:tc>
        <w:tc>
          <w:tcPr>
            <w:tcW w:w="825" w:type="dxa"/>
            <w:noWrap w:val="0"/>
            <w:vAlign w:val="top"/>
          </w:tcPr>
          <w:p>
            <w:pPr>
              <w:rPr>
                <w:rFonts w:hint="eastAsia" w:ascii="宋体" w:hAnsi="宋体" w:eastAsia="宋体" w:cs="宋体"/>
                <w:color w:val="000000"/>
                <w:sz w:val="21"/>
              </w:rPr>
            </w:pPr>
          </w:p>
        </w:tc>
        <w:tc>
          <w:tcPr>
            <w:tcW w:w="990" w:type="dxa"/>
            <w:noWrap w:val="0"/>
            <w:vAlign w:val="top"/>
          </w:tcPr>
          <w:p>
            <w:pPr>
              <w:rPr>
                <w:rFonts w:hint="eastAsia" w:ascii="宋体" w:hAnsi="宋体" w:eastAsia="宋体" w:cs="宋体"/>
                <w:color w:val="000000"/>
                <w:sz w:val="21"/>
              </w:rPr>
            </w:pPr>
          </w:p>
        </w:tc>
        <w:tc>
          <w:tcPr>
            <w:tcW w:w="1140" w:type="dxa"/>
            <w:noWrap w:val="0"/>
            <w:vAlign w:val="top"/>
          </w:tcPr>
          <w:p>
            <w:pPr>
              <w:rPr>
                <w:rFonts w:hint="eastAsia" w:ascii="宋体" w:hAnsi="宋体" w:eastAsia="宋体" w:cs="宋体"/>
                <w:color w:val="000000"/>
                <w:sz w:val="21"/>
              </w:rPr>
            </w:pPr>
          </w:p>
        </w:tc>
        <w:tc>
          <w:tcPr>
            <w:tcW w:w="1185" w:type="dxa"/>
            <w:noWrap w:val="0"/>
            <w:vAlign w:val="top"/>
          </w:tcPr>
          <w:p>
            <w:pPr>
              <w:rPr>
                <w:rFonts w:hint="eastAsia" w:ascii="宋体" w:hAnsi="宋体" w:eastAsia="宋体" w:cs="宋体"/>
                <w:color w:val="000000"/>
                <w:sz w:val="21"/>
              </w:rPr>
            </w:pPr>
          </w:p>
        </w:tc>
        <w:tc>
          <w:tcPr>
            <w:tcW w:w="810" w:type="dxa"/>
            <w:noWrap w:val="0"/>
            <w:vAlign w:val="top"/>
          </w:tcPr>
          <w:p>
            <w:pPr>
              <w:rPr>
                <w:rFonts w:hint="eastAsia" w:ascii="宋体" w:hAnsi="宋体" w:eastAsia="宋体" w:cs="宋体"/>
                <w:color w:val="000000"/>
                <w:sz w:val="21"/>
              </w:rPr>
            </w:pPr>
          </w:p>
        </w:tc>
        <w:tc>
          <w:tcPr>
            <w:tcW w:w="869" w:type="dxa"/>
            <w:noWrap w:val="0"/>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rFonts w:hint="default" w:eastAsia="宋体"/>
          <w:sz w:val="28"/>
          <w:szCs w:val="28"/>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刘莉</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w:t>
      </w:r>
      <w:r>
        <w:rPr>
          <w:rFonts w:hint="eastAsia" w:ascii="宋体" w:hAnsi="宋体" w:eastAsia="宋体" w:cs="宋体"/>
          <w:color w:val="000000"/>
          <w:spacing w:val="0"/>
          <w:position w:val="0"/>
          <w:sz w:val="23"/>
          <w:szCs w:val="23"/>
        </w:rPr>
        <w:t>8915881   填报日期：</w:t>
      </w:r>
      <w:r>
        <w:rPr>
          <w:rFonts w:hint="eastAsia" w:ascii="宋体" w:hAnsi="宋体" w:eastAsia="宋体" w:cs="宋体"/>
          <w:color w:val="000000"/>
          <w:spacing w:val="0"/>
          <w:position w:val="0"/>
          <w:sz w:val="23"/>
          <w:szCs w:val="23"/>
          <w:lang w:val="en-US" w:eastAsia="zh-CN"/>
        </w:rPr>
        <w:t>2024-05-26</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hint="eastAsia" w:ascii="黑体" w:hAnsi="黑体" w:eastAsia="黑体" w:cs="黑体"/>
          <w:spacing w:val="-60"/>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9"/>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774"/>
        <w:gridCol w:w="1069"/>
        <w:gridCol w:w="1675"/>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2791" w:type="dxa"/>
            <w:gridSpan w:val="3"/>
            <w:noWrap w:val="0"/>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7292" w:type="dxa"/>
            <w:gridSpan w:val="6"/>
            <w:noWrap w:val="0"/>
            <w:vAlign w:val="top"/>
          </w:tcPr>
          <w:p>
            <w:pPr>
              <w:pStyle w:val="10"/>
              <w:spacing w:line="239"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restart"/>
            <w:tcBorders>
              <w:bottom w:val="nil"/>
            </w:tcBorders>
            <w:noWrap w:val="0"/>
            <w:vAlign w:val="top"/>
          </w:tcPr>
          <w:p>
            <w:pPr>
              <w:pStyle w:val="10"/>
              <w:spacing w:line="467" w:lineRule="auto"/>
              <w:rPr>
                <w:rFonts w:hint="eastAsia" w:ascii="宋体" w:hAnsi="宋体" w:eastAsia="宋体" w:cs="宋体"/>
              </w:rPr>
            </w:pPr>
          </w:p>
          <w:p>
            <w:pPr>
              <w:spacing w:before="62" w:line="232" w:lineRule="auto"/>
              <w:ind w:right="14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1843" w:type="dxa"/>
            <w:gridSpan w:val="2"/>
            <w:noWrap w:val="0"/>
            <w:vAlign w:val="top"/>
          </w:tcPr>
          <w:p>
            <w:pPr>
              <w:pStyle w:val="10"/>
              <w:spacing w:line="235" w:lineRule="exact"/>
              <w:rPr>
                <w:rFonts w:hint="eastAsia" w:ascii="宋体" w:hAnsi="宋体" w:eastAsia="宋体" w:cs="宋体"/>
                <w:sz w:val="20"/>
              </w:rPr>
            </w:pPr>
          </w:p>
        </w:tc>
        <w:tc>
          <w:tcPr>
            <w:tcW w:w="1675" w:type="dxa"/>
            <w:noWrap w:val="0"/>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vAlign w:val="top"/>
          </w:tcPr>
          <w:p>
            <w:pPr>
              <w:pStyle w:val="10"/>
              <w:rPr>
                <w:rFonts w:hint="eastAsia" w:ascii="宋体" w:hAnsi="宋体" w:eastAsia="宋体" w:cs="宋体"/>
              </w:rPr>
            </w:pPr>
          </w:p>
        </w:tc>
        <w:tc>
          <w:tcPr>
            <w:tcW w:w="1843" w:type="dxa"/>
            <w:gridSpan w:val="2"/>
            <w:noWrap w:val="0"/>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540.84</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1978.76</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1557.06</w:t>
            </w:r>
          </w:p>
        </w:tc>
        <w:tc>
          <w:tcPr>
            <w:tcW w:w="716" w:type="dxa"/>
            <w:noWrap w:val="0"/>
            <w:vAlign w:val="top"/>
          </w:tcPr>
          <w:p>
            <w:pPr>
              <w:pStyle w:val="10"/>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78.68</w:t>
            </w:r>
            <w:bookmarkStart w:id="0" w:name="_GoBack"/>
            <w:bookmarkEnd w:id="0"/>
            <w:r>
              <w:rPr>
                <w:rFonts w:hint="eastAsia" w:ascii="宋体" w:hAnsi="宋体" w:eastAsia="宋体" w:cs="宋体"/>
                <w:sz w:val="20"/>
                <w:lang w:val="en-US" w:eastAsia="zh-CN"/>
              </w:rPr>
              <w:t>%</w:t>
            </w:r>
          </w:p>
        </w:tc>
        <w:tc>
          <w:tcPr>
            <w:tcW w:w="145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7.86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vAlign w:val="top"/>
          </w:tcPr>
          <w:p>
            <w:pPr>
              <w:pStyle w:val="10"/>
              <w:rPr>
                <w:rFonts w:hint="eastAsia" w:ascii="宋体" w:hAnsi="宋体" w:eastAsia="宋体" w:cs="宋体"/>
              </w:rPr>
            </w:pPr>
          </w:p>
        </w:tc>
        <w:tc>
          <w:tcPr>
            <w:tcW w:w="4828" w:type="dxa"/>
            <w:gridSpan w:val="4"/>
            <w:noWrap w:val="0"/>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vAlign w:val="top"/>
          </w:tcPr>
          <w:p>
            <w:pPr>
              <w:pStyle w:val="10"/>
              <w:rPr>
                <w:rFonts w:hint="eastAsia" w:ascii="宋体" w:hAnsi="宋体" w:eastAsia="宋体" w:cs="宋体"/>
              </w:rPr>
            </w:pPr>
          </w:p>
        </w:tc>
        <w:tc>
          <w:tcPr>
            <w:tcW w:w="4828" w:type="dxa"/>
            <w:gridSpan w:val="4"/>
            <w:noWrap w:val="0"/>
            <w:vAlign w:val="top"/>
          </w:tcPr>
          <w:p>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1807.22</w:t>
            </w:r>
          </w:p>
        </w:tc>
        <w:tc>
          <w:tcPr>
            <w:tcW w:w="4307" w:type="dxa"/>
            <w:gridSpan w:val="4"/>
            <w:noWrap w:val="0"/>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410.26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vAlign w:val="top"/>
          </w:tcPr>
          <w:p>
            <w:pPr>
              <w:pStyle w:val="10"/>
              <w:rPr>
                <w:rFonts w:hint="eastAsia" w:ascii="宋体" w:hAnsi="宋体" w:eastAsia="宋体" w:cs="宋体"/>
              </w:rPr>
            </w:pPr>
          </w:p>
        </w:tc>
        <w:tc>
          <w:tcPr>
            <w:tcW w:w="4828" w:type="dxa"/>
            <w:gridSpan w:val="4"/>
            <w:noWrap w:val="0"/>
            <w:vAlign w:val="top"/>
          </w:tcPr>
          <w:p>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1146.80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vAlign w:val="top"/>
          </w:tcPr>
          <w:p>
            <w:pPr>
              <w:pStyle w:val="10"/>
              <w:rPr>
                <w:rFonts w:hint="eastAsia" w:ascii="宋体" w:hAnsi="宋体" w:eastAsia="宋体" w:cs="宋体"/>
              </w:rPr>
            </w:pPr>
          </w:p>
        </w:tc>
        <w:tc>
          <w:tcPr>
            <w:tcW w:w="4828" w:type="dxa"/>
            <w:gridSpan w:val="4"/>
            <w:noWrap w:val="0"/>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tcBorders>
            <w:noWrap w:val="0"/>
            <w:vAlign w:val="top"/>
          </w:tcPr>
          <w:p>
            <w:pPr>
              <w:pStyle w:val="10"/>
              <w:rPr>
                <w:rFonts w:hint="eastAsia" w:ascii="宋体" w:hAnsi="宋体" w:eastAsia="宋体" w:cs="宋体"/>
              </w:rPr>
            </w:pPr>
          </w:p>
        </w:tc>
        <w:tc>
          <w:tcPr>
            <w:tcW w:w="4828" w:type="dxa"/>
            <w:gridSpan w:val="4"/>
            <w:noWrap w:val="0"/>
            <w:vAlign w:val="top"/>
          </w:tcPr>
          <w:p>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171.54</w:t>
            </w:r>
          </w:p>
        </w:tc>
        <w:tc>
          <w:tcPr>
            <w:tcW w:w="4307" w:type="dxa"/>
            <w:gridSpan w:val="4"/>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restart"/>
            <w:tcBorders>
              <w:bottom w:val="nil"/>
            </w:tcBorders>
            <w:noWrap w:val="0"/>
            <w:vAlign w:val="top"/>
          </w:tcPr>
          <w:p>
            <w:pPr>
              <w:pStyle w:val="10"/>
              <w:spacing w:line="242" w:lineRule="auto"/>
              <w:rPr>
                <w:rFonts w:hint="eastAsia" w:ascii="宋体" w:hAnsi="宋体" w:eastAsia="宋体" w:cs="宋体"/>
              </w:rPr>
            </w:pPr>
          </w:p>
          <w:p>
            <w:pPr>
              <w:pStyle w:val="10"/>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pacing w:val="7"/>
                <w:sz w:val="19"/>
                <w:szCs w:val="19"/>
              </w:rPr>
            </w:pPr>
            <w:r>
              <w:rPr>
                <w:rFonts w:hint="eastAsia" w:ascii="宋体" w:hAnsi="宋体" w:eastAsia="宋体" w:cs="宋体"/>
                <w:spacing w:val="7"/>
                <w:sz w:val="19"/>
                <w:szCs w:val="19"/>
              </w:rPr>
              <w:t>年</w:t>
            </w:r>
          </w:p>
          <w:p>
            <w:pPr>
              <w:spacing w:before="62" w:line="230" w:lineRule="auto"/>
              <w:ind w:left="382" w:right="139" w:hanging="232"/>
              <w:rPr>
                <w:rFonts w:hint="eastAsia" w:ascii="宋体" w:hAnsi="宋体" w:eastAsia="宋体" w:cs="宋体"/>
                <w:spacing w:val="7"/>
                <w:sz w:val="19"/>
                <w:szCs w:val="19"/>
              </w:rPr>
            </w:pPr>
            <w:r>
              <w:rPr>
                <w:rFonts w:hint="eastAsia" w:ascii="宋体" w:hAnsi="宋体" w:eastAsia="宋体" w:cs="宋体"/>
                <w:spacing w:val="7"/>
                <w:sz w:val="19"/>
                <w:szCs w:val="19"/>
              </w:rPr>
              <w:t>度</w:t>
            </w:r>
          </w:p>
          <w:p>
            <w:pPr>
              <w:spacing w:before="62" w:line="230" w:lineRule="auto"/>
              <w:ind w:left="382" w:right="139" w:hanging="232"/>
              <w:rPr>
                <w:rFonts w:hint="eastAsia" w:ascii="宋体" w:hAnsi="宋体" w:eastAsia="宋体" w:cs="宋体"/>
                <w:spacing w:val="7"/>
                <w:sz w:val="19"/>
                <w:szCs w:val="19"/>
              </w:rPr>
            </w:pPr>
            <w:r>
              <w:rPr>
                <w:rFonts w:hint="eastAsia" w:ascii="宋体" w:hAnsi="宋体" w:eastAsia="宋体" w:cs="宋体"/>
                <w:spacing w:val="7"/>
                <w:sz w:val="19"/>
                <w:szCs w:val="19"/>
              </w:rPr>
              <w:t>总</w:t>
            </w: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体</w:t>
            </w:r>
            <w:r>
              <w:rPr>
                <w:rFonts w:hint="eastAsia" w:ascii="宋体" w:hAnsi="宋体" w:eastAsia="宋体" w:cs="宋体"/>
                <w:sz w:val="19"/>
                <w:szCs w:val="19"/>
              </w:rPr>
              <w:t xml:space="preserve"> </w:t>
            </w:r>
          </w:p>
          <w:p>
            <w:pPr>
              <w:spacing w:before="62" w:line="230" w:lineRule="auto"/>
              <w:ind w:left="382" w:right="139" w:hanging="232"/>
              <w:rPr>
                <w:rFonts w:hint="eastAsia" w:ascii="宋体" w:hAnsi="宋体" w:eastAsia="宋体" w:cs="宋体"/>
                <w:spacing w:val="-7"/>
                <w:sz w:val="19"/>
                <w:szCs w:val="19"/>
              </w:rPr>
            </w:pPr>
            <w:r>
              <w:rPr>
                <w:rFonts w:hint="eastAsia" w:ascii="宋体" w:hAnsi="宋体" w:eastAsia="宋体" w:cs="宋体"/>
                <w:spacing w:val="-7"/>
                <w:sz w:val="19"/>
                <w:szCs w:val="19"/>
              </w:rPr>
              <w:t>目</w:t>
            </w: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标</w:t>
            </w:r>
          </w:p>
        </w:tc>
        <w:tc>
          <w:tcPr>
            <w:tcW w:w="4828" w:type="dxa"/>
            <w:gridSpan w:val="4"/>
            <w:noWrap w:val="0"/>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948" w:type="dxa"/>
            <w:vMerge w:val="continue"/>
            <w:tcBorders>
              <w:top w:val="nil"/>
            </w:tcBorders>
            <w:noWrap w:val="0"/>
            <w:vAlign w:val="top"/>
          </w:tcPr>
          <w:p>
            <w:pPr>
              <w:pStyle w:val="10"/>
              <w:rPr>
                <w:rFonts w:hint="eastAsia" w:ascii="宋体" w:hAnsi="宋体" w:eastAsia="宋体" w:cs="宋体"/>
              </w:rPr>
            </w:pPr>
          </w:p>
        </w:tc>
        <w:tc>
          <w:tcPr>
            <w:tcW w:w="4828" w:type="dxa"/>
            <w:gridSpan w:val="4"/>
            <w:noWrap w:val="0"/>
            <w:vAlign w:val="top"/>
          </w:tcPr>
          <w:p>
            <w:pPr>
              <w:pStyle w:val="10"/>
              <w:numPr>
                <w:ilvl w:val="0"/>
                <w:numId w:val="1"/>
              </w:numPr>
              <w:jc w:val="left"/>
              <w:rPr>
                <w:rFonts w:hint="eastAsia" w:ascii="宋体" w:hAnsi="宋体" w:eastAsia="宋体" w:cs="宋体"/>
                <w:sz w:val="20"/>
                <w:lang w:val="en-US" w:eastAsia="zh-CN"/>
              </w:rPr>
            </w:pPr>
            <w:r>
              <w:rPr>
                <w:rFonts w:hint="eastAsia" w:ascii="宋体" w:hAnsi="宋体" w:eastAsia="宋体" w:cs="宋体"/>
                <w:sz w:val="20"/>
                <w:lang w:val="en-US" w:eastAsia="zh-CN"/>
              </w:rPr>
              <w:t>持续推进大气污染防治长效常态治理，全年规范管理夜宵店467家；</w:t>
            </w:r>
          </w:p>
          <w:p>
            <w:pPr>
              <w:pStyle w:val="10"/>
              <w:numPr>
                <w:ilvl w:val="0"/>
                <w:numId w:val="1"/>
              </w:numPr>
              <w:jc w:val="left"/>
              <w:rPr>
                <w:rFonts w:hint="eastAsia" w:ascii="宋体" w:hAnsi="宋体" w:eastAsia="宋体" w:cs="宋体"/>
                <w:sz w:val="20"/>
                <w:lang w:val="en-US" w:eastAsia="zh-CN"/>
              </w:rPr>
            </w:pPr>
            <w:r>
              <w:rPr>
                <w:rFonts w:hint="eastAsia" w:ascii="宋体" w:hAnsi="宋体" w:eastAsia="宋体" w:cs="宋体"/>
                <w:sz w:val="20"/>
                <w:lang w:val="en-US" w:eastAsia="zh-CN"/>
              </w:rPr>
              <w:t>开展清除“牛皮癣”专项行动，计划清理各类乱张贴、乱涂写“牛皮癣”56处5000余张。</w:t>
            </w:r>
          </w:p>
          <w:p>
            <w:pPr>
              <w:pStyle w:val="10"/>
              <w:numPr>
                <w:ilvl w:val="0"/>
                <w:numId w:val="1"/>
              </w:numPr>
              <w:jc w:val="left"/>
              <w:rPr>
                <w:rFonts w:hint="eastAsia" w:ascii="宋体" w:hAnsi="宋体" w:eastAsia="宋体" w:cs="宋体"/>
                <w:sz w:val="20"/>
                <w:lang w:val="en-US" w:eastAsia="zh-CN"/>
              </w:rPr>
            </w:pPr>
            <w:r>
              <w:rPr>
                <w:rFonts w:hint="eastAsia" w:ascii="宋体" w:hAnsi="宋体" w:eastAsia="宋体" w:cs="宋体"/>
                <w:sz w:val="20"/>
                <w:lang w:val="en-US" w:eastAsia="zh-CN"/>
              </w:rPr>
              <w:t>全区计划累计接派智慧城管工单20万条；</w:t>
            </w:r>
          </w:p>
          <w:p>
            <w:pPr>
              <w:pStyle w:val="10"/>
              <w:numPr>
                <w:ilvl w:val="0"/>
                <w:numId w:val="1"/>
              </w:numPr>
              <w:jc w:val="left"/>
              <w:rPr>
                <w:rFonts w:hint="eastAsia" w:ascii="宋体" w:hAnsi="宋体" w:eastAsia="宋体" w:cs="宋体"/>
                <w:sz w:val="20"/>
                <w:lang w:val="en-US" w:eastAsia="zh-CN"/>
              </w:rPr>
            </w:pPr>
            <w:r>
              <w:rPr>
                <w:rFonts w:hint="eastAsia" w:ascii="宋体" w:hAnsi="宋体" w:eastAsia="宋体" w:cs="宋体"/>
                <w:sz w:val="20"/>
                <w:lang w:val="en-US" w:eastAsia="zh-CN"/>
              </w:rPr>
              <w:t>打造洁净样板街、文明养宠等行动等多个专项整治行动稳步推进，向市城管局、市生环委计划上报9条岳阳楼区洁净样本路。</w:t>
            </w:r>
          </w:p>
          <w:p>
            <w:pPr>
              <w:pStyle w:val="10"/>
              <w:numPr>
                <w:ilvl w:val="0"/>
                <w:numId w:val="1"/>
              </w:numPr>
              <w:jc w:val="left"/>
              <w:rPr>
                <w:rFonts w:hint="eastAsia" w:ascii="宋体" w:hAnsi="宋体" w:eastAsia="宋体" w:cs="宋体"/>
                <w:sz w:val="20"/>
                <w:lang w:val="en-US" w:eastAsia="zh-CN"/>
              </w:rPr>
            </w:pPr>
            <w:r>
              <w:rPr>
                <w:rFonts w:hint="eastAsia" w:ascii="宋体" w:hAnsi="宋体" w:eastAsia="宋体" w:cs="宋体"/>
                <w:sz w:val="20"/>
                <w:lang w:val="en-US" w:eastAsia="zh-CN"/>
              </w:rPr>
              <w:t>全年计划主次干道共计补植地被36000平方米、行道树540株。</w:t>
            </w:r>
          </w:p>
        </w:tc>
        <w:tc>
          <w:tcPr>
            <w:tcW w:w="4307" w:type="dxa"/>
            <w:gridSpan w:val="4"/>
            <w:noWrap w:val="0"/>
            <w:vAlign w:val="top"/>
          </w:tcPr>
          <w:p>
            <w:pPr>
              <w:keepNext w:val="0"/>
              <w:keepLines w:val="0"/>
              <w:pageBreakBefore w:val="0"/>
              <w:widowControl w:val="0"/>
              <w:kinsoku/>
              <w:wordWrap/>
              <w:overflowPunct/>
              <w:topLinePunct w:val="0"/>
              <w:autoSpaceDE/>
              <w:autoSpaceDN/>
              <w:bidi w:val="0"/>
              <w:adjustRightInd/>
              <w:snapToGrid/>
              <w:spacing w:line="0" w:lineRule="atLeast"/>
              <w:textAlignment w:val="auto"/>
              <w:rPr>
                <w:rFonts w:hint="default" w:ascii="宋体" w:hAnsi="宋体" w:eastAsia="宋体" w:cs="宋体"/>
                <w:sz w:val="20"/>
                <w:lang w:val="en-US" w:eastAsia="zh-CN"/>
              </w:rPr>
            </w:pPr>
            <w:r>
              <w:rPr>
                <w:rFonts w:hint="eastAsia" w:ascii="宋体" w:hAnsi="宋体" w:eastAsia="宋体" w:cs="宋体"/>
                <w:sz w:val="20"/>
                <w:lang w:val="en-US" w:eastAsia="zh-CN"/>
              </w:rPr>
              <w:t>1、充分发挥“大城管”指挥棒作用，对照市城管委考核标准要求，</w:t>
            </w:r>
            <w:r>
              <w:rPr>
                <w:rFonts w:hint="default" w:ascii="宋体" w:hAnsi="宋体" w:eastAsia="宋体" w:cs="宋体"/>
                <w:sz w:val="20"/>
                <w:lang w:val="en-US" w:eastAsia="zh-CN"/>
              </w:rPr>
              <w:t>出台</w:t>
            </w:r>
            <w:r>
              <w:rPr>
                <w:rFonts w:hint="eastAsia" w:ascii="宋体" w:hAnsi="宋体" w:eastAsia="宋体" w:cs="宋体"/>
                <w:sz w:val="20"/>
                <w:lang w:val="en-US" w:eastAsia="zh-CN"/>
              </w:rPr>
              <w:t>了</w:t>
            </w:r>
            <w:r>
              <w:rPr>
                <w:rFonts w:hint="default" w:ascii="宋体" w:hAnsi="宋体" w:eastAsia="宋体" w:cs="宋体"/>
                <w:sz w:val="20"/>
                <w:lang w:val="en-US" w:eastAsia="zh-CN"/>
              </w:rPr>
              <w:t>《2023年岳阳楼区城市标准化管理考核实施细则（试行）》</w:t>
            </w:r>
            <w:r>
              <w:rPr>
                <w:rFonts w:hint="eastAsia" w:ascii="宋体" w:hAnsi="宋体" w:eastAsia="宋体" w:cs="宋体"/>
                <w:sz w:val="20"/>
                <w:lang w:val="en-US" w:eastAsia="zh-CN"/>
              </w:rPr>
              <w:t>，实行一周一考评、一月一讲评，一周一通报、一月一兑现，奖惩兑现到各环卫作业所、城管中队、园林管养单位及108个社区，推动城市管理常态化、科学化、标准化；2、开展清除“牛皮癣”专项行动，今年来共计清理各类乱张贴、乱涂写“牛皮癣”56处5000余张，通过追呼治理系统查处各类“牛皮癣”违规行为3676起，监督清理小广告13000余张。3、2023年，全区累计接派智慧城管工单20万条，完成处置19.7万条，工单处置率98.5%，薄弱单位的工单处置数据较之前大幅提升。4、打造洁净样板街、文明养宠等行动等多个专项整治行动稳步推进，向市城管局、市生环委上报了9条岳阳楼区洁净样本路。针对不文明养宠行为成立专项督查小组，共督查发现、交办不文明养宠问题39处，印发了6期《文明养宠专项督查通报》。5、年初完成春节期间主要路段路灯灯杆上悬挂中国结灯饰和红灯笼串灯饰2700余个，全年主次干道共计补植地被36000平方米、行道树540株，增加花境6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948" w:type="dxa"/>
            <w:vMerge w:val="restart"/>
            <w:tcBorders>
              <w:bottom w:val="nil"/>
            </w:tcBorders>
            <w:noWrap w:val="0"/>
            <w:textDirection w:val="tbRlV"/>
            <w:vAlign w:val="top"/>
          </w:tcPr>
          <w:p>
            <w:pPr>
              <w:pStyle w:val="10"/>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774" w:type="dxa"/>
            <w:noWrap w:val="0"/>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69" w:type="dxa"/>
            <w:noWrap w:val="0"/>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675" w:type="dxa"/>
            <w:noWrap w:val="0"/>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restart"/>
            <w:tcBorders>
              <w:bottom w:val="nil"/>
            </w:tcBorders>
            <w:noWrap w:val="0"/>
            <w:vAlign w:val="top"/>
          </w:tcPr>
          <w:p>
            <w:pPr>
              <w:pStyle w:val="10"/>
              <w:spacing w:line="272" w:lineRule="auto"/>
              <w:rPr>
                <w:rFonts w:hint="eastAsia" w:ascii="宋体" w:hAnsi="宋体" w:eastAsia="宋体" w:cs="宋体"/>
              </w:rPr>
            </w:pPr>
          </w:p>
          <w:p>
            <w:pPr>
              <w:pStyle w:val="10"/>
              <w:spacing w:line="272" w:lineRule="auto"/>
              <w:rPr>
                <w:rFonts w:hint="eastAsia" w:ascii="宋体" w:hAnsi="宋体" w:eastAsia="宋体" w:cs="宋体"/>
              </w:rPr>
            </w:pPr>
          </w:p>
          <w:p>
            <w:pPr>
              <w:pStyle w:val="10"/>
              <w:spacing w:line="272" w:lineRule="auto"/>
              <w:rPr>
                <w:rFonts w:hint="eastAsia" w:ascii="宋体" w:hAnsi="宋体" w:eastAsia="宋体" w:cs="宋体"/>
              </w:rPr>
            </w:pPr>
          </w:p>
          <w:p>
            <w:pPr>
              <w:pStyle w:val="10"/>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69" w:type="dxa"/>
            <w:vMerge w:val="restart"/>
            <w:tcBorders>
              <w:bottom w:val="nil"/>
            </w:tcBorders>
            <w:noWrap w:val="0"/>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675" w:type="dxa"/>
            <w:noWrap w:val="0"/>
            <w:vAlign w:val="top"/>
          </w:tcPr>
          <w:p>
            <w:pPr>
              <w:pStyle w:val="10"/>
              <w:spacing w:line="235" w:lineRule="exact"/>
              <w:rPr>
                <w:rFonts w:hint="default" w:ascii="宋体" w:hAnsi="宋体" w:eastAsia="宋体" w:cs="宋体"/>
                <w:sz w:val="20"/>
                <w:lang w:val="en-US"/>
              </w:rPr>
            </w:pPr>
            <w:r>
              <w:rPr>
                <w:rFonts w:hint="eastAsia" w:ascii="宋体" w:hAnsi="宋体" w:eastAsia="宋体" w:cs="宋体"/>
                <w:sz w:val="20"/>
                <w:lang w:val="en-US" w:eastAsia="zh-CN"/>
              </w:rPr>
              <w:t>全年规范管理夜宵店数量</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467家</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467家</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bottom w:val="nil"/>
            </w:tcBorders>
            <w:noWrap w:val="0"/>
            <w:vAlign w:val="top"/>
          </w:tcPr>
          <w:p>
            <w:pPr>
              <w:pStyle w:val="10"/>
              <w:rPr>
                <w:rFonts w:hint="eastAsia" w:ascii="宋体" w:hAnsi="宋体" w:eastAsia="宋体" w:cs="宋体"/>
              </w:rPr>
            </w:pPr>
          </w:p>
        </w:tc>
        <w:tc>
          <w:tcPr>
            <w:tcW w:w="1675"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清理各类乱张贴、乱涂写“牛皮癣”</w:t>
            </w:r>
          </w:p>
        </w:tc>
        <w:tc>
          <w:tcPr>
            <w:tcW w:w="1310"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56处</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56处</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bottom w:val="nil"/>
            </w:tcBorders>
            <w:noWrap w:val="0"/>
            <w:vAlign w:val="top"/>
          </w:tcPr>
          <w:p>
            <w:pPr>
              <w:pStyle w:val="10"/>
              <w:rPr>
                <w:rFonts w:hint="eastAsia" w:ascii="宋体" w:hAnsi="宋体" w:eastAsia="宋体" w:cs="宋体"/>
              </w:rPr>
            </w:pP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主次干道补植地被面积</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36000平方米</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36000平方米</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bottom w:val="nil"/>
            </w:tcBorders>
            <w:noWrap w:val="0"/>
            <w:vAlign w:val="top"/>
          </w:tcPr>
          <w:p>
            <w:pPr>
              <w:pStyle w:val="10"/>
              <w:rPr>
                <w:rFonts w:hint="eastAsia" w:ascii="宋体" w:hAnsi="宋体" w:eastAsia="宋体" w:cs="宋体"/>
              </w:rPr>
            </w:pP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向市城管局、市生环委岳阳楼区洁净样本路条数</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9条</w:t>
            </w:r>
          </w:p>
        </w:tc>
        <w:tc>
          <w:tcPr>
            <w:tcW w:w="1268"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9条</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tcBorders>
            <w:noWrap w:val="0"/>
            <w:vAlign w:val="top"/>
          </w:tcPr>
          <w:p>
            <w:pPr>
              <w:pStyle w:val="10"/>
              <w:rPr>
                <w:rFonts w:hint="eastAsia" w:ascii="宋体" w:hAnsi="宋体" w:eastAsia="宋体" w:cs="宋体"/>
              </w:rPr>
            </w:pPr>
          </w:p>
        </w:tc>
        <w:tc>
          <w:tcPr>
            <w:tcW w:w="1675" w:type="dxa"/>
            <w:noWrap w:val="0"/>
            <w:vAlign w:val="top"/>
          </w:tcPr>
          <w:p>
            <w:pPr>
              <w:spacing w:before="175" w:line="60"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全区接派智慧</w:t>
            </w:r>
          </w:p>
          <w:p>
            <w:pPr>
              <w:spacing w:before="175" w:line="60" w:lineRule="exact"/>
              <w:rPr>
                <w:rFonts w:hint="default" w:ascii="宋体" w:hAnsi="宋体" w:eastAsia="宋体" w:cs="宋体"/>
                <w:sz w:val="19"/>
                <w:szCs w:val="19"/>
                <w:lang w:val="en-US"/>
              </w:rPr>
            </w:pPr>
            <w:r>
              <w:rPr>
                <w:rFonts w:hint="eastAsia" w:ascii="宋体" w:hAnsi="宋体" w:eastAsia="宋体" w:cs="宋体"/>
                <w:kern w:val="2"/>
                <w:sz w:val="20"/>
                <w:szCs w:val="21"/>
                <w:lang w:val="en-US" w:eastAsia="zh-CN" w:bidi="ar-SA"/>
              </w:rPr>
              <w:t>城管工单数量</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20万条</w:t>
            </w:r>
          </w:p>
        </w:tc>
        <w:tc>
          <w:tcPr>
            <w:tcW w:w="1268"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20万条</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restart"/>
            <w:tcBorders>
              <w:bottom w:val="nil"/>
            </w:tcBorders>
            <w:noWrap w:val="0"/>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日常督查问题整改率</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97%以上</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bottom w:val="nil"/>
            </w:tcBorders>
            <w:noWrap w:val="0"/>
            <w:vAlign w:val="top"/>
          </w:tcPr>
          <w:p>
            <w:pPr>
              <w:pStyle w:val="10"/>
              <w:rPr>
                <w:rFonts w:hint="eastAsia" w:ascii="宋体" w:hAnsi="宋体" w:eastAsia="宋体" w:cs="宋体"/>
              </w:rPr>
            </w:pPr>
          </w:p>
        </w:tc>
        <w:tc>
          <w:tcPr>
            <w:tcW w:w="1675" w:type="dxa"/>
            <w:noWrap w:val="0"/>
            <w:vAlign w:val="top"/>
          </w:tcPr>
          <w:p>
            <w:pPr>
              <w:pStyle w:val="10"/>
              <w:spacing w:line="235" w:lineRule="exact"/>
              <w:rPr>
                <w:rFonts w:hint="default" w:ascii="宋体" w:hAnsi="宋体" w:eastAsia="宋体" w:cs="宋体"/>
                <w:sz w:val="20"/>
                <w:lang w:val="en-US"/>
              </w:rPr>
            </w:pPr>
            <w:r>
              <w:rPr>
                <w:rFonts w:hint="eastAsia" w:ascii="宋体" w:hAnsi="宋体" w:eastAsia="宋体" w:cs="宋体"/>
                <w:sz w:val="20"/>
                <w:lang w:val="en-US" w:eastAsia="zh-CN"/>
              </w:rPr>
              <w:t>智慧城管工单处置率</w:t>
            </w:r>
          </w:p>
        </w:tc>
        <w:tc>
          <w:tcPr>
            <w:tcW w:w="1310"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95%</w:t>
            </w:r>
          </w:p>
        </w:tc>
        <w:tc>
          <w:tcPr>
            <w:tcW w:w="1268"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98.5%</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tcBorders>
            <w:noWrap w:val="0"/>
            <w:vAlign w:val="top"/>
          </w:tcPr>
          <w:p>
            <w:pPr>
              <w:pStyle w:val="10"/>
              <w:rPr>
                <w:rFonts w:hint="eastAsia" w:ascii="宋体" w:hAnsi="宋体" w:eastAsia="宋体" w:cs="宋体"/>
              </w:rPr>
            </w:pPr>
          </w:p>
        </w:tc>
        <w:tc>
          <w:tcPr>
            <w:tcW w:w="1675" w:type="dxa"/>
            <w:noWrap w:val="0"/>
            <w:vAlign w:val="top"/>
          </w:tcPr>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系统内工作人</w:t>
            </w:r>
          </w:p>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员安全与责任</w:t>
            </w:r>
          </w:p>
          <w:p>
            <w:pPr>
              <w:spacing w:before="173" w:line="61" w:lineRule="exact"/>
              <w:rPr>
                <w:rFonts w:hint="eastAsia" w:ascii="宋体" w:hAnsi="宋体" w:eastAsia="宋体" w:cs="宋体"/>
                <w:sz w:val="19"/>
                <w:szCs w:val="19"/>
              </w:rPr>
            </w:pPr>
            <w:r>
              <w:rPr>
                <w:rFonts w:hint="eastAsia" w:ascii="宋体" w:hAnsi="宋体" w:eastAsia="宋体" w:cs="宋体"/>
                <w:kern w:val="2"/>
                <w:sz w:val="20"/>
                <w:szCs w:val="21"/>
                <w:lang w:val="en-US" w:eastAsia="zh-CN" w:bidi="ar-SA"/>
              </w:rPr>
              <w:t>意识</w:t>
            </w:r>
          </w:p>
        </w:tc>
        <w:tc>
          <w:tcPr>
            <w:tcW w:w="1310"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显著提高</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显著提高</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restart"/>
            <w:tcBorders>
              <w:bottom w:val="nil"/>
            </w:tcBorders>
            <w:noWrap w:val="0"/>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2023年度多方面进行绿地提质改造</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已完成</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已完成</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bottom w:val="nil"/>
            </w:tcBorders>
            <w:noWrap w:val="0"/>
            <w:vAlign w:val="top"/>
          </w:tcPr>
          <w:p>
            <w:pPr>
              <w:pStyle w:val="10"/>
              <w:rPr>
                <w:rFonts w:hint="eastAsia" w:ascii="宋体" w:hAnsi="宋体" w:eastAsia="宋体" w:cs="宋体"/>
              </w:rPr>
            </w:pP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2023年度开展清除“牛皮癣”专项行动</w:t>
            </w:r>
          </w:p>
        </w:tc>
        <w:tc>
          <w:tcPr>
            <w:tcW w:w="1310"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已开展</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已开展</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nil"/>
            </w:tcBorders>
            <w:noWrap w:val="0"/>
            <w:vAlign w:val="top"/>
          </w:tcPr>
          <w:p>
            <w:pPr>
              <w:pStyle w:val="10"/>
              <w:rPr>
                <w:rFonts w:hint="eastAsia" w:ascii="宋体" w:hAnsi="宋体" w:eastAsia="宋体" w:cs="宋体"/>
              </w:rPr>
            </w:pPr>
          </w:p>
        </w:tc>
        <w:tc>
          <w:tcPr>
            <w:tcW w:w="1675" w:type="dxa"/>
            <w:noWrap w:val="0"/>
            <w:vAlign w:val="top"/>
          </w:tcPr>
          <w:p>
            <w:pPr>
              <w:spacing w:before="175" w:line="60"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支援无物业小</w:t>
            </w:r>
          </w:p>
          <w:p>
            <w:pPr>
              <w:spacing w:before="175" w:line="60"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区常态化进行一</w:t>
            </w:r>
          </w:p>
          <w:p>
            <w:pPr>
              <w:spacing w:before="175" w:line="60" w:lineRule="exact"/>
              <w:rPr>
                <w:rFonts w:hint="eastAsia" w:ascii="宋体" w:hAnsi="宋体" w:eastAsia="宋体" w:cs="宋体"/>
                <w:sz w:val="19"/>
                <w:szCs w:val="19"/>
              </w:rPr>
            </w:pPr>
            <w:r>
              <w:rPr>
                <w:rFonts w:hint="eastAsia" w:ascii="宋体" w:hAnsi="宋体" w:eastAsia="宋体" w:cs="宋体"/>
                <w:kern w:val="2"/>
                <w:sz w:val="20"/>
                <w:szCs w:val="21"/>
                <w:lang w:val="en-US" w:eastAsia="zh-CN" w:bidi="ar-SA"/>
              </w:rPr>
              <w:t>周一次大扫除</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一周一次</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一周一次</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tcBorders>
              <w:bottom w:val="nil"/>
            </w:tcBorders>
            <w:noWrap w:val="0"/>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675"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不超过年初预算投入</w:t>
            </w:r>
          </w:p>
        </w:tc>
        <w:tc>
          <w:tcPr>
            <w:tcW w:w="1310" w:type="dxa"/>
            <w:noWrap w:val="0"/>
            <w:vAlign w:val="top"/>
          </w:tcPr>
          <w:p>
            <w:pPr>
              <w:pStyle w:val="10"/>
              <w:spacing w:line="235" w:lineRule="exact"/>
              <w:rPr>
                <w:rFonts w:hint="default" w:ascii="宋体" w:hAnsi="宋体" w:eastAsia="宋体" w:cs="宋体"/>
                <w:sz w:val="20"/>
                <w:lang w:val="en-US"/>
              </w:rPr>
            </w:pPr>
            <w:r>
              <w:rPr>
                <w:rFonts w:hint="eastAsia" w:ascii="宋体" w:hAnsi="宋体" w:eastAsia="宋体" w:cs="宋体"/>
                <w:sz w:val="20"/>
                <w:lang w:val="en-US" w:eastAsia="zh-CN"/>
              </w:rPr>
              <w:t>540.84万元</w:t>
            </w:r>
          </w:p>
        </w:tc>
        <w:tc>
          <w:tcPr>
            <w:tcW w:w="1268" w:type="dxa"/>
            <w:noWrap w:val="0"/>
            <w:vAlign w:val="top"/>
          </w:tcPr>
          <w:p>
            <w:pPr>
              <w:pStyle w:val="10"/>
              <w:spacing w:line="235" w:lineRule="exact"/>
              <w:rPr>
                <w:rFonts w:hint="default" w:ascii="宋体" w:hAnsi="宋体" w:eastAsia="宋体" w:cs="宋体"/>
                <w:sz w:val="20"/>
                <w:lang w:val="en-US"/>
              </w:rPr>
            </w:pPr>
            <w:r>
              <w:rPr>
                <w:rFonts w:hint="eastAsia" w:ascii="宋体" w:hAnsi="宋体" w:eastAsia="宋体" w:cs="宋体"/>
                <w:sz w:val="20"/>
                <w:lang w:val="en-US" w:eastAsia="zh-CN"/>
              </w:rPr>
              <w:t>1557.06万元</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w:t>
            </w:r>
          </w:p>
        </w:tc>
        <w:tc>
          <w:tcPr>
            <w:tcW w:w="145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年初预算只包含了在编人员的经费，企业编和单位其他资金的预算没有包含进来，也没有包含设备采购等项目经费，故有偏差，下年度严格按照预算数执行。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restart"/>
            <w:tcBorders>
              <w:bottom w:val="nil"/>
              <w:right w:val="single" w:color="auto" w:sz="4" w:space="0"/>
            </w:tcBorders>
            <w:noWrap w:val="0"/>
            <w:vAlign w:val="top"/>
          </w:tcPr>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69" w:type="dxa"/>
            <w:tcBorders>
              <w:top w:val="single" w:color="auto" w:sz="4" w:space="0"/>
              <w:left w:val="single" w:color="auto" w:sz="4" w:space="0"/>
              <w:bottom w:val="single" w:color="auto" w:sz="4" w:space="0"/>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675" w:type="dxa"/>
            <w:tcBorders>
              <w:left w:val="single" w:color="auto" w:sz="4" w:space="0"/>
            </w:tcBorders>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2023年下划及非税总收入</w:t>
            </w:r>
          </w:p>
        </w:tc>
        <w:tc>
          <w:tcPr>
            <w:tcW w:w="1310"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1.79亿元</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1.79亿元</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069" w:type="dxa"/>
            <w:vMerge w:val="restart"/>
            <w:tcBorders>
              <w:top w:val="single" w:color="auto" w:sz="4" w:space="0"/>
              <w:left w:val="single" w:color="auto" w:sz="4" w:space="0"/>
              <w:bottom w:val="single" w:color="auto" w:sz="4" w:space="0"/>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675" w:type="dxa"/>
            <w:tcBorders>
              <w:left w:val="single" w:color="auto" w:sz="4" w:space="0"/>
            </w:tcBorders>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薄弱单位的工单处置数据</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大幅提升</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大幅提升</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06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675" w:type="dxa"/>
            <w:tcBorders>
              <w:left w:val="single" w:color="auto" w:sz="4" w:space="0"/>
            </w:tcBorders>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主次干道、背街小巷、居民房前屋后环境卫生质量</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显著提高</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显著提高</w:t>
            </w: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069" w:type="dxa"/>
            <w:vMerge w:val="continue"/>
            <w:tcBorders>
              <w:top w:val="single" w:color="auto" w:sz="4" w:space="0"/>
              <w:left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675" w:type="dxa"/>
            <w:tcBorders>
              <w:left w:val="single" w:color="auto" w:sz="4" w:space="0"/>
            </w:tcBorders>
            <w:noWrap w:val="0"/>
            <w:vAlign w:val="top"/>
          </w:tcPr>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洁净样板街、</w:t>
            </w:r>
          </w:p>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文明养宠等行</w:t>
            </w:r>
          </w:p>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动等多个专项</w:t>
            </w:r>
          </w:p>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整治行动稳步</w:t>
            </w:r>
          </w:p>
          <w:p>
            <w:pPr>
              <w:spacing w:before="173" w:line="61" w:lineRule="exact"/>
              <w:rPr>
                <w:rFonts w:hint="eastAsia" w:ascii="宋体" w:hAnsi="宋体" w:eastAsia="宋体" w:cs="宋体"/>
                <w:sz w:val="19"/>
                <w:szCs w:val="19"/>
              </w:rPr>
            </w:pPr>
            <w:r>
              <w:rPr>
                <w:rFonts w:hint="eastAsia" w:ascii="宋体" w:hAnsi="宋体" w:eastAsia="宋体" w:cs="宋体"/>
                <w:kern w:val="2"/>
                <w:sz w:val="20"/>
                <w:szCs w:val="21"/>
                <w:lang w:val="en-US" w:eastAsia="zh-CN" w:bidi="ar-SA"/>
              </w:rPr>
              <w:t>推进</w:t>
            </w:r>
          </w:p>
        </w:tc>
        <w:tc>
          <w:tcPr>
            <w:tcW w:w="1310" w:type="dxa"/>
            <w:noWrap w:val="0"/>
            <w:vAlign w:val="top"/>
          </w:tcPr>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稳步推进</w:t>
            </w:r>
          </w:p>
          <w:p>
            <w:pPr>
              <w:spacing w:before="173" w:line="61" w:lineRule="exact"/>
              <w:rPr>
                <w:rFonts w:hint="eastAsia" w:ascii="宋体" w:hAnsi="宋体" w:eastAsia="宋体" w:cs="宋体"/>
                <w:kern w:val="2"/>
                <w:sz w:val="20"/>
                <w:szCs w:val="21"/>
                <w:lang w:val="en-US" w:eastAsia="zh-CN" w:bidi="ar-SA"/>
              </w:rPr>
            </w:pPr>
          </w:p>
        </w:tc>
        <w:tc>
          <w:tcPr>
            <w:tcW w:w="1268" w:type="dxa"/>
            <w:noWrap w:val="0"/>
            <w:vAlign w:val="top"/>
          </w:tcPr>
          <w:p>
            <w:pPr>
              <w:spacing w:before="173" w:line="61"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稳步推进</w:t>
            </w:r>
          </w:p>
          <w:p>
            <w:pPr>
              <w:spacing w:before="173" w:line="61" w:lineRule="exact"/>
              <w:rPr>
                <w:rFonts w:hint="eastAsia" w:ascii="宋体" w:hAnsi="宋体" w:eastAsia="宋体" w:cs="宋体"/>
                <w:kern w:val="2"/>
                <w:sz w:val="20"/>
                <w:szCs w:val="21"/>
                <w:lang w:val="en-US" w:eastAsia="zh-CN" w:bidi="ar-SA"/>
              </w:rPr>
            </w:pPr>
          </w:p>
        </w:tc>
        <w:tc>
          <w:tcPr>
            <w:tcW w:w="716"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tcBorders>
              <w:top w:val="single" w:color="auto" w:sz="4" w:space="0"/>
              <w:bottom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675" w:type="dxa"/>
            <w:noWrap w:val="0"/>
            <w:vAlign w:val="top"/>
          </w:tcPr>
          <w:p>
            <w:pPr>
              <w:pStyle w:val="10"/>
              <w:spacing w:line="235" w:lineRule="exact"/>
              <w:rPr>
                <w:rFonts w:hint="eastAsia" w:ascii="宋体" w:hAnsi="宋体" w:eastAsia="宋体" w:cs="宋体"/>
                <w:sz w:val="20"/>
                <w:lang w:val="en-US" w:eastAsia="zh-CN"/>
              </w:rPr>
            </w:pPr>
            <w:r>
              <w:rPr>
                <w:rFonts w:hint="eastAsia" w:ascii="宋体" w:hAnsi="宋体" w:eastAsia="宋体" w:cs="宋体"/>
                <w:kern w:val="2"/>
                <w:sz w:val="20"/>
                <w:szCs w:val="21"/>
                <w:lang w:val="en-US" w:eastAsia="zh-CN" w:bidi="ar-SA"/>
              </w:rPr>
              <w:t>持续推进大气污染防治长效常态治理</w:t>
            </w:r>
          </w:p>
        </w:tc>
        <w:tc>
          <w:tcPr>
            <w:tcW w:w="1310" w:type="dxa"/>
            <w:noWrap w:val="0"/>
            <w:vAlign w:val="top"/>
          </w:tcPr>
          <w:p>
            <w:pPr>
              <w:pStyle w:val="10"/>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持续推进</w:t>
            </w:r>
          </w:p>
        </w:tc>
        <w:tc>
          <w:tcPr>
            <w:tcW w:w="1268"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全年规范管理夜宵店467家</w:t>
            </w:r>
          </w:p>
        </w:tc>
        <w:tc>
          <w:tcPr>
            <w:tcW w:w="716"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5</w:t>
            </w:r>
          </w:p>
        </w:tc>
        <w:tc>
          <w:tcPr>
            <w:tcW w:w="873" w:type="dxa"/>
            <w:noWrap w:val="0"/>
            <w:vAlign w:val="top"/>
          </w:tcPr>
          <w:p>
            <w:pPr>
              <w:pStyle w:val="10"/>
              <w:spacing w:line="235" w:lineRule="exact"/>
              <w:rPr>
                <w:rFonts w:hint="eastAsia" w:ascii="宋体" w:hAnsi="宋体" w:eastAsia="宋体" w:cs="宋体"/>
                <w:sz w:val="20"/>
              </w:rPr>
            </w:pPr>
            <w:r>
              <w:rPr>
                <w:rFonts w:hint="eastAsia" w:ascii="宋体" w:hAnsi="宋体" w:eastAsia="宋体" w:cs="宋体"/>
                <w:sz w:val="20"/>
                <w:lang w:val="en-US" w:eastAsia="zh-CN"/>
              </w:rPr>
              <w:t>5</w:t>
            </w:r>
          </w:p>
        </w:tc>
        <w:tc>
          <w:tcPr>
            <w:tcW w:w="1450" w:type="dxa"/>
            <w:noWrap w:val="0"/>
            <w:vAlign w:val="top"/>
          </w:tcPr>
          <w:p>
            <w:pPr>
              <w:pStyle w:val="10"/>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restart"/>
            <w:tcBorders>
              <w:top w:val="single" w:color="auto" w:sz="4" w:space="0"/>
              <w:bottom w:val="single" w:color="auto" w:sz="4" w:space="0"/>
            </w:tcBorders>
            <w:noWrap w:val="0"/>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675" w:type="dxa"/>
            <w:noWrap w:val="0"/>
            <w:vAlign w:val="top"/>
          </w:tcPr>
          <w:p>
            <w:pPr>
              <w:pStyle w:val="10"/>
              <w:rPr>
                <w:rFonts w:hint="eastAsia" w:ascii="宋体" w:hAnsi="宋体" w:eastAsia="宋体" w:cs="宋体"/>
              </w:rPr>
            </w:pPr>
            <w:r>
              <w:rPr>
                <w:rFonts w:hint="eastAsia" w:ascii="宋体" w:hAnsi="宋体" w:eastAsia="宋体" w:cs="宋体"/>
                <w:kern w:val="2"/>
                <w:sz w:val="20"/>
                <w:szCs w:val="21"/>
                <w:lang w:val="en-US" w:eastAsia="zh-CN" w:bidi="ar-SA"/>
              </w:rPr>
              <w:t>金鹗公园全面提升公园园林绿化景观效果</w:t>
            </w:r>
          </w:p>
        </w:tc>
        <w:tc>
          <w:tcPr>
            <w:tcW w:w="1310" w:type="dxa"/>
            <w:noWrap w:val="0"/>
            <w:vAlign w:val="top"/>
          </w:tcPr>
          <w:p>
            <w:pPr>
              <w:pStyle w:val="10"/>
              <w:rPr>
                <w:rFonts w:hint="eastAsia" w:ascii="宋体" w:hAnsi="宋体" w:eastAsia="宋体" w:cs="宋体"/>
              </w:rPr>
            </w:pPr>
            <w:r>
              <w:rPr>
                <w:rFonts w:hint="eastAsia" w:ascii="宋体" w:hAnsi="宋体" w:eastAsia="宋体" w:cs="宋体"/>
                <w:kern w:val="2"/>
                <w:sz w:val="20"/>
                <w:szCs w:val="21"/>
                <w:lang w:val="en-US" w:eastAsia="zh-CN" w:bidi="ar-SA"/>
              </w:rPr>
              <w:t>全面提升</w:t>
            </w:r>
          </w:p>
        </w:tc>
        <w:tc>
          <w:tcPr>
            <w:tcW w:w="1268" w:type="dxa"/>
            <w:noWrap w:val="0"/>
            <w:vAlign w:val="top"/>
          </w:tcPr>
          <w:p>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宋体" w:hAnsi="宋体" w:eastAsia="宋体" w:cs="宋体"/>
              </w:rPr>
            </w:pPr>
            <w:r>
              <w:rPr>
                <w:rFonts w:hint="eastAsia" w:ascii="宋体" w:hAnsi="宋体" w:eastAsia="宋体" w:cs="宋体"/>
                <w:kern w:val="2"/>
                <w:sz w:val="20"/>
                <w:szCs w:val="21"/>
                <w:lang w:val="en-US" w:eastAsia="zh-CN" w:bidi="ar-SA"/>
              </w:rPr>
              <w:t>6月被市委宣传部授予“岳阳市新时代文明实践公园”，11月成功创建国家3A级旅游景区。</w:t>
            </w:r>
          </w:p>
        </w:tc>
        <w:tc>
          <w:tcPr>
            <w:tcW w:w="716" w:type="dxa"/>
            <w:noWrap w:val="0"/>
            <w:vAlign w:val="top"/>
          </w:tcPr>
          <w:p>
            <w:pPr>
              <w:pStyle w:val="10"/>
              <w:spacing w:line="235" w:lineRule="exact"/>
              <w:rPr>
                <w:rFonts w:hint="eastAsia" w:ascii="宋体" w:hAnsi="宋体" w:eastAsia="宋体" w:cs="宋体"/>
                <w:lang w:val="en-US" w:eastAsia="zh-CN"/>
              </w:rPr>
            </w:pPr>
            <w:r>
              <w:rPr>
                <w:rFonts w:hint="eastAsia" w:ascii="宋体" w:hAnsi="宋体" w:eastAsia="宋体" w:cs="宋体"/>
                <w:sz w:val="20"/>
                <w:lang w:val="en-US" w:eastAsia="zh-CN"/>
              </w:rPr>
              <w:t>5</w:t>
            </w:r>
          </w:p>
        </w:tc>
        <w:tc>
          <w:tcPr>
            <w:tcW w:w="873" w:type="dxa"/>
            <w:noWrap w:val="0"/>
            <w:vAlign w:val="top"/>
          </w:tcPr>
          <w:p>
            <w:pPr>
              <w:pStyle w:val="10"/>
              <w:spacing w:line="235" w:lineRule="exact"/>
              <w:rPr>
                <w:rFonts w:hint="eastAsia" w:ascii="宋体" w:hAnsi="宋体" w:eastAsia="宋体" w:cs="宋体"/>
                <w:lang w:val="en-US" w:eastAsia="zh-CN"/>
              </w:rPr>
            </w:pPr>
            <w:r>
              <w:rPr>
                <w:rFonts w:hint="eastAsia" w:ascii="宋体" w:hAnsi="宋体" w:eastAsia="宋体" w:cs="宋体"/>
                <w:sz w:val="20"/>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continue"/>
            <w:tcBorders>
              <w:top w:val="nil"/>
              <w:bottom w:val="nil"/>
            </w:tcBorders>
            <w:noWrap w:val="0"/>
            <w:vAlign w:val="top"/>
          </w:tcPr>
          <w:p>
            <w:pPr>
              <w:pStyle w:val="10"/>
              <w:rPr>
                <w:rFonts w:hint="eastAsia" w:ascii="宋体" w:hAnsi="宋体" w:eastAsia="宋体" w:cs="宋体"/>
              </w:rPr>
            </w:pPr>
          </w:p>
        </w:tc>
        <w:tc>
          <w:tcPr>
            <w:tcW w:w="1069"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1675" w:type="dxa"/>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抓牢日常监</w:t>
            </w:r>
            <w:r>
              <w:rPr>
                <w:rFonts w:hint="eastAsia" w:ascii="宋体" w:hAnsi="宋体" w:eastAsia="宋体" w:cs="宋体"/>
                <w:kern w:val="2"/>
                <w:sz w:val="20"/>
                <w:szCs w:val="21"/>
                <w:lang w:val="en-US" w:eastAsia="zh-CN" w:bidi="ar-SA"/>
              </w:rPr>
              <w:t>督，充分发挥“大城管”指挥棒作用</w:t>
            </w:r>
          </w:p>
        </w:tc>
        <w:tc>
          <w:tcPr>
            <w:tcW w:w="1310" w:type="dxa"/>
            <w:noWrap w:val="0"/>
            <w:vAlign w:val="top"/>
          </w:tcPr>
          <w:p>
            <w:pPr>
              <w:pStyle w:val="10"/>
              <w:rPr>
                <w:rFonts w:hint="eastAsia" w:ascii="宋体" w:hAnsi="宋体" w:eastAsia="宋体" w:cs="宋体"/>
              </w:rPr>
            </w:pPr>
            <w:r>
              <w:rPr>
                <w:rFonts w:hint="eastAsia" w:ascii="宋体" w:hAnsi="宋体" w:eastAsia="宋体" w:cs="宋体"/>
                <w:kern w:val="2"/>
                <w:sz w:val="20"/>
                <w:szCs w:val="21"/>
                <w:lang w:val="en-US" w:eastAsia="zh-CN" w:bidi="ar-SA"/>
              </w:rPr>
              <w:t>实行一周一考评、一月一讲评，一周一通报、一月一兑现</w:t>
            </w:r>
          </w:p>
        </w:tc>
        <w:tc>
          <w:tcPr>
            <w:tcW w:w="1268" w:type="dxa"/>
            <w:noWrap w:val="0"/>
            <w:vAlign w:val="top"/>
          </w:tcPr>
          <w:p>
            <w:pPr>
              <w:pStyle w:val="10"/>
              <w:rPr>
                <w:rFonts w:hint="eastAsia" w:ascii="宋体" w:hAnsi="宋体" w:eastAsia="宋体" w:cs="宋体"/>
              </w:rPr>
            </w:pPr>
            <w:r>
              <w:rPr>
                <w:rFonts w:hint="default" w:ascii="宋体" w:hAnsi="宋体" w:eastAsia="宋体" w:cs="宋体"/>
                <w:kern w:val="2"/>
                <w:sz w:val="20"/>
                <w:szCs w:val="21"/>
                <w:lang w:val="en-US" w:eastAsia="zh-CN" w:bidi="ar-SA"/>
              </w:rPr>
              <w:t>出台</w:t>
            </w:r>
            <w:r>
              <w:rPr>
                <w:rFonts w:hint="eastAsia" w:ascii="宋体" w:hAnsi="宋体" w:eastAsia="宋体" w:cs="宋体"/>
                <w:kern w:val="2"/>
                <w:sz w:val="20"/>
                <w:szCs w:val="21"/>
                <w:lang w:val="en-US" w:eastAsia="zh-CN" w:bidi="ar-SA"/>
              </w:rPr>
              <w:t>了</w:t>
            </w:r>
            <w:r>
              <w:rPr>
                <w:rFonts w:hint="default" w:ascii="宋体" w:hAnsi="宋体" w:eastAsia="宋体" w:cs="宋体"/>
                <w:kern w:val="2"/>
                <w:sz w:val="20"/>
                <w:szCs w:val="21"/>
                <w:lang w:val="en-US" w:eastAsia="zh-CN" w:bidi="ar-SA"/>
              </w:rPr>
              <w:t>《2023年岳阳楼区城市标准化管理考核实施细则（试行）》</w:t>
            </w:r>
          </w:p>
        </w:tc>
        <w:tc>
          <w:tcPr>
            <w:tcW w:w="716" w:type="dxa"/>
            <w:noWrap w:val="0"/>
            <w:vAlign w:val="top"/>
          </w:tcPr>
          <w:p>
            <w:pPr>
              <w:pStyle w:val="10"/>
              <w:spacing w:line="235" w:lineRule="exact"/>
              <w:rPr>
                <w:rFonts w:hint="eastAsia" w:ascii="宋体" w:hAnsi="宋体" w:eastAsia="宋体" w:cs="宋体"/>
                <w:lang w:val="en-US" w:eastAsia="zh-CN"/>
              </w:rPr>
            </w:pPr>
            <w:r>
              <w:rPr>
                <w:rFonts w:hint="eastAsia" w:ascii="宋体" w:hAnsi="宋体" w:eastAsia="宋体" w:cs="宋体"/>
                <w:sz w:val="20"/>
                <w:lang w:val="en-US" w:eastAsia="zh-CN"/>
              </w:rPr>
              <w:t>5</w:t>
            </w:r>
          </w:p>
        </w:tc>
        <w:tc>
          <w:tcPr>
            <w:tcW w:w="873" w:type="dxa"/>
            <w:noWrap w:val="0"/>
            <w:vAlign w:val="top"/>
          </w:tcPr>
          <w:p>
            <w:pPr>
              <w:pStyle w:val="10"/>
              <w:spacing w:line="235" w:lineRule="exact"/>
              <w:rPr>
                <w:rFonts w:hint="eastAsia" w:ascii="宋体" w:hAnsi="宋体" w:eastAsia="宋体" w:cs="宋体"/>
                <w:lang w:val="en-US" w:eastAsia="zh-CN"/>
              </w:rPr>
            </w:pPr>
            <w:r>
              <w:rPr>
                <w:rFonts w:hint="eastAsia" w:ascii="宋体" w:hAnsi="宋体" w:eastAsia="宋体" w:cs="宋体"/>
                <w:sz w:val="20"/>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948" w:type="dxa"/>
            <w:vMerge w:val="continue"/>
            <w:tcBorders>
              <w:top w:val="nil"/>
              <w:bottom w:val="nil"/>
            </w:tcBorders>
            <w:noWrap w:val="0"/>
            <w:textDirection w:val="tbRlV"/>
            <w:vAlign w:val="top"/>
          </w:tcPr>
          <w:p>
            <w:pPr>
              <w:pStyle w:val="10"/>
              <w:rPr>
                <w:rFonts w:hint="eastAsia" w:ascii="宋体" w:hAnsi="宋体" w:eastAsia="宋体" w:cs="宋体"/>
              </w:rPr>
            </w:pPr>
          </w:p>
        </w:tc>
        <w:tc>
          <w:tcPr>
            <w:tcW w:w="774" w:type="dxa"/>
            <w:vMerge w:val="restart"/>
            <w:tcBorders>
              <w:bottom w:val="nil"/>
            </w:tcBorders>
            <w:noWrap w:val="0"/>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69"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675" w:type="dxa"/>
            <w:noWrap w:val="0"/>
            <w:vAlign w:val="top"/>
          </w:tcPr>
          <w:p>
            <w:pPr>
              <w:pStyle w:val="10"/>
              <w:rPr>
                <w:rFonts w:hint="default" w:ascii="宋体" w:hAnsi="宋体" w:eastAsia="宋体" w:cs="宋体"/>
                <w:lang w:val="en-US" w:eastAsia="zh-CN"/>
              </w:rPr>
            </w:pPr>
            <w:r>
              <w:rPr>
                <w:rFonts w:hint="eastAsia" w:ascii="宋体" w:hAnsi="宋体" w:eastAsia="宋体" w:cs="宋体"/>
                <w:sz w:val="20"/>
                <w:szCs w:val="20"/>
                <w:lang w:val="en-US" w:eastAsia="zh-CN"/>
              </w:rPr>
              <w:t>群众对单位满意度</w:t>
            </w:r>
          </w:p>
        </w:tc>
        <w:tc>
          <w:tcPr>
            <w:tcW w:w="1310" w:type="dxa"/>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95%</w:t>
            </w:r>
          </w:p>
        </w:tc>
        <w:tc>
          <w:tcPr>
            <w:tcW w:w="1268" w:type="dxa"/>
            <w:noWrap w:val="0"/>
            <w:vAlign w:val="top"/>
          </w:tcPr>
          <w:p>
            <w:pPr>
              <w:pStyle w:val="10"/>
              <w:rPr>
                <w:rFonts w:hint="eastAsia" w:ascii="宋体" w:hAnsi="宋体" w:eastAsia="宋体" w:cs="宋体"/>
              </w:rPr>
            </w:pPr>
            <w:r>
              <w:rPr>
                <w:rFonts w:hint="eastAsia" w:ascii="宋体" w:hAnsi="宋体" w:eastAsia="宋体" w:cs="宋体"/>
                <w:lang w:val="en-US" w:eastAsia="zh-CN"/>
              </w:rPr>
              <w:t>95%</w:t>
            </w:r>
          </w:p>
        </w:tc>
        <w:tc>
          <w:tcPr>
            <w:tcW w:w="716"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948" w:type="dxa"/>
            <w:vMerge w:val="continue"/>
            <w:tcBorders>
              <w:top w:val="nil"/>
            </w:tcBorders>
            <w:noWrap w:val="0"/>
            <w:textDirection w:val="tbRlV"/>
            <w:vAlign w:val="top"/>
          </w:tcPr>
          <w:p>
            <w:pPr>
              <w:pStyle w:val="10"/>
              <w:rPr>
                <w:rFonts w:hint="eastAsia" w:ascii="宋体" w:hAnsi="宋体" w:eastAsia="宋体" w:cs="宋体"/>
              </w:rPr>
            </w:pPr>
          </w:p>
        </w:tc>
        <w:tc>
          <w:tcPr>
            <w:tcW w:w="774" w:type="dxa"/>
            <w:vMerge w:val="continue"/>
            <w:tcBorders>
              <w:top w:val="nil"/>
            </w:tcBorders>
            <w:noWrap w:val="0"/>
            <w:vAlign w:val="top"/>
          </w:tcPr>
          <w:p>
            <w:pPr>
              <w:pStyle w:val="10"/>
              <w:rPr>
                <w:rFonts w:hint="eastAsia" w:ascii="宋体" w:hAnsi="宋体" w:eastAsia="宋体" w:cs="宋体"/>
              </w:rPr>
            </w:pPr>
          </w:p>
        </w:tc>
        <w:tc>
          <w:tcPr>
            <w:tcW w:w="1069"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1675" w:type="dxa"/>
            <w:noWrap w:val="0"/>
            <w:vAlign w:val="top"/>
          </w:tcPr>
          <w:p>
            <w:pPr>
              <w:spacing w:before="191" w:line="61" w:lineRule="exact"/>
              <w:rPr>
                <w:rFonts w:hint="eastAsia" w:ascii="宋体" w:hAnsi="宋体" w:eastAsia="宋体" w:cs="宋体"/>
                <w:kern w:val="2"/>
                <w:sz w:val="20"/>
                <w:szCs w:val="20"/>
                <w:lang w:val="en-US" w:eastAsia="zh-CN" w:bidi="ar-SA"/>
              </w:rPr>
            </w:pPr>
            <w:r>
              <w:rPr>
                <w:rFonts w:hint="eastAsia" w:ascii="宋体" w:hAnsi="宋体" w:eastAsia="宋体" w:cs="宋体"/>
                <w:kern w:val="2"/>
                <w:sz w:val="20"/>
                <w:szCs w:val="20"/>
                <w:lang w:val="en-US" w:eastAsia="zh-CN" w:bidi="ar-SA"/>
              </w:rPr>
              <w:t>职工对单位管</w:t>
            </w:r>
          </w:p>
          <w:p>
            <w:pPr>
              <w:spacing w:before="191" w:line="61" w:lineRule="exact"/>
              <w:rPr>
                <w:rFonts w:hint="default" w:ascii="宋体" w:hAnsi="宋体" w:eastAsia="宋体" w:cs="宋体"/>
                <w:sz w:val="19"/>
                <w:szCs w:val="19"/>
                <w:lang w:val="en-US" w:eastAsia="zh-CN"/>
              </w:rPr>
            </w:pPr>
            <w:r>
              <w:rPr>
                <w:rFonts w:hint="eastAsia" w:ascii="宋体" w:hAnsi="宋体" w:eastAsia="宋体" w:cs="宋体"/>
                <w:kern w:val="2"/>
                <w:sz w:val="20"/>
                <w:szCs w:val="20"/>
                <w:lang w:val="en-US" w:eastAsia="zh-CN" w:bidi="ar-SA"/>
              </w:rPr>
              <w:t>理满意度</w:t>
            </w:r>
          </w:p>
        </w:tc>
        <w:tc>
          <w:tcPr>
            <w:tcW w:w="1310" w:type="dxa"/>
            <w:noWrap w:val="0"/>
            <w:vAlign w:val="top"/>
          </w:tcPr>
          <w:p>
            <w:pPr>
              <w:pStyle w:val="10"/>
              <w:rPr>
                <w:rFonts w:hint="eastAsia" w:ascii="宋体" w:hAnsi="宋体" w:eastAsia="宋体" w:cs="宋体"/>
              </w:rPr>
            </w:pPr>
            <w:r>
              <w:rPr>
                <w:rFonts w:hint="eastAsia" w:ascii="宋体" w:hAnsi="宋体" w:eastAsia="宋体" w:cs="宋体"/>
                <w:lang w:val="en-US" w:eastAsia="zh-CN"/>
              </w:rPr>
              <w:t>95%</w:t>
            </w:r>
          </w:p>
        </w:tc>
        <w:tc>
          <w:tcPr>
            <w:tcW w:w="1268" w:type="dxa"/>
            <w:noWrap w:val="0"/>
            <w:vAlign w:val="top"/>
          </w:tcPr>
          <w:p>
            <w:pPr>
              <w:pStyle w:val="10"/>
              <w:rPr>
                <w:rFonts w:hint="eastAsia" w:ascii="宋体" w:hAnsi="宋体" w:eastAsia="宋体" w:cs="宋体"/>
              </w:rPr>
            </w:pPr>
            <w:r>
              <w:rPr>
                <w:rFonts w:hint="eastAsia" w:ascii="宋体" w:hAnsi="宋体" w:eastAsia="宋体" w:cs="宋体"/>
                <w:lang w:val="en-US" w:eastAsia="zh-CN"/>
              </w:rPr>
              <w:t>95%</w:t>
            </w:r>
          </w:p>
        </w:tc>
        <w:tc>
          <w:tcPr>
            <w:tcW w:w="716"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10"/>
              <w:rPr>
                <w:rFonts w:hint="default" w:ascii="宋体" w:hAnsi="宋体" w:eastAsia="宋体" w:cs="宋体"/>
                <w:lang w:val="en-US" w:eastAsia="zh-CN"/>
              </w:rPr>
            </w:pPr>
            <w:r>
              <w:rPr>
                <w:rFonts w:hint="eastAsia" w:ascii="宋体" w:hAnsi="宋体" w:eastAsia="宋体" w:cs="宋体"/>
                <w:lang w:val="en-US" w:eastAsia="zh-CN"/>
              </w:rPr>
              <w:t>95.87</w:t>
            </w:r>
          </w:p>
        </w:tc>
        <w:tc>
          <w:tcPr>
            <w:tcW w:w="1450" w:type="dxa"/>
            <w:noWrap w:val="0"/>
            <w:vAlign w:val="top"/>
          </w:tcPr>
          <w:p>
            <w:pPr>
              <w:pStyle w:val="10"/>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宋体" w:hAnsi="宋体" w:eastAsia="宋体" w:cs="宋体"/>
          <w:color w:val="000000"/>
          <w:spacing w:val="0"/>
          <w:position w:val="0"/>
          <w:sz w:val="23"/>
          <w:szCs w:val="23"/>
          <w:lang w:val="en-US" w:eastAsia="zh-CN"/>
        </w:rPr>
        <w:t>刘莉</w:t>
      </w:r>
      <w:r>
        <w:rPr>
          <w:rFonts w:hint="eastAsia" w:ascii="宋体" w:hAnsi="宋体" w:eastAsia="宋体" w:cs="宋体"/>
          <w:color w:val="000000"/>
          <w:spacing w:val="0"/>
          <w:position w:val="0"/>
          <w:sz w:val="23"/>
          <w:szCs w:val="23"/>
        </w:rPr>
        <w:t xml:space="preserve">     联系电话：</w:t>
      </w:r>
      <w:r>
        <w:rPr>
          <w:rFonts w:hint="eastAsia" w:ascii="宋体" w:hAnsi="宋体" w:eastAsia="宋体" w:cs="宋体"/>
          <w:color w:val="000000"/>
          <w:spacing w:val="0"/>
          <w:position w:val="0"/>
          <w:sz w:val="23"/>
          <w:szCs w:val="23"/>
          <w:lang w:val="en-US" w:eastAsia="zh-CN"/>
        </w:rPr>
        <w:t>0730-</w:t>
      </w:r>
      <w:r>
        <w:rPr>
          <w:rFonts w:hint="eastAsia" w:ascii="宋体" w:hAnsi="宋体" w:eastAsia="宋体" w:cs="宋体"/>
          <w:color w:val="000000"/>
          <w:spacing w:val="0"/>
          <w:position w:val="0"/>
          <w:sz w:val="23"/>
          <w:szCs w:val="23"/>
        </w:rPr>
        <w:t>8915881   填报日期：</w:t>
      </w:r>
      <w:r>
        <w:rPr>
          <w:rFonts w:hint="eastAsia" w:ascii="宋体" w:hAnsi="宋体" w:eastAsia="宋体" w:cs="宋体"/>
          <w:color w:val="000000"/>
          <w:spacing w:val="0"/>
          <w:position w:val="0"/>
          <w:sz w:val="23"/>
          <w:szCs w:val="23"/>
          <w:lang w:val="en-US" w:eastAsia="zh-CN"/>
        </w:rPr>
        <w:t>2024-05-26</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9"/>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pPr>
              <w:pStyle w:val="10"/>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pPr>
              <w:pStyle w:val="10"/>
              <w:rPr>
                <w:rFonts w:hint="eastAsia" w:ascii="宋体" w:hAnsi="宋体" w:eastAsia="宋体" w:cs="宋体"/>
              </w:rPr>
            </w:pPr>
          </w:p>
        </w:tc>
        <w:tc>
          <w:tcPr>
            <w:tcW w:w="1244" w:type="dxa"/>
            <w:noWrap w:val="0"/>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pPr>
              <w:pStyle w:val="10"/>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noWrap w:val="0"/>
            <w:vAlign w:val="top"/>
          </w:tcPr>
          <w:p>
            <w:pPr>
              <w:pStyle w:val="10"/>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noWrap w:val="0"/>
            <w:vAlign w:val="top"/>
          </w:tcPr>
          <w:p>
            <w:pPr>
              <w:pStyle w:val="10"/>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noWrap w:val="0"/>
            <w:vAlign w:val="top"/>
          </w:tcPr>
          <w:p>
            <w:pPr>
              <w:spacing w:before="64" w:line="195" w:lineRule="auto"/>
              <w:ind w:left="331"/>
              <w:jc w:val="center"/>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pPr>
              <w:pStyle w:val="10"/>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pPr>
              <w:pStyle w:val="10"/>
              <w:jc w:val="center"/>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pPr>
              <w:pStyle w:val="10"/>
              <w:rPr>
                <w:rFonts w:hint="eastAsia" w:ascii="宋体" w:hAnsi="宋体" w:eastAsia="宋体" w:cs="宋体"/>
              </w:rPr>
            </w:pP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pPr>
              <w:pStyle w:val="10"/>
              <w:rPr>
                <w:rFonts w:hint="eastAsia" w:ascii="宋体" w:hAnsi="宋体" w:eastAsia="宋体" w:cs="宋体"/>
              </w:rPr>
            </w:pP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pPr>
              <w:pStyle w:val="10"/>
              <w:rPr>
                <w:rFonts w:hint="eastAsia" w:ascii="宋体" w:hAnsi="宋体" w:eastAsia="宋体" w:cs="宋体"/>
              </w:rPr>
            </w:pPr>
          </w:p>
        </w:tc>
        <w:tc>
          <w:tcPr>
            <w:tcW w:w="2034" w:type="dxa"/>
            <w:gridSpan w:val="2"/>
            <w:noWrap w:val="0"/>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pPr>
              <w:pStyle w:val="10"/>
              <w:rPr>
                <w:rFonts w:hint="eastAsia" w:ascii="宋体" w:hAnsi="宋体" w:eastAsia="宋体" w:cs="宋体"/>
              </w:rPr>
            </w:pP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pPr>
              <w:pStyle w:val="10"/>
              <w:rPr>
                <w:rFonts w:hint="eastAsia" w:ascii="宋体" w:hAnsi="宋体" w:eastAsia="宋体" w:cs="宋体"/>
              </w:rPr>
            </w:pPr>
          </w:p>
        </w:tc>
        <w:tc>
          <w:tcPr>
            <w:tcW w:w="4522" w:type="dxa"/>
            <w:gridSpan w:val="4"/>
            <w:noWrap w:val="0"/>
            <w:vAlign w:val="top"/>
          </w:tcPr>
          <w:p>
            <w:pPr>
              <w:pStyle w:val="10"/>
              <w:rPr>
                <w:rFonts w:hint="eastAsia" w:ascii="宋体" w:hAnsi="宋体" w:eastAsia="宋体" w:cs="宋体"/>
              </w:rPr>
            </w:pPr>
          </w:p>
        </w:tc>
        <w:tc>
          <w:tcPr>
            <w:tcW w:w="4249" w:type="dxa"/>
            <w:gridSpan w:val="4"/>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pPr>
              <w:pStyle w:val="10"/>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restart"/>
            <w:tcBorders>
              <w:bottom w:val="nil"/>
            </w:tcBorders>
            <w:noWrap w:val="0"/>
            <w:vAlign w:val="top"/>
          </w:tcPr>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6" w:lineRule="auto"/>
              <w:rPr>
                <w:rFonts w:hint="eastAsia" w:ascii="宋体" w:hAnsi="宋体" w:eastAsia="宋体" w:cs="宋体"/>
              </w:rPr>
            </w:pPr>
          </w:p>
          <w:p>
            <w:pPr>
              <w:pStyle w:val="10"/>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tcBorders>
            <w:noWrap w:val="0"/>
            <w:vAlign w:val="top"/>
          </w:tcPr>
          <w:p>
            <w:pPr>
              <w:pStyle w:val="10"/>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tcBorders>
            <w:noWrap w:val="0"/>
            <w:vAlign w:val="top"/>
          </w:tcPr>
          <w:p>
            <w:pPr>
              <w:pStyle w:val="10"/>
              <w:rPr>
                <w:rFonts w:hint="eastAsia" w:ascii="宋体" w:hAnsi="宋体" w:eastAsia="宋体" w:cs="宋体"/>
              </w:rPr>
            </w:pPr>
          </w:p>
        </w:tc>
        <w:tc>
          <w:tcPr>
            <w:tcW w:w="1244" w:type="dxa"/>
            <w:noWrap w:val="0"/>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restart"/>
            <w:tcBorders>
              <w:bottom w:val="nil"/>
            </w:tcBorders>
            <w:noWrap w:val="0"/>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noWrap w:val="0"/>
            <w:vAlign w:val="top"/>
          </w:tcPr>
          <w:p>
            <w:pPr>
              <w:pStyle w:val="10"/>
              <w:spacing w:line="224" w:lineRule="exact"/>
              <w:rPr>
                <w:rFonts w:hint="eastAsia" w:ascii="宋体" w:hAnsi="宋体" w:eastAsia="宋体" w:cs="宋体"/>
                <w:sz w:val="19"/>
              </w:rPr>
            </w:pPr>
          </w:p>
        </w:tc>
        <w:tc>
          <w:tcPr>
            <w:tcW w:w="1244" w:type="dxa"/>
            <w:noWrap w:val="0"/>
            <w:vAlign w:val="top"/>
          </w:tcPr>
          <w:p>
            <w:pPr>
              <w:pStyle w:val="10"/>
              <w:spacing w:line="224" w:lineRule="exact"/>
              <w:rPr>
                <w:rFonts w:hint="eastAsia" w:ascii="宋体" w:hAnsi="宋体" w:eastAsia="宋体" w:cs="宋体"/>
                <w:sz w:val="19"/>
              </w:rPr>
            </w:pPr>
          </w:p>
        </w:tc>
        <w:tc>
          <w:tcPr>
            <w:tcW w:w="1281" w:type="dxa"/>
            <w:noWrap w:val="0"/>
            <w:vAlign w:val="top"/>
          </w:tcPr>
          <w:p>
            <w:pPr>
              <w:pStyle w:val="10"/>
              <w:spacing w:line="224" w:lineRule="exact"/>
              <w:rPr>
                <w:rFonts w:hint="eastAsia" w:ascii="宋体" w:hAnsi="宋体" w:eastAsia="宋体" w:cs="宋体"/>
                <w:sz w:val="19"/>
              </w:rPr>
            </w:pPr>
          </w:p>
        </w:tc>
        <w:tc>
          <w:tcPr>
            <w:tcW w:w="673" w:type="dxa"/>
            <w:noWrap w:val="0"/>
            <w:vAlign w:val="top"/>
          </w:tcPr>
          <w:p>
            <w:pPr>
              <w:pStyle w:val="10"/>
              <w:spacing w:line="224" w:lineRule="exact"/>
              <w:rPr>
                <w:rFonts w:hint="eastAsia" w:ascii="宋体" w:hAnsi="宋体" w:eastAsia="宋体" w:cs="宋体"/>
                <w:sz w:val="19"/>
              </w:rPr>
            </w:pPr>
          </w:p>
        </w:tc>
        <w:tc>
          <w:tcPr>
            <w:tcW w:w="873" w:type="dxa"/>
            <w:noWrap w:val="0"/>
            <w:vAlign w:val="top"/>
          </w:tcPr>
          <w:p>
            <w:pPr>
              <w:pStyle w:val="10"/>
              <w:spacing w:line="224" w:lineRule="exact"/>
              <w:rPr>
                <w:rFonts w:hint="eastAsia" w:ascii="宋体" w:hAnsi="宋体" w:eastAsia="宋体" w:cs="宋体"/>
                <w:sz w:val="19"/>
              </w:rPr>
            </w:pPr>
          </w:p>
        </w:tc>
        <w:tc>
          <w:tcPr>
            <w:tcW w:w="1422" w:type="dxa"/>
            <w:noWrap w:val="0"/>
            <w:vAlign w:val="top"/>
          </w:tcPr>
          <w:p>
            <w:pPr>
              <w:pStyle w:val="10"/>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tcBorders>
            <w:noWrap w:val="0"/>
            <w:vAlign w:val="top"/>
          </w:tcPr>
          <w:p>
            <w:pPr>
              <w:pStyle w:val="10"/>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restart"/>
            <w:tcBorders>
              <w:bottom w:val="nil"/>
            </w:tcBorders>
            <w:noWrap w:val="0"/>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nil"/>
            </w:tcBorders>
            <w:noWrap w:val="0"/>
            <w:vAlign w:val="top"/>
          </w:tcPr>
          <w:p>
            <w:pPr>
              <w:pStyle w:val="10"/>
              <w:rPr>
                <w:rFonts w:hint="eastAsia" w:ascii="宋体" w:hAnsi="宋体" w:eastAsia="宋体" w:cs="宋体"/>
              </w:rPr>
            </w:pPr>
          </w:p>
        </w:tc>
        <w:tc>
          <w:tcPr>
            <w:tcW w:w="955" w:type="dxa"/>
            <w:vMerge w:val="continue"/>
            <w:tcBorders>
              <w:top w:val="nil"/>
              <w:bottom w:val="nil"/>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nil"/>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nil"/>
              <w:bottom w:val="single" w:color="auto" w:sz="4" w:space="0"/>
            </w:tcBorders>
            <w:noWrap w:val="0"/>
            <w:vAlign w:val="top"/>
          </w:tcPr>
          <w:p>
            <w:pPr>
              <w:pStyle w:val="10"/>
              <w:rPr>
                <w:rFonts w:hint="eastAsia" w:ascii="宋体" w:hAnsi="宋体" w:eastAsia="宋体" w:cs="宋体"/>
              </w:rPr>
            </w:pPr>
          </w:p>
        </w:tc>
        <w:tc>
          <w:tcPr>
            <w:tcW w:w="1244" w:type="dxa"/>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pPr>
              <w:pStyle w:val="10"/>
              <w:spacing w:line="315" w:lineRule="auto"/>
              <w:rPr>
                <w:rFonts w:hint="eastAsia" w:ascii="宋体" w:hAnsi="宋体" w:eastAsia="宋体" w:cs="宋体"/>
              </w:rPr>
            </w:pPr>
          </w:p>
          <w:p>
            <w:pPr>
              <w:pStyle w:val="10"/>
              <w:spacing w:line="315" w:lineRule="auto"/>
              <w:rPr>
                <w:rFonts w:hint="eastAsia" w:ascii="宋体" w:hAnsi="宋体" w:eastAsia="宋体" w:cs="宋体"/>
              </w:rPr>
            </w:pPr>
          </w:p>
          <w:p>
            <w:pPr>
              <w:pStyle w:val="10"/>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restart"/>
            <w:tcBorders>
              <w:bottom w:val="nil"/>
              <w:right w:val="single" w:color="auto" w:sz="4" w:space="0"/>
            </w:tcBorders>
            <w:noWrap w:val="0"/>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vMerge w:val="continue"/>
            <w:tcBorders>
              <w:top w:val="nil"/>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pPr>
              <w:pStyle w:val="10"/>
              <w:rPr>
                <w:rFonts w:hint="eastAsia" w:ascii="宋体" w:hAnsi="宋体" w:eastAsia="宋体" w:cs="宋体"/>
              </w:rPr>
            </w:pPr>
          </w:p>
        </w:tc>
        <w:tc>
          <w:tcPr>
            <w:tcW w:w="955" w:type="dxa"/>
            <w:tcBorders>
              <w:bottom w:val="nil"/>
              <w:right w:val="single" w:color="auto" w:sz="4" w:space="0"/>
            </w:tcBorders>
            <w:noWrap w:val="0"/>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pPr>
              <w:pStyle w:val="10"/>
              <w:rPr>
                <w:rFonts w:hint="eastAsia" w:ascii="宋体" w:hAnsi="宋体" w:eastAsia="宋体" w:cs="宋体"/>
              </w:rPr>
            </w:pPr>
          </w:p>
        </w:tc>
        <w:tc>
          <w:tcPr>
            <w:tcW w:w="1244" w:type="dxa"/>
            <w:tcBorders>
              <w:left w:val="single" w:color="auto" w:sz="4" w:space="0"/>
            </w:tcBorders>
            <w:noWrap w:val="0"/>
            <w:vAlign w:val="top"/>
          </w:tcPr>
          <w:p>
            <w:pPr>
              <w:pStyle w:val="10"/>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1244" w:type="dxa"/>
            <w:noWrap w:val="0"/>
            <w:vAlign w:val="top"/>
          </w:tcPr>
          <w:p>
            <w:pPr>
              <w:pStyle w:val="10"/>
              <w:spacing w:line="225" w:lineRule="exact"/>
              <w:rPr>
                <w:rFonts w:hint="eastAsia" w:ascii="宋体" w:hAnsi="宋体" w:eastAsia="宋体" w:cs="宋体"/>
                <w:sz w:val="19"/>
              </w:rPr>
            </w:pPr>
          </w:p>
        </w:tc>
        <w:tc>
          <w:tcPr>
            <w:tcW w:w="1244" w:type="dxa"/>
            <w:noWrap w:val="0"/>
            <w:vAlign w:val="top"/>
          </w:tcPr>
          <w:p>
            <w:pPr>
              <w:pStyle w:val="10"/>
              <w:spacing w:line="225" w:lineRule="exact"/>
              <w:rPr>
                <w:rFonts w:hint="eastAsia" w:ascii="宋体" w:hAnsi="宋体" w:eastAsia="宋体" w:cs="宋体"/>
                <w:sz w:val="19"/>
              </w:rPr>
            </w:pPr>
          </w:p>
        </w:tc>
        <w:tc>
          <w:tcPr>
            <w:tcW w:w="1281" w:type="dxa"/>
            <w:noWrap w:val="0"/>
            <w:vAlign w:val="top"/>
          </w:tcPr>
          <w:p>
            <w:pPr>
              <w:pStyle w:val="10"/>
              <w:spacing w:line="225" w:lineRule="exact"/>
              <w:rPr>
                <w:rFonts w:hint="eastAsia" w:ascii="宋体" w:hAnsi="宋体" w:eastAsia="宋体" w:cs="宋体"/>
                <w:sz w:val="19"/>
              </w:rPr>
            </w:pPr>
          </w:p>
        </w:tc>
        <w:tc>
          <w:tcPr>
            <w:tcW w:w="673" w:type="dxa"/>
            <w:noWrap w:val="0"/>
            <w:vAlign w:val="top"/>
          </w:tcPr>
          <w:p>
            <w:pPr>
              <w:pStyle w:val="10"/>
              <w:spacing w:line="225" w:lineRule="exact"/>
              <w:rPr>
                <w:rFonts w:hint="eastAsia" w:ascii="宋体" w:hAnsi="宋体" w:eastAsia="宋体" w:cs="宋体"/>
                <w:sz w:val="19"/>
              </w:rPr>
            </w:pPr>
          </w:p>
        </w:tc>
        <w:tc>
          <w:tcPr>
            <w:tcW w:w="873" w:type="dxa"/>
            <w:noWrap w:val="0"/>
            <w:vAlign w:val="top"/>
          </w:tcPr>
          <w:p>
            <w:pPr>
              <w:pStyle w:val="10"/>
              <w:spacing w:line="225" w:lineRule="exact"/>
              <w:rPr>
                <w:rFonts w:hint="eastAsia" w:ascii="宋体" w:hAnsi="宋体" w:eastAsia="宋体" w:cs="宋体"/>
                <w:sz w:val="19"/>
              </w:rPr>
            </w:pPr>
          </w:p>
        </w:tc>
        <w:tc>
          <w:tcPr>
            <w:tcW w:w="1422" w:type="dxa"/>
            <w:noWrap w:val="0"/>
            <w:vAlign w:val="top"/>
          </w:tcPr>
          <w:p>
            <w:pPr>
              <w:pStyle w:val="10"/>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pPr>
              <w:pStyle w:val="10"/>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pPr>
              <w:pStyle w:val="10"/>
              <w:rPr>
                <w:rFonts w:hint="eastAsia" w:ascii="宋体" w:hAnsi="宋体" w:eastAsia="宋体" w:cs="宋体"/>
              </w:rPr>
            </w:pPr>
          </w:p>
        </w:tc>
        <w:tc>
          <w:tcPr>
            <w:tcW w:w="1244" w:type="dxa"/>
            <w:noWrap w:val="0"/>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pPr>
              <w:pStyle w:val="10"/>
              <w:rPr>
                <w:rFonts w:hint="eastAsia" w:ascii="宋体" w:hAnsi="宋体" w:eastAsia="宋体" w:cs="宋体"/>
              </w:rPr>
            </w:pPr>
          </w:p>
        </w:tc>
        <w:tc>
          <w:tcPr>
            <w:tcW w:w="1281" w:type="dxa"/>
            <w:noWrap w:val="0"/>
            <w:vAlign w:val="top"/>
          </w:tcPr>
          <w:p>
            <w:pPr>
              <w:pStyle w:val="10"/>
              <w:rPr>
                <w:rFonts w:hint="eastAsia" w:ascii="宋体" w:hAnsi="宋体" w:eastAsia="宋体" w:cs="宋体"/>
              </w:rPr>
            </w:pPr>
          </w:p>
        </w:tc>
        <w:tc>
          <w:tcPr>
            <w:tcW w:w="673" w:type="dxa"/>
            <w:noWrap w:val="0"/>
            <w:vAlign w:val="top"/>
          </w:tcPr>
          <w:p>
            <w:pPr>
              <w:pStyle w:val="10"/>
              <w:rPr>
                <w:rFonts w:hint="eastAsia" w:ascii="宋体" w:hAnsi="宋体" w:eastAsia="宋体" w:cs="宋体"/>
              </w:rPr>
            </w:pP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pPr>
              <w:pStyle w:val="10"/>
              <w:rPr>
                <w:rFonts w:hint="eastAsia" w:ascii="宋体" w:hAnsi="宋体" w:eastAsia="宋体" w:cs="宋体"/>
              </w:rPr>
            </w:pPr>
          </w:p>
        </w:tc>
        <w:tc>
          <w:tcPr>
            <w:tcW w:w="1422" w:type="dxa"/>
            <w:noWrap w:val="0"/>
            <w:vAlign w:val="top"/>
          </w:tcPr>
          <w:p>
            <w:pPr>
              <w:pStyle w:val="10"/>
              <w:rPr>
                <w:rFonts w:hint="eastAsia" w:ascii="宋体" w:hAnsi="宋体" w:eastAsia="宋体" w:cs="宋体"/>
              </w:rPr>
            </w:pPr>
          </w:p>
        </w:tc>
      </w:tr>
    </w:tbl>
    <w:p>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hint="eastAsia" w:ascii="黑体" w:hAnsi="黑体" w:eastAsia="黑体" w:cs="黑体"/>
          <w:spacing w:val="-58"/>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岳阳市岳阳楼区城市管理督查考评中心</w:t>
      </w:r>
      <w:r>
        <w:rPr>
          <w:rFonts w:hint="eastAsia" w:ascii="方正小标宋简体" w:hAnsi="方正小标宋简体" w:eastAsia="方正小标宋简体" w:cs="方正小标宋简体"/>
          <w:b w:val="0"/>
          <w:bCs w:val="0"/>
          <w:color w:val="000000"/>
          <w:spacing w:val="2"/>
          <w:sz w:val="42"/>
          <w:szCs w:val="42"/>
          <w:lang w:eastAsia="zh-CN"/>
        </w:rPr>
        <w:t>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05</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26</w:t>
      </w:r>
      <w:r>
        <w:rPr>
          <w:rFonts w:ascii="楷体" w:hAnsi="楷体" w:eastAsia="楷体" w:cs="楷体"/>
          <w:spacing w:val="-8"/>
          <w:sz w:val="31"/>
          <w:szCs w:val="31"/>
        </w:rPr>
        <w:t>日</w:t>
      </w:r>
    </w:p>
    <w:p>
      <w:pPr>
        <w:spacing w:line="335" w:lineRule="auto"/>
        <w:rPr>
          <w:rFonts w:ascii="Arial"/>
          <w:sz w:val="21"/>
        </w:rPr>
      </w:pPr>
    </w:p>
    <w:p>
      <w:pPr>
        <w:spacing w:line="224" w:lineRule="auto"/>
        <w:sectPr>
          <w:footerReference r:id="rId7"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岳阳市岳阳楼区城市管理督查考评中心</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center"/>
        <w:rPr>
          <w:rFonts w:ascii="楷体" w:hAnsi="楷体" w:eastAsia="楷体" w:cs="楷体"/>
          <w:b/>
          <w:bCs/>
          <w:spacing w:val="9"/>
          <w:kern w:val="2"/>
          <w:position w:val="21"/>
          <w:sz w:val="31"/>
          <w:szCs w:val="31"/>
          <w:lang w:val="en-US" w:eastAsia="zh-CN" w:bidi="ar-SA"/>
        </w:rPr>
      </w:pPr>
      <w:r>
        <w:rPr>
          <w:rFonts w:ascii="楷体" w:hAnsi="楷体" w:eastAsia="楷体" w:cs="楷体"/>
          <w:b/>
          <w:bCs/>
          <w:spacing w:val="9"/>
          <w:kern w:val="2"/>
          <w:position w:val="21"/>
          <w:sz w:val="31"/>
          <w:szCs w:val="31"/>
          <w:lang w:val="en-US" w:eastAsia="zh-CN" w:bidi="ar-SA"/>
        </w:rPr>
        <w:t>（一）职能职责</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负责区城市管理领域的统筹管理、指挥协调、调度处置工作；负责跨区域、重大复杂执法以及上级交办任务的协调督办工作；牵头组织拟订全区城管执法、环境卫生、园林绿化等城市管理领域的专项发展规划和年度计划。</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2、负责区城市管理领域的督查考评工作；完善城市管理考核指标体系和管理制度。</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3、负责统筹城市管理领域组织开展文明城市、卫生城市、园林城市等迎检工作和重要活动、重大接待任务的城市服务保障工作。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4、负责拟订城管执法车辆、服装等装备的添置计划，经批准后组织实施。</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5、负责全区环境卫生设施建设、维修改造与管理工作；负责拟订环卫机械、车辆等设备建设规划和年度添置计划，经批准后组织实施；承担环卫设备、工具、劳保用品等的采购、验收、分发工作。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6、负责指导、监督全区园林绿化建设、养护和管理；负责审核园林绿化建设工程预(决)算；负责拟订园林绿化机械、车辆等设备建设规划和年度添置计划，经批准后组织实施。</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7、负责城市管理领域的信息化建设和智慧化管理工作。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8、负责“12345”政府热线、“12319”城管热线和“智慧城管”平台下派的城市管理类工单的接收、交办、督办和考核等工作；负责“车窗抛物”有奖举报的受理、审核、奖励实施等工作。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9、负责城市管理领域事权下放所涉单位的财务统一集中核算和审计工作。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10、负责事权下放所涉单位的信访维稳和安全生产工作；履行安全生产监督职责，实施安全生产专业培训和监管；协调处置城市管理应急突发事件。</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11、负责事权下放所涉单位的党员统一管理、党建指导和干部人事管理工作。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12、完成区委、区人民政府交办的其他任务。</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0" w:lineRule="atLeast"/>
        <w:ind w:left="0" w:right="0" w:firstLine="643"/>
        <w:jc w:val="both"/>
        <w:textAlignment w:val="center"/>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（二）机构设置</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 w:afterAutospacing="0" w:line="0" w:lineRule="atLeast"/>
        <w:ind w:left="0" w:right="0" w:firstLine="628"/>
        <w:jc w:val="both"/>
        <w:textAlignment w:val="center"/>
        <w:rPr>
          <w:rFonts w:hint="default" w:ascii="黑体" w:hAnsi="黑体" w:eastAsia="黑体" w:cs="黑体"/>
          <w:spacing w:val="5"/>
          <w:sz w:val="31"/>
          <w:szCs w:val="31"/>
          <w:lang w:val="en-US"/>
        </w:rPr>
      </w:pPr>
      <w:r>
        <w:rPr>
          <w:rFonts w:hint="eastAsia" w:ascii="楷体" w:hAnsi="楷体" w:eastAsia="楷体" w:cs="楷体"/>
          <w:spacing w:val="9"/>
          <w:kern w:val="2"/>
          <w:position w:val="21"/>
          <w:sz w:val="31"/>
          <w:szCs w:val="31"/>
          <w:lang w:val="en-US" w:eastAsia="zh-CN" w:bidi="ar-SA"/>
        </w:rPr>
        <w:t>岳阳市岳阳楼区城市管理督查考评中心为区人民政府直属公益类事业单位，正科级；本单位设有办公室，财务室， 设主任1名，副主任4名，督查专员5名。单位编制人数28人，实有人数28人。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b/>
          <w:bCs/>
          <w:spacing w:val="9"/>
          <w:position w:val="21"/>
          <w:sz w:val="31"/>
          <w:szCs w:val="31"/>
        </w:rPr>
      </w:pPr>
      <w:r>
        <w:rPr>
          <w:rFonts w:ascii="楷体" w:hAnsi="楷体" w:eastAsia="楷体" w:cs="楷体"/>
          <w:b/>
          <w:bCs/>
          <w:spacing w:val="9"/>
          <w:position w:val="21"/>
          <w:sz w:val="31"/>
          <w:szCs w:val="31"/>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的基本支出数为391.27万元，其中：人员经费339.68万元，占基本支出的86.82%，主要包括：基本工资、津贴补贴、奖金、绩效工资、伙食补助费、机关事业单位基本养老保险缴费、职工基本医疗保险缴费、其他社会保障缴费、住房公积金；日常公用经费51.59万元，占基本支出的13.18%，主要包括：办公费、印刷费、水费、电费、邮电费、差旅费、维修（护）费、租赁费、培训费、专用材料费、劳务费、委托业务费、工会经费、公务用车运行维护费、其他交通费、其他商品和服务支出、办公设备购置。</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（二）项目支出情况</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我单位项目支出总数为994.24万元，其中：1、业务工作经费支出40.00万元，主要用于主要用于日常考评、监督等工作经费；2、运行维护经费25.00万元，主要用于业务学习培训经费、“智慧城管”一级信息平台系统的升级、维护等方面；3、编外用工人员经费76.29万元，主要是用于发放企业编人员工资和五险一金社保等；4、标准化考核奖励（防暑慰问）25.63万元，是寒暑重大节假日慰问等方面；5、非税收入拨款159.72万元，主要是用于“车窗抛物”有奖举报的受理、审核、奖励实施等工作；6、环卫清扫经费54.71万元，主要是用于环境卫生设施建设、维修改造与管理工作；7、公务用车运行维护费 6.00万元，主要是用于执法执勤用车的车辆维修费、油料费、保险费和其他相关费用等；8、上年指标年终结转20.00万元，主要是用于弥补单位经费不足支出；9、疫情防控专项48.53万元，主要是铂臣酒店隔离点工作开支；10、设施设备采购503.36万元，主要是用于添置各类环卫特种车辆，果皮筒及内胆、城管工作服换新等工作；11、渣土运输费用35.00万元，主要是用于拨付给岳阳市双环渣土有限公司，清理城市建筑垃圾、装修垃圾、废旧家具等的清运及无害化处理工作。</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三、政府性基金预算支出情况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我单位2023年度无政府性基金预算。</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四、国有资本经营预算支出情况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我单位2023年度无国有资本经营预算支出。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黑体" w:hAnsi="黑体" w:eastAsia="黑体" w:cs="黑体"/>
          <w:spacing w:val="-2"/>
          <w:sz w:val="31"/>
          <w:szCs w:val="31"/>
          <w:lang w:val="en-US" w:eastAsia="zh-CN"/>
        </w:rPr>
      </w:pPr>
      <w:r>
        <w:rPr>
          <w:rFonts w:hint="eastAsia" w:ascii="黑体" w:hAnsi="黑体" w:eastAsia="黑体" w:cs="黑体"/>
          <w:spacing w:val="-2"/>
          <w:sz w:val="31"/>
          <w:szCs w:val="31"/>
          <w:lang w:val="en-US" w:eastAsia="zh-CN"/>
        </w:rPr>
        <w:t>五、社会保险基金预算支出情况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我单位2023年度无社会保险基金预算。</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spacing w:before="0" w:beforeAutospacing="0" w:after="1" w:afterAutospacing="0"/>
        <w:ind w:left="0" w:firstLine="628"/>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2023年，在市城管委的支持指导和区委、区政府的坚强领导下，岳阳楼区“大城管”工作紧紧围绕打造“核心引领区”和“首善之区”的战略部署，秉持城市“客厅”理念和“窗口”意识，按照“常态长效、精致精美”的工作要求，力促各项工作提质增效。</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（一）聚焦谋划，顶层设计抓全局</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一是坚持高位推动，促进示范引领。区委、区政府空前重视城市管理工作，在每次区委常委会、区政府常务会等重要会议上都要调度，都要推动，建立了“三级书记”抓环卫</w:t>
      </w:r>
      <w:r>
        <w:rPr>
          <w:rFonts w:hint="default" w:ascii="楷体" w:hAnsi="楷体" w:eastAsia="楷体" w:cs="楷体"/>
          <w:spacing w:val="9"/>
          <w:kern w:val="2"/>
          <w:position w:val="21"/>
          <w:sz w:val="31"/>
          <w:szCs w:val="31"/>
          <w:lang w:val="en-US" w:eastAsia="zh-CN" w:bidi="ar-SA"/>
        </w:rPr>
        <w:t>工作</w:t>
      </w:r>
      <w:r>
        <w:rPr>
          <w:rFonts w:hint="eastAsia" w:ascii="楷体" w:hAnsi="楷体" w:eastAsia="楷体" w:cs="楷体"/>
          <w:spacing w:val="9"/>
          <w:kern w:val="2"/>
          <w:position w:val="21"/>
          <w:sz w:val="31"/>
          <w:szCs w:val="31"/>
          <w:lang w:val="en-US" w:eastAsia="zh-CN" w:bidi="ar-SA"/>
        </w:rPr>
        <w:t>机制，</w:t>
      </w:r>
      <w:r>
        <w:rPr>
          <w:rFonts w:hint="default" w:ascii="楷体" w:hAnsi="楷体" w:eastAsia="楷体" w:cs="楷体"/>
          <w:spacing w:val="9"/>
          <w:kern w:val="2"/>
          <w:position w:val="21"/>
          <w:sz w:val="31"/>
          <w:szCs w:val="31"/>
          <w:lang w:val="en-US" w:eastAsia="zh-CN" w:bidi="ar-SA"/>
        </w:rPr>
        <w:t>区、街道、社区党政主要</w:t>
      </w:r>
      <w:r>
        <w:rPr>
          <w:rFonts w:hint="eastAsia" w:ascii="楷体" w:hAnsi="楷体" w:eastAsia="楷体" w:cs="楷体"/>
          <w:spacing w:val="9"/>
          <w:kern w:val="2"/>
          <w:position w:val="21"/>
          <w:sz w:val="31"/>
          <w:szCs w:val="31"/>
          <w:lang w:val="en-US" w:eastAsia="zh-CN" w:bidi="ar-SA"/>
        </w:rPr>
        <w:t>负责人</w:t>
      </w:r>
      <w:r>
        <w:rPr>
          <w:rFonts w:hint="default" w:ascii="楷体" w:hAnsi="楷体" w:eastAsia="楷体" w:cs="楷体"/>
          <w:spacing w:val="9"/>
          <w:kern w:val="2"/>
          <w:position w:val="21"/>
          <w:sz w:val="31"/>
          <w:szCs w:val="31"/>
          <w:lang w:val="en-US" w:eastAsia="zh-CN" w:bidi="ar-SA"/>
        </w:rPr>
        <w:t>每周</w:t>
      </w:r>
      <w:r>
        <w:rPr>
          <w:rFonts w:hint="eastAsia" w:ascii="楷体" w:hAnsi="楷体" w:eastAsia="楷体" w:cs="楷体"/>
          <w:spacing w:val="9"/>
          <w:kern w:val="2"/>
          <w:position w:val="21"/>
          <w:sz w:val="31"/>
          <w:szCs w:val="31"/>
          <w:lang w:val="en-US" w:eastAsia="zh-CN" w:bidi="ar-SA"/>
        </w:rPr>
        <w:t>开展</w:t>
      </w:r>
      <w:r>
        <w:rPr>
          <w:rFonts w:hint="default" w:ascii="楷体" w:hAnsi="楷体" w:eastAsia="楷体" w:cs="楷体"/>
          <w:spacing w:val="9"/>
          <w:kern w:val="2"/>
          <w:position w:val="21"/>
          <w:sz w:val="31"/>
          <w:szCs w:val="31"/>
          <w:lang w:val="en-US" w:eastAsia="zh-CN" w:bidi="ar-SA"/>
        </w:rPr>
        <w:t>巡街巡查</w:t>
      </w:r>
      <w:r>
        <w:rPr>
          <w:rFonts w:hint="eastAsia" w:ascii="楷体" w:hAnsi="楷体" w:eastAsia="楷体" w:cs="楷体"/>
          <w:spacing w:val="9"/>
          <w:kern w:val="2"/>
          <w:position w:val="21"/>
          <w:sz w:val="31"/>
          <w:szCs w:val="31"/>
          <w:lang w:val="en-US" w:eastAsia="zh-CN" w:bidi="ar-SA"/>
        </w:rPr>
        <w:t>、</w:t>
      </w:r>
      <w:r>
        <w:rPr>
          <w:rFonts w:hint="default" w:ascii="楷体" w:hAnsi="楷体" w:eastAsia="楷体" w:cs="楷体"/>
          <w:spacing w:val="9"/>
          <w:kern w:val="2"/>
          <w:position w:val="21"/>
          <w:sz w:val="31"/>
          <w:szCs w:val="31"/>
          <w:lang w:val="en-US" w:eastAsia="zh-CN" w:bidi="ar-SA"/>
        </w:rPr>
        <w:t>督查督办，推动</w:t>
      </w:r>
      <w:r>
        <w:rPr>
          <w:rFonts w:hint="eastAsia" w:ascii="楷体" w:hAnsi="楷体" w:eastAsia="楷体" w:cs="楷体"/>
          <w:spacing w:val="9"/>
          <w:kern w:val="2"/>
          <w:position w:val="21"/>
          <w:sz w:val="31"/>
          <w:szCs w:val="31"/>
          <w:lang w:val="en-US" w:eastAsia="zh-CN" w:bidi="ar-SA"/>
        </w:rPr>
        <w:t>问题整治整改。特别是在深化文明卫生城市建设工作中，平原书记、再兴区长每周带队开展环卫大扫除，营造了全区上下齐抓共管、全力攻坚的良好氛围。</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二是理顺体制机制，明晰事权划分。为对标市城管委工作要求，今年</w:t>
      </w:r>
      <w:r>
        <w:rPr>
          <w:rFonts w:hint="default" w:ascii="楷体" w:hAnsi="楷体" w:eastAsia="楷体" w:cs="楷体"/>
          <w:spacing w:val="9"/>
          <w:kern w:val="2"/>
          <w:position w:val="21"/>
          <w:sz w:val="31"/>
          <w:szCs w:val="31"/>
          <w:lang w:val="en-US" w:eastAsia="zh-CN" w:bidi="ar-SA"/>
        </w:rPr>
        <w:t>5月份，</w:t>
      </w:r>
      <w:r>
        <w:rPr>
          <w:rFonts w:hint="eastAsia" w:ascii="楷体" w:hAnsi="楷体" w:eastAsia="楷体" w:cs="楷体"/>
          <w:spacing w:val="9"/>
          <w:kern w:val="2"/>
          <w:position w:val="21"/>
          <w:sz w:val="31"/>
          <w:szCs w:val="31"/>
          <w:lang w:val="en-US" w:eastAsia="zh-CN" w:bidi="ar-SA"/>
        </w:rPr>
        <w:t>岳阳楼区城市管理委员会</w:t>
      </w:r>
      <w:r>
        <w:rPr>
          <w:rFonts w:hint="default" w:ascii="楷体" w:hAnsi="楷体" w:eastAsia="楷体" w:cs="楷体"/>
          <w:spacing w:val="9"/>
          <w:kern w:val="2"/>
          <w:position w:val="21"/>
          <w:sz w:val="31"/>
          <w:szCs w:val="31"/>
          <w:lang w:val="en-US" w:eastAsia="zh-CN" w:bidi="ar-SA"/>
        </w:rPr>
        <w:t>提级</w:t>
      </w:r>
      <w:r>
        <w:rPr>
          <w:rFonts w:hint="eastAsia" w:ascii="楷体" w:hAnsi="楷体" w:eastAsia="楷体" w:cs="楷体"/>
          <w:spacing w:val="9"/>
          <w:kern w:val="2"/>
          <w:position w:val="21"/>
          <w:sz w:val="31"/>
          <w:szCs w:val="31"/>
          <w:lang w:val="en-US" w:eastAsia="zh-CN" w:bidi="ar-SA"/>
        </w:rPr>
        <w:t>升格</w:t>
      </w:r>
      <w:r>
        <w:rPr>
          <w:rFonts w:hint="default" w:ascii="楷体" w:hAnsi="楷体" w:eastAsia="楷体" w:cs="楷体"/>
          <w:spacing w:val="9"/>
          <w:kern w:val="2"/>
          <w:position w:val="21"/>
          <w:sz w:val="31"/>
          <w:szCs w:val="31"/>
          <w:lang w:val="en-US" w:eastAsia="zh-CN" w:bidi="ar-SA"/>
        </w:rPr>
        <w:t>，由</w:t>
      </w:r>
      <w:r>
        <w:rPr>
          <w:rFonts w:hint="eastAsia" w:ascii="楷体" w:hAnsi="楷体" w:eastAsia="楷体" w:cs="楷体"/>
          <w:spacing w:val="9"/>
          <w:kern w:val="2"/>
          <w:position w:val="21"/>
          <w:sz w:val="31"/>
          <w:szCs w:val="31"/>
          <w:lang w:val="en-US" w:eastAsia="zh-CN" w:bidi="ar-SA"/>
        </w:rPr>
        <w:t>书记</w:t>
      </w:r>
      <w:r>
        <w:rPr>
          <w:rFonts w:hint="default" w:ascii="楷体" w:hAnsi="楷体" w:eastAsia="楷体" w:cs="楷体"/>
          <w:spacing w:val="9"/>
          <w:kern w:val="2"/>
          <w:position w:val="21"/>
          <w:sz w:val="31"/>
          <w:szCs w:val="31"/>
          <w:lang w:val="en-US" w:eastAsia="zh-CN" w:bidi="ar-SA"/>
        </w:rPr>
        <w:t>任</w:t>
      </w:r>
      <w:r>
        <w:rPr>
          <w:rFonts w:hint="eastAsia" w:ascii="楷体" w:hAnsi="楷体" w:eastAsia="楷体" w:cs="楷体"/>
          <w:spacing w:val="9"/>
          <w:kern w:val="2"/>
          <w:position w:val="21"/>
          <w:sz w:val="31"/>
          <w:szCs w:val="31"/>
          <w:lang w:val="en-US" w:eastAsia="zh-CN" w:bidi="ar-SA"/>
        </w:rPr>
        <w:t>顾问，区长任主任，</w:t>
      </w:r>
      <w:r>
        <w:rPr>
          <w:rFonts w:hint="default" w:ascii="楷体" w:hAnsi="楷体" w:eastAsia="楷体" w:cs="楷体"/>
          <w:spacing w:val="9"/>
          <w:kern w:val="2"/>
          <w:position w:val="21"/>
          <w:sz w:val="31"/>
          <w:szCs w:val="31"/>
          <w:lang w:val="en-US" w:eastAsia="zh-CN" w:bidi="ar-SA"/>
        </w:rPr>
        <w:t>进一步提升领导层级和</w:t>
      </w:r>
      <w:r>
        <w:rPr>
          <w:rFonts w:hint="eastAsia" w:ascii="楷体" w:hAnsi="楷体" w:eastAsia="楷体" w:cs="楷体"/>
          <w:spacing w:val="9"/>
          <w:kern w:val="2"/>
          <w:position w:val="21"/>
          <w:sz w:val="31"/>
          <w:szCs w:val="31"/>
          <w:lang w:val="en-US" w:eastAsia="zh-CN" w:bidi="ar-SA"/>
        </w:rPr>
        <w:t>协调统筹领域。加强市城管领域事权接转单位的服务和日常管理，推动队伍、工作、机制融入融合，实现统一管理、统一指挥、统一调度，各层面多单位协作机制逐步完善，进一步明确城管环卫部门的主体责任、街道（乡）的属地管理责任、其他相关部门的执法监管责任及城管委办公室的综合协调责任，各成员单位共同参与打好城市管理“组合拳”。2023年元月，顺利完成城南所划转南湖新区交接工作，由城西所承接城南所管理的287名编外人员（其中：企编31人，环卫工人256人）和197万平方米清扫保洁任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加大财政投入，保障城市管理。顶住经济下行、财税运行的压力，全力保障城管、环卫、绿化事权接转单位经济待遇，兑现“差改全”承诺，各单位下划的企业管理等编外用工待遇不减，全部纳入区财政保障。2023年下划及非税总收入1.79亿元，总支出2.56亿元，区本级增加0.77亿元。按照接转单位设施设备“三年三千万”采购方案，在完成2021年、2022年2000万投资添置各类环卫特种车辆61台、提质改造垃圾站3座的基础上，2023年1000万元设施设备采购，已完成果皮筒及内胆、城管工作服换新等共计120.4万元，剩余事项正在采购中。全力保障文明卫生城市迎检工作，国卫复审期间投入1000万元用于维护市政设施、更新环卫设施、配齐漏管脱管路段环卫工人等。</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是完善审批流程，强化执法保障。进一步理顺行政审批，归口由区城管局负责全区市容秩序、园林绿化审批事项，压缩办理时限，优化审批服务。完善执法保障，就城管执法一、二、三大队执法主体、执法权限、行政审批、行政处罚、法制审查、执法监督等相关事项进行了研究和明确，并形成专题会议纪要。成立岳阳楼区公安城管执法大队，强化“公安+城管”联动协作，为环境卫生、园林绿化工作高效运行提供执法保障。</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（二）聚焦问题，多措并举抓落实</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一是抓牢日常督查，夯实工作基础。充分发挥“大城管”指挥棒作用，对照市城管委考核标准要求，</w:t>
      </w:r>
      <w:r>
        <w:rPr>
          <w:rFonts w:hint="default" w:ascii="楷体" w:hAnsi="楷体" w:eastAsia="楷体" w:cs="楷体"/>
          <w:spacing w:val="9"/>
          <w:kern w:val="2"/>
          <w:position w:val="21"/>
          <w:sz w:val="31"/>
          <w:szCs w:val="31"/>
          <w:lang w:val="en-US" w:eastAsia="zh-CN" w:bidi="ar-SA"/>
        </w:rPr>
        <w:t>出台</w:t>
      </w:r>
      <w:r>
        <w:rPr>
          <w:rFonts w:hint="eastAsia" w:ascii="楷体" w:hAnsi="楷体" w:eastAsia="楷体" w:cs="楷体"/>
          <w:spacing w:val="9"/>
          <w:kern w:val="2"/>
          <w:position w:val="21"/>
          <w:sz w:val="31"/>
          <w:szCs w:val="31"/>
          <w:lang w:val="en-US" w:eastAsia="zh-CN" w:bidi="ar-SA"/>
        </w:rPr>
        <w:t>了</w:t>
      </w:r>
      <w:r>
        <w:rPr>
          <w:rFonts w:hint="default" w:ascii="楷体" w:hAnsi="楷体" w:eastAsia="楷体" w:cs="楷体"/>
          <w:spacing w:val="9"/>
          <w:kern w:val="2"/>
          <w:position w:val="21"/>
          <w:sz w:val="31"/>
          <w:szCs w:val="31"/>
          <w:lang w:val="en-US" w:eastAsia="zh-CN" w:bidi="ar-SA"/>
        </w:rPr>
        <w:t>《2023年岳阳楼区城市标准化管理考核实施细则（试行）》</w:t>
      </w:r>
      <w:r>
        <w:rPr>
          <w:rFonts w:hint="eastAsia" w:ascii="楷体" w:hAnsi="楷体" w:eastAsia="楷体" w:cs="楷体"/>
          <w:spacing w:val="9"/>
          <w:kern w:val="2"/>
          <w:position w:val="21"/>
          <w:sz w:val="31"/>
          <w:szCs w:val="31"/>
          <w:lang w:val="en-US" w:eastAsia="zh-CN" w:bidi="ar-SA"/>
        </w:rPr>
        <w:t>，实行一周一考评、一月一讲评，一周一通报、一月一兑现，奖惩兑现到各环卫作业所、城管中队、园林管养单位及108个社区，推动城市管理常态化、科学化、标准化。建立“美丽楼区”“环境卫生”随手拍工作群，健全市容环境问题“立即传、马上办”十分钟反应、快速处理机制，推动问题第一时间发现、交办、整改。区城管督查考评中心共发现各类问题3700余条，下发交督办指令500余次，转发交督办单100余份，及时整改率达到97%以上。持续推进大气污染防治长效常态治理，全年规范管理夜宵店467家。</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强化重点督查，提升工作实效。区城管委办公室牵头，联合区委区政府督查室、城管、环卫等相关督查考评机构，采取不定时间、不发通知、直插现场的方式，重点对全国文明城市与国家卫生城市复查迎检、清洁家园、禁炮、城乡人居环境整治、城市管理突出问题、学校及周边环境整治等相关事项进行专项督查。2023年，积极协调处置市城管委重要交办问题200余起，下发督办函65份，确保了各项工作强力推进，卫生死角、夜市管理、禁炮等一批倾向性问题得到了有效整治。高标准的完成两节、两会、中央、省、市大型调研、洞庭渔火季、“岳商大会”“守护一江碧水”实践基地等100余次接待保障任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三是紧盯薄弱环节，攻克“顽瘴痼疾”。持续推进马路市场治理，对辖区“花板桥市场”“五里牌市场”“泰和商城”工贸城</w:t>
      </w:r>
      <w:r>
        <w:rPr>
          <w:rFonts w:hint="default" w:ascii="楷体" w:hAnsi="楷体" w:eastAsia="楷体" w:cs="楷体"/>
          <w:spacing w:val="9"/>
          <w:kern w:val="2"/>
          <w:position w:val="21"/>
          <w:sz w:val="31"/>
          <w:szCs w:val="31"/>
          <w:lang w:val="en-US" w:eastAsia="zh-CN" w:bidi="ar-SA"/>
        </w:rPr>
        <w:t>、</w:t>
      </w:r>
      <w:r>
        <w:rPr>
          <w:rFonts w:hint="eastAsia" w:ascii="楷体" w:hAnsi="楷体" w:eastAsia="楷体" w:cs="楷体"/>
          <w:spacing w:val="9"/>
          <w:kern w:val="2"/>
          <w:position w:val="21"/>
          <w:sz w:val="31"/>
          <w:szCs w:val="31"/>
          <w:lang w:val="en-US" w:eastAsia="zh-CN" w:bidi="ar-SA"/>
        </w:rPr>
        <w:t>湘北市场</w:t>
      </w:r>
      <w:r>
        <w:rPr>
          <w:rFonts w:hint="default" w:ascii="楷体" w:hAnsi="楷体" w:eastAsia="楷体" w:cs="楷体"/>
          <w:spacing w:val="9"/>
          <w:kern w:val="2"/>
          <w:position w:val="21"/>
          <w:sz w:val="31"/>
          <w:szCs w:val="31"/>
          <w:lang w:val="en-US" w:eastAsia="zh-CN" w:bidi="ar-SA"/>
        </w:rPr>
        <w:t>和</w:t>
      </w:r>
      <w:r>
        <w:rPr>
          <w:rFonts w:hint="eastAsia" w:ascii="楷体" w:hAnsi="楷体" w:eastAsia="楷体" w:cs="楷体"/>
          <w:spacing w:val="9"/>
          <w:kern w:val="2"/>
          <w:position w:val="21"/>
          <w:sz w:val="31"/>
          <w:szCs w:val="31"/>
          <w:lang w:val="en-US" w:eastAsia="zh-CN" w:bidi="ar-SA"/>
        </w:rPr>
        <w:t>化建新村、兴盛菜市场、夏万路菜市场等周边马路市场进行重点整治，通过集中治理行动与常态化日常监管相结合的方式确保无乱搭乱建、乱堆乱放、乱停乱靠、乱张贴等“十乱”现象。开展清除“牛皮癣”专项行动，今年来共计清理各类乱张贴、乱涂写“牛皮癣”56处5000余张，通过追呼治理系统查处各类“牛皮癣”违规行为3676起，监督清理小广告13000余张。</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是整合数字城管，释放平台优势。搭建成立岳阳楼区“智慧城管”一级信息平台,负责统一管理全区派单回复工单工作，下设对应各单位的多个二级平台，进一步细分工作职责，强化考评力度。2023年，全区累计接派智慧城管工单20万条，完成处置19.7万条，工单处置率98.5%，薄弱单位的工单处置数据较之前大幅提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（三）聚焦主责，扎实推进促提升</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打造干净城市。各乡街、社区严格落实三级书记抓环卫常态化巡街巡查，区直单位大力开展支援无物业小区行动，常态化进行一周一次大扫除，卫生盲区死角得到有效整治。环卫部门全面加大清洁力度，高标准冲洗街道，提升了城市环境卫生面貌，日均收集运输1000多吨垃圾出城，确保了垃圾“日产日清”，主次干道、背街小巷、居民房前屋后环境卫生质量有新的提高。</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打造有序城市。缓解公共停车位资源紧张，区城管委办公室牵头协调停车办，在全区满足条件的主要路段施划新增停车位900余个，并对辖区范围内74处临街机关事业单位、26处居民小区与办公楼共用停车场进行摸底登记督促其周末对外实施开放，同时加强路段管理力度，通过电话劝离、现场劝离等方式劝离人行道违停机动车，全年共人性化劝离违停车辆35000余台次。打造洁净样板街、文明养宠等行动等多个专项整治行动稳步推进，向市城管局、市生环委上报了9条岳阳楼区洁净样本路。针对不文明养宠行为成立专项督查小组，共督查发现、交办不文明养宠问题39处，印发了6期《文明养宠专项督查通报》。</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打造美丽城市。按照市城管委每月工作重点要求，进一步提高园林绿化管理水平，在做好日常养护的同时，通过主干道景观化、次干道精细化、背街小巷标准化的工作标准，从整体提质、局部改造、微提质、亮点建设多方面进行绿地提质改造，年初完成春节期间主要路段路灯灯杆上悬挂中国结灯饰和红灯笼串灯饰2700余个，全年主次干道共计补植地被36000平方米、行道树540株，增加花境6处；以“幸福慢生活、百卉群争艳”为主题对鲜花一条街花镜实施再优化和改造，栽种30余个鲜花品种，全年换花100余万盆株。加快口袋公园建设，扮靓城市“微空间”，完成洞庭大道煦园与青年路立交桥梅园口袋游园建设，进一步丰富市民推窗见绿、起步闻香的生活需求。王家河公园新建公共厕所2座，缓解游客如厕距离较远问题，完成园内重要景观八角亭翻新工作，新增夜间景观丰富市民游客夜间休闲生活。金鹗公园全面提升公园园林绿化景观效果，今年6月被市委宣传部授予“岳阳市新时代文明实践公园”，11月成功创建国家3A级旅游景区。</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四是打造安全城市。守牢安全生产底线，开展干部职工、城管队员、环卫工人、绿化工人安全生产教育培训，对作业车辆、垃圾中转站、公共卫生间等设施设备用电和消防安全全方位排查，严禁各类违法违规驾车行为，不断提高系统内工作人员安全与责任意识，确保安全作业常抓不懈。守牢燃气安全底线，深刻吸取历年各地发生燃气泄露燃爆的教训，常态化推进燃气安全“大宣传、大摸排、大执法、大整治”专项行动，确保我区燃气安全形势持续稳定。及时消除游园风险隐患，对王家河公园长动医院至石港驿站沿线垮塌的驳岸、游路进行了修复和加固，保障了市民游客的人身安全。</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（四）聚焦创新，多轮驱动强发展</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一是直面问题大调研。年初，专门成立调研小组，奔赴城管委系统内各单位开展大调研活动，践行奋进“十律”，运用“一线工作法”走访、收集各单位当前工作存在的问题并讨论研究解决方案，大调研期间共收集各单位问题36条，并形成了问题清单，为提升城市管理服务水平、队伍建设及提质升级等提供有力依据。</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二是因地制宜扩宣传。采用趣味宣传新形式，结合楼区特色制作2期以“滕子京系列之礼物”为主题的“车窗抛物”整治工作趣味宣传片，宣传效果显著，收获一致好评，并常态化在公园、广场等人流量密集场所开展宣传活动，2023年“车窗抛物”共受理举报39293例。以“岳分类 岳美好”为主题完成金鹗山公园占地面积3700平方米岳阳楼区垃圾分类宣教园建设，推动垃圾分类低碳生活新风尚。</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三是“互联网+”优治理。积极推进“网格化微治理”与城市管理工作深度融合，促进城管数字平台和网格化平台信息共享，强化网格事件覆盖面，做到了“网格吹哨、部门报到”，让急难愁盼问题在群众家门口得到解决，打通城市管理“最后一公里”。创新“互联网+云踏勘”行政审批模式，实现全链条“零见面”审批办理，进一步压缩办理时限，优化行政审批服务。</w:t>
      </w:r>
    </w:p>
    <w:p>
      <w:pPr>
        <w:keepNext w:val="0"/>
        <w:keepLines w:val="0"/>
        <w:pageBreakBefore w:val="0"/>
        <w:widowControl w:val="0"/>
        <w:kinsoku/>
        <w:wordWrap/>
        <w:overflowPunct/>
        <w:topLinePunct w:val="0"/>
        <w:autoSpaceDE/>
        <w:autoSpaceDN/>
        <w:bidi w:val="0"/>
        <w:adjustRightInd/>
        <w:snapToGrid/>
        <w:spacing w:before="0" w:beforeAutospacing="0" w:after="1" w:afterAutospacing="0" w:line="0" w:lineRule="atLeast"/>
        <w:ind w:left="0" w:firstLine="629"/>
        <w:textAlignment w:val="auto"/>
        <w:rPr>
          <w:rFonts w:hint="eastAsia" w:ascii="黑体" w:hAnsi="黑体" w:eastAsia="黑体" w:cs="黑体"/>
          <w:spacing w:val="8"/>
          <w:sz w:val="31"/>
          <w:szCs w:val="31"/>
          <w:lang w:eastAsia="zh-CN"/>
        </w:rPr>
      </w:pPr>
      <w:r>
        <w:rPr>
          <w:rFonts w:hint="eastAsia" w:ascii="楷体" w:hAnsi="楷体" w:eastAsia="楷体" w:cs="楷体"/>
          <w:spacing w:val="9"/>
          <w:kern w:val="2"/>
          <w:position w:val="21"/>
          <w:sz w:val="31"/>
          <w:szCs w:val="31"/>
          <w:lang w:val="en-US" w:eastAsia="zh-CN" w:bidi="ar-SA"/>
        </w:rPr>
        <w:t>四是全天执法强管控。自2023年4月28日起，深夜间城市管理工作常态化开展，8个月来，共现场处置夜市油烟污染、施工路面污染等各类夜间易发高发问题560起、移交处罚34起，实现城市管理全天候在线，24小时“不打烊”。</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leftChars="0" w:right="0" w:firstLine="656" w:firstLineChars="200"/>
        <w:jc w:val="both"/>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1.状态有疲态。重大活动保障频繁，国卫复审创建工作时间过长，财政压力过大，大家状态上有所疲惫。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2.标准有差距。无物业小区、城乡结合部区域卫生死角的治理还不彻底，有些区域垃圾清运后反弹现象较为普遍。</w:t>
      </w:r>
    </w:p>
    <w:p>
      <w:pPr>
        <w:keepNext w:val="0"/>
        <w:keepLines w:val="0"/>
        <w:pageBreakBefore w:val="0"/>
        <w:widowControl w:val="0"/>
        <w:kinsoku/>
        <w:wordWrap/>
        <w:overflowPunct/>
        <w:topLinePunct w:val="0"/>
        <w:autoSpaceDE/>
        <w:autoSpaceDN/>
        <w:bidi w:val="0"/>
        <w:adjustRightInd/>
        <w:snapToGrid/>
        <w:spacing w:line="560" w:lineRule="exact"/>
        <w:ind w:firstLine="656" w:firstLineChars="200"/>
        <w:textAlignment w:val="auto"/>
        <w:rPr>
          <w:rFonts w:hint="default"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3.整改有欠缺。对未移交路段的绿化问题整改、事权下沉的无牌车辆整改等难点问题的治理，整改有难度。</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八、下一步改进措施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8" w:firstLineChars="200"/>
        <w:jc w:val="both"/>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（一）进一步优化体制机制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继续按照区委提出“善待善治善管”和“九个不变”的基本原则， 推动事权属地管理明晰化、事权下沉队伍管理规范化，强化基层治理和事权属地管理工作任务，优化运行机制、补全权责漏洞。</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8" w:firstLineChars="200"/>
        <w:jc w:val="both"/>
        <w:textAlignment w:val="auto"/>
        <w:rPr>
          <w:rFonts w:hint="default"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（二）进一步推动问题整改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全力攻坚城市管理方面的短板弱项，发挥好对城管委系统各单位的统一管理、统一指挥、统一调度作用，全力保障各项重大创建迎检接待活动，持续开展蓝天保卫战等大气污染防治行动。精细化推动城市清扫保洁，增加清扫频率，延伸覆盖面，确保城市主次干道、背街小巷干净整洁；精美化保护城市景观，继续清查绿化带、公园绿地的陈年垃圾，加强对行道树、公园、游园绿地设施管养力度；全覆盖整治市容秩序乱象，集中整治摆摊设点、占道经营、随意停车、乱贴广告等城市管理顽疾，及时清除无主废弃物、条幅、牛皮癣，确保辖区路段市容秩序规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8" w:firstLineChars="200"/>
        <w:jc w:val="both"/>
        <w:textAlignment w:val="auto"/>
        <w:rPr>
          <w:rFonts w:hint="eastAsia" w:ascii="楷体" w:hAnsi="楷体" w:eastAsia="楷体" w:cs="楷体"/>
          <w:b/>
          <w:bCs/>
          <w:spacing w:val="9"/>
          <w:kern w:val="2"/>
          <w:position w:val="21"/>
          <w:sz w:val="31"/>
          <w:szCs w:val="31"/>
          <w:lang w:val="en-US" w:eastAsia="zh-CN" w:bidi="ar-SA"/>
        </w:rPr>
      </w:pPr>
      <w:r>
        <w:rPr>
          <w:rFonts w:hint="eastAsia" w:ascii="楷体" w:hAnsi="楷体" w:eastAsia="楷体" w:cs="楷体"/>
          <w:b/>
          <w:bCs/>
          <w:spacing w:val="9"/>
          <w:kern w:val="2"/>
          <w:position w:val="21"/>
          <w:sz w:val="31"/>
          <w:szCs w:val="31"/>
          <w:lang w:val="en-US" w:eastAsia="zh-CN" w:bidi="ar-SA"/>
        </w:rPr>
        <w:t>（三）进一步巩固工作成效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6" w:firstLineChars="200"/>
        <w:jc w:val="both"/>
        <w:textAlignment w:val="auto"/>
        <w:rPr>
          <w:rFonts w:ascii="黑体" w:hAnsi="黑体" w:eastAsia="黑体" w:cs="黑体"/>
          <w:spacing w:val="8"/>
          <w:sz w:val="31"/>
          <w:szCs w:val="31"/>
        </w:rPr>
      </w:pPr>
      <w:r>
        <w:rPr>
          <w:rFonts w:hint="eastAsia" w:ascii="楷体" w:hAnsi="楷体" w:eastAsia="楷体" w:cs="楷体"/>
          <w:spacing w:val="9"/>
          <w:kern w:val="2"/>
          <w:position w:val="21"/>
          <w:sz w:val="31"/>
          <w:szCs w:val="31"/>
          <w:lang w:val="en-US" w:eastAsia="zh-CN" w:bidi="ar-SA"/>
        </w:rPr>
        <w:t>加强城管委系统各单位的全面管理、业务指导和工作考评，运行好城管、环卫、园林绿化各领域分工明确、责任到位、监督有力、运转高效、科学规范的城市管理督查考评长效机制，以考核治慵懒，以奖惩立权威，以绩效树形象，全面提升城市管理效能和服务水平。在督查考评中围绕“出成效”总体方向，既要看到对立面，敢于动真碰硬、不徇私情、实事求是做好考核、计分、排名、奖惩等各个环节的工作，让城管、环卫、园林各单位工作不松劲、不滑坡，把握科学性、针对性、实效性，找出真问题，不做表面文章，不走官僚、形式主义，切实减轻各单位工作负担，用督查考评为抓手加强各单位沟通协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ascii="黑体" w:hAnsi="黑体" w:eastAsia="黑体" w:cs="黑体"/>
          <w:spacing w:val="8"/>
          <w:position w:val="21"/>
          <w:sz w:val="31"/>
          <w:szCs w:val="31"/>
        </w:rPr>
      </w:pPr>
      <w:r>
        <w:rPr>
          <w:rFonts w:hint="eastAsia" w:ascii="黑体" w:hAnsi="黑体" w:eastAsia="黑体" w:cs="黑体"/>
          <w:spacing w:val="9"/>
          <w:position w:val="21"/>
          <w:sz w:val="31"/>
          <w:szCs w:val="31"/>
          <w:lang w:val="en-US" w:eastAsia="zh-CN"/>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6" w:firstLineChars="200"/>
        <w:jc w:val="both"/>
        <w:textAlignment w:val="auto"/>
        <w:rPr>
          <w:rFonts w:hint="eastAsia" w:ascii="楷体" w:hAnsi="楷体" w:eastAsia="楷体" w:cs="楷体"/>
          <w:spacing w:val="9"/>
          <w:kern w:val="2"/>
          <w:position w:val="21"/>
          <w:sz w:val="31"/>
          <w:szCs w:val="31"/>
          <w:lang w:val="en-US" w:eastAsia="zh-CN" w:bidi="ar-SA"/>
        </w:rPr>
      </w:pPr>
      <w:r>
        <w:rPr>
          <w:rFonts w:hint="eastAsia" w:ascii="楷体" w:hAnsi="楷体" w:eastAsia="楷体" w:cs="楷体"/>
          <w:spacing w:val="9"/>
          <w:kern w:val="2"/>
          <w:position w:val="21"/>
          <w:sz w:val="31"/>
          <w:szCs w:val="31"/>
          <w:lang w:val="en-US" w:eastAsia="zh-CN" w:bidi="ar-SA"/>
        </w:rPr>
        <w:t>已按楼区财政要求公开。</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3"/>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0" w:lineRule="atLeast"/>
        <w:ind w:left="0" w:leftChars="0" w:right="0" w:firstLine="656" w:firstLineChars="200"/>
        <w:jc w:val="both"/>
        <w:textAlignment w:val="auto"/>
        <w:rPr>
          <w:rFonts w:hint="eastAsia" w:ascii="仿宋_GB2312" w:hAnsi="仿宋_GB2312" w:eastAsia="仿宋_GB2312" w:cs="仿宋_GB2312"/>
          <w:sz w:val="32"/>
          <w:szCs w:val="32"/>
        </w:rPr>
      </w:pPr>
      <w:r>
        <w:rPr>
          <w:rFonts w:hint="eastAsia" w:ascii="楷体" w:hAnsi="楷体" w:eastAsia="楷体" w:cs="楷体"/>
          <w:spacing w:val="9"/>
          <w:kern w:val="2"/>
          <w:position w:val="21"/>
          <w:sz w:val="31"/>
          <w:szCs w:val="31"/>
          <w:lang w:val="en-US" w:eastAsia="zh-CN" w:bidi="ar-SA"/>
        </w:rPr>
        <w:t>无</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686B6D"/>
    <w:multiLevelType w:val="singleLevel"/>
    <w:tmpl w:val="8A686B6D"/>
    <w:lvl w:ilvl="0" w:tentative="0">
      <w:start w:val="1"/>
      <w:numFmt w:val="decimal"/>
      <w:suff w:val="nothing"/>
      <w:lvlText w:val="%1、"/>
      <w:lvlJc w:val="left"/>
    </w:lvl>
  </w:abstractNum>
  <w:abstractNum w:abstractNumId="1">
    <w:nsid w:val="F5D3DD86"/>
    <w:multiLevelType w:val="singleLevel"/>
    <w:tmpl w:val="F5D3DD86"/>
    <w:lvl w:ilvl="0" w:tentative="0">
      <w:start w:val="1"/>
      <w:numFmt w:val="chineseCounting"/>
      <w:suff w:val="nothing"/>
      <w:lvlText w:val="%1、"/>
      <w:lvlJc w:val="left"/>
      <w:rPr>
        <w:rFonts w:hint="eastAsia"/>
      </w:rPr>
    </w:lvl>
  </w:abstractNum>
  <w:abstractNum w:abstractNumId="2">
    <w:nsid w:val="3F4719C8"/>
    <w:multiLevelType w:val="singleLevel"/>
    <w:tmpl w:val="3F4719C8"/>
    <w:lvl w:ilvl="0" w:tentative="0">
      <w:start w:val="6"/>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76284CE1"/>
    <w:rsid w:val="000A3765"/>
    <w:rsid w:val="001D7282"/>
    <w:rsid w:val="0022181C"/>
    <w:rsid w:val="0039081D"/>
    <w:rsid w:val="0049022E"/>
    <w:rsid w:val="005E6ECB"/>
    <w:rsid w:val="00665E2F"/>
    <w:rsid w:val="006B5224"/>
    <w:rsid w:val="00744EA1"/>
    <w:rsid w:val="007F0A1D"/>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192C1F"/>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6C6D7F"/>
    <w:rsid w:val="027431E5"/>
    <w:rsid w:val="027B3E53"/>
    <w:rsid w:val="027E2E67"/>
    <w:rsid w:val="0293597A"/>
    <w:rsid w:val="029733CF"/>
    <w:rsid w:val="029C7AF4"/>
    <w:rsid w:val="02A4476B"/>
    <w:rsid w:val="02AC5088"/>
    <w:rsid w:val="02B544DB"/>
    <w:rsid w:val="02C1651C"/>
    <w:rsid w:val="02CB5D99"/>
    <w:rsid w:val="02D74331"/>
    <w:rsid w:val="02F56D74"/>
    <w:rsid w:val="02F61D91"/>
    <w:rsid w:val="02FC4679"/>
    <w:rsid w:val="02FE5E0A"/>
    <w:rsid w:val="0306777B"/>
    <w:rsid w:val="03101E00"/>
    <w:rsid w:val="03232977"/>
    <w:rsid w:val="03311EC2"/>
    <w:rsid w:val="033450C0"/>
    <w:rsid w:val="033464D9"/>
    <w:rsid w:val="034346D0"/>
    <w:rsid w:val="0343627E"/>
    <w:rsid w:val="0347190C"/>
    <w:rsid w:val="034760CE"/>
    <w:rsid w:val="03487959"/>
    <w:rsid w:val="034E42E9"/>
    <w:rsid w:val="03505BE1"/>
    <w:rsid w:val="035D32DE"/>
    <w:rsid w:val="0360169B"/>
    <w:rsid w:val="036D41A2"/>
    <w:rsid w:val="037B1E0D"/>
    <w:rsid w:val="037E0A06"/>
    <w:rsid w:val="037F229C"/>
    <w:rsid w:val="03911277"/>
    <w:rsid w:val="039A540B"/>
    <w:rsid w:val="03A6732C"/>
    <w:rsid w:val="03BD010E"/>
    <w:rsid w:val="03BD6500"/>
    <w:rsid w:val="03E2685C"/>
    <w:rsid w:val="03E5503B"/>
    <w:rsid w:val="03E66326"/>
    <w:rsid w:val="03E704ED"/>
    <w:rsid w:val="03F30B89"/>
    <w:rsid w:val="03FF6E0F"/>
    <w:rsid w:val="0404259A"/>
    <w:rsid w:val="04051601"/>
    <w:rsid w:val="04053773"/>
    <w:rsid w:val="04094307"/>
    <w:rsid w:val="04133956"/>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15E6"/>
    <w:rsid w:val="04914D95"/>
    <w:rsid w:val="0495144B"/>
    <w:rsid w:val="049D6C81"/>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360D9"/>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45E6"/>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369B6"/>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30EDC"/>
    <w:rsid w:val="096C76C1"/>
    <w:rsid w:val="096F66FB"/>
    <w:rsid w:val="09835AC1"/>
    <w:rsid w:val="09906B28"/>
    <w:rsid w:val="09912E95"/>
    <w:rsid w:val="099C1A23"/>
    <w:rsid w:val="09A17C56"/>
    <w:rsid w:val="09A948AF"/>
    <w:rsid w:val="09AC2A76"/>
    <w:rsid w:val="09B04837"/>
    <w:rsid w:val="09C00408"/>
    <w:rsid w:val="09C95891"/>
    <w:rsid w:val="09CC42F5"/>
    <w:rsid w:val="09CF2A1E"/>
    <w:rsid w:val="09D8005F"/>
    <w:rsid w:val="09DC0AEC"/>
    <w:rsid w:val="09DE0562"/>
    <w:rsid w:val="09EB635B"/>
    <w:rsid w:val="09F2166E"/>
    <w:rsid w:val="09F45FD8"/>
    <w:rsid w:val="09FD61A8"/>
    <w:rsid w:val="0A002E0D"/>
    <w:rsid w:val="0A067AB9"/>
    <w:rsid w:val="0A0D0FD1"/>
    <w:rsid w:val="0A140987"/>
    <w:rsid w:val="0A241A5C"/>
    <w:rsid w:val="0A2E3566"/>
    <w:rsid w:val="0A320A98"/>
    <w:rsid w:val="0A3229D0"/>
    <w:rsid w:val="0A393280"/>
    <w:rsid w:val="0A40121D"/>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17A25"/>
    <w:rsid w:val="0ABD142C"/>
    <w:rsid w:val="0AC644AE"/>
    <w:rsid w:val="0ACB61B4"/>
    <w:rsid w:val="0ACD4157"/>
    <w:rsid w:val="0AE22D30"/>
    <w:rsid w:val="0AE964B0"/>
    <w:rsid w:val="0B114967"/>
    <w:rsid w:val="0B163034"/>
    <w:rsid w:val="0B1D5B5D"/>
    <w:rsid w:val="0B1F5B6D"/>
    <w:rsid w:val="0B2F4AF7"/>
    <w:rsid w:val="0B3312B6"/>
    <w:rsid w:val="0B4064B3"/>
    <w:rsid w:val="0B42766B"/>
    <w:rsid w:val="0B6B22C9"/>
    <w:rsid w:val="0B6E529C"/>
    <w:rsid w:val="0B701D27"/>
    <w:rsid w:val="0B7245CE"/>
    <w:rsid w:val="0B943886"/>
    <w:rsid w:val="0B9C2483"/>
    <w:rsid w:val="0B9C3CD1"/>
    <w:rsid w:val="0BAA6B12"/>
    <w:rsid w:val="0BAD3E30"/>
    <w:rsid w:val="0BB324D8"/>
    <w:rsid w:val="0BB672C7"/>
    <w:rsid w:val="0BC07BBF"/>
    <w:rsid w:val="0BC429EF"/>
    <w:rsid w:val="0BCE65D1"/>
    <w:rsid w:val="0BD25918"/>
    <w:rsid w:val="0BD60937"/>
    <w:rsid w:val="0BD912A4"/>
    <w:rsid w:val="0BDB65EC"/>
    <w:rsid w:val="0BE135FA"/>
    <w:rsid w:val="0BEE21B3"/>
    <w:rsid w:val="0BEE4F6B"/>
    <w:rsid w:val="0C03261E"/>
    <w:rsid w:val="0C0439FA"/>
    <w:rsid w:val="0C0B17DF"/>
    <w:rsid w:val="0C0F382B"/>
    <w:rsid w:val="0C160980"/>
    <w:rsid w:val="0C1B4EF7"/>
    <w:rsid w:val="0C1C297E"/>
    <w:rsid w:val="0C1D4988"/>
    <w:rsid w:val="0C201306"/>
    <w:rsid w:val="0C25768D"/>
    <w:rsid w:val="0C297E69"/>
    <w:rsid w:val="0C3840B9"/>
    <w:rsid w:val="0C55038F"/>
    <w:rsid w:val="0C5B0590"/>
    <w:rsid w:val="0C6B7DF9"/>
    <w:rsid w:val="0C6E2A56"/>
    <w:rsid w:val="0C7A708D"/>
    <w:rsid w:val="0C8E7AF0"/>
    <w:rsid w:val="0C9D6ABD"/>
    <w:rsid w:val="0C9F6AEC"/>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96CDD"/>
    <w:rsid w:val="0D6F7952"/>
    <w:rsid w:val="0D783B34"/>
    <w:rsid w:val="0D81754C"/>
    <w:rsid w:val="0D887163"/>
    <w:rsid w:val="0D896A37"/>
    <w:rsid w:val="0D8B354C"/>
    <w:rsid w:val="0DB02216"/>
    <w:rsid w:val="0DBE13B1"/>
    <w:rsid w:val="0DBE6AB7"/>
    <w:rsid w:val="0DBF116A"/>
    <w:rsid w:val="0DC00E38"/>
    <w:rsid w:val="0DC73CBD"/>
    <w:rsid w:val="0DC8400B"/>
    <w:rsid w:val="0DD01FDB"/>
    <w:rsid w:val="0DD34552"/>
    <w:rsid w:val="0DDB14CA"/>
    <w:rsid w:val="0DE03EAA"/>
    <w:rsid w:val="0DE12394"/>
    <w:rsid w:val="0DE14775"/>
    <w:rsid w:val="0DE818F6"/>
    <w:rsid w:val="0DF15D7D"/>
    <w:rsid w:val="0DF36262"/>
    <w:rsid w:val="0DF72D4B"/>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19076F"/>
    <w:rsid w:val="0F2A2A37"/>
    <w:rsid w:val="0F2E6C95"/>
    <w:rsid w:val="0F4675CA"/>
    <w:rsid w:val="0F471A79"/>
    <w:rsid w:val="0F500384"/>
    <w:rsid w:val="0F503CB0"/>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C6025A"/>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C5D44"/>
    <w:rsid w:val="12CF0716"/>
    <w:rsid w:val="12D95227"/>
    <w:rsid w:val="12E33197"/>
    <w:rsid w:val="12EE0E7E"/>
    <w:rsid w:val="12EE1C9C"/>
    <w:rsid w:val="12F37AE6"/>
    <w:rsid w:val="12F863E6"/>
    <w:rsid w:val="13094CA6"/>
    <w:rsid w:val="13140815"/>
    <w:rsid w:val="13185FEC"/>
    <w:rsid w:val="132156D8"/>
    <w:rsid w:val="132911E2"/>
    <w:rsid w:val="132C647D"/>
    <w:rsid w:val="1332191F"/>
    <w:rsid w:val="133868AE"/>
    <w:rsid w:val="135120D8"/>
    <w:rsid w:val="135133AE"/>
    <w:rsid w:val="136B7A0D"/>
    <w:rsid w:val="136C145A"/>
    <w:rsid w:val="13776D50"/>
    <w:rsid w:val="137B3EE1"/>
    <w:rsid w:val="139404F9"/>
    <w:rsid w:val="139D4FEA"/>
    <w:rsid w:val="13A55CD5"/>
    <w:rsid w:val="13B654E3"/>
    <w:rsid w:val="13B819E6"/>
    <w:rsid w:val="13BC4189"/>
    <w:rsid w:val="13C169EC"/>
    <w:rsid w:val="13CA717D"/>
    <w:rsid w:val="13CE022A"/>
    <w:rsid w:val="13DF25B8"/>
    <w:rsid w:val="13E2403C"/>
    <w:rsid w:val="13E86A02"/>
    <w:rsid w:val="14047D3B"/>
    <w:rsid w:val="140C7BCE"/>
    <w:rsid w:val="141A00EA"/>
    <w:rsid w:val="14342850"/>
    <w:rsid w:val="14394A85"/>
    <w:rsid w:val="143A1FCF"/>
    <w:rsid w:val="1441725F"/>
    <w:rsid w:val="14430D66"/>
    <w:rsid w:val="14463CEB"/>
    <w:rsid w:val="14470936"/>
    <w:rsid w:val="14477E65"/>
    <w:rsid w:val="146401FE"/>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51E52"/>
    <w:rsid w:val="163E3AB2"/>
    <w:rsid w:val="165044C3"/>
    <w:rsid w:val="165E3F72"/>
    <w:rsid w:val="16601628"/>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85513"/>
    <w:rsid w:val="172B5BB7"/>
    <w:rsid w:val="17435DB3"/>
    <w:rsid w:val="174849B3"/>
    <w:rsid w:val="174F5CC1"/>
    <w:rsid w:val="175075E0"/>
    <w:rsid w:val="175D3461"/>
    <w:rsid w:val="175F4C67"/>
    <w:rsid w:val="175F580B"/>
    <w:rsid w:val="176302F9"/>
    <w:rsid w:val="17665207"/>
    <w:rsid w:val="176C3B15"/>
    <w:rsid w:val="17794395"/>
    <w:rsid w:val="177C00C2"/>
    <w:rsid w:val="178D50A9"/>
    <w:rsid w:val="178F0FE3"/>
    <w:rsid w:val="179E57D5"/>
    <w:rsid w:val="17AD14F4"/>
    <w:rsid w:val="17B85018"/>
    <w:rsid w:val="17E339CC"/>
    <w:rsid w:val="17E52734"/>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266BC7"/>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AF8344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34D6B"/>
    <w:rsid w:val="1B640388"/>
    <w:rsid w:val="1B6D7C0D"/>
    <w:rsid w:val="1B754AD4"/>
    <w:rsid w:val="1B7B2822"/>
    <w:rsid w:val="1B7F0679"/>
    <w:rsid w:val="1B8001A9"/>
    <w:rsid w:val="1B84594F"/>
    <w:rsid w:val="1B884364"/>
    <w:rsid w:val="1B901B23"/>
    <w:rsid w:val="1BA912AB"/>
    <w:rsid w:val="1BBB6A31"/>
    <w:rsid w:val="1BBF449B"/>
    <w:rsid w:val="1BC05D1A"/>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6A3ED7"/>
    <w:rsid w:val="1C71314E"/>
    <w:rsid w:val="1C74154B"/>
    <w:rsid w:val="1C82672C"/>
    <w:rsid w:val="1C89138D"/>
    <w:rsid w:val="1C8E76D2"/>
    <w:rsid w:val="1C915908"/>
    <w:rsid w:val="1C937172"/>
    <w:rsid w:val="1C975C4B"/>
    <w:rsid w:val="1CA27BB1"/>
    <w:rsid w:val="1CAC542E"/>
    <w:rsid w:val="1CAF7DCF"/>
    <w:rsid w:val="1CB07D7A"/>
    <w:rsid w:val="1CDA4D56"/>
    <w:rsid w:val="1CDB6B83"/>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8649A"/>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EFB350D"/>
    <w:rsid w:val="1F00206F"/>
    <w:rsid w:val="1F0177DA"/>
    <w:rsid w:val="1F031993"/>
    <w:rsid w:val="1F10474A"/>
    <w:rsid w:val="1F18467A"/>
    <w:rsid w:val="1F232A42"/>
    <w:rsid w:val="1F2645A8"/>
    <w:rsid w:val="1F2A3ED5"/>
    <w:rsid w:val="1F3E6318"/>
    <w:rsid w:val="1F4B71B8"/>
    <w:rsid w:val="1F4C39A9"/>
    <w:rsid w:val="1F5665AD"/>
    <w:rsid w:val="1F587E94"/>
    <w:rsid w:val="1F613FCB"/>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2F97D63"/>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42FE"/>
    <w:rsid w:val="24DE5A93"/>
    <w:rsid w:val="24E41611"/>
    <w:rsid w:val="25010438"/>
    <w:rsid w:val="250F44FD"/>
    <w:rsid w:val="2514288A"/>
    <w:rsid w:val="25174EE8"/>
    <w:rsid w:val="251A2540"/>
    <w:rsid w:val="255061EE"/>
    <w:rsid w:val="25583467"/>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6A3452"/>
    <w:rsid w:val="268B7C99"/>
    <w:rsid w:val="268C4A4A"/>
    <w:rsid w:val="26942039"/>
    <w:rsid w:val="26970A98"/>
    <w:rsid w:val="269A7501"/>
    <w:rsid w:val="26A04681"/>
    <w:rsid w:val="26A3584F"/>
    <w:rsid w:val="26A66B0A"/>
    <w:rsid w:val="26A73989"/>
    <w:rsid w:val="26A86D42"/>
    <w:rsid w:val="26B76DC5"/>
    <w:rsid w:val="26C30557"/>
    <w:rsid w:val="26C60C42"/>
    <w:rsid w:val="26C80178"/>
    <w:rsid w:val="26CB2EBC"/>
    <w:rsid w:val="26CB4B73"/>
    <w:rsid w:val="26D96FF9"/>
    <w:rsid w:val="26E25DEA"/>
    <w:rsid w:val="26E34A7B"/>
    <w:rsid w:val="26E9756C"/>
    <w:rsid w:val="26FA4570"/>
    <w:rsid w:val="271F0CE3"/>
    <w:rsid w:val="27217FF0"/>
    <w:rsid w:val="27242893"/>
    <w:rsid w:val="27280C17"/>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02F18"/>
    <w:rsid w:val="289539A5"/>
    <w:rsid w:val="289F019A"/>
    <w:rsid w:val="28B766F6"/>
    <w:rsid w:val="28BB307C"/>
    <w:rsid w:val="28CC6ED5"/>
    <w:rsid w:val="28D96244"/>
    <w:rsid w:val="28DB2B4E"/>
    <w:rsid w:val="28F010D9"/>
    <w:rsid w:val="28F05C88"/>
    <w:rsid w:val="29082E70"/>
    <w:rsid w:val="291343EF"/>
    <w:rsid w:val="29166F16"/>
    <w:rsid w:val="292E77DA"/>
    <w:rsid w:val="29394AFC"/>
    <w:rsid w:val="294D5371"/>
    <w:rsid w:val="295201CD"/>
    <w:rsid w:val="295867A0"/>
    <w:rsid w:val="295A0917"/>
    <w:rsid w:val="295A5964"/>
    <w:rsid w:val="29626133"/>
    <w:rsid w:val="296A2440"/>
    <w:rsid w:val="296A3769"/>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61911"/>
    <w:rsid w:val="2B2B0DE1"/>
    <w:rsid w:val="2B3E1E16"/>
    <w:rsid w:val="2B5674FC"/>
    <w:rsid w:val="2B573C92"/>
    <w:rsid w:val="2B5841C1"/>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01738"/>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97D7C"/>
    <w:rsid w:val="2D5A7835"/>
    <w:rsid w:val="2D6578A0"/>
    <w:rsid w:val="2D6B21D3"/>
    <w:rsid w:val="2D6D2389"/>
    <w:rsid w:val="2D7343C9"/>
    <w:rsid w:val="2DA20908"/>
    <w:rsid w:val="2DA3549B"/>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642A08"/>
    <w:rsid w:val="2F650158"/>
    <w:rsid w:val="2F743362"/>
    <w:rsid w:val="2F783818"/>
    <w:rsid w:val="2F7E3ACA"/>
    <w:rsid w:val="2FA17B84"/>
    <w:rsid w:val="2FA3249D"/>
    <w:rsid w:val="2FA44A0B"/>
    <w:rsid w:val="2FAF57D0"/>
    <w:rsid w:val="2FC05B92"/>
    <w:rsid w:val="2FC70776"/>
    <w:rsid w:val="2FDE3BE4"/>
    <w:rsid w:val="2FE3743A"/>
    <w:rsid w:val="2FE37DD1"/>
    <w:rsid w:val="2FE74C6C"/>
    <w:rsid w:val="2FEB3FA9"/>
    <w:rsid w:val="2FEC1413"/>
    <w:rsid w:val="2FEF5C51"/>
    <w:rsid w:val="2FF67B04"/>
    <w:rsid w:val="301F1E0F"/>
    <w:rsid w:val="3029612C"/>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2F769E"/>
    <w:rsid w:val="31346C1B"/>
    <w:rsid w:val="3135421E"/>
    <w:rsid w:val="313806BA"/>
    <w:rsid w:val="314A407E"/>
    <w:rsid w:val="314F0693"/>
    <w:rsid w:val="31664C04"/>
    <w:rsid w:val="317038BB"/>
    <w:rsid w:val="317632AC"/>
    <w:rsid w:val="317958D0"/>
    <w:rsid w:val="31886E82"/>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A6587"/>
    <w:rsid w:val="326D0D7C"/>
    <w:rsid w:val="32744A8B"/>
    <w:rsid w:val="32753DA5"/>
    <w:rsid w:val="32763BC7"/>
    <w:rsid w:val="32886DB3"/>
    <w:rsid w:val="32895C45"/>
    <w:rsid w:val="328C67A7"/>
    <w:rsid w:val="32917FB8"/>
    <w:rsid w:val="3296737C"/>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6E3E55"/>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16D92"/>
    <w:rsid w:val="34D20F28"/>
    <w:rsid w:val="34E22DC0"/>
    <w:rsid w:val="350233D4"/>
    <w:rsid w:val="35195F01"/>
    <w:rsid w:val="3529272A"/>
    <w:rsid w:val="35313A72"/>
    <w:rsid w:val="35493C91"/>
    <w:rsid w:val="355C0228"/>
    <w:rsid w:val="356A29C5"/>
    <w:rsid w:val="3575264D"/>
    <w:rsid w:val="35770D21"/>
    <w:rsid w:val="357800DF"/>
    <w:rsid w:val="358527FB"/>
    <w:rsid w:val="358B5BCF"/>
    <w:rsid w:val="358F51D7"/>
    <w:rsid w:val="3594454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81E63"/>
    <w:rsid w:val="366C7BA5"/>
    <w:rsid w:val="367851C1"/>
    <w:rsid w:val="368F480F"/>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82EC7"/>
    <w:rsid w:val="384D66AB"/>
    <w:rsid w:val="38551750"/>
    <w:rsid w:val="386C1D38"/>
    <w:rsid w:val="387A25A5"/>
    <w:rsid w:val="3887148F"/>
    <w:rsid w:val="3891486E"/>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92B04"/>
    <w:rsid w:val="392C49BB"/>
    <w:rsid w:val="39381E2B"/>
    <w:rsid w:val="393A389E"/>
    <w:rsid w:val="3942282F"/>
    <w:rsid w:val="3953338B"/>
    <w:rsid w:val="39553940"/>
    <w:rsid w:val="396B7002"/>
    <w:rsid w:val="396C2A15"/>
    <w:rsid w:val="39707C30"/>
    <w:rsid w:val="39793DDC"/>
    <w:rsid w:val="397D519A"/>
    <w:rsid w:val="39AC01F9"/>
    <w:rsid w:val="39B73BAC"/>
    <w:rsid w:val="39B7517F"/>
    <w:rsid w:val="39BA3B51"/>
    <w:rsid w:val="39C13165"/>
    <w:rsid w:val="39C20795"/>
    <w:rsid w:val="39DE3D2B"/>
    <w:rsid w:val="39E90E2B"/>
    <w:rsid w:val="39E94D86"/>
    <w:rsid w:val="39F1638E"/>
    <w:rsid w:val="39F23A32"/>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0595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EC29BB"/>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1677F2"/>
    <w:rsid w:val="3E214014"/>
    <w:rsid w:val="3E2A55D1"/>
    <w:rsid w:val="3E330175"/>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25FDD"/>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2324B"/>
    <w:rsid w:val="416845DA"/>
    <w:rsid w:val="416A21FA"/>
    <w:rsid w:val="416B09D7"/>
    <w:rsid w:val="416F6A98"/>
    <w:rsid w:val="417D1E08"/>
    <w:rsid w:val="417D5552"/>
    <w:rsid w:val="41874A4B"/>
    <w:rsid w:val="4188208C"/>
    <w:rsid w:val="418B5DBD"/>
    <w:rsid w:val="419B51EE"/>
    <w:rsid w:val="41A01671"/>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4B1F31"/>
    <w:rsid w:val="42616794"/>
    <w:rsid w:val="427102D5"/>
    <w:rsid w:val="4276696F"/>
    <w:rsid w:val="427755DD"/>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09CA"/>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D77AAC"/>
    <w:rsid w:val="44F543D6"/>
    <w:rsid w:val="44F71EFD"/>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1634EF"/>
    <w:rsid w:val="4726595C"/>
    <w:rsid w:val="47292AEA"/>
    <w:rsid w:val="472A74E5"/>
    <w:rsid w:val="4734181A"/>
    <w:rsid w:val="474E6020"/>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5F39D1"/>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8450A"/>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B10DA0"/>
    <w:rsid w:val="4AC951F4"/>
    <w:rsid w:val="4AE008D2"/>
    <w:rsid w:val="4AE2639D"/>
    <w:rsid w:val="4AFA6952"/>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B7843"/>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0482B"/>
    <w:rsid w:val="4C6370A1"/>
    <w:rsid w:val="4C667875"/>
    <w:rsid w:val="4C736886"/>
    <w:rsid w:val="4C7E4CB1"/>
    <w:rsid w:val="4C7F7CEF"/>
    <w:rsid w:val="4C821AA7"/>
    <w:rsid w:val="4C944B0C"/>
    <w:rsid w:val="4C997D3D"/>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935B4"/>
    <w:rsid w:val="4D4A4A28"/>
    <w:rsid w:val="4D4F2FCB"/>
    <w:rsid w:val="4D570A24"/>
    <w:rsid w:val="4D5D7D7F"/>
    <w:rsid w:val="4D615067"/>
    <w:rsid w:val="4D6214C3"/>
    <w:rsid w:val="4D625C01"/>
    <w:rsid w:val="4D752D5C"/>
    <w:rsid w:val="4D817A82"/>
    <w:rsid w:val="4D8817F2"/>
    <w:rsid w:val="4D8F350E"/>
    <w:rsid w:val="4D901140"/>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56E6D"/>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C201E"/>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55FCF"/>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DC644B"/>
    <w:rsid w:val="50E466DC"/>
    <w:rsid w:val="50E75A57"/>
    <w:rsid w:val="50EA1869"/>
    <w:rsid w:val="50F71D3E"/>
    <w:rsid w:val="50FD00F4"/>
    <w:rsid w:val="50FF056E"/>
    <w:rsid w:val="51020EC4"/>
    <w:rsid w:val="510F2A7F"/>
    <w:rsid w:val="512746EF"/>
    <w:rsid w:val="51283E4C"/>
    <w:rsid w:val="51291D35"/>
    <w:rsid w:val="512B3A7F"/>
    <w:rsid w:val="51300C4D"/>
    <w:rsid w:val="513049B1"/>
    <w:rsid w:val="5136300E"/>
    <w:rsid w:val="513D513B"/>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42B9B"/>
    <w:rsid w:val="526921DD"/>
    <w:rsid w:val="527B1073"/>
    <w:rsid w:val="52915993"/>
    <w:rsid w:val="5297132B"/>
    <w:rsid w:val="529F28D8"/>
    <w:rsid w:val="529F6FBB"/>
    <w:rsid w:val="52B13290"/>
    <w:rsid w:val="52B90DC7"/>
    <w:rsid w:val="52C076EC"/>
    <w:rsid w:val="52C25708"/>
    <w:rsid w:val="52C315CC"/>
    <w:rsid w:val="52CC5ABE"/>
    <w:rsid w:val="52CD10CA"/>
    <w:rsid w:val="52CF6267"/>
    <w:rsid w:val="52CF6D34"/>
    <w:rsid w:val="52EB6F11"/>
    <w:rsid w:val="52F0249E"/>
    <w:rsid w:val="52FD6A32"/>
    <w:rsid w:val="530D6AAB"/>
    <w:rsid w:val="531973FC"/>
    <w:rsid w:val="53387CD2"/>
    <w:rsid w:val="53487DC7"/>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DF072C"/>
    <w:rsid w:val="53DF24DA"/>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86D6F"/>
    <w:rsid w:val="54A92AE8"/>
    <w:rsid w:val="54AC5134"/>
    <w:rsid w:val="54BC0A6D"/>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D63DB0"/>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55BD6"/>
    <w:rsid w:val="565F1E2E"/>
    <w:rsid w:val="56652F8C"/>
    <w:rsid w:val="56670F45"/>
    <w:rsid w:val="5669554E"/>
    <w:rsid w:val="566F1BE2"/>
    <w:rsid w:val="567B004B"/>
    <w:rsid w:val="56812138"/>
    <w:rsid w:val="56815E63"/>
    <w:rsid w:val="56825178"/>
    <w:rsid w:val="568F784B"/>
    <w:rsid w:val="56995D14"/>
    <w:rsid w:val="56A17AE8"/>
    <w:rsid w:val="56B1636C"/>
    <w:rsid w:val="56BE6D1E"/>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7B076B"/>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86561A"/>
    <w:rsid w:val="58905FCC"/>
    <w:rsid w:val="58AD0DF8"/>
    <w:rsid w:val="58AD7359"/>
    <w:rsid w:val="58C07CA9"/>
    <w:rsid w:val="58C5235F"/>
    <w:rsid w:val="58CB35D4"/>
    <w:rsid w:val="58DE5A38"/>
    <w:rsid w:val="58ED2719"/>
    <w:rsid w:val="58FA7B16"/>
    <w:rsid w:val="58FB22A6"/>
    <w:rsid w:val="59003437"/>
    <w:rsid w:val="59035499"/>
    <w:rsid w:val="591744C4"/>
    <w:rsid w:val="59182EE7"/>
    <w:rsid w:val="591B0458"/>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7F0572"/>
    <w:rsid w:val="5A821401"/>
    <w:rsid w:val="5A860D7B"/>
    <w:rsid w:val="5A8649B6"/>
    <w:rsid w:val="5A8A2B4B"/>
    <w:rsid w:val="5A9F5080"/>
    <w:rsid w:val="5AAB6618"/>
    <w:rsid w:val="5AB3646E"/>
    <w:rsid w:val="5AC52E1B"/>
    <w:rsid w:val="5AD54636"/>
    <w:rsid w:val="5AE91049"/>
    <w:rsid w:val="5AEF582B"/>
    <w:rsid w:val="5B056A50"/>
    <w:rsid w:val="5B0B5334"/>
    <w:rsid w:val="5B1B7ACD"/>
    <w:rsid w:val="5B247C71"/>
    <w:rsid w:val="5B2A406A"/>
    <w:rsid w:val="5B2A7A78"/>
    <w:rsid w:val="5B392BD6"/>
    <w:rsid w:val="5B561D67"/>
    <w:rsid w:val="5B6D0D13"/>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BFD3E45"/>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3A33"/>
    <w:rsid w:val="5CCE6FEA"/>
    <w:rsid w:val="5CD51F6A"/>
    <w:rsid w:val="5CD54099"/>
    <w:rsid w:val="5CD6026B"/>
    <w:rsid w:val="5CE01756"/>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A0B67"/>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9B16F3"/>
    <w:rsid w:val="5EAC620C"/>
    <w:rsid w:val="5EAD1F27"/>
    <w:rsid w:val="5EAF12A6"/>
    <w:rsid w:val="5EB56E43"/>
    <w:rsid w:val="5EBF60CC"/>
    <w:rsid w:val="5EBF6AA7"/>
    <w:rsid w:val="5ED82627"/>
    <w:rsid w:val="5EDB6E5E"/>
    <w:rsid w:val="5EE17A4E"/>
    <w:rsid w:val="5F050603"/>
    <w:rsid w:val="5F073AC0"/>
    <w:rsid w:val="5F0F5BF5"/>
    <w:rsid w:val="5F1070E5"/>
    <w:rsid w:val="5F133D2A"/>
    <w:rsid w:val="5F137093"/>
    <w:rsid w:val="5F144956"/>
    <w:rsid w:val="5F2C16DC"/>
    <w:rsid w:val="5F2E4A29"/>
    <w:rsid w:val="5F3B5980"/>
    <w:rsid w:val="5F475DFB"/>
    <w:rsid w:val="5F4A6912"/>
    <w:rsid w:val="5F507C20"/>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47E91"/>
    <w:rsid w:val="603F2394"/>
    <w:rsid w:val="604407B5"/>
    <w:rsid w:val="60487E62"/>
    <w:rsid w:val="605A5C34"/>
    <w:rsid w:val="60630B92"/>
    <w:rsid w:val="606E4C0D"/>
    <w:rsid w:val="60734E0E"/>
    <w:rsid w:val="607D7F84"/>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9320C"/>
    <w:rsid w:val="614A57AA"/>
    <w:rsid w:val="61525CD5"/>
    <w:rsid w:val="61535DEE"/>
    <w:rsid w:val="615628BC"/>
    <w:rsid w:val="6162299C"/>
    <w:rsid w:val="6166167A"/>
    <w:rsid w:val="616B1A35"/>
    <w:rsid w:val="616D02E8"/>
    <w:rsid w:val="616E1A7D"/>
    <w:rsid w:val="617020C2"/>
    <w:rsid w:val="61755B39"/>
    <w:rsid w:val="617637D1"/>
    <w:rsid w:val="617A0C46"/>
    <w:rsid w:val="618A6F1A"/>
    <w:rsid w:val="619952F0"/>
    <w:rsid w:val="61A33787"/>
    <w:rsid w:val="61A66AB4"/>
    <w:rsid w:val="61B054B5"/>
    <w:rsid w:val="61B94C34"/>
    <w:rsid w:val="61BC38FA"/>
    <w:rsid w:val="61BE0E4F"/>
    <w:rsid w:val="61C85E7F"/>
    <w:rsid w:val="61CB22E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8906B4"/>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36487"/>
    <w:rsid w:val="651D0967"/>
    <w:rsid w:val="654069DE"/>
    <w:rsid w:val="65413B3E"/>
    <w:rsid w:val="654B3E81"/>
    <w:rsid w:val="6551078B"/>
    <w:rsid w:val="65547627"/>
    <w:rsid w:val="655555A6"/>
    <w:rsid w:val="65556AA0"/>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55B8D"/>
    <w:rsid w:val="65F65692"/>
    <w:rsid w:val="66024F99"/>
    <w:rsid w:val="6602637E"/>
    <w:rsid w:val="66065E37"/>
    <w:rsid w:val="660A505D"/>
    <w:rsid w:val="660C7338"/>
    <w:rsid w:val="660E6C4E"/>
    <w:rsid w:val="661055F7"/>
    <w:rsid w:val="66372459"/>
    <w:rsid w:val="66407FD5"/>
    <w:rsid w:val="66456B14"/>
    <w:rsid w:val="664A1F46"/>
    <w:rsid w:val="6650354E"/>
    <w:rsid w:val="665346CA"/>
    <w:rsid w:val="6661498D"/>
    <w:rsid w:val="6667571D"/>
    <w:rsid w:val="666B3926"/>
    <w:rsid w:val="666D1BC7"/>
    <w:rsid w:val="66786477"/>
    <w:rsid w:val="667A19E6"/>
    <w:rsid w:val="667E202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3E3307"/>
    <w:rsid w:val="67441F0C"/>
    <w:rsid w:val="674465E9"/>
    <w:rsid w:val="67456CEF"/>
    <w:rsid w:val="67594618"/>
    <w:rsid w:val="675B3954"/>
    <w:rsid w:val="675F4E37"/>
    <w:rsid w:val="676B6466"/>
    <w:rsid w:val="6776404D"/>
    <w:rsid w:val="679406A3"/>
    <w:rsid w:val="67954429"/>
    <w:rsid w:val="67A2383F"/>
    <w:rsid w:val="67B07AFB"/>
    <w:rsid w:val="67B22471"/>
    <w:rsid w:val="67B26E00"/>
    <w:rsid w:val="67B6396A"/>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06926"/>
    <w:rsid w:val="68CD7B38"/>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7B3165"/>
    <w:rsid w:val="698455B8"/>
    <w:rsid w:val="69997B9C"/>
    <w:rsid w:val="69A53B11"/>
    <w:rsid w:val="69A70B49"/>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10D61"/>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4750DC"/>
    <w:rsid w:val="6B585A95"/>
    <w:rsid w:val="6B5C172C"/>
    <w:rsid w:val="6B633F4F"/>
    <w:rsid w:val="6B686E01"/>
    <w:rsid w:val="6B6A2B79"/>
    <w:rsid w:val="6B70680D"/>
    <w:rsid w:val="6B816F14"/>
    <w:rsid w:val="6B82736C"/>
    <w:rsid w:val="6B8A779B"/>
    <w:rsid w:val="6B924DC4"/>
    <w:rsid w:val="6B947D7E"/>
    <w:rsid w:val="6B991E8C"/>
    <w:rsid w:val="6BA94B8D"/>
    <w:rsid w:val="6BAD6C20"/>
    <w:rsid w:val="6BAF0432"/>
    <w:rsid w:val="6BB456BB"/>
    <w:rsid w:val="6BB62A44"/>
    <w:rsid w:val="6BC164A3"/>
    <w:rsid w:val="6BD2493B"/>
    <w:rsid w:val="6BD51433"/>
    <w:rsid w:val="6BE052CE"/>
    <w:rsid w:val="6BEC5795"/>
    <w:rsid w:val="6BF2692A"/>
    <w:rsid w:val="6BF358A4"/>
    <w:rsid w:val="6C051F4E"/>
    <w:rsid w:val="6C096C12"/>
    <w:rsid w:val="6C1A5960"/>
    <w:rsid w:val="6C304BD6"/>
    <w:rsid w:val="6C311D32"/>
    <w:rsid w:val="6C377C16"/>
    <w:rsid w:val="6C417EB8"/>
    <w:rsid w:val="6C4760EF"/>
    <w:rsid w:val="6C613F45"/>
    <w:rsid w:val="6C756221"/>
    <w:rsid w:val="6C7B08BB"/>
    <w:rsid w:val="6C816AF9"/>
    <w:rsid w:val="6C846694"/>
    <w:rsid w:val="6C947428"/>
    <w:rsid w:val="6C954D50"/>
    <w:rsid w:val="6CA21112"/>
    <w:rsid w:val="6CA841D2"/>
    <w:rsid w:val="6CAD71C1"/>
    <w:rsid w:val="6CB10385"/>
    <w:rsid w:val="6CBC5656"/>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1683D"/>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8E4DD0"/>
    <w:rsid w:val="6E936F9B"/>
    <w:rsid w:val="6EAA56FE"/>
    <w:rsid w:val="6EB37B5B"/>
    <w:rsid w:val="6EC1762C"/>
    <w:rsid w:val="6ED36C87"/>
    <w:rsid w:val="6ED50081"/>
    <w:rsid w:val="6ED70BA2"/>
    <w:rsid w:val="6EDB7671"/>
    <w:rsid w:val="6EF77260"/>
    <w:rsid w:val="6EFF7A7C"/>
    <w:rsid w:val="6F0B4C6A"/>
    <w:rsid w:val="6F226923"/>
    <w:rsid w:val="6F2302E3"/>
    <w:rsid w:val="6F314C13"/>
    <w:rsid w:val="6F382FA6"/>
    <w:rsid w:val="6F391F60"/>
    <w:rsid w:val="6F484F7F"/>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16758"/>
    <w:rsid w:val="70797E89"/>
    <w:rsid w:val="707F47B3"/>
    <w:rsid w:val="70867905"/>
    <w:rsid w:val="70954F53"/>
    <w:rsid w:val="70971294"/>
    <w:rsid w:val="709F7BD9"/>
    <w:rsid w:val="70A51792"/>
    <w:rsid w:val="70A92DC8"/>
    <w:rsid w:val="70A94A40"/>
    <w:rsid w:val="70B774F6"/>
    <w:rsid w:val="70BA00FF"/>
    <w:rsid w:val="70BB13B4"/>
    <w:rsid w:val="70D80F32"/>
    <w:rsid w:val="70D97C76"/>
    <w:rsid w:val="70F12A55"/>
    <w:rsid w:val="70F76E40"/>
    <w:rsid w:val="71066EA0"/>
    <w:rsid w:val="710C1219"/>
    <w:rsid w:val="711337D0"/>
    <w:rsid w:val="711A0B9D"/>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50298"/>
    <w:rsid w:val="72862316"/>
    <w:rsid w:val="729A0F74"/>
    <w:rsid w:val="72A21DB8"/>
    <w:rsid w:val="72A700F5"/>
    <w:rsid w:val="72BD1FAF"/>
    <w:rsid w:val="72BE7DA1"/>
    <w:rsid w:val="72C02A90"/>
    <w:rsid w:val="72C9287B"/>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BF77DA"/>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3E2DF5"/>
    <w:rsid w:val="74525628"/>
    <w:rsid w:val="74562CF1"/>
    <w:rsid w:val="745F06BF"/>
    <w:rsid w:val="746C713B"/>
    <w:rsid w:val="748C526A"/>
    <w:rsid w:val="748D2368"/>
    <w:rsid w:val="749217E0"/>
    <w:rsid w:val="749D7B3F"/>
    <w:rsid w:val="74A215D5"/>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B5D14"/>
    <w:rsid w:val="75BD313A"/>
    <w:rsid w:val="75BF09C7"/>
    <w:rsid w:val="75BF6D3D"/>
    <w:rsid w:val="75D0419D"/>
    <w:rsid w:val="75D800EB"/>
    <w:rsid w:val="75DC1EF4"/>
    <w:rsid w:val="75DD7BCA"/>
    <w:rsid w:val="75E50837"/>
    <w:rsid w:val="75ED02CE"/>
    <w:rsid w:val="75EF5520"/>
    <w:rsid w:val="75EF6BD7"/>
    <w:rsid w:val="75F57AD2"/>
    <w:rsid w:val="75F63713"/>
    <w:rsid w:val="75FE4A3C"/>
    <w:rsid w:val="75FF0362"/>
    <w:rsid w:val="761258D4"/>
    <w:rsid w:val="76134713"/>
    <w:rsid w:val="76143A54"/>
    <w:rsid w:val="761738FD"/>
    <w:rsid w:val="76284CE1"/>
    <w:rsid w:val="762D6256"/>
    <w:rsid w:val="7637074A"/>
    <w:rsid w:val="763B63B0"/>
    <w:rsid w:val="764772A3"/>
    <w:rsid w:val="764A3CD3"/>
    <w:rsid w:val="76741EF9"/>
    <w:rsid w:val="767B7960"/>
    <w:rsid w:val="767E0C6B"/>
    <w:rsid w:val="76826888"/>
    <w:rsid w:val="768A2321"/>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040325"/>
    <w:rsid w:val="771670C1"/>
    <w:rsid w:val="771D3195"/>
    <w:rsid w:val="772C164B"/>
    <w:rsid w:val="772C16E9"/>
    <w:rsid w:val="772E1F8C"/>
    <w:rsid w:val="77316A71"/>
    <w:rsid w:val="773736A8"/>
    <w:rsid w:val="77536779"/>
    <w:rsid w:val="77683E14"/>
    <w:rsid w:val="77701517"/>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35D19"/>
    <w:rsid w:val="78EE2375"/>
    <w:rsid w:val="78F543CA"/>
    <w:rsid w:val="78FA244C"/>
    <w:rsid w:val="78FE1B78"/>
    <w:rsid w:val="79024116"/>
    <w:rsid w:val="790B5E4F"/>
    <w:rsid w:val="790D572F"/>
    <w:rsid w:val="7911339B"/>
    <w:rsid w:val="79233654"/>
    <w:rsid w:val="793E4F07"/>
    <w:rsid w:val="79455569"/>
    <w:rsid w:val="79470AE2"/>
    <w:rsid w:val="794F33AE"/>
    <w:rsid w:val="795123A8"/>
    <w:rsid w:val="79524E02"/>
    <w:rsid w:val="79535AC3"/>
    <w:rsid w:val="79620961"/>
    <w:rsid w:val="79893713"/>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2B7977"/>
    <w:rsid w:val="7A3F1ABF"/>
    <w:rsid w:val="7A410F49"/>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A65250"/>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35849"/>
    <w:rsid w:val="7C8464A1"/>
    <w:rsid w:val="7C9D2D7B"/>
    <w:rsid w:val="7CA26867"/>
    <w:rsid w:val="7CB43A8E"/>
    <w:rsid w:val="7CC106AB"/>
    <w:rsid w:val="7CDF4250"/>
    <w:rsid w:val="7CF46746"/>
    <w:rsid w:val="7D09113D"/>
    <w:rsid w:val="7D0B1257"/>
    <w:rsid w:val="7D157A0E"/>
    <w:rsid w:val="7D1658AD"/>
    <w:rsid w:val="7D1B2E27"/>
    <w:rsid w:val="7D1D4159"/>
    <w:rsid w:val="7D243099"/>
    <w:rsid w:val="7D4B3993"/>
    <w:rsid w:val="7D5F5E30"/>
    <w:rsid w:val="7D656BAD"/>
    <w:rsid w:val="7D680D06"/>
    <w:rsid w:val="7D6B45FB"/>
    <w:rsid w:val="7D6C208F"/>
    <w:rsid w:val="7D796C4C"/>
    <w:rsid w:val="7D897D56"/>
    <w:rsid w:val="7D8F519C"/>
    <w:rsid w:val="7D9B14E5"/>
    <w:rsid w:val="7D9F4FAC"/>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66DD3"/>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17496E"/>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9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semiHidden/>
    <w:qFormat/>
    <w:uiPriority w:val="0"/>
    <w:rPr>
      <w:rFonts w:ascii="仿宋" w:hAnsi="仿宋" w:eastAsia="仿宋" w:cs="仿宋"/>
      <w:sz w:val="35"/>
      <w:szCs w:val="35"/>
      <w:lang w:val="en-US" w:eastAsia="en-US" w:bidi="ar-SA"/>
    </w:rPr>
  </w:style>
  <w:style w:type="paragraph" w:styleId="3">
    <w:name w:val="toc 5"/>
    <w:next w:val="1"/>
    <w:qFormat/>
    <w:uiPriority w:val="99"/>
    <w:pPr>
      <w:widowControl w:val="0"/>
      <w:ind w:left="1680" w:leftChars="800"/>
      <w:jc w:val="both"/>
    </w:pPr>
    <w:rPr>
      <w:rFonts w:asciiTheme="minorHAnsi" w:hAnsiTheme="minorHAnsi" w:eastAsiaTheme="minorEastAsia" w:cstheme="minorBidi"/>
      <w:kern w:val="2"/>
      <w:sz w:val="21"/>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9">
    <w:name w:val="Table Normal"/>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Arial" w:hAnsi="Arial" w:eastAsia="Arial" w:cs="Arial"/>
      <w:sz w:val="21"/>
      <w:szCs w:val="21"/>
      <w:lang w:val="en-US" w:eastAsia="en-US" w:bidi="ar-SA"/>
    </w:rPr>
  </w:style>
  <w:style w:type="paragraph" w:customStyle="1" w:styleId="11">
    <w:name w:val="标题。"/>
    <w:autoRedefine/>
    <w:qFormat/>
    <w:uiPriority w:val="0"/>
    <w:pPr>
      <w:widowControl w:val="0"/>
      <w:spacing w:line="600" w:lineRule="exact"/>
      <w:jc w:val="center"/>
      <w:textAlignment w:val="auto"/>
    </w:pPr>
    <w:rPr>
      <w:rFonts w:hint="eastAsia" w:ascii="方正小标宋简体" w:hAnsi="方正小标宋简体" w:eastAsia="方正小标宋简体" w:cstheme="minorBidi"/>
      <w:kern w:val="2"/>
      <w:sz w:val="4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8619</Words>
  <Characters>9324</Characters>
  <Lines>0</Lines>
  <Paragraphs>0</Paragraphs>
  <TotalTime>3</TotalTime>
  <ScaleCrop>false</ScaleCrop>
  <LinksUpToDate>false</LinksUpToDate>
  <CharactersWithSpaces>9435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用友新启航-刘白</cp:lastModifiedBy>
  <dcterms:modified xsi:type="dcterms:W3CDTF">2024-06-23T14:06:29Z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4B5FDDC259FB49A4A0EBEC5A4BB60567_11</vt:lpwstr>
  </property>
</Properties>
</file>