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pPr>
              <w:spacing w:before="103" w:line="219" w:lineRule="auto"/>
              <w:ind w:left="708"/>
              <w:rPr>
                <w:rFonts w:hint="default" w:ascii="宋体" w:hAnsi="宋体" w:eastAsia="宋体" w:cs="宋体"/>
                <w:color w:val="000000"/>
                <w:spacing w:val="-2"/>
                <w:sz w:val="20"/>
                <w:szCs w:val="20"/>
                <w:lang w:val="en-US" w:eastAsia="zh-CN"/>
              </w:rPr>
            </w:pPr>
            <w:r>
              <w:rPr>
                <w:rFonts w:hint="eastAsia" w:ascii="宋体" w:hAnsi="宋体" w:eastAsia="宋体" w:cs="宋体"/>
                <w:color w:val="000000"/>
                <w:spacing w:val="-2"/>
                <w:sz w:val="20"/>
                <w:szCs w:val="20"/>
                <w:lang w:val="en-US" w:eastAsia="zh-CN"/>
              </w:rPr>
              <w:t>岳阳市城市垃圾清运管理所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181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40</w:t>
            </w:r>
          </w:p>
        </w:tc>
        <w:tc>
          <w:tcPr>
            <w:tcW w:w="232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40</w:t>
            </w:r>
          </w:p>
        </w:tc>
        <w:tc>
          <w:tcPr>
            <w:tcW w:w="1679" w:type="dxa"/>
            <w:gridSpan w:val="2"/>
            <w:noWrap w:val="0"/>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pPr>
              <w:rPr>
                <w:rFonts w:hint="eastAsia" w:ascii="宋体" w:hAnsi="宋体" w:eastAsia="宋体" w:cs="宋体"/>
                <w:color w:val="000000"/>
                <w:sz w:val="24"/>
                <w:szCs w:val="24"/>
              </w:rPr>
            </w:pPr>
          </w:p>
        </w:tc>
        <w:tc>
          <w:tcPr>
            <w:tcW w:w="2325" w:type="dxa"/>
            <w:gridSpan w:val="2"/>
            <w:noWrap w:val="0"/>
            <w:vAlign w:val="top"/>
          </w:tcPr>
          <w:p>
            <w:pPr>
              <w:rPr>
                <w:rFonts w:hint="eastAsia" w:ascii="宋体" w:hAnsi="宋体" w:eastAsia="宋体" w:cs="宋体"/>
                <w:color w:val="000000"/>
                <w:sz w:val="24"/>
                <w:szCs w:val="24"/>
              </w:rPr>
            </w:pPr>
          </w:p>
        </w:tc>
        <w:tc>
          <w:tcPr>
            <w:tcW w:w="1679" w:type="dxa"/>
            <w:gridSpan w:val="2"/>
            <w:noWrap w:val="0"/>
            <w:vAlign w:val="top"/>
          </w:tcPr>
          <w:p>
            <w:pPr>
              <w:rPr>
                <w:rFonts w:hint="eastAsia" w:ascii="宋体" w:hAnsi="宋体" w:eastAsia="宋体" w:cs="宋体"/>
                <w:color w:val="000000"/>
                <w:sz w:val="24"/>
                <w:szCs w:val="24"/>
              </w:rPr>
            </w:pPr>
            <w:r>
              <w:rPr>
                <w:rFonts w:hint="eastAsia" w:ascii="宋体" w:hAnsi="宋体" w:eastAsia="宋体" w:cs="宋体"/>
                <w:color w:val="000000"/>
                <w:sz w:val="21"/>
                <w:lang w:val="en-US" w:eastAsia="zh-CN"/>
              </w:rPr>
              <w:t>451.91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451.91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1639.42</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1549.00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1587.82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231.00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250.07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1639.42</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1318.00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1337.75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编外用工人员经费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770.00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826.56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公务车运行维护费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548.00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427.30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环卫清扫经费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275.78</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设施设备采购垃圾中转站建设</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78.19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卫健综合专项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城市综合管理专项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1349.60</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会议经费专项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1.55</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禁毒经费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1.28</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民政综合专项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3.21</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文明创建经费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8.00</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10.75</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18.79</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11.50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1.17</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77.30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403.52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825" w:type="dxa"/>
            <w:noWrap w:val="0"/>
            <w:vAlign w:val="top"/>
          </w:tcPr>
          <w:p>
            <w:pPr>
              <w:rPr>
                <w:rFonts w:hint="eastAsia" w:ascii="宋体" w:hAnsi="宋体" w:eastAsia="宋体" w:cs="宋体"/>
                <w:color w:val="000000"/>
                <w:sz w:val="21"/>
              </w:rPr>
            </w:pPr>
          </w:p>
        </w:tc>
        <w:tc>
          <w:tcPr>
            <w:tcW w:w="990" w:type="dxa"/>
            <w:noWrap w:val="0"/>
            <w:vAlign w:val="top"/>
          </w:tcPr>
          <w:p>
            <w:pPr>
              <w:rPr>
                <w:rFonts w:hint="eastAsia" w:ascii="宋体" w:hAnsi="宋体" w:eastAsia="宋体" w:cs="宋体"/>
                <w:color w:val="000000"/>
                <w:sz w:val="21"/>
              </w:rPr>
            </w:pPr>
          </w:p>
        </w:tc>
        <w:tc>
          <w:tcPr>
            <w:tcW w:w="1140" w:type="dxa"/>
            <w:noWrap w:val="0"/>
            <w:vAlign w:val="top"/>
          </w:tcPr>
          <w:p>
            <w:pPr>
              <w:rPr>
                <w:rFonts w:hint="eastAsia" w:ascii="宋体" w:hAnsi="宋体" w:eastAsia="宋体" w:cs="宋体"/>
                <w:color w:val="000000"/>
                <w:sz w:val="21"/>
              </w:rPr>
            </w:pPr>
          </w:p>
        </w:tc>
        <w:tc>
          <w:tcPr>
            <w:tcW w:w="1185" w:type="dxa"/>
            <w:noWrap w:val="0"/>
            <w:vAlign w:val="top"/>
          </w:tcPr>
          <w:p>
            <w:pPr>
              <w:rPr>
                <w:rFonts w:hint="eastAsia" w:ascii="宋体" w:hAnsi="宋体" w:eastAsia="宋体" w:cs="宋体"/>
                <w:color w:val="000000"/>
                <w:sz w:val="21"/>
              </w:rPr>
            </w:pPr>
          </w:p>
        </w:tc>
        <w:tc>
          <w:tcPr>
            <w:tcW w:w="810" w:type="dxa"/>
            <w:noWrap w:val="0"/>
            <w:vAlign w:val="top"/>
          </w:tcPr>
          <w:p>
            <w:pPr>
              <w:rPr>
                <w:rFonts w:hint="eastAsia" w:ascii="宋体" w:hAnsi="宋体" w:eastAsia="宋体" w:cs="宋体"/>
                <w:color w:val="000000"/>
                <w:sz w:val="21"/>
              </w:rPr>
            </w:pPr>
          </w:p>
        </w:tc>
        <w:tc>
          <w:tcPr>
            <w:tcW w:w="869" w:type="dxa"/>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周冬香</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0730</w:t>
      </w:r>
      <w:r>
        <w:rPr>
          <w:rFonts w:hint="eastAsia" w:ascii="宋体" w:hAnsi="宋体" w:eastAsia="宋体" w:cs="宋体"/>
          <w:color w:val="000000"/>
          <w:spacing w:val="0"/>
          <w:position w:val="0"/>
          <w:sz w:val="23"/>
          <w:szCs w:val="23"/>
        </w:rPr>
        <w:t>8631007  填报日期：</w:t>
      </w:r>
      <w:r>
        <w:rPr>
          <w:rFonts w:hint="eastAsia" w:ascii="宋体" w:hAnsi="宋体" w:eastAsia="宋体" w:cs="宋体"/>
          <w:color w:val="000000"/>
          <w:spacing w:val="0"/>
          <w:position w:val="0"/>
          <w:sz w:val="23"/>
          <w:szCs w:val="23"/>
          <w:lang w:val="en-US" w:eastAsia="zh-CN"/>
        </w:rPr>
        <w:t>2024-05-25</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hint="eastAsia" w:ascii="Times New Roman" w:hAnsi="Times New Roman" w:eastAsia="宋体" w:cs="Times New Roman"/>
          <w:spacing w:val="-4"/>
          <w:sz w:val="31"/>
          <w:szCs w:val="31"/>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pPr>
              <w:pStyle w:val="9"/>
              <w:spacing w:line="239" w:lineRule="exact"/>
              <w:rPr>
                <w:rFonts w:hint="eastAsia" w:ascii="宋体" w:hAnsi="宋体" w:eastAsia="宋体" w:cs="宋体"/>
                <w:sz w:val="20"/>
              </w:rPr>
            </w:pPr>
            <w:r>
              <w:rPr>
                <w:rFonts w:hint="eastAsia" w:ascii="宋体" w:hAnsi="宋体" w:eastAsia="宋体" w:cs="宋体"/>
                <w:color w:val="000000"/>
                <w:spacing w:val="-2"/>
                <w:sz w:val="20"/>
                <w:szCs w:val="20"/>
                <w:lang w:val="en-US" w:eastAsia="zh-CN"/>
              </w:rPr>
              <w:t>岳阳市城市垃圾清运管理所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9"/>
              <w:spacing w:line="467" w:lineRule="auto"/>
              <w:rPr>
                <w:rFonts w:hint="eastAsia" w:ascii="宋体" w:hAnsi="宋体" w:eastAsia="宋体" w:cs="宋体"/>
              </w:rPr>
            </w:pPr>
          </w:p>
          <w:p>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pPr>
              <w:pStyle w:val="9"/>
              <w:spacing w:line="235" w:lineRule="exact"/>
              <w:rPr>
                <w:rFonts w:hint="eastAsia" w:ascii="宋体" w:hAnsi="宋体" w:eastAsia="宋体" w:cs="宋体"/>
                <w:sz w:val="20"/>
              </w:rPr>
            </w:pPr>
          </w:p>
        </w:tc>
        <w:tc>
          <w:tcPr>
            <w:tcW w:w="1269" w:type="dxa"/>
            <w:noWrap w:val="0"/>
            <w:vAlign w:val="top"/>
          </w:tcPr>
          <w:p>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2113" w:type="dxa"/>
            <w:gridSpan w:val="2"/>
            <w:noWrap w:val="0"/>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2468.63</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2550.92</w:t>
            </w:r>
          </w:p>
        </w:tc>
        <w:tc>
          <w:tcPr>
            <w:tcW w:w="1268"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2466.61</w:t>
            </w:r>
          </w:p>
        </w:tc>
        <w:tc>
          <w:tcPr>
            <w:tcW w:w="716" w:type="dxa"/>
            <w:noWrap w:val="0"/>
            <w:vAlign w:val="top"/>
          </w:tcPr>
          <w:p>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96.69%</w:t>
            </w:r>
          </w:p>
        </w:tc>
        <w:tc>
          <w:tcPr>
            <w:tcW w:w="145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9.66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2544.86</w:t>
            </w:r>
          </w:p>
        </w:tc>
        <w:tc>
          <w:tcPr>
            <w:tcW w:w="4307" w:type="dxa"/>
            <w:gridSpan w:val="4"/>
            <w:noWrap w:val="0"/>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878.79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1587.82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6.06</w:t>
            </w:r>
          </w:p>
        </w:tc>
        <w:tc>
          <w:tcPr>
            <w:tcW w:w="4307" w:type="dxa"/>
            <w:gridSpan w:val="4"/>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84" w:type="dxa"/>
            <w:vMerge w:val="restart"/>
            <w:tcBorders>
              <w:bottom w:val="nil"/>
            </w:tcBorders>
            <w:noWrap w:val="0"/>
            <w:vAlign w:val="top"/>
          </w:tcPr>
          <w:p>
            <w:pPr>
              <w:pStyle w:val="9"/>
              <w:spacing w:line="242" w:lineRule="auto"/>
              <w:rPr>
                <w:rFonts w:hint="eastAsia" w:ascii="宋体" w:hAnsi="宋体" w:eastAsia="宋体" w:cs="宋体"/>
              </w:rPr>
            </w:pPr>
          </w:p>
          <w:p>
            <w:pPr>
              <w:pStyle w:val="9"/>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pPr>
              <w:pStyle w:val="9"/>
              <w:rPr>
                <w:rFonts w:hint="eastAsia" w:ascii="宋体" w:hAnsi="宋体" w:eastAsia="宋体" w:cs="宋体"/>
              </w:rPr>
            </w:pPr>
          </w:p>
        </w:tc>
        <w:tc>
          <w:tcPr>
            <w:tcW w:w="4692" w:type="dxa"/>
            <w:gridSpan w:val="4"/>
            <w:noWrap w:val="0"/>
            <w:vAlign w:val="top"/>
          </w:tcPr>
          <w:p>
            <w:pPr>
              <w:pStyle w:val="9"/>
              <w:numPr>
                <w:ilvl w:val="0"/>
                <w:numId w:val="1"/>
              </w:numPr>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中心城区垃圾清运累计超360000立方，日均1000立方；出车累计约72000辆次，日均200辆次；</w:t>
            </w:r>
          </w:p>
          <w:p>
            <w:pPr>
              <w:pStyle w:val="9"/>
              <w:numPr>
                <w:ilvl w:val="0"/>
                <w:numId w:val="1"/>
              </w:numP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车辆大修40余台次，车辆小修1600台次，累计进行车辆保养50余台次；</w:t>
            </w:r>
          </w:p>
          <w:p>
            <w:pPr>
              <w:pStyle w:val="9"/>
              <w:numPr>
                <w:ilvl w:val="0"/>
                <w:numId w:val="1"/>
              </w:numP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加强站内大厢等设施设备清洗力度，及时冲刷污水，杜绝脏乱差；提高药剂喷洒次数，加强卫生消杀，避免臭气扰民；</w:t>
            </w:r>
          </w:p>
          <w:p>
            <w:pPr>
              <w:pStyle w:val="9"/>
              <w:numPr>
                <w:ilvl w:val="0"/>
                <w:numId w:val="1"/>
              </w:numP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液压油缸更换、主体大厢维修等垃圾站压缩设备的大修、零部件更换、保养1100余次，完成下水疏通、站门立柱、大门制作更换、高低压电路等站点设施的检修维护2000余次；</w:t>
            </w:r>
          </w:p>
          <w:p>
            <w:pPr>
              <w:pStyle w:val="9"/>
              <w:numPr>
                <w:ilvl w:val="0"/>
                <w:numId w:val="1"/>
              </w:numP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3月、5月、7月和10月分别召开安全生产月度讲评工作会议，开展安全生产驾驶员培训，观看网络行车事故视频，分析事故原因，总结经验教训；</w:t>
            </w:r>
          </w:p>
          <w:p>
            <w:pPr>
              <w:pStyle w:val="9"/>
              <w:numPr>
                <w:ilvl w:val="0"/>
                <w:numId w:val="1"/>
              </w:numP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开展各类安全巡查、检查共200余次，发出安全整改通知单30余份，安全事故通报15次。</w:t>
            </w:r>
          </w:p>
        </w:tc>
        <w:tc>
          <w:tcPr>
            <w:tcW w:w="4307" w:type="dxa"/>
            <w:gridSpan w:val="4"/>
            <w:noWrap w:val="0"/>
            <w:vAlign w:val="top"/>
          </w:tcPr>
          <w:p>
            <w:pPr>
              <w:pStyle w:val="9"/>
              <w:rPr>
                <w:rFonts w:hint="eastAsia" w:ascii="宋体" w:hAnsi="宋体" w:eastAsia="宋体" w:cs="宋体"/>
                <w:spacing w:val="6"/>
                <w:kern w:val="2"/>
                <w:sz w:val="19"/>
                <w:szCs w:val="19"/>
                <w:lang w:val="en-US" w:eastAsia="zh-CN" w:bidi="ar-SA"/>
              </w:rPr>
            </w:pPr>
            <w:r>
              <w:rPr>
                <w:rFonts w:hint="eastAsia" w:ascii="宋体" w:hAnsi="宋体" w:eastAsia="宋体" w:cs="宋体"/>
                <w:lang w:val="en-US" w:eastAsia="zh-CN"/>
              </w:rPr>
              <w:t>1、</w:t>
            </w:r>
            <w:r>
              <w:rPr>
                <w:rFonts w:hint="eastAsia" w:ascii="宋体" w:hAnsi="宋体" w:eastAsia="宋体" w:cs="宋体"/>
                <w:spacing w:val="6"/>
                <w:kern w:val="2"/>
                <w:sz w:val="19"/>
                <w:szCs w:val="19"/>
                <w:lang w:val="en-US" w:eastAsia="zh-CN" w:bidi="ar-SA"/>
              </w:rPr>
              <w:t>2023年10月，被岳阳市城市管理和综合执法局授予“岳阳市环卫行业先进集体”荣誉称号，作为环卫清运行业的主力军，有力维护城区干净、整洁良好卫生环境，充分彰显风采；</w:t>
            </w:r>
          </w:p>
          <w:p>
            <w:pPr>
              <w:pStyle w:val="9"/>
              <w:numPr>
                <w:ilvl w:val="0"/>
                <w:numId w:val="2"/>
              </w:numPr>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完成中心城区垃圾清运累计超360000立方，日均1000立方；出车累计约72000辆次，日均200辆次，有力维护了城区干净、整洁良好的卫生环境。</w:t>
            </w:r>
          </w:p>
          <w:p>
            <w:pPr>
              <w:numPr>
                <w:ilvl w:val="0"/>
                <w:numId w:val="0"/>
              </w:numP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3、保障全所各类清运车辆的正常运行，车队维护班将车辆定期保养、检修纳入日常工作重点，截止12月底，共完成车辆大修40余台次，车辆小修1600台次，累计进行车辆保养50余台次。</w:t>
            </w:r>
          </w:p>
          <w:p>
            <w:pPr>
              <w:numPr>
                <w:ilvl w:val="0"/>
                <w:numId w:val="0"/>
              </w:numPr>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4、完成液压油缸更换、主体大厢维修等垃圾站压缩设备的大修、零部件更换、保养1100余次，完成下水疏通、站门立柱、大门制作更换、高低压电路等站点设施的检修维护2000余次。</w:t>
            </w:r>
          </w:p>
          <w:p>
            <w:pPr>
              <w:pStyle w:val="9"/>
              <w:numPr>
                <w:ilvl w:val="0"/>
                <w:numId w:val="0"/>
              </w:numPr>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5、3月、5月、7月和10月分别召开安全生产月度讲评工作会议，开展安全生产驾驶员培训，观看网络行车事故视频，分析事故原因，总结经验教训。</w:t>
            </w:r>
          </w:p>
          <w:p>
            <w:pPr>
              <w:numPr>
                <w:ilvl w:val="0"/>
                <w:numId w:val="0"/>
              </w:numPr>
              <w:jc w:val="both"/>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6、开展各类安全巡查、检查共200余次，发出安全整改通知单30余份，安全事故通报15次，全年未发生设施设备操作事故，也未发生较大安全生产事故，安全生产形势良好且稳定。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pPr>
              <w:pStyle w:val="9"/>
              <w:spacing w:line="364" w:lineRule="auto"/>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bottom w:val="single" w:color="auto" w:sz="4" w:space="0"/>
            </w:tcBorders>
            <w:noWrap w:val="0"/>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bottom w:val="single" w:color="auto" w:sz="4" w:space="0"/>
            </w:tcBorders>
            <w:noWrap w:val="0"/>
            <w:vAlign w:val="top"/>
          </w:tcPr>
          <w:p>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tcBorders>
              <w:bottom w:val="single" w:color="auto" w:sz="4" w:space="0"/>
            </w:tcBorders>
            <w:noWrap w:val="0"/>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tcBorders>
              <w:bottom w:val="single" w:color="auto" w:sz="4" w:space="0"/>
            </w:tcBorders>
            <w:noWrap w:val="0"/>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pStyle w:val="9"/>
              <w:spacing w:line="272" w:lineRule="auto"/>
              <w:rPr>
                <w:rFonts w:hint="eastAsia" w:ascii="宋体" w:hAnsi="宋体" w:eastAsia="宋体" w:cs="宋体"/>
              </w:rPr>
            </w:pPr>
          </w:p>
          <w:p>
            <w:pPr>
              <w:pStyle w:val="9"/>
              <w:spacing w:line="272" w:lineRule="auto"/>
              <w:rPr>
                <w:rFonts w:hint="eastAsia" w:ascii="宋体" w:hAnsi="宋体" w:eastAsia="宋体" w:cs="宋体"/>
              </w:rPr>
            </w:pPr>
          </w:p>
          <w:p>
            <w:pPr>
              <w:pStyle w:val="9"/>
              <w:spacing w:line="272" w:lineRule="auto"/>
              <w:rPr>
                <w:rFonts w:hint="eastAsia" w:ascii="宋体" w:hAnsi="宋体" w:eastAsia="宋体" w:cs="宋体"/>
              </w:rPr>
            </w:pPr>
          </w:p>
          <w:p>
            <w:pPr>
              <w:pStyle w:val="9"/>
              <w:spacing w:line="273" w:lineRule="auto"/>
              <w:rPr>
                <w:rFonts w:hint="eastAsia" w:ascii="宋体" w:hAnsi="宋体" w:eastAsia="宋体" w:cs="宋体"/>
              </w:rPr>
            </w:pPr>
          </w:p>
          <w:p>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pacing w:val="6"/>
                <w:kern w:val="2"/>
                <w:sz w:val="19"/>
                <w:szCs w:val="19"/>
                <w:lang w:val="en-US" w:eastAsia="zh-CN" w:bidi="ar-SA"/>
              </w:rPr>
              <w:t>中心城区垃圾清运立方数</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360000立方</w:t>
            </w:r>
          </w:p>
        </w:tc>
        <w:tc>
          <w:tcPr>
            <w:tcW w:w="1268" w:type="dxa"/>
            <w:tcBorders>
              <w:lef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360000立方</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jc w:val="center"/>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垃圾站压缩设备的大修、零部件更换、保养</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1100余次</w:t>
            </w:r>
          </w:p>
        </w:tc>
        <w:tc>
          <w:tcPr>
            <w:tcW w:w="1268" w:type="dxa"/>
            <w:tcBorders>
              <w:left w:val="single" w:color="auto" w:sz="4" w:space="0"/>
            </w:tcBorders>
            <w:noWrap w:val="0"/>
            <w:vAlign w:val="top"/>
          </w:tcPr>
          <w:p>
            <w:pPr>
              <w:pStyle w:val="9"/>
              <w:spacing w:line="235" w:lineRule="exact"/>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1100余次</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站点设施的检修维护</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2000余次</w:t>
            </w:r>
          </w:p>
        </w:tc>
        <w:tc>
          <w:tcPr>
            <w:tcW w:w="1268" w:type="dxa"/>
            <w:tcBorders>
              <w:left w:val="single" w:color="auto" w:sz="4" w:space="0"/>
            </w:tcBorders>
            <w:noWrap w:val="0"/>
            <w:vAlign w:val="top"/>
          </w:tcPr>
          <w:p>
            <w:pPr>
              <w:pStyle w:val="9"/>
              <w:spacing w:line="235" w:lineRule="exact"/>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2000余次</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各类安全巡查、检查次数</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default"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200余次</w:t>
            </w:r>
          </w:p>
        </w:tc>
        <w:tc>
          <w:tcPr>
            <w:tcW w:w="1268" w:type="dxa"/>
            <w:tcBorders>
              <w:left w:val="single" w:color="auto" w:sz="4" w:space="0"/>
            </w:tcBorders>
            <w:noWrap w:val="0"/>
            <w:vAlign w:val="top"/>
          </w:tcPr>
          <w:p>
            <w:pPr>
              <w:pStyle w:val="9"/>
              <w:spacing w:line="235" w:lineRule="exact"/>
              <w:rPr>
                <w:rFonts w:hint="eastAsia" w:ascii="宋体" w:hAnsi="宋体" w:eastAsia="宋体" w:cs="宋体"/>
                <w:spacing w:val="6"/>
                <w:kern w:val="2"/>
                <w:sz w:val="19"/>
                <w:szCs w:val="19"/>
                <w:lang w:val="en-US" w:eastAsia="zh-CN" w:bidi="ar-SA"/>
              </w:rPr>
            </w:pPr>
            <w:r>
              <w:rPr>
                <w:rFonts w:hint="eastAsia" w:ascii="宋体" w:hAnsi="宋体" w:eastAsia="宋体" w:cs="宋体"/>
                <w:spacing w:val="6"/>
                <w:kern w:val="2"/>
                <w:sz w:val="19"/>
                <w:szCs w:val="19"/>
                <w:lang w:val="en-US" w:eastAsia="zh-CN" w:bidi="ar-SA"/>
              </w:rPr>
              <w:t>200余次</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pacing w:val="6"/>
                <w:kern w:val="2"/>
                <w:sz w:val="19"/>
                <w:szCs w:val="19"/>
                <w:lang w:val="en-US" w:eastAsia="zh-CN" w:bidi="ar-SA"/>
              </w:rPr>
              <w:t>各类清运车辆保养台次</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pacing w:val="6"/>
                <w:kern w:val="2"/>
                <w:sz w:val="19"/>
                <w:szCs w:val="19"/>
                <w:lang w:val="en-US" w:eastAsia="zh-CN" w:bidi="ar-SA"/>
              </w:rPr>
              <w:t>50余台次</w:t>
            </w:r>
          </w:p>
        </w:tc>
        <w:tc>
          <w:tcPr>
            <w:tcW w:w="1268" w:type="dxa"/>
            <w:tcBorders>
              <w:lef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50余台次</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安全生产事故</w:t>
            </w:r>
          </w:p>
        </w:tc>
        <w:tc>
          <w:tcPr>
            <w:tcW w:w="1310" w:type="dxa"/>
            <w:tcBorders>
              <w:top w:val="single" w:color="auto" w:sz="4" w:space="0"/>
              <w:left w:val="single" w:color="auto" w:sz="4" w:space="0"/>
              <w:bottom w:val="single" w:color="auto" w:sz="4" w:space="0"/>
              <w:righ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0例</w:t>
            </w:r>
          </w:p>
        </w:tc>
        <w:tc>
          <w:tcPr>
            <w:tcW w:w="1268" w:type="dxa"/>
            <w:tcBorders>
              <w:lef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0例</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nil"/>
            </w:tcBorders>
            <w:noWrap w:val="0"/>
            <w:vAlign w:val="top"/>
          </w:tcPr>
          <w:p>
            <w:pPr>
              <w:pStyle w:val="9"/>
              <w:rPr>
                <w:rFonts w:hint="eastAsia" w:ascii="宋体" w:hAnsi="宋体" w:eastAsia="宋体" w:cs="宋体"/>
              </w:rPr>
            </w:pPr>
          </w:p>
        </w:tc>
        <w:tc>
          <w:tcPr>
            <w:tcW w:w="1269" w:type="dxa"/>
            <w:tcBorders>
              <w:top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中心城区垃圾清运及时率</w:t>
            </w:r>
          </w:p>
        </w:tc>
        <w:tc>
          <w:tcPr>
            <w:tcW w:w="1310" w:type="dxa"/>
            <w:tcBorders>
              <w:top w:val="single" w:color="auto" w:sz="4" w:space="0"/>
            </w:tcBorders>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100%</w:t>
            </w:r>
          </w:p>
        </w:tc>
        <w:tc>
          <w:tcPr>
            <w:tcW w:w="1268"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100%</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nil"/>
            </w:tcBorders>
            <w:noWrap w:val="0"/>
            <w:vAlign w:val="top"/>
          </w:tcPr>
          <w:p>
            <w:pPr>
              <w:pStyle w:val="9"/>
              <w:rPr>
                <w:rFonts w:hint="eastAsia" w:ascii="宋体" w:hAnsi="宋体" w:eastAsia="宋体" w:cs="宋体"/>
              </w:rPr>
            </w:pPr>
          </w:p>
        </w:tc>
        <w:tc>
          <w:tcPr>
            <w:tcW w:w="1269" w:type="dxa"/>
            <w:tcBorders>
              <w:top w:val="single" w:color="auto" w:sz="4" w:space="0"/>
            </w:tcBorders>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z w:val="20"/>
                <w:lang w:val="en-US" w:eastAsia="zh-CN"/>
              </w:rPr>
              <w:t>安全生产月度讲评工作会议参与率</w:t>
            </w:r>
          </w:p>
        </w:tc>
        <w:tc>
          <w:tcPr>
            <w:tcW w:w="1310" w:type="dxa"/>
            <w:tcBorders>
              <w:top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100%</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pacing w:val="6"/>
                <w:kern w:val="2"/>
                <w:sz w:val="19"/>
                <w:szCs w:val="19"/>
                <w:lang w:val="en-US" w:eastAsia="zh-CN" w:bidi="ar-SA"/>
              </w:rPr>
              <w:t>3月、5月、7月和10月召开安全生产月度讲评和培训</w:t>
            </w:r>
          </w:p>
        </w:tc>
        <w:tc>
          <w:tcPr>
            <w:tcW w:w="1310"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已开展</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已开展</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pacing w:val="6"/>
                <w:kern w:val="2"/>
                <w:sz w:val="19"/>
                <w:szCs w:val="19"/>
                <w:lang w:val="en-US" w:eastAsia="zh-CN" w:bidi="ar-SA"/>
              </w:rPr>
              <w:t>每周半天时间对无物业管理小区进行垃圾清理</w:t>
            </w:r>
          </w:p>
        </w:tc>
        <w:tc>
          <w:tcPr>
            <w:tcW w:w="1310"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每周半天时间</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将工作做到实处，受到居民的一致好评</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不超过年初预算投入</w:t>
            </w:r>
          </w:p>
        </w:tc>
        <w:tc>
          <w:tcPr>
            <w:tcW w:w="1310" w:type="dxa"/>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z w:val="20"/>
                <w:lang w:val="en-US" w:eastAsia="zh-CN"/>
              </w:rPr>
              <w:t>2468.63万元</w:t>
            </w:r>
          </w:p>
        </w:tc>
        <w:tc>
          <w:tcPr>
            <w:tcW w:w="1268" w:type="dxa"/>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z w:val="20"/>
                <w:lang w:val="en-US" w:eastAsia="zh-CN"/>
              </w:rPr>
              <w:t>2466.61万元</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全年共收缴党费</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8508元</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8508元</w:t>
            </w:r>
          </w:p>
        </w:tc>
        <w:tc>
          <w:tcPr>
            <w:tcW w:w="716"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高标准完成全国爱卫复审迎检工作以及洞庭渔火季等闹热经济活动保障工作</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高标准完成</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我所调整工作模式，要求车辆驾驶员和垃圾站管理员视垃圾量弹性延长工作时间，早上提前至4点、晚上延长至11点，确保站点垃圾不积压、不满溢，做到垃圾日产日清</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pacing w:val="6"/>
                <w:kern w:val="2"/>
                <w:sz w:val="19"/>
                <w:szCs w:val="19"/>
                <w:lang w:val="en-US" w:eastAsia="zh-CN" w:bidi="ar-SA"/>
              </w:rPr>
              <w:t>推进垃圾清运工作高质量发展</w:t>
            </w:r>
          </w:p>
        </w:tc>
        <w:tc>
          <w:tcPr>
            <w:tcW w:w="1310" w:type="dxa"/>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z w:val="20"/>
                <w:lang w:val="en-US" w:eastAsia="zh-CN"/>
              </w:rPr>
              <w:t>显著推进</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pacing w:val="6"/>
                <w:kern w:val="2"/>
                <w:sz w:val="19"/>
                <w:szCs w:val="19"/>
                <w:lang w:val="en-US" w:eastAsia="zh-CN" w:bidi="ar-SA"/>
              </w:rPr>
              <w:t>2023年10月，被岳阳市城市管理和综合执法局授予“岳阳市环卫行业先进集体”荣誉称号</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noWrap w:val="0"/>
            <w:vAlign w:val="top"/>
          </w:tcPr>
          <w:p>
            <w:pPr>
              <w:pStyle w:val="9"/>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spacing w:val="6"/>
                <w:kern w:val="2"/>
                <w:sz w:val="19"/>
                <w:szCs w:val="19"/>
                <w:lang w:val="en-US" w:eastAsia="zh-CN" w:bidi="ar-SA"/>
              </w:rPr>
              <w:t>强化站厕日常管理</w:t>
            </w:r>
          </w:p>
        </w:tc>
        <w:tc>
          <w:tcPr>
            <w:tcW w:w="1310"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显著加强</w:t>
            </w:r>
          </w:p>
        </w:tc>
        <w:tc>
          <w:tcPr>
            <w:tcW w:w="1268" w:type="dxa"/>
            <w:noWrap w:val="0"/>
            <w:vAlign w:val="top"/>
          </w:tcPr>
          <w:p>
            <w:pPr>
              <w:pStyle w:val="9"/>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kern w:val="2"/>
                <w:sz w:val="20"/>
                <w:szCs w:val="21"/>
                <w:lang w:val="en-US" w:eastAsia="en-US" w:bidi="ar-SA"/>
              </w:rPr>
            </w:pPr>
            <w:r>
              <w:rPr>
                <w:rFonts w:hint="eastAsia" w:ascii="宋体" w:hAnsi="宋体" w:eastAsia="宋体" w:cs="宋体"/>
                <w:spacing w:val="6"/>
                <w:kern w:val="2"/>
                <w:sz w:val="19"/>
                <w:szCs w:val="19"/>
                <w:lang w:val="en-US" w:eastAsia="zh-CN" w:bidi="ar-SA"/>
              </w:rPr>
              <w:t>加强站内大厢等设施设备清洗力度，及时冲刷污水，杜绝脏乱差；提高药剂喷洒次数，加强卫生消杀，避免臭气扰民；及时劝离运输通道违停的社会车辆，确保运输车辆顺利进、出；加强清运车辆出站后站外地坪卫生清扫，清理杂物不堆积。</w:t>
            </w:r>
          </w:p>
        </w:tc>
        <w:tc>
          <w:tcPr>
            <w:tcW w:w="716"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10</w:t>
            </w:r>
          </w:p>
        </w:tc>
        <w:tc>
          <w:tcPr>
            <w:tcW w:w="873"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10</w:t>
            </w:r>
          </w:p>
        </w:tc>
        <w:tc>
          <w:tcPr>
            <w:tcW w:w="1450"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bottom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群众对单位满意度</w:t>
            </w:r>
          </w:p>
        </w:tc>
        <w:tc>
          <w:tcPr>
            <w:tcW w:w="1310"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95%</w:t>
            </w:r>
          </w:p>
        </w:tc>
        <w:tc>
          <w:tcPr>
            <w:tcW w:w="1268" w:type="dxa"/>
            <w:noWrap w:val="0"/>
            <w:vAlign w:val="top"/>
          </w:tcPr>
          <w:p>
            <w:pPr>
              <w:pStyle w:val="9"/>
              <w:rPr>
                <w:rFonts w:hint="eastAsia" w:ascii="宋体" w:hAnsi="宋体" w:eastAsia="宋体" w:cs="宋体"/>
              </w:rPr>
            </w:pPr>
            <w:r>
              <w:rPr>
                <w:rFonts w:hint="eastAsia" w:ascii="宋体" w:hAnsi="宋体" w:eastAsia="宋体" w:cs="宋体"/>
                <w:lang w:val="en-US" w:eastAsia="zh-CN"/>
              </w:rPr>
              <w:t>95%</w:t>
            </w:r>
          </w:p>
        </w:tc>
        <w:tc>
          <w:tcPr>
            <w:tcW w:w="716"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1269"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职工对单位满意度</w:t>
            </w:r>
          </w:p>
        </w:tc>
        <w:tc>
          <w:tcPr>
            <w:tcW w:w="1310" w:type="dxa"/>
            <w:noWrap w:val="0"/>
            <w:vAlign w:val="top"/>
          </w:tcPr>
          <w:p>
            <w:pPr>
              <w:pStyle w:val="9"/>
              <w:rPr>
                <w:rFonts w:hint="eastAsia" w:ascii="宋体" w:hAnsi="宋体" w:eastAsia="宋体" w:cs="宋体"/>
              </w:rPr>
            </w:pPr>
            <w:r>
              <w:rPr>
                <w:rFonts w:hint="eastAsia" w:ascii="宋体" w:hAnsi="宋体" w:eastAsia="宋体" w:cs="宋体"/>
                <w:lang w:val="en-US" w:eastAsia="zh-CN"/>
              </w:rPr>
              <w:t>95%</w:t>
            </w:r>
          </w:p>
        </w:tc>
        <w:tc>
          <w:tcPr>
            <w:tcW w:w="1268" w:type="dxa"/>
            <w:noWrap w:val="0"/>
            <w:vAlign w:val="top"/>
          </w:tcPr>
          <w:p>
            <w:pPr>
              <w:pStyle w:val="9"/>
              <w:rPr>
                <w:rFonts w:hint="eastAsia" w:ascii="宋体" w:hAnsi="宋体" w:eastAsia="宋体" w:cs="宋体"/>
              </w:rPr>
            </w:pPr>
            <w:r>
              <w:rPr>
                <w:rFonts w:hint="eastAsia" w:ascii="宋体" w:hAnsi="宋体" w:eastAsia="宋体" w:cs="宋体"/>
                <w:lang w:val="en-US" w:eastAsia="zh-CN"/>
              </w:rPr>
              <w:t>95%</w:t>
            </w:r>
          </w:p>
        </w:tc>
        <w:tc>
          <w:tcPr>
            <w:tcW w:w="716"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99.66</w:t>
            </w:r>
            <w:bookmarkStart w:id="0" w:name="_GoBack"/>
            <w:bookmarkEnd w:id="0"/>
          </w:p>
        </w:tc>
        <w:tc>
          <w:tcPr>
            <w:tcW w:w="1450" w:type="dxa"/>
            <w:noWrap w:val="0"/>
            <w:vAlign w:val="top"/>
          </w:tcPr>
          <w:p>
            <w:pPr>
              <w:pStyle w:val="9"/>
              <w:rPr>
                <w:rFonts w:hint="eastAsia" w:ascii="宋体" w:hAnsi="宋体" w:eastAsia="宋体" w:cs="宋体"/>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周冬香</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0730</w:t>
      </w:r>
      <w:r>
        <w:rPr>
          <w:rFonts w:hint="eastAsia" w:ascii="宋体" w:hAnsi="宋体" w:eastAsia="宋体" w:cs="宋体"/>
          <w:color w:val="000000"/>
          <w:spacing w:val="0"/>
          <w:position w:val="0"/>
          <w:sz w:val="23"/>
          <w:szCs w:val="23"/>
        </w:rPr>
        <w:t>8631007  填报日期：</w:t>
      </w:r>
      <w:r>
        <w:rPr>
          <w:rFonts w:hint="eastAsia" w:ascii="宋体" w:hAnsi="宋体" w:eastAsia="宋体" w:cs="宋体"/>
          <w:color w:val="000000"/>
          <w:spacing w:val="0"/>
          <w:position w:val="0"/>
          <w:sz w:val="23"/>
          <w:szCs w:val="23"/>
          <w:lang w:val="en-US" w:eastAsia="zh-CN"/>
        </w:rPr>
        <w:t>2024-05-25</w:t>
      </w:r>
    </w:p>
    <w:p>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spacing w:before="61" w:line="241" w:lineRule="auto"/>
              <w:ind w:right="141"/>
              <w:jc w:val="both"/>
              <w:rPr>
                <w:rFonts w:hint="eastAsia" w:ascii="宋体" w:hAnsi="宋体" w:cs="宋体"/>
                <w:sz w:val="19"/>
                <w:szCs w:val="19"/>
                <w:lang w:eastAsia="zh-CN"/>
              </w:rPr>
            </w:pPr>
          </w:p>
          <w:p>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pPr>
              <w:pStyle w:val="9"/>
              <w:rPr>
                <w:rFonts w:hint="eastAsia" w:ascii="宋体" w:hAnsi="宋体" w:eastAsia="宋体" w:cs="宋体"/>
              </w:rPr>
            </w:pPr>
          </w:p>
        </w:tc>
        <w:tc>
          <w:tcPr>
            <w:tcW w:w="1244" w:type="dxa"/>
            <w:noWrap w:val="0"/>
            <w:vAlign w:val="top"/>
          </w:tcPr>
          <w:p>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2034" w:type="dxa"/>
            <w:gridSpan w:val="2"/>
            <w:noWrap w:val="0"/>
            <w:vAlign w:val="top"/>
          </w:tcPr>
          <w:p>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44"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673" w:type="dxa"/>
            <w:noWrap w:val="0"/>
            <w:vAlign w:val="top"/>
          </w:tcPr>
          <w:p>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2034" w:type="dxa"/>
            <w:gridSpan w:val="2"/>
            <w:noWrap w:val="0"/>
            <w:vAlign w:val="top"/>
          </w:tcPr>
          <w:p>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pPr>
              <w:pStyle w:val="9"/>
              <w:rPr>
                <w:rFonts w:hint="eastAsia" w:ascii="宋体" w:hAnsi="宋体" w:eastAsia="宋体" w:cs="宋体"/>
              </w:rPr>
            </w:pPr>
          </w:p>
        </w:tc>
        <w:tc>
          <w:tcPr>
            <w:tcW w:w="1244" w:type="dxa"/>
            <w:noWrap w:val="0"/>
            <w:vAlign w:val="top"/>
          </w:tcPr>
          <w:p>
            <w:pPr>
              <w:pStyle w:val="9"/>
              <w:rPr>
                <w:rFonts w:hint="eastAsia" w:ascii="宋体" w:hAnsi="宋体" w:eastAsia="宋体" w:cs="宋体"/>
              </w:rPr>
            </w:pPr>
          </w:p>
        </w:tc>
        <w:tc>
          <w:tcPr>
            <w:tcW w:w="1281" w:type="dxa"/>
            <w:noWrap w:val="0"/>
            <w:vAlign w:val="top"/>
          </w:tcPr>
          <w:p>
            <w:pPr>
              <w:pStyle w:val="9"/>
              <w:rPr>
                <w:rFonts w:hint="eastAsia" w:ascii="宋体" w:hAnsi="宋体" w:eastAsia="宋体" w:cs="宋体"/>
              </w:rPr>
            </w:pPr>
          </w:p>
        </w:tc>
        <w:tc>
          <w:tcPr>
            <w:tcW w:w="673" w:type="dxa"/>
            <w:noWrap w:val="0"/>
            <w:vAlign w:val="top"/>
          </w:tcPr>
          <w:p>
            <w:pPr>
              <w:pStyle w:val="9"/>
              <w:rPr>
                <w:rFonts w:hint="eastAsia" w:ascii="宋体" w:hAnsi="宋体" w:eastAsia="宋体" w:cs="宋体"/>
              </w:rPr>
            </w:pP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2034" w:type="dxa"/>
            <w:gridSpan w:val="2"/>
            <w:noWrap w:val="0"/>
            <w:vAlign w:val="top"/>
          </w:tcPr>
          <w:p>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pPr>
              <w:pStyle w:val="9"/>
              <w:rPr>
                <w:rFonts w:hint="eastAsia" w:ascii="宋体" w:hAnsi="宋体" w:eastAsia="宋体" w:cs="宋体"/>
              </w:rPr>
            </w:pPr>
          </w:p>
        </w:tc>
        <w:tc>
          <w:tcPr>
            <w:tcW w:w="1244" w:type="dxa"/>
            <w:noWrap w:val="0"/>
            <w:vAlign w:val="top"/>
          </w:tcPr>
          <w:p>
            <w:pPr>
              <w:pStyle w:val="9"/>
              <w:rPr>
                <w:rFonts w:hint="eastAsia" w:ascii="宋体" w:hAnsi="宋体" w:eastAsia="宋体" w:cs="宋体"/>
              </w:rPr>
            </w:pPr>
          </w:p>
        </w:tc>
        <w:tc>
          <w:tcPr>
            <w:tcW w:w="1281" w:type="dxa"/>
            <w:noWrap w:val="0"/>
            <w:vAlign w:val="top"/>
          </w:tcPr>
          <w:p>
            <w:pPr>
              <w:pStyle w:val="9"/>
              <w:rPr>
                <w:rFonts w:hint="eastAsia" w:ascii="宋体" w:hAnsi="宋体" w:eastAsia="宋体" w:cs="宋体"/>
              </w:rPr>
            </w:pPr>
          </w:p>
        </w:tc>
        <w:tc>
          <w:tcPr>
            <w:tcW w:w="673" w:type="dxa"/>
            <w:noWrap w:val="0"/>
            <w:vAlign w:val="top"/>
          </w:tcPr>
          <w:p>
            <w:pPr>
              <w:pStyle w:val="9"/>
              <w:rPr>
                <w:rFonts w:hint="eastAsia" w:ascii="宋体" w:hAnsi="宋体" w:eastAsia="宋体" w:cs="宋体"/>
              </w:rPr>
            </w:pP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pPr>
              <w:pStyle w:val="9"/>
              <w:rPr>
                <w:rFonts w:hint="eastAsia" w:ascii="宋体" w:hAnsi="宋体" w:eastAsia="宋体" w:cs="宋体"/>
              </w:rPr>
            </w:pPr>
          </w:p>
        </w:tc>
        <w:tc>
          <w:tcPr>
            <w:tcW w:w="2034" w:type="dxa"/>
            <w:gridSpan w:val="2"/>
            <w:noWrap w:val="0"/>
            <w:vAlign w:val="top"/>
          </w:tcPr>
          <w:p>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pPr>
              <w:pStyle w:val="9"/>
              <w:rPr>
                <w:rFonts w:hint="eastAsia" w:ascii="宋体" w:hAnsi="宋体" w:eastAsia="宋体" w:cs="宋体"/>
              </w:rPr>
            </w:pPr>
          </w:p>
        </w:tc>
        <w:tc>
          <w:tcPr>
            <w:tcW w:w="1244" w:type="dxa"/>
            <w:noWrap w:val="0"/>
            <w:vAlign w:val="top"/>
          </w:tcPr>
          <w:p>
            <w:pPr>
              <w:pStyle w:val="9"/>
              <w:rPr>
                <w:rFonts w:hint="eastAsia" w:ascii="宋体" w:hAnsi="宋体" w:eastAsia="宋体" w:cs="宋体"/>
              </w:rPr>
            </w:pPr>
          </w:p>
        </w:tc>
        <w:tc>
          <w:tcPr>
            <w:tcW w:w="1281" w:type="dxa"/>
            <w:noWrap w:val="0"/>
            <w:vAlign w:val="top"/>
          </w:tcPr>
          <w:p>
            <w:pPr>
              <w:pStyle w:val="9"/>
              <w:rPr>
                <w:rFonts w:hint="eastAsia" w:ascii="宋体" w:hAnsi="宋体" w:eastAsia="宋体" w:cs="宋体"/>
              </w:rPr>
            </w:pPr>
          </w:p>
        </w:tc>
        <w:tc>
          <w:tcPr>
            <w:tcW w:w="673" w:type="dxa"/>
            <w:noWrap w:val="0"/>
            <w:vAlign w:val="top"/>
          </w:tcPr>
          <w:p>
            <w:pPr>
              <w:pStyle w:val="9"/>
              <w:rPr>
                <w:rFonts w:hint="eastAsia" w:ascii="宋体" w:hAnsi="宋体" w:eastAsia="宋体" w:cs="宋体"/>
              </w:rPr>
            </w:pP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pPr>
              <w:pStyle w:val="9"/>
              <w:rPr>
                <w:rFonts w:hint="eastAsia" w:ascii="宋体" w:hAnsi="宋体" w:eastAsia="宋体" w:cs="宋体"/>
              </w:rPr>
            </w:pPr>
          </w:p>
        </w:tc>
        <w:tc>
          <w:tcPr>
            <w:tcW w:w="4522" w:type="dxa"/>
            <w:gridSpan w:val="4"/>
            <w:noWrap w:val="0"/>
            <w:vAlign w:val="top"/>
          </w:tcPr>
          <w:p>
            <w:pPr>
              <w:pStyle w:val="9"/>
              <w:rPr>
                <w:rFonts w:hint="eastAsia" w:ascii="宋体" w:hAnsi="宋体" w:eastAsia="宋体" w:cs="宋体"/>
              </w:rPr>
            </w:pPr>
          </w:p>
        </w:tc>
        <w:tc>
          <w:tcPr>
            <w:tcW w:w="4249" w:type="dxa"/>
            <w:gridSpan w:val="4"/>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pPr>
              <w:pStyle w:val="9"/>
              <w:spacing w:line="366" w:lineRule="auto"/>
              <w:rPr>
                <w:rFonts w:hint="eastAsia" w:ascii="宋体" w:hAnsi="宋体" w:eastAsia="宋体" w:cs="宋体"/>
              </w:rPr>
            </w:pPr>
          </w:p>
          <w:p>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restart"/>
            <w:tcBorders>
              <w:bottom w:val="nil"/>
            </w:tcBorders>
            <w:noWrap w:val="0"/>
            <w:vAlign w:val="top"/>
          </w:tcPr>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7" w:lineRule="auto"/>
              <w:rPr>
                <w:rFonts w:hint="eastAsia" w:ascii="宋体" w:hAnsi="宋体" w:eastAsia="宋体" w:cs="宋体"/>
              </w:rPr>
            </w:pPr>
          </w:p>
          <w:p>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pPr>
              <w:spacing w:before="126" w:line="239" w:lineRule="auto"/>
              <w:ind w:left="379" w:right="175" w:hanging="192"/>
              <w:rPr>
                <w:rFonts w:hint="eastAsia" w:ascii="宋体" w:hAnsi="宋体" w:eastAsia="宋体" w:cs="宋体"/>
                <w:sz w:val="19"/>
                <w:szCs w:val="19"/>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bottom w:val="nil"/>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tcBorders>
            <w:noWrap w:val="0"/>
            <w:vAlign w:val="top"/>
          </w:tcPr>
          <w:p>
            <w:pPr>
              <w:pStyle w:val="9"/>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pPr>
              <w:spacing w:before="126" w:line="239" w:lineRule="auto"/>
              <w:ind w:left="379" w:right="175" w:hanging="196"/>
              <w:rPr>
                <w:rFonts w:hint="eastAsia" w:ascii="宋体" w:hAnsi="宋体" w:eastAsia="宋体" w:cs="宋体"/>
                <w:sz w:val="19"/>
                <w:szCs w:val="19"/>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bottom w:val="nil"/>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tcBorders>
            <w:noWrap w:val="0"/>
            <w:vAlign w:val="top"/>
          </w:tcPr>
          <w:p>
            <w:pPr>
              <w:pStyle w:val="9"/>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restart"/>
            <w:tcBorders>
              <w:bottom w:val="nil"/>
            </w:tcBorders>
            <w:noWrap w:val="0"/>
            <w:vAlign w:val="top"/>
          </w:tcPr>
          <w:p>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pPr>
              <w:spacing w:before="126" w:line="239" w:lineRule="auto"/>
              <w:ind w:left="379" w:right="175" w:hanging="178"/>
              <w:rPr>
                <w:rFonts w:hint="eastAsia" w:ascii="宋体" w:hAnsi="宋体" w:eastAsia="宋体" w:cs="宋体"/>
                <w:sz w:val="19"/>
                <w:szCs w:val="19"/>
              </w:rPr>
            </w:pPr>
          </w:p>
        </w:tc>
        <w:tc>
          <w:tcPr>
            <w:tcW w:w="1244" w:type="dxa"/>
            <w:noWrap w:val="0"/>
            <w:vAlign w:val="top"/>
          </w:tcPr>
          <w:p>
            <w:pPr>
              <w:pStyle w:val="9"/>
              <w:spacing w:line="224" w:lineRule="exact"/>
              <w:rPr>
                <w:rFonts w:hint="eastAsia" w:ascii="宋体" w:hAnsi="宋体" w:eastAsia="宋体" w:cs="宋体"/>
                <w:sz w:val="19"/>
              </w:rPr>
            </w:pPr>
          </w:p>
        </w:tc>
        <w:tc>
          <w:tcPr>
            <w:tcW w:w="1244" w:type="dxa"/>
            <w:noWrap w:val="0"/>
            <w:vAlign w:val="top"/>
          </w:tcPr>
          <w:p>
            <w:pPr>
              <w:pStyle w:val="9"/>
              <w:spacing w:line="224" w:lineRule="exact"/>
              <w:rPr>
                <w:rFonts w:hint="eastAsia" w:ascii="宋体" w:hAnsi="宋体" w:eastAsia="宋体" w:cs="宋体"/>
                <w:sz w:val="19"/>
              </w:rPr>
            </w:pPr>
          </w:p>
        </w:tc>
        <w:tc>
          <w:tcPr>
            <w:tcW w:w="1281" w:type="dxa"/>
            <w:noWrap w:val="0"/>
            <w:vAlign w:val="top"/>
          </w:tcPr>
          <w:p>
            <w:pPr>
              <w:pStyle w:val="9"/>
              <w:spacing w:line="224" w:lineRule="exact"/>
              <w:rPr>
                <w:rFonts w:hint="eastAsia" w:ascii="宋体" w:hAnsi="宋体" w:eastAsia="宋体" w:cs="宋体"/>
                <w:sz w:val="19"/>
              </w:rPr>
            </w:pPr>
          </w:p>
        </w:tc>
        <w:tc>
          <w:tcPr>
            <w:tcW w:w="673" w:type="dxa"/>
            <w:noWrap w:val="0"/>
            <w:vAlign w:val="top"/>
          </w:tcPr>
          <w:p>
            <w:pPr>
              <w:pStyle w:val="9"/>
              <w:spacing w:line="224" w:lineRule="exact"/>
              <w:rPr>
                <w:rFonts w:hint="eastAsia" w:ascii="宋体" w:hAnsi="宋体" w:eastAsia="宋体" w:cs="宋体"/>
                <w:sz w:val="19"/>
              </w:rPr>
            </w:pPr>
          </w:p>
        </w:tc>
        <w:tc>
          <w:tcPr>
            <w:tcW w:w="873" w:type="dxa"/>
            <w:noWrap w:val="0"/>
            <w:vAlign w:val="top"/>
          </w:tcPr>
          <w:p>
            <w:pPr>
              <w:pStyle w:val="9"/>
              <w:spacing w:line="224" w:lineRule="exact"/>
              <w:rPr>
                <w:rFonts w:hint="eastAsia" w:ascii="宋体" w:hAnsi="宋体" w:eastAsia="宋体" w:cs="宋体"/>
                <w:sz w:val="19"/>
              </w:rPr>
            </w:pPr>
          </w:p>
        </w:tc>
        <w:tc>
          <w:tcPr>
            <w:tcW w:w="1422" w:type="dxa"/>
            <w:noWrap w:val="0"/>
            <w:vAlign w:val="top"/>
          </w:tcPr>
          <w:p>
            <w:pPr>
              <w:pStyle w:val="9"/>
              <w:spacing w:line="224"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bottom w:val="nil"/>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tcBorders>
            <w:noWrap w:val="0"/>
            <w:vAlign w:val="top"/>
          </w:tcPr>
          <w:p>
            <w:pPr>
              <w:pStyle w:val="9"/>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pPr>
              <w:spacing w:before="127" w:line="239" w:lineRule="auto"/>
              <w:ind w:left="379" w:right="175" w:hanging="192"/>
              <w:rPr>
                <w:rFonts w:hint="eastAsia" w:ascii="宋体" w:hAnsi="宋体" w:eastAsia="宋体" w:cs="宋体"/>
                <w:sz w:val="19"/>
                <w:szCs w:val="19"/>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bottom w:val="nil"/>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single" w:color="auto" w:sz="4" w:space="0"/>
            </w:tcBorders>
            <w:noWrap w:val="0"/>
            <w:vAlign w:val="top"/>
          </w:tcPr>
          <w:p>
            <w:pPr>
              <w:pStyle w:val="9"/>
              <w:rPr>
                <w:rFonts w:hint="eastAsia" w:ascii="宋体" w:hAnsi="宋体" w:eastAsia="宋体" w:cs="宋体"/>
              </w:rPr>
            </w:pPr>
          </w:p>
        </w:tc>
        <w:tc>
          <w:tcPr>
            <w:tcW w:w="955" w:type="dxa"/>
            <w:vMerge w:val="continue"/>
            <w:tcBorders>
              <w:top w:val="nil"/>
              <w:bottom w:val="single" w:color="auto" w:sz="4" w:space="0"/>
            </w:tcBorders>
            <w:noWrap w:val="0"/>
            <w:vAlign w:val="top"/>
          </w:tcPr>
          <w:p>
            <w:pPr>
              <w:pStyle w:val="9"/>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pPr>
              <w:pStyle w:val="9"/>
              <w:spacing w:line="315" w:lineRule="auto"/>
              <w:rPr>
                <w:rFonts w:hint="eastAsia" w:ascii="宋体" w:hAnsi="宋体" w:eastAsia="宋体" w:cs="宋体"/>
              </w:rPr>
            </w:pPr>
          </w:p>
          <w:p>
            <w:pPr>
              <w:pStyle w:val="9"/>
              <w:spacing w:line="315" w:lineRule="auto"/>
              <w:rPr>
                <w:rFonts w:hint="eastAsia" w:ascii="宋体" w:hAnsi="宋体" w:eastAsia="宋体" w:cs="宋体"/>
              </w:rPr>
            </w:pPr>
          </w:p>
          <w:p>
            <w:pPr>
              <w:pStyle w:val="9"/>
              <w:spacing w:line="315" w:lineRule="auto"/>
              <w:rPr>
                <w:rFonts w:hint="eastAsia" w:ascii="宋体" w:hAnsi="宋体" w:eastAsia="宋体" w:cs="宋体"/>
              </w:rPr>
            </w:pPr>
          </w:p>
          <w:p>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tcBorders>
              <w:bottom w:val="nil"/>
              <w:right w:val="single" w:color="auto" w:sz="4" w:space="0"/>
            </w:tcBorders>
            <w:noWrap w:val="0"/>
            <w:vAlign w:val="top"/>
          </w:tcPr>
          <w:p>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pPr>
              <w:pStyle w:val="9"/>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1244" w:type="dxa"/>
            <w:noWrap w:val="0"/>
            <w:vAlign w:val="top"/>
          </w:tcPr>
          <w:p>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rPr>
                <w:rFonts w:hint="eastAsia" w:ascii="宋体" w:hAnsi="宋体" w:eastAsia="宋体" w:cs="宋体"/>
              </w:rPr>
            </w:pPr>
          </w:p>
        </w:tc>
        <w:tc>
          <w:tcPr>
            <w:tcW w:w="1281" w:type="dxa"/>
            <w:noWrap w:val="0"/>
            <w:vAlign w:val="top"/>
          </w:tcPr>
          <w:p>
            <w:pPr>
              <w:pStyle w:val="9"/>
              <w:rPr>
                <w:rFonts w:hint="eastAsia" w:ascii="宋体" w:hAnsi="宋体" w:eastAsia="宋体" w:cs="宋体"/>
              </w:rPr>
            </w:pPr>
          </w:p>
        </w:tc>
        <w:tc>
          <w:tcPr>
            <w:tcW w:w="673" w:type="dxa"/>
            <w:noWrap w:val="0"/>
            <w:vAlign w:val="top"/>
          </w:tcPr>
          <w:p>
            <w:pPr>
              <w:pStyle w:val="9"/>
              <w:rPr>
                <w:rFonts w:hint="eastAsia" w:ascii="宋体" w:hAnsi="宋体" w:eastAsia="宋体" w:cs="宋体"/>
              </w:rPr>
            </w:pP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bl>
    <w:p>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pPr>
        <w:spacing w:line="217" w:lineRule="auto"/>
        <w:rPr>
          <w:sz w:val="22"/>
          <w:szCs w:val="22"/>
        </w:rPr>
      </w:pPr>
    </w:p>
    <w:p>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hint="eastAsia" w:ascii="Times New Roman" w:hAnsi="Times New Roman" w:eastAsia="宋体" w:cs="Times New Roman"/>
          <w:spacing w:val="-4"/>
          <w:sz w:val="31"/>
          <w:szCs w:val="31"/>
          <w:lang w:val="en-US" w:eastAsia="zh-CN"/>
        </w:rPr>
        <w:t>4</w:t>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val="en-US"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w:t>
      </w:r>
      <w:r>
        <w:rPr>
          <w:rFonts w:hint="eastAsia" w:ascii="方正小标宋简体" w:hAnsi="方正小标宋简体" w:eastAsia="方正小标宋简体" w:cs="方正小标宋简体"/>
          <w:b w:val="0"/>
          <w:bCs w:val="0"/>
          <w:color w:val="000000"/>
          <w:spacing w:val="2"/>
          <w:sz w:val="42"/>
          <w:szCs w:val="42"/>
          <w:lang w:val="en-US" w:eastAsia="zh-CN"/>
        </w:rPr>
        <w:t>岳阳市城市垃圾清运管理所</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单位整体支出绩效自评报告</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2"/>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05</w:t>
      </w:r>
      <w:r>
        <w:rPr>
          <w:rFonts w:ascii="楷体" w:hAnsi="楷体" w:eastAsia="楷体" w:cs="楷体"/>
          <w:spacing w:val="-8"/>
          <w:sz w:val="31"/>
          <w:szCs w:val="31"/>
        </w:rPr>
        <w:t>月</w:t>
      </w:r>
      <w:r>
        <w:rPr>
          <w:rFonts w:hint="eastAsia" w:ascii="楷体" w:hAnsi="楷体" w:eastAsia="楷体" w:cs="楷体"/>
          <w:spacing w:val="43"/>
          <w:sz w:val="31"/>
          <w:szCs w:val="31"/>
          <w:lang w:val="en-US" w:eastAsia="zh-CN"/>
        </w:rPr>
        <w:t>25</w:t>
      </w:r>
      <w:r>
        <w:rPr>
          <w:rFonts w:ascii="楷体" w:hAnsi="楷体" w:eastAsia="楷体" w:cs="楷体"/>
          <w:spacing w:val="-8"/>
          <w:sz w:val="31"/>
          <w:szCs w:val="31"/>
        </w:rPr>
        <w:t>日</w:t>
      </w:r>
    </w:p>
    <w:p>
      <w:pPr>
        <w:spacing w:line="335" w:lineRule="auto"/>
        <w:rPr>
          <w:rFonts w:ascii="Arial"/>
          <w:sz w:val="21"/>
        </w:rPr>
      </w:pPr>
    </w:p>
    <w:p>
      <w:pPr>
        <w:spacing w:line="224" w:lineRule="auto"/>
        <w:sectPr>
          <w:footerReference r:id="rId7" w:type="default"/>
          <w:pgSz w:w="11900" w:h="16833"/>
          <w:pgMar w:top="1401" w:right="1583" w:bottom="1445" w:left="1618" w:header="0" w:footer="1170" w:gutter="0"/>
          <w:pgNumType w:fmt="decimal"/>
          <w:cols w:space="720" w:num="1"/>
        </w:sect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b w:val="0"/>
          <w:bCs w:val="0"/>
          <w:color w:val="000000"/>
          <w:spacing w:val="2"/>
          <w:sz w:val="42"/>
          <w:szCs w:val="42"/>
          <w:lang w:val="en-US" w:eastAsia="zh-CN"/>
        </w:rPr>
      </w:pPr>
      <w:r>
        <w:rPr>
          <w:rFonts w:hint="eastAsia" w:ascii="方正小标宋简体" w:hAnsi="方正小标宋简体" w:eastAsia="方正小标宋简体" w:cs="方正小标宋简体"/>
          <w:spacing w:val="6"/>
          <w:sz w:val="44"/>
          <w:szCs w:val="44"/>
        </w:rPr>
        <w:t>2023 年度</w:t>
      </w:r>
      <w:r>
        <w:rPr>
          <w:rFonts w:hint="eastAsia" w:ascii="方正小标宋简体" w:hAnsi="方正小标宋简体" w:eastAsia="方正小标宋简体" w:cs="方正小标宋简体"/>
          <w:b w:val="0"/>
          <w:bCs w:val="0"/>
          <w:color w:val="000000"/>
          <w:spacing w:val="2"/>
          <w:sz w:val="42"/>
          <w:szCs w:val="42"/>
          <w:lang w:val="en-US" w:eastAsia="zh-CN"/>
        </w:rPr>
        <w:t>岳阳市城市垃圾清运管理所</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pPr>
        <w:spacing w:line="283" w:lineRule="auto"/>
        <w:rPr>
          <w:rFonts w:ascii="Arial"/>
          <w:sz w:val="21"/>
        </w:rPr>
      </w:pP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pPr>
        <w:pStyle w:val="5"/>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0" w:lineRule="atLeast"/>
        <w:ind w:left="0" w:right="0" w:firstLine="643"/>
        <w:jc w:val="both"/>
        <w:textAlignment w:val="auto"/>
        <w:rPr>
          <w:rFonts w:hint="default" w:ascii="楷体" w:hAnsi="楷体" w:eastAsia="楷体" w:cs="楷体"/>
          <w:spacing w:val="9"/>
          <w:kern w:val="2"/>
          <w:sz w:val="31"/>
          <w:szCs w:val="31"/>
          <w:lang w:val="en-US" w:eastAsia="zh-CN" w:bidi="ar-SA"/>
        </w:rPr>
      </w:pPr>
      <w:r>
        <w:rPr>
          <w:rFonts w:ascii="楷体" w:hAnsi="楷体" w:eastAsia="楷体" w:cs="楷体"/>
          <w:spacing w:val="9"/>
          <w:kern w:val="2"/>
          <w:sz w:val="31"/>
          <w:szCs w:val="31"/>
          <w:lang w:val="en-US" w:eastAsia="zh-CN" w:bidi="ar-SA"/>
        </w:rPr>
        <w:t>（一）职能职责</w:t>
      </w:r>
    </w:p>
    <w:p>
      <w:pPr>
        <w:pStyle w:val="5"/>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 w:afterAutospacing="0" w:line="0" w:lineRule="atLeast"/>
        <w:ind w:left="0" w:right="0" w:firstLine="641"/>
        <w:jc w:val="both"/>
        <w:textAlignment w:val="auto"/>
        <w:rPr>
          <w:rFonts w:ascii="楷体" w:hAnsi="楷体" w:eastAsia="楷体" w:cs="楷体"/>
          <w:spacing w:val="9"/>
          <w:kern w:val="2"/>
          <w:sz w:val="31"/>
          <w:szCs w:val="31"/>
          <w:lang w:val="en-US" w:eastAsia="zh-CN" w:bidi="ar-SA"/>
        </w:rPr>
      </w:pPr>
      <w:r>
        <w:rPr>
          <w:rFonts w:hint="eastAsia" w:ascii="楷体" w:hAnsi="楷体" w:eastAsia="楷体" w:cs="楷体"/>
          <w:spacing w:val="9"/>
          <w:kern w:val="2"/>
          <w:sz w:val="31"/>
          <w:szCs w:val="31"/>
          <w:lang w:val="en-US" w:eastAsia="zh-CN" w:bidi="ar-SA"/>
        </w:rPr>
        <w:t>1、负责中心城区范围内的垃圾中转站、主次干道两侧及单位庭院多功能放置点的垃圾清运工作。</w:t>
      </w:r>
    </w:p>
    <w:p>
      <w:pPr>
        <w:pStyle w:val="5"/>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 w:afterAutospacing="0" w:line="0" w:lineRule="atLeast"/>
        <w:ind w:left="0" w:right="0" w:firstLine="641"/>
        <w:jc w:val="both"/>
        <w:textAlignment w:val="auto"/>
        <w:rPr>
          <w:rFonts w:hint="eastAsia" w:ascii="楷体" w:hAnsi="楷体" w:eastAsia="楷体" w:cs="楷体"/>
          <w:spacing w:val="9"/>
          <w:kern w:val="2"/>
          <w:sz w:val="31"/>
          <w:szCs w:val="31"/>
          <w:lang w:val="en-US" w:eastAsia="zh-CN" w:bidi="ar-SA"/>
        </w:rPr>
      </w:pPr>
      <w:r>
        <w:rPr>
          <w:rFonts w:hint="eastAsia" w:ascii="楷体" w:hAnsi="楷体" w:eastAsia="楷体" w:cs="楷体"/>
          <w:spacing w:val="9"/>
          <w:kern w:val="2"/>
          <w:sz w:val="31"/>
          <w:szCs w:val="31"/>
          <w:lang w:val="en-US" w:eastAsia="zh-CN" w:bidi="ar-SA"/>
        </w:rPr>
        <w:t>2、负责单位垃圾中转站的设施维护维修和设备的维修保养，以及与垃圾站相连公厕的维护和管理。</w:t>
      </w:r>
    </w:p>
    <w:p>
      <w:pPr>
        <w:pStyle w:val="5"/>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 w:afterAutospacing="0" w:line="0" w:lineRule="atLeast"/>
        <w:ind w:left="0" w:right="0" w:firstLine="641"/>
        <w:jc w:val="both"/>
        <w:textAlignment w:val="auto"/>
        <w:rPr>
          <w:rFonts w:hint="eastAsia" w:ascii="楷体" w:hAnsi="楷体" w:eastAsia="楷体" w:cs="楷体"/>
          <w:spacing w:val="9"/>
          <w:kern w:val="2"/>
          <w:sz w:val="31"/>
          <w:szCs w:val="31"/>
          <w:lang w:val="en-US" w:eastAsia="zh-CN" w:bidi="ar-SA"/>
        </w:rPr>
      </w:pPr>
      <w:r>
        <w:rPr>
          <w:rFonts w:hint="eastAsia" w:ascii="楷体" w:hAnsi="楷体" w:eastAsia="楷体" w:cs="楷体"/>
          <w:spacing w:val="9"/>
          <w:kern w:val="2"/>
          <w:sz w:val="31"/>
          <w:szCs w:val="31"/>
          <w:lang w:val="en-US" w:eastAsia="zh-CN" w:bidi="ar-SA"/>
        </w:rPr>
        <w:t>3、负责垃圾运输车辆的维修、保养和安全管理。</w:t>
      </w:r>
    </w:p>
    <w:p>
      <w:pPr>
        <w:pStyle w:val="5"/>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 w:afterAutospacing="0" w:line="0" w:lineRule="atLeast"/>
        <w:ind w:left="0" w:right="0" w:firstLine="641"/>
        <w:jc w:val="both"/>
        <w:textAlignment w:val="auto"/>
        <w:rPr>
          <w:rFonts w:hint="eastAsia" w:ascii="楷体" w:hAnsi="楷体" w:eastAsia="楷体" w:cs="楷体"/>
          <w:spacing w:val="9"/>
          <w:kern w:val="2"/>
          <w:sz w:val="31"/>
          <w:szCs w:val="31"/>
          <w:lang w:val="en-US" w:eastAsia="zh-CN" w:bidi="ar-SA"/>
        </w:rPr>
      </w:pPr>
      <w:r>
        <w:rPr>
          <w:rFonts w:hint="eastAsia" w:ascii="楷体" w:hAnsi="楷体" w:eastAsia="楷体" w:cs="楷体"/>
          <w:spacing w:val="9"/>
          <w:kern w:val="2"/>
          <w:sz w:val="31"/>
          <w:szCs w:val="31"/>
          <w:lang w:val="en-US" w:eastAsia="zh-CN" w:bidi="ar-SA"/>
        </w:rPr>
        <w:t>4、负责上级主管部门交办的其他工作。</w:t>
      </w:r>
    </w:p>
    <w:p>
      <w:pPr>
        <w:pStyle w:val="5"/>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0" w:lineRule="atLeast"/>
        <w:ind w:left="0" w:right="0" w:firstLine="643"/>
        <w:jc w:val="both"/>
        <w:textAlignment w:val="auto"/>
        <w:rPr>
          <w:rFonts w:hint="default" w:ascii="楷体" w:hAnsi="楷体" w:eastAsia="楷体" w:cs="楷体"/>
          <w:spacing w:val="9"/>
          <w:kern w:val="2"/>
          <w:sz w:val="31"/>
          <w:szCs w:val="31"/>
          <w:lang w:val="en-US" w:eastAsia="zh-CN" w:bidi="ar-SA"/>
        </w:rPr>
      </w:pPr>
      <w:r>
        <w:rPr>
          <w:rFonts w:hint="eastAsia" w:ascii="楷体" w:hAnsi="楷体" w:eastAsia="楷体" w:cs="楷体"/>
          <w:spacing w:val="9"/>
          <w:kern w:val="2"/>
          <w:sz w:val="31"/>
          <w:szCs w:val="31"/>
          <w:lang w:val="en-US" w:eastAsia="zh-CN" w:bidi="ar-SA"/>
        </w:rPr>
        <w:t>（二）机构设置</w:t>
      </w:r>
    </w:p>
    <w:p>
      <w:pPr>
        <w:pStyle w:val="5"/>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1" w:afterAutospacing="0" w:line="0" w:lineRule="atLeast"/>
        <w:ind w:left="0" w:right="0" w:firstLine="641"/>
        <w:jc w:val="both"/>
        <w:textAlignment w:val="auto"/>
        <w:rPr>
          <w:rFonts w:ascii="黑体" w:hAnsi="黑体" w:eastAsia="黑体" w:cs="黑体"/>
          <w:spacing w:val="5"/>
          <w:sz w:val="31"/>
          <w:szCs w:val="31"/>
        </w:rPr>
      </w:pPr>
      <w:r>
        <w:rPr>
          <w:rFonts w:hint="eastAsia" w:ascii="楷体" w:hAnsi="楷体" w:eastAsia="楷体" w:cs="楷体"/>
          <w:spacing w:val="9"/>
          <w:kern w:val="2"/>
          <w:sz w:val="31"/>
          <w:szCs w:val="31"/>
          <w:lang w:val="en-US" w:eastAsia="zh-CN" w:bidi="ar-SA"/>
        </w:rPr>
        <w:t>岳阳市垃圾清运管理所属全额拨款事业单位。1、现有事业编40人，企业编58人，退休92人（其中事业编88人，企业编4人）、临聘人员81人；2、下设5个股室：人秘股、计财股、考评股、综合股、安全股；3个队：车队、站厕队、维护队。</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b/>
          <w:bCs/>
          <w:spacing w:val="9"/>
          <w:position w:val="21"/>
          <w:sz w:val="31"/>
          <w:szCs w:val="31"/>
        </w:rPr>
      </w:pPr>
      <w:r>
        <w:rPr>
          <w:rFonts w:ascii="楷体" w:hAnsi="楷体" w:eastAsia="楷体" w:cs="楷体"/>
          <w:b/>
          <w:bCs/>
          <w:spacing w:val="9"/>
          <w:position w:val="21"/>
          <w:sz w:val="31"/>
          <w:szCs w:val="31"/>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的基本支出数为872.74万元，其中：人员经费793.88万元，占基本支出的90.96%，主要包括：基本工资、津贴补贴、奖金、绩效工资、伙食补助费、机关事业单位基本养老保险缴费、职工基本医疗保险缴费、其他社会保障缴费、住房公积金、医疗费、退休费、医疗费补助、其他对个人和家庭的补助；日常公用经费78.86万元，占基本支出的9.04%，主要包括：办公费、印刷费、水费、电费、邮电费、维修（护）费、培训费、委托业务费、工会经费、其他交通费、其他商品和服务支出、办公设备购置。</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（二）项目支出情况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项目支出总数为1587.82万元，其中：1、业务工作经费支出250.07万元，主要用于主要用于日常垃圾清运、监督、保洁等工作；2、卫健综合专项4.71万元，主要用于发放退休人员的独生子女奖励金；3、编外用工人员经费826.56万元，主要是用于发放单位企业编和临时工人员经费等；5、环卫清扫经费1.00万元，主要是用于环境卫生设施维修改造与管理工作等；6、公务用车运行维护费427.30万元，主要是用于环卫清扫特种车辆维修费、油料费、保险费和其他相关费用等；7、设施设备采购垃圾中转站建设78.18万元，主要是用于单位垃圾中转站的设施维护维修和设备的维修保养，以及与垃圾站相连公厕的维护和管理等。</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三、政府性基金预算支出情况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我单位2023年度无政府性基金预算。</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四、国有资本经营预算支出情况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我单位2023年度无国有资本经营预算支出。</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五、社会保险基金预算支出情况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我单位2023年度无社会保险基金预算。</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 xml:space="preserve"> 2023年，在区委区政府的正确领导下，在区城管委的大力支持下，全所干部职工上下一心，切实推进各项工作稳步、高效开展。特别是在垃圾站运行、车辆清运生产、党风廉政建设等方面取得了较好成绩，进一步推进垃圾清运工作高质量发展。2023年10月，被岳阳市城市管理和综合执法局授予“岳阳市环卫行业先进集体”荣誉称号，作为环卫清运行业的主力军，有力维护城区干净、整洁良好卫生环境，充分彰显风采，助推建设“核心引领区”和“首善之区”。</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（一）坚持“一线工作法”，以监督考评促生产提质提效。</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年初，克服恶劣天气、电业部门抢修设备导致停电、垃圾站设备维修等难题，整体联动打好“组合拳”，及时做好垃圾分流并清运出城。</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上半年，为高标准完成全国爱卫复审迎检工作以及洞庭渔火季等闹热经济活动保障工作，我所调整工作模式，要求车辆驾驶员和垃圾站管理员视垃圾量弹性延长工作时间，早上提前至4点、晚上延长至11点，确保站点垃圾不积压、不满溢，做到垃圾日产日清。</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8月份，在日常督查中发现五里牌垃圾站违规接收基建装修垃圾，联合城管执法队员对违规进站倾倒装修基建垃圾的当事人进行处罚。</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截至12月底，我单位完成中心城区垃圾清运累计超360000立方，日均1000立方；出车累计约72000辆次，日均200辆次，有力维护了城区干净、整洁良好的卫生环境。</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（二）做好车辆维修保养，以技术优势为清运工作保驾护航。</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为保障全所各类清运车辆的正常运行，车队维护班将车辆定期保养、检修纳入日常工作重点，截止12月底，共完成车辆大修40余台次，车辆小修1600台次，累计进行车辆保养50余台次。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（三）强化站厕日常管理，以“城市六治”为基础确保长效管理。</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今年4月，完成岳城片区袁家小区垃圾站还建，该站垃圾日处理能力达40立方，极大缓解岳西、岳城片区垃圾处理压力。</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夏季火热天气，加强站内大厢等设施设备清洗力度，及时冲刷污水，杜绝脏乱差；提高药剂喷洒次数，加强卫生消杀，避免臭气扰民；及时劝离运输通道违停的社会车辆，确保运输车辆顺利进、出；加强清运车辆出站后站外地坪卫生清扫，清理杂物不堆积。</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（四）做好设施设备维护，以“全天待命”为宗旨保障工作效率。</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设施设备维护队定期维护保养设施设备主要构件，定期检修更换损坏零部件。截止12月底，累计完成液压油缸更换、主体大厢维修等垃圾站压缩设备的大修、零部件更换、保养1100余次，完成下水疏通、站门立柱、大门制作更换、高低压电路等站点设施的检修维护2000余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（五）强抓安全生产工作，以“一岗双责”为准绳筑牢发展根基。</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主要领导和分管领导每日带班巡查垃圾站，着重检查站点垃圾清运、设施设备运行操作、卫生保洁情况；安委会对所有垃圾站点、停车场及上路清运车辆进行安全检查，消除电路、消防器材等设施设备及车辆安全隐患。</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3月、5月、7月和10月分别召开安全生产月度讲评工作会议，开展安全生产驾驶员培训，观看网络行车事故视频，分析事故原因，总结经验教训。特别是今年国庆节期间临湘市婚车重大交通事故，教训深刻，我们也将此作为重点案例，告诫驾驶员要严格遵守交通法规，做到安全文明行车。</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今年来，我所开展各类安全巡查、检查共200余次，发出安全整改通知单30余份，安全事故通报15次，全年未发生设施设备操作事故，也未发生较大安全生产事故，安全生产形势良好且稳定。</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（六）全面推动从严治党，以形式多样的活动充实支部建设。</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今年我所支部培养入党积极分子3名，发展党员2名，按期转正2名，为组织培养了政治立场坚定、理论素质过硬、工作业务过实的后备队伍。</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成立了宣传思想暨意识形态工作中心组，并开展专题学习2次，研判会2次。开展“支部书记讲党课”“支部委员讲党课”4次、中心理论组学习8次、集中研讨会4次、集中学习宣传贯彻党的二十大精神10次、青年理论学习10次，每次党课内容都从理论出发，结合真实的生活与工作，深入浅出，把“意识形态”上的内容讲透讲细，让党员们明白，工作上的方法与做法与思想上的态度都与“意识形态”息息相关。</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开展各项形式多样的主题党日活动共计11次，大大丰富了党建工作的内容，增强了学习与工作多元化结合。组织观影活动，分别观看了电影《长沙夜生活》《孤注一掷》《红色土司》。充实支部党员政治生活，强化对党的革命斗争精神认知，切实增强支部活力。全年共收缴党费8508元。</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支部加强与工会的协同工作，在党群间搭建沟通的桥梁，年初，慰问走访困难职工，上门慰问失独家庭职工彭晓斌，慰问退休困难职工3人/次，走访在职困难职工14人/次，共发放慰问金额6700元。将组织的温暖与关怀送到职工最需要的地方。</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面对夏日高温炎热天气，开展“盛夏送清凉 清凉暖人心”慰问活动，党支部书记带领支部班子成员与相关工作人员将防暑降温物资矿泉水及藿香正气水、清凉油、冰西瓜等送到坚守在一线的垃圾站公厕管理员、清运车辆驾驶员以及维护、维修人员手中，并嘱咐他们天气炎热在作业中要注意防暑降温，将职工健康与安全放在首位，充分彰显人文关怀。</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（七）坚持以创建为契机，大力支持无物管小区环境改善。</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黑体" w:hAnsi="黑体" w:eastAsia="黑体" w:cs="黑体"/>
          <w:spacing w:val="8"/>
          <w:sz w:val="31"/>
          <w:szCs w:val="31"/>
          <w:lang w:eastAsia="zh-CN"/>
        </w:rPr>
      </w:pPr>
      <w:r>
        <w:rPr>
          <w:rFonts w:hint="eastAsia" w:ascii="楷体" w:hAnsi="楷体" w:eastAsia="楷体" w:cs="楷体"/>
          <w:spacing w:val="9"/>
          <w:kern w:val="2"/>
          <w:position w:val="21"/>
          <w:sz w:val="31"/>
          <w:szCs w:val="31"/>
          <w:lang w:val="en-US" w:eastAsia="zh-CN" w:bidi="ar-SA"/>
        </w:rPr>
        <w:t>为响应区委、区政府关于标准化示范创建的指示精神，我单位从10月份开始，由一把手带队，全体班子成员、中层骨干以及部分一线环卫工人每周安排半天时间对无物业管理小区“长办家属区”进行定点支持，将该小区原本杂草丛生、杂物堆积成山的破败景象清理打扫得焕然一新，受到居民的一致好评，用行动落实上级指示，将工作做到实处。</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（一）队伍老龄化严重，急需补充新鲜力量</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2021年事权下放至今，我单位的事业编制人员已从原来的60人锐减到40人，队伍老龄化严重且专业技术人员和管理人员严重不足，给工作造成了被动局面。</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（二）一线垃圾站管理员工资偏低，难以聘请到适龄人员</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我所管理垃圾站公厕管理员每天的工作时长超过16小时，且要求他们能熟练操作压缩设备，对入职人员有较高的安全生产要求，目前的工资待遇难以聘请到适龄适岗位的管理员，造成了工作中的困境。</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（三）中心城区垃圾站数量少，分布不合理，急需配建大型压缩式垃圾站</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雷锋山路和望岳北路周边无垃圾中转站和公厕，且该两处区域居民密集，垃圾量大，转运压力很大，急需配建大型压缩式垃圾站以缓解周边居民生活区的垃圾转运难题。</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ascii="黑体" w:hAnsi="黑体" w:eastAsia="黑体" w:cs="黑体"/>
          <w:spacing w:val="9"/>
          <w:position w:val="21"/>
          <w:sz w:val="31"/>
          <w:szCs w:val="31"/>
        </w:rPr>
      </w:pPr>
      <w:r>
        <w:rPr>
          <w:rFonts w:hint="eastAsia" w:ascii="楷体" w:hAnsi="楷体" w:eastAsia="楷体" w:cs="楷体"/>
          <w:spacing w:val="9"/>
          <w:kern w:val="2"/>
          <w:position w:val="21"/>
          <w:sz w:val="31"/>
          <w:szCs w:val="31"/>
          <w:lang w:val="en-US" w:eastAsia="zh-CN" w:bidi="ar-SA"/>
        </w:rPr>
        <w:t>G240道路南侧、融创地产西侧、铁路桥西侧也应尽快配建一座垃圾中转站，待周边居民全部入住后，生活垃圾将无法正常转运。</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下一步改进措施</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（一）强化主责主业，推进高效发展。</w:t>
      </w:r>
      <w:r>
        <w:rPr>
          <w:rFonts w:hint="eastAsia" w:ascii="楷体" w:hAnsi="楷体" w:eastAsia="楷体" w:cs="楷体"/>
          <w:spacing w:val="9"/>
          <w:kern w:val="2"/>
          <w:position w:val="21"/>
          <w:sz w:val="31"/>
          <w:szCs w:val="31"/>
          <w:lang w:val="en-US" w:eastAsia="zh-CN" w:bidi="ar-SA"/>
        </w:rPr>
        <w:t>不断优化畅通生活垃圾收集、运输、压缩、转运工作全链条，进一步提高工作效率，坚持做到日产日清，逐步完成对现有的老式运输车辆和机械式行吊垃圾站提质改造。做好安全生产，绷紧安全生产这根弦，实现安全生产常态化。</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（二）保持安全生产力度不松劲。</w:t>
      </w:r>
      <w:r>
        <w:rPr>
          <w:rFonts w:hint="eastAsia" w:ascii="楷体" w:hAnsi="楷体" w:eastAsia="楷体" w:cs="楷体"/>
          <w:spacing w:val="9"/>
          <w:kern w:val="2"/>
          <w:position w:val="21"/>
          <w:sz w:val="31"/>
          <w:szCs w:val="31"/>
          <w:lang w:val="en-US" w:eastAsia="zh-CN" w:bidi="ar-SA"/>
        </w:rPr>
        <w:t>进一步贯彻“安全第一，预防为主”方针，进一步查缺补漏发现消除隐患，进一步强化和落实安全生产的各项责任和措施，确保现有安全形势稳定。</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ascii="黑体" w:hAnsi="黑体" w:eastAsia="黑体" w:cs="黑体"/>
          <w:spacing w:val="8"/>
          <w:sz w:val="31"/>
          <w:szCs w:val="31"/>
        </w:rPr>
      </w:pPr>
      <w:r>
        <w:rPr>
          <w:rFonts w:hint="eastAsia" w:ascii="楷体" w:hAnsi="楷体" w:eastAsia="楷体" w:cs="楷体"/>
          <w:b/>
          <w:bCs/>
          <w:spacing w:val="9"/>
          <w:kern w:val="2"/>
          <w:position w:val="21"/>
          <w:sz w:val="31"/>
          <w:szCs w:val="31"/>
          <w:lang w:val="en-US" w:eastAsia="zh-CN" w:bidi="ar-SA"/>
        </w:rPr>
        <w:t>（三）强化廉政教育，提高思想认识。</w:t>
      </w:r>
      <w:r>
        <w:rPr>
          <w:rFonts w:hint="eastAsia" w:ascii="楷体" w:hAnsi="楷体" w:eastAsia="楷体" w:cs="楷体"/>
          <w:spacing w:val="9"/>
          <w:kern w:val="2"/>
          <w:position w:val="21"/>
          <w:sz w:val="31"/>
          <w:szCs w:val="31"/>
          <w:lang w:val="en-US" w:eastAsia="zh-CN" w:bidi="ar-SA"/>
        </w:rPr>
        <w:t>创新开展班子成员分层次讲廉洁党课活动,实现廉洁党课全覆盖。深入开展党风党纪和廉政宣传教育,突出从严治党高压态势，提高党员干部“党要管党、从严治党”思想认识，不断提升新形势下制度管权、制度管事、制度管人的认识。</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position w:val="21"/>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已按楼区财政要求及时公开。</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3"/>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无。</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Arial"/>
          <w:sz w:val="21"/>
        </w:rPr>
      </w:pPr>
    </w:p>
    <w:p>
      <w:pPr>
        <w:pStyle w:val="2"/>
        <w:keepNext w:val="0"/>
        <w:keepLines w:val="0"/>
        <w:pageBreakBefore w:val="0"/>
        <w:widowControl w:val="0"/>
        <w:kinsoku/>
        <w:wordWrap/>
        <w:overflowPunct/>
        <w:topLinePunct w:val="0"/>
        <w:autoSpaceDE/>
        <w:autoSpaceDN/>
        <w:bidi w:val="0"/>
        <w:adjustRightInd/>
        <w:snapToGrid/>
        <w:spacing w:line="240" w:lineRule="auto"/>
        <w:ind w:right="0"/>
        <w:jc w:val="left"/>
        <w:textAlignment w:val="auto"/>
        <w:rPr>
          <w:rFonts w:hint="eastAsia" w:ascii="仿宋_GB2312" w:hAnsi="仿宋_GB2312" w:eastAsia="仿宋_GB2312" w:cs="仿宋_GB2312"/>
          <w:sz w:val="32"/>
          <w:szCs w:val="32"/>
        </w:rPr>
      </w:pP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C154E0"/>
    <w:multiLevelType w:val="singleLevel"/>
    <w:tmpl w:val="92C154E0"/>
    <w:lvl w:ilvl="0" w:tentative="0">
      <w:start w:val="1"/>
      <w:numFmt w:val="decimal"/>
      <w:suff w:val="nothing"/>
      <w:lvlText w:val="%1、"/>
      <w:lvlJc w:val="left"/>
    </w:lvl>
  </w:abstractNum>
  <w:abstractNum w:abstractNumId="1">
    <w:nsid w:val="17C9B401"/>
    <w:multiLevelType w:val="singleLevel"/>
    <w:tmpl w:val="17C9B401"/>
    <w:lvl w:ilvl="0" w:tentative="0">
      <w:start w:val="1"/>
      <w:numFmt w:val="chineseCounting"/>
      <w:suff w:val="nothing"/>
      <w:lvlText w:val="%1、"/>
      <w:lvlJc w:val="left"/>
      <w:rPr>
        <w:rFonts w:hint="eastAsia"/>
      </w:rPr>
    </w:lvl>
  </w:abstractNum>
  <w:abstractNum w:abstractNumId="2">
    <w:nsid w:val="66AB6E68"/>
    <w:multiLevelType w:val="singleLevel"/>
    <w:tmpl w:val="66AB6E68"/>
    <w:lvl w:ilvl="0" w:tentative="0">
      <w:start w:val="6"/>
      <w:numFmt w:val="chineseCounting"/>
      <w:suff w:val="nothing"/>
      <w:lvlText w:val="%1、"/>
      <w:lvlJc w:val="left"/>
      <w:rPr>
        <w:rFonts w:hint="eastAsia"/>
      </w:rPr>
    </w:lvl>
  </w:abstractNum>
  <w:abstractNum w:abstractNumId="3">
    <w:nsid w:val="67B39F1B"/>
    <w:multiLevelType w:val="singleLevel"/>
    <w:tmpl w:val="67B39F1B"/>
    <w:lvl w:ilvl="0" w:tentative="0">
      <w:start w:val="2"/>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wMmJlYzJhMzIwMmQ1NjY3N2FiZmZhNTZiNzgxM2YifQ=="/>
  </w:docVars>
  <w:rsids>
    <w:rsidRoot w:val="76284CE1"/>
    <w:rsid w:val="000A3765"/>
    <w:rsid w:val="000E5D71"/>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32133"/>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C74429"/>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8B1A42"/>
    <w:rsid w:val="0293597A"/>
    <w:rsid w:val="029733CF"/>
    <w:rsid w:val="029C7AF4"/>
    <w:rsid w:val="02AC5088"/>
    <w:rsid w:val="02B544DB"/>
    <w:rsid w:val="02BA21E0"/>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5A307B"/>
    <w:rsid w:val="0360169B"/>
    <w:rsid w:val="036D41A2"/>
    <w:rsid w:val="037B1E0D"/>
    <w:rsid w:val="037E0A06"/>
    <w:rsid w:val="037F229C"/>
    <w:rsid w:val="03824AA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67D5B"/>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75FA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7398B"/>
    <w:rsid w:val="08391F38"/>
    <w:rsid w:val="083A18D9"/>
    <w:rsid w:val="08455D8D"/>
    <w:rsid w:val="084735B5"/>
    <w:rsid w:val="0848472A"/>
    <w:rsid w:val="084D20E7"/>
    <w:rsid w:val="0858732C"/>
    <w:rsid w:val="085D6BB3"/>
    <w:rsid w:val="08640DB3"/>
    <w:rsid w:val="08674899"/>
    <w:rsid w:val="08754155"/>
    <w:rsid w:val="08761316"/>
    <w:rsid w:val="087B77E7"/>
    <w:rsid w:val="087D3D34"/>
    <w:rsid w:val="0882554E"/>
    <w:rsid w:val="0889236C"/>
    <w:rsid w:val="088E051E"/>
    <w:rsid w:val="08935A7B"/>
    <w:rsid w:val="089E48C0"/>
    <w:rsid w:val="08A543EB"/>
    <w:rsid w:val="08B2314B"/>
    <w:rsid w:val="08B86E95"/>
    <w:rsid w:val="08C11C0B"/>
    <w:rsid w:val="08D059DD"/>
    <w:rsid w:val="08DC08E7"/>
    <w:rsid w:val="091E527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D41965"/>
    <w:rsid w:val="0AE22D30"/>
    <w:rsid w:val="0AE964B0"/>
    <w:rsid w:val="0B163034"/>
    <w:rsid w:val="0B1D5B5D"/>
    <w:rsid w:val="0B1F5B6D"/>
    <w:rsid w:val="0B2F4AF7"/>
    <w:rsid w:val="0B3312B6"/>
    <w:rsid w:val="0B3C19E4"/>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1D3A97"/>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B2AA4"/>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AD1102"/>
    <w:rsid w:val="0FB16CA3"/>
    <w:rsid w:val="0FB471F7"/>
    <w:rsid w:val="0FC95C51"/>
    <w:rsid w:val="0FC965F5"/>
    <w:rsid w:val="0FCD6B4B"/>
    <w:rsid w:val="0FCF7138"/>
    <w:rsid w:val="0FD35AB6"/>
    <w:rsid w:val="0FE017B9"/>
    <w:rsid w:val="0FE04B17"/>
    <w:rsid w:val="0FEC2891"/>
    <w:rsid w:val="0FF71EB7"/>
    <w:rsid w:val="0FFA1E6E"/>
    <w:rsid w:val="0FFB7051"/>
    <w:rsid w:val="0FFE76A9"/>
    <w:rsid w:val="100B7BDD"/>
    <w:rsid w:val="100F3B6B"/>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D683E"/>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54002"/>
    <w:rsid w:val="123D1BD2"/>
    <w:rsid w:val="123D55BF"/>
    <w:rsid w:val="123E3733"/>
    <w:rsid w:val="123E6D4D"/>
    <w:rsid w:val="12403BC7"/>
    <w:rsid w:val="12453349"/>
    <w:rsid w:val="125613C2"/>
    <w:rsid w:val="125D4EF7"/>
    <w:rsid w:val="12637C4E"/>
    <w:rsid w:val="126D5B06"/>
    <w:rsid w:val="127030C8"/>
    <w:rsid w:val="127A7569"/>
    <w:rsid w:val="1284452B"/>
    <w:rsid w:val="128C4BBC"/>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806B2E"/>
    <w:rsid w:val="138D35B6"/>
    <w:rsid w:val="139404F9"/>
    <w:rsid w:val="13A55CD5"/>
    <w:rsid w:val="13B654E3"/>
    <w:rsid w:val="13B819E6"/>
    <w:rsid w:val="13BC4189"/>
    <w:rsid w:val="13C169EC"/>
    <w:rsid w:val="13CA717D"/>
    <w:rsid w:val="13CE022A"/>
    <w:rsid w:val="13DF25B8"/>
    <w:rsid w:val="13E2403C"/>
    <w:rsid w:val="13F35552"/>
    <w:rsid w:val="13FA41EA"/>
    <w:rsid w:val="14047D3B"/>
    <w:rsid w:val="140C7BCE"/>
    <w:rsid w:val="141A00EA"/>
    <w:rsid w:val="14394A85"/>
    <w:rsid w:val="143A1FCF"/>
    <w:rsid w:val="1441725F"/>
    <w:rsid w:val="14430D66"/>
    <w:rsid w:val="14470936"/>
    <w:rsid w:val="14477E65"/>
    <w:rsid w:val="145A6BFB"/>
    <w:rsid w:val="14710CBF"/>
    <w:rsid w:val="14791934"/>
    <w:rsid w:val="147D213D"/>
    <w:rsid w:val="147E306D"/>
    <w:rsid w:val="14A04833"/>
    <w:rsid w:val="14B00D4D"/>
    <w:rsid w:val="14B12779"/>
    <w:rsid w:val="14B37576"/>
    <w:rsid w:val="14BD7ADB"/>
    <w:rsid w:val="14C5688E"/>
    <w:rsid w:val="14DB1415"/>
    <w:rsid w:val="14E153AA"/>
    <w:rsid w:val="14E83CF0"/>
    <w:rsid w:val="14F4219E"/>
    <w:rsid w:val="150135C1"/>
    <w:rsid w:val="15043248"/>
    <w:rsid w:val="151C632A"/>
    <w:rsid w:val="152E4EB1"/>
    <w:rsid w:val="1534197E"/>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AE7982"/>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A09A5"/>
    <w:rsid w:val="16FB005D"/>
    <w:rsid w:val="16FC4F3B"/>
    <w:rsid w:val="17001571"/>
    <w:rsid w:val="171630EB"/>
    <w:rsid w:val="17171C62"/>
    <w:rsid w:val="17214184"/>
    <w:rsid w:val="17215F32"/>
    <w:rsid w:val="17265757"/>
    <w:rsid w:val="172B5BB7"/>
    <w:rsid w:val="17435DB3"/>
    <w:rsid w:val="174849B3"/>
    <w:rsid w:val="174F5CC1"/>
    <w:rsid w:val="175075E0"/>
    <w:rsid w:val="175D3461"/>
    <w:rsid w:val="175F4C67"/>
    <w:rsid w:val="175F580B"/>
    <w:rsid w:val="17665207"/>
    <w:rsid w:val="17794395"/>
    <w:rsid w:val="177C00C2"/>
    <w:rsid w:val="178169D1"/>
    <w:rsid w:val="178D50A9"/>
    <w:rsid w:val="178F0FE3"/>
    <w:rsid w:val="17AD14F4"/>
    <w:rsid w:val="17B85018"/>
    <w:rsid w:val="17E339CC"/>
    <w:rsid w:val="17F33C57"/>
    <w:rsid w:val="181D4FAC"/>
    <w:rsid w:val="182B38C1"/>
    <w:rsid w:val="182C1032"/>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B50EC"/>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31523"/>
    <w:rsid w:val="19CC1CA7"/>
    <w:rsid w:val="19D37D58"/>
    <w:rsid w:val="19DD0438"/>
    <w:rsid w:val="1A035F2C"/>
    <w:rsid w:val="1A056605"/>
    <w:rsid w:val="1A0A04E6"/>
    <w:rsid w:val="1A1B07E2"/>
    <w:rsid w:val="1A213466"/>
    <w:rsid w:val="1A3F3F76"/>
    <w:rsid w:val="1A4B4BAE"/>
    <w:rsid w:val="1A5F35C0"/>
    <w:rsid w:val="1A6E76E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0E4A1F"/>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4F7512"/>
    <w:rsid w:val="1B5271D4"/>
    <w:rsid w:val="1B553FF2"/>
    <w:rsid w:val="1B6206C5"/>
    <w:rsid w:val="1B640388"/>
    <w:rsid w:val="1B6D7C0D"/>
    <w:rsid w:val="1B721452"/>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870EB"/>
    <w:rsid w:val="1BED7DB9"/>
    <w:rsid w:val="1BEF444D"/>
    <w:rsid w:val="1BEF65FF"/>
    <w:rsid w:val="1BF279FE"/>
    <w:rsid w:val="1BF80892"/>
    <w:rsid w:val="1C0435DD"/>
    <w:rsid w:val="1C044A22"/>
    <w:rsid w:val="1C0500B1"/>
    <w:rsid w:val="1C165874"/>
    <w:rsid w:val="1C1D4C3D"/>
    <w:rsid w:val="1C212C7F"/>
    <w:rsid w:val="1C224C26"/>
    <w:rsid w:val="1C3A6458"/>
    <w:rsid w:val="1C3D55BC"/>
    <w:rsid w:val="1C416491"/>
    <w:rsid w:val="1C4C28F3"/>
    <w:rsid w:val="1C51648E"/>
    <w:rsid w:val="1C71314E"/>
    <w:rsid w:val="1C74154B"/>
    <w:rsid w:val="1C82672C"/>
    <w:rsid w:val="1C89138D"/>
    <w:rsid w:val="1C8C20A0"/>
    <w:rsid w:val="1C8E76D2"/>
    <w:rsid w:val="1C937172"/>
    <w:rsid w:val="1C975C4B"/>
    <w:rsid w:val="1CA27BB1"/>
    <w:rsid w:val="1CAC542E"/>
    <w:rsid w:val="1CAF7DCF"/>
    <w:rsid w:val="1CB07D7A"/>
    <w:rsid w:val="1CDA4D56"/>
    <w:rsid w:val="1CDD3551"/>
    <w:rsid w:val="1CF739BD"/>
    <w:rsid w:val="1CF810AC"/>
    <w:rsid w:val="1D0B3755"/>
    <w:rsid w:val="1D0F7711"/>
    <w:rsid w:val="1D1034ED"/>
    <w:rsid w:val="1D124C24"/>
    <w:rsid w:val="1D2C6C65"/>
    <w:rsid w:val="1D325684"/>
    <w:rsid w:val="1D3A0AE7"/>
    <w:rsid w:val="1D402518"/>
    <w:rsid w:val="1D4E7169"/>
    <w:rsid w:val="1D554265"/>
    <w:rsid w:val="1D5A53AE"/>
    <w:rsid w:val="1D666D95"/>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5570F"/>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11CD8"/>
    <w:rsid w:val="207D78ED"/>
    <w:rsid w:val="2086258B"/>
    <w:rsid w:val="20A45C99"/>
    <w:rsid w:val="20AD18F5"/>
    <w:rsid w:val="20B76E81"/>
    <w:rsid w:val="20B77D0F"/>
    <w:rsid w:val="20BB288C"/>
    <w:rsid w:val="20C03064"/>
    <w:rsid w:val="20C419AD"/>
    <w:rsid w:val="20D06EB4"/>
    <w:rsid w:val="20D52CFA"/>
    <w:rsid w:val="20E40557"/>
    <w:rsid w:val="20E802FE"/>
    <w:rsid w:val="20EE3329"/>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A7081"/>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05D7"/>
    <w:rsid w:val="26D96FF9"/>
    <w:rsid w:val="26E25DEA"/>
    <w:rsid w:val="26E34A7B"/>
    <w:rsid w:val="26E9756C"/>
    <w:rsid w:val="26FA4570"/>
    <w:rsid w:val="271F0CE3"/>
    <w:rsid w:val="27217FF0"/>
    <w:rsid w:val="27242893"/>
    <w:rsid w:val="273612F4"/>
    <w:rsid w:val="273E3F4D"/>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754CA"/>
    <w:rsid w:val="27FD1E4C"/>
    <w:rsid w:val="28083AAF"/>
    <w:rsid w:val="280D297A"/>
    <w:rsid w:val="282705F3"/>
    <w:rsid w:val="28276A98"/>
    <w:rsid w:val="282D426D"/>
    <w:rsid w:val="283F0D93"/>
    <w:rsid w:val="28467CC2"/>
    <w:rsid w:val="284A4950"/>
    <w:rsid w:val="285710C8"/>
    <w:rsid w:val="285C4BAF"/>
    <w:rsid w:val="285D0F42"/>
    <w:rsid w:val="286E6AFD"/>
    <w:rsid w:val="28703320"/>
    <w:rsid w:val="287643B1"/>
    <w:rsid w:val="287C121A"/>
    <w:rsid w:val="289539A5"/>
    <w:rsid w:val="289B3D96"/>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924E3"/>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84235"/>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216AE"/>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DF45CF7"/>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B6E76"/>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9232A"/>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140B8A"/>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EB76C8"/>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B73A4E"/>
    <w:rsid w:val="33CD3F6B"/>
    <w:rsid w:val="33D47319"/>
    <w:rsid w:val="33E33586"/>
    <w:rsid w:val="33E57A29"/>
    <w:rsid w:val="33EE53FA"/>
    <w:rsid w:val="33FD7485"/>
    <w:rsid w:val="33FF4DA0"/>
    <w:rsid w:val="34153577"/>
    <w:rsid w:val="341B222F"/>
    <w:rsid w:val="34203CE1"/>
    <w:rsid w:val="342425FD"/>
    <w:rsid w:val="342D258E"/>
    <w:rsid w:val="34467089"/>
    <w:rsid w:val="34523AB5"/>
    <w:rsid w:val="34635CAD"/>
    <w:rsid w:val="346B4B47"/>
    <w:rsid w:val="346E4F77"/>
    <w:rsid w:val="34762AAC"/>
    <w:rsid w:val="348402A8"/>
    <w:rsid w:val="348C6C89"/>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C44201"/>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167D9"/>
    <w:rsid w:val="369510BC"/>
    <w:rsid w:val="36973632"/>
    <w:rsid w:val="36A30194"/>
    <w:rsid w:val="36D21A02"/>
    <w:rsid w:val="36E85056"/>
    <w:rsid w:val="3708411D"/>
    <w:rsid w:val="370E0FEC"/>
    <w:rsid w:val="37104DEB"/>
    <w:rsid w:val="37166BDC"/>
    <w:rsid w:val="372C24A3"/>
    <w:rsid w:val="372D0977"/>
    <w:rsid w:val="372F66F4"/>
    <w:rsid w:val="37337382"/>
    <w:rsid w:val="374970B3"/>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52595"/>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D1C17"/>
    <w:rsid w:val="39DE3D2B"/>
    <w:rsid w:val="39E90E2B"/>
    <w:rsid w:val="39E94D86"/>
    <w:rsid w:val="39F1638E"/>
    <w:rsid w:val="39FB1B18"/>
    <w:rsid w:val="3A001C79"/>
    <w:rsid w:val="3A03692D"/>
    <w:rsid w:val="3A1513BA"/>
    <w:rsid w:val="3A2E618D"/>
    <w:rsid w:val="3A3E52E7"/>
    <w:rsid w:val="3A4109A1"/>
    <w:rsid w:val="3A424466"/>
    <w:rsid w:val="3A604E19"/>
    <w:rsid w:val="3A6B7341"/>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53993"/>
    <w:rsid w:val="3B2B5582"/>
    <w:rsid w:val="3B4234D4"/>
    <w:rsid w:val="3B647C84"/>
    <w:rsid w:val="3B7600B7"/>
    <w:rsid w:val="3B7622BA"/>
    <w:rsid w:val="3B7C1C88"/>
    <w:rsid w:val="3B7E779B"/>
    <w:rsid w:val="3B8107C8"/>
    <w:rsid w:val="3B8972AA"/>
    <w:rsid w:val="3B8B4BF7"/>
    <w:rsid w:val="3B8E367D"/>
    <w:rsid w:val="3BA219B8"/>
    <w:rsid w:val="3BA96003"/>
    <w:rsid w:val="3BB67BA7"/>
    <w:rsid w:val="3BC205BC"/>
    <w:rsid w:val="3BC61A51"/>
    <w:rsid w:val="3BCD08A7"/>
    <w:rsid w:val="3BDF089F"/>
    <w:rsid w:val="3BE14893"/>
    <w:rsid w:val="3BE42FED"/>
    <w:rsid w:val="3BE63BAE"/>
    <w:rsid w:val="3BE8265C"/>
    <w:rsid w:val="3BE92A35"/>
    <w:rsid w:val="3BEB460F"/>
    <w:rsid w:val="3BEC1CB8"/>
    <w:rsid w:val="3BEF1DA2"/>
    <w:rsid w:val="3BF64635"/>
    <w:rsid w:val="3BF956C3"/>
    <w:rsid w:val="3C0E5CDB"/>
    <w:rsid w:val="3C195860"/>
    <w:rsid w:val="3C2F32D0"/>
    <w:rsid w:val="3C360DE6"/>
    <w:rsid w:val="3C395948"/>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E4592"/>
    <w:rsid w:val="3D9F26CD"/>
    <w:rsid w:val="3D9F4364"/>
    <w:rsid w:val="3DA702BF"/>
    <w:rsid w:val="3DA82F6E"/>
    <w:rsid w:val="3DA8529E"/>
    <w:rsid w:val="3DAC7FB0"/>
    <w:rsid w:val="3DB159B2"/>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AF3CA0"/>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2D4CD5"/>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21E53"/>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41DFC"/>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686225"/>
    <w:rsid w:val="427102D5"/>
    <w:rsid w:val="4276696F"/>
    <w:rsid w:val="427B064E"/>
    <w:rsid w:val="428042FE"/>
    <w:rsid w:val="428670A3"/>
    <w:rsid w:val="428D1B97"/>
    <w:rsid w:val="42996825"/>
    <w:rsid w:val="429E0F2A"/>
    <w:rsid w:val="42A82444"/>
    <w:rsid w:val="42B5102C"/>
    <w:rsid w:val="42B608A5"/>
    <w:rsid w:val="42BC6C8F"/>
    <w:rsid w:val="42C5446D"/>
    <w:rsid w:val="42CE5FC3"/>
    <w:rsid w:val="42E11334"/>
    <w:rsid w:val="42E94337"/>
    <w:rsid w:val="42FE6C02"/>
    <w:rsid w:val="430035A8"/>
    <w:rsid w:val="43031943"/>
    <w:rsid w:val="431327F1"/>
    <w:rsid w:val="43182DB2"/>
    <w:rsid w:val="431E4B73"/>
    <w:rsid w:val="432D1B1D"/>
    <w:rsid w:val="43302ED5"/>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0562B9"/>
    <w:rsid w:val="44172128"/>
    <w:rsid w:val="441805FD"/>
    <w:rsid w:val="44210C59"/>
    <w:rsid w:val="44390E25"/>
    <w:rsid w:val="443F6D81"/>
    <w:rsid w:val="44405E6B"/>
    <w:rsid w:val="44433468"/>
    <w:rsid w:val="44437F9F"/>
    <w:rsid w:val="44493A52"/>
    <w:rsid w:val="444F5C68"/>
    <w:rsid w:val="44613E6E"/>
    <w:rsid w:val="446A5324"/>
    <w:rsid w:val="447A4D50"/>
    <w:rsid w:val="447E7804"/>
    <w:rsid w:val="4492209A"/>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02594"/>
    <w:rsid w:val="45A26739"/>
    <w:rsid w:val="45AC3B2C"/>
    <w:rsid w:val="45B07140"/>
    <w:rsid w:val="45B3407C"/>
    <w:rsid w:val="45C43431"/>
    <w:rsid w:val="45DE711B"/>
    <w:rsid w:val="45EE3358"/>
    <w:rsid w:val="45F14B9E"/>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DF533E"/>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EC789E"/>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42484"/>
    <w:rsid w:val="4A8C584B"/>
    <w:rsid w:val="4A906B51"/>
    <w:rsid w:val="4A9C47ED"/>
    <w:rsid w:val="4AA71D5E"/>
    <w:rsid w:val="4AAA6CA9"/>
    <w:rsid w:val="4AAC134C"/>
    <w:rsid w:val="4AB12B4E"/>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169C4"/>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81290"/>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CF51418"/>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07E31"/>
    <w:rsid w:val="4DF87443"/>
    <w:rsid w:val="4E302009"/>
    <w:rsid w:val="4E325E79"/>
    <w:rsid w:val="4E370600"/>
    <w:rsid w:val="4E435024"/>
    <w:rsid w:val="4E465CA3"/>
    <w:rsid w:val="4E4E7E80"/>
    <w:rsid w:val="4E534A5B"/>
    <w:rsid w:val="4E5C5562"/>
    <w:rsid w:val="4E5F22C6"/>
    <w:rsid w:val="4E5F69A8"/>
    <w:rsid w:val="4E655726"/>
    <w:rsid w:val="4E716700"/>
    <w:rsid w:val="4E753BE4"/>
    <w:rsid w:val="4E754A02"/>
    <w:rsid w:val="4E784630"/>
    <w:rsid w:val="4E7F4257"/>
    <w:rsid w:val="4E825AB6"/>
    <w:rsid w:val="4E8A7107"/>
    <w:rsid w:val="4E8D38D2"/>
    <w:rsid w:val="4E95725E"/>
    <w:rsid w:val="4E9A6CF9"/>
    <w:rsid w:val="4EA65FD0"/>
    <w:rsid w:val="4EA96F07"/>
    <w:rsid w:val="4EAD4E5F"/>
    <w:rsid w:val="4ED072DF"/>
    <w:rsid w:val="4ED33DCB"/>
    <w:rsid w:val="4EE34782"/>
    <w:rsid w:val="4EE63F4F"/>
    <w:rsid w:val="4EE85079"/>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A80C8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4F0E3F"/>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4E559A"/>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67581"/>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23265"/>
    <w:rsid w:val="5297132B"/>
    <w:rsid w:val="529F28D8"/>
    <w:rsid w:val="529F6FBB"/>
    <w:rsid w:val="52B13290"/>
    <w:rsid w:val="52B90DC7"/>
    <w:rsid w:val="52C076EC"/>
    <w:rsid w:val="52C25708"/>
    <w:rsid w:val="52C315CC"/>
    <w:rsid w:val="52CC5ABE"/>
    <w:rsid w:val="52CD10CA"/>
    <w:rsid w:val="52CF6D34"/>
    <w:rsid w:val="52D715BF"/>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8C23AA"/>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B24092"/>
    <w:rsid w:val="54DE502D"/>
    <w:rsid w:val="54DE6078"/>
    <w:rsid w:val="54DF2784"/>
    <w:rsid w:val="54E86EBD"/>
    <w:rsid w:val="54F2526E"/>
    <w:rsid w:val="55075D9B"/>
    <w:rsid w:val="550B3CF8"/>
    <w:rsid w:val="550D751A"/>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43798"/>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6F73FDE"/>
    <w:rsid w:val="570D0322"/>
    <w:rsid w:val="57180ACE"/>
    <w:rsid w:val="5718113B"/>
    <w:rsid w:val="571B61B6"/>
    <w:rsid w:val="57213E7D"/>
    <w:rsid w:val="5723561B"/>
    <w:rsid w:val="572362C9"/>
    <w:rsid w:val="572F37C6"/>
    <w:rsid w:val="573568EF"/>
    <w:rsid w:val="5736629C"/>
    <w:rsid w:val="574511BD"/>
    <w:rsid w:val="57540996"/>
    <w:rsid w:val="57631F46"/>
    <w:rsid w:val="57802A35"/>
    <w:rsid w:val="57815555"/>
    <w:rsid w:val="57882730"/>
    <w:rsid w:val="578C3658"/>
    <w:rsid w:val="57945CD1"/>
    <w:rsid w:val="57AD7E3A"/>
    <w:rsid w:val="57B66918"/>
    <w:rsid w:val="57B67E42"/>
    <w:rsid w:val="57BA5F2B"/>
    <w:rsid w:val="57BB3665"/>
    <w:rsid w:val="57BC796D"/>
    <w:rsid w:val="57BD6FCE"/>
    <w:rsid w:val="57BF2D4E"/>
    <w:rsid w:val="57CE5E8C"/>
    <w:rsid w:val="57D214D2"/>
    <w:rsid w:val="57DA1A42"/>
    <w:rsid w:val="57DD425E"/>
    <w:rsid w:val="57FD7EA9"/>
    <w:rsid w:val="58002D08"/>
    <w:rsid w:val="58057728"/>
    <w:rsid w:val="5813707A"/>
    <w:rsid w:val="58142903"/>
    <w:rsid w:val="581D1F94"/>
    <w:rsid w:val="581E3DE2"/>
    <w:rsid w:val="582872BA"/>
    <w:rsid w:val="5829318A"/>
    <w:rsid w:val="582D7EE9"/>
    <w:rsid w:val="58312C61"/>
    <w:rsid w:val="583343BB"/>
    <w:rsid w:val="583439B3"/>
    <w:rsid w:val="583B5787"/>
    <w:rsid w:val="584119B5"/>
    <w:rsid w:val="58567936"/>
    <w:rsid w:val="58595511"/>
    <w:rsid w:val="586759C7"/>
    <w:rsid w:val="586D4BE9"/>
    <w:rsid w:val="58905FCC"/>
    <w:rsid w:val="58AD7359"/>
    <w:rsid w:val="58C07CA9"/>
    <w:rsid w:val="58C3686E"/>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709DC"/>
    <w:rsid w:val="5A0E45FA"/>
    <w:rsid w:val="5A174419"/>
    <w:rsid w:val="5A1C15DB"/>
    <w:rsid w:val="5A3279A1"/>
    <w:rsid w:val="5A344FB0"/>
    <w:rsid w:val="5A360707"/>
    <w:rsid w:val="5A440589"/>
    <w:rsid w:val="5A482568"/>
    <w:rsid w:val="5A5755C9"/>
    <w:rsid w:val="5A5A13C0"/>
    <w:rsid w:val="5A772EA3"/>
    <w:rsid w:val="5A7D29E6"/>
    <w:rsid w:val="5A7E3C77"/>
    <w:rsid w:val="5A7F67C4"/>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61BCD"/>
    <w:rsid w:val="5D8A240A"/>
    <w:rsid w:val="5D8A4019"/>
    <w:rsid w:val="5D9907FA"/>
    <w:rsid w:val="5DA86032"/>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261E1"/>
    <w:rsid w:val="5E6B78B9"/>
    <w:rsid w:val="5E72530D"/>
    <w:rsid w:val="5E7B3471"/>
    <w:rsid w:val="5E811840"/>
    <w:rsid w:val="5EAC620C"/>
    <w:rsid w:val="5EAF12A6"/>
    <w:rsid w:val="5EB56E43"/>
    <w:rsid w:val="5EBF60CC"/>
    <w:rsid w:val="5EBF6AA7"/>
    <w:rsid w:val="5ED82627"/>
    <w:rsid w:val="5EDB6E5E"/>
    <w:rsid w:val="5EFE033F"/>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A82AA5"/>
    <w:rsid w:val="61B94C34"/>
    <w:rsid w:val="61BC38FA"/>
    <w:rsid w:val="61BE0E4F"/>
    <w:rsid w:val="61C85E7F"/>
    <w:rsid w:val="61CD78CF"/>
    <w:rsid w:val="61DA14FE"/>
    <w:rsid w:val="61E53D34"/>
    <w:rsid w:val="61E73697"/>
    <w:rsid w:val="61EE3162"/>
    <w:rsid w:val="61F62056"/>
    <w:rsid w:val="61FC694D"/>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22DA"/>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71890"/>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638"/>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2CFD"/>
    <w:rsid w:val="6776404D"/>
    <w:rsid w:val="679406A3"/>
    <w:rsid w:val="67954429"/>
    <w:rsid w:val="67A2383F"/>
    <w:rsid w:val="67A27F96"/>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626D0"/>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154B4"/>
    <w:rsid w:val="68CF78A2"/>
    <w:rsid w:val="68D4182F"/>
    <w:rsid w:val="68DA458B"/>
    <w:rsid w:val="68E565D8"/>
    <w:rsid w:val="68ED4DA7"/>
    <w:rsid w:val="68ED72EE"/>
    <w:rsid w:val="68F14D31"/>
    <w:rsid w:val="68F24605"/>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53FB1"/>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93C5A"/>
    <w:rsid w:val="69ED52FE"/>
    <w:rsid w:val="69F31D1B"/>
    <w:rsid w:val="69F54308"/>
    <w:rsid w:val="69FC31CB"/>
    <w:rsid w:val="6A0A7A54"/>
    <w:rsid w:val="6A0C706C"/>
    <w:rsid w:val="6A242290"/>
    <w:rsid w:val="6A2622A1"/>
    <w:rsid w:val="6A29523C"/>
    <w:rsid w:val="6A35577F"/>
    <w:rsid w:val="6A38073E"/>
    <w:rsid w:val="6A3A22EA"/>
    <w:rsid w:val="6A3B76D1"/>
    <w:rsid w:val="6A3F2D1D"/>
    <w:rsid w:val="6A582B8E"/>
    <w:rsid w:val="6A592054"/>
    <w:rsid w:val="6A6F04CF"/>
    <w:rsid w:val="6A777087"/>
    <w:rsid w:val="6A807B72"/>
    <w:rsid w:val="6A820574"/>
    <w:rsid w:val="6A9274CB"/>
    <w:rsid w:val="6A99048F"/>
    <w:rsid w:val="6A995680"/>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5E2426"/>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E648F5"/>
    <w:rsid w:val="6BF2692A"/>
    <w:rsid w:val="6BF358A4"/>
    <w:rsid w:val="6C051F4E"/>
    <w:rsid w:val="6C096C12"/>
    <w:rsid w:val="6C1A5960"/>
    <w:rsid w:val="6C304BD6"/>
    <w:rsid w:val="6C311D32"/>
    <w:rsid w:val="6C33740F"/>
    <w:rsid w:val="6C377C16"/>
    <w:rsid w:val="6C417EB8"/>
    <w:rsid w:val="6C613F45"/>
    <w:rsid w:val="6C6B025A"/>
    <w:rsid w:val="6C756221"/>
    <w:rsid w:val="6C7B08BB"/>
    <w:rsid w:val="6C816AF9"/>
    <w:rsid w:val="6C846694"/>
    <w:rsid w:val="6C947428"/>
    <w:rsid w:val="6C954D50"/>
    <w:rsid w:val="6CA21112"/>
    <w:rsid w:val="6CA841D2"/>
    <w:rsid w:val="6CB10385"/>
    <w:rsid w:val="6CCB5899"/>
    <w:rsid w:val="6CDF0F3A"/>
    <w:rsid w:val="6CE47854"/>
    <w:rsid w:val="6CE72999"/>
    <w:rsid w:val="6D011AA2"/>
    <w:rsid w:val="6D0D25B8"/>
    <w:rsid w:val="6D12171A"/>
    <w:rsid w:val="6D1A2893"/>
    <w:rsid w:val="6D2A2544"/>
    <w:rsid w:val="6D48513C"/>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678CD"/>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EFE1F56"/>
    <w:rsid w:val="6F0B4C6A"/>
    <w:rsid w:val="6F226923"/>
    <w:rsid w:val="6F2302E3"/>
    <w:rsid w:val="6F314C13"/>
    <w:rsid w:val="6F382FA6"/>
    <w:rsid w:val="6F391F60"/>
    <w:rsid w:val="6F451933"/>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6FFF218C"/>
    <w:rsid w:val="70092381"/>
    <w:rsid w:val="70093037"/>
    <w:rsid w:val="700D2412"/>
    <w:rsid w:val="70112883"/>
    <w:rsid w:val="70243856"/>
    <w:rsid w:val="702A055B"/>
    <w:rsid w:val="703F2471"/>
    <w:rsid w:val="704A511A"/>
    <w:rsid w:val="704B4131"/>
    <w:rsid w:val="70531ED5"/>
    <w:rsid w:val="70587444"/>
    <w:rsid w:val="705A528C"/>
    <w:rsid w:val="7068062C"/>
    <w:rsid w:val="70797E89"/>
    <w:rsid w:val="707F47B3"/>
    <w:rsid w:val="70867905"/>
    <w:rsid w:val="70903082"/>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13E22"/>
    <w:rsid w:val="72341FD3"/>
    <w:rsid w:val="72364FB6"/>
    <w:rsid w:val="723B04C8"/>
    <w:rsid w:val="724266AF"/>
    <w:rsid w:val="72442376"/>
    <w:rsid w:val="724E6817"/>
    <w:rsid w:val="725F40EB"/>
    <w:rsid w:val="72600D68"/>
    <w:rsid w:val="72604620"/>
    <w:rsid w:val="726B02C1"/>
    <w:rsid w:val="726D2C67"/>
    <w:rsid w:val="727C2338"/>
    <w:rsid w:val="72862316"/>
    <w:rsid w:val="729A0F74"/>
    <w:rsid w:val="72A21DB8"/>
    <w:rsid w:val="72A700F5"/>
    <w:rsid w:val="72B55021"/>
    <w:rsid w:val="72BD1FAF"/>
    <w:rsid w:val="72BE7DA1"/>
    <w:rsid w:val="72C02A90"/>
    <w:rsid w:val="72EB23D5"/>
    <w:rsid w:val="72F03574"/>
    <w:rsid w:val="72F77CB6"/>
    <w:rsid w:val="72FA423D"/>
    <w:rsid w:val="73025BA4"/>
    <w:rsid w:val="731438BD"/>
    <w:rsid w:val="73216743"/>
    <w:rsid w:val="73245D03"/>
    <w:rsid w:val="732D5C49"/>
    <w:rsid w:val="733155C8"/>
    <w:rsid w:val="73403A1F"/>
    <w:rsid w:val="73407A23"/>
    <w:rsid w:val="73422D3C"/>
    <w:rsid w:val="735171FE"/>
    <w:rsid w:val="73532145"/>
    <w:rsid w:val="73625723"/>
    <w:rsid w:val="737007D9"/>
    <w:rsid w:val="73861499"/>
    <w:rsid w:val="738B5B50"/>
    <w:rsid w:val="73AA53A0"/>
    <w:rsid w:val="73B04F6B"/>
    <w:rsid w:val="73B90645"/>
    <w:rsid w:val="73D20D1A"/>
    <w:rsid w:val="73E168D2"/>
    <w:rsid w:val="73E873C4"/>
    <w:rsid w:val="73EC193B"/>
    <w:rsid w:val="73F07AA4"/>
    <w:rsid w:val="73FE655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7654A"/>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DE488F"/>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D11FC2"/>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75398"/>
    <w:rsid w:val="77B92EBE"/>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50950"/>
    <w:rsid w:val="786F115C"/>
    <w:rsid w:val="787755B6"/>
    <w:rsid w:val="78810787"/>
    <w:rsid w:val="78826969"/>
    <w:rsid w:val="788E3AAC"/>
    <w:rsid w:val="78947487"/>
    <w:rsid w:val="78AB6B00"/>
    <w:rsid w:val="78B515B5"/>
    <w:rsid w:val="78BC6FFF"/>
    <w:rsid w:val="78C107B1"/>
    <w:rsid w:val="78C21620"/>
    <w:rsid w:val="78CE2D76"/>
    <w:rsid w:val="78E81581"/>
    <w:rsid w:val="78EE2375"/>
    <w:rsid w:val="78FA244C"/>
    <w:rsid w:val="78FE1B78"/>
    <w:rsid w:val="79024116"/>
    <w:rsid w:val="790B5E4F"/>
    <w:rsid w:val="790D572F"/>
    <w:rsid w:val="7911339B"/>
    <w:rsid w:val="79233654"/>
    <w:rsid w:val="793E4F07"/>
    <w:rsid w:val="79455569"/>
    <w:rsid w:val="794669D3"/>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6E0921"/>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3B62E0"/>
    <w:rsid w:val="7B412669"/>
    <w:rsid w:val="7B472446"/>
    <w:rsid w:val="7B496993"/>
    <w:rsid w:val="7B6B35F1"/>
    <w:rsid w:val="7B713AB0"/>
    <w:rsid w:val="7B737828"/>
    <w:rsid w:val="7B763C81"/>
    <w:rsid w:val="7B783675"/>
    <w:rsid w:val="7B796807"/>
    <w:rsid w:val="7B8352C9"/>
    <w:rsid w:val="7BAA07E8"/>
    <w:rsid w:val="7BAB6832"/>
    <w:rsid w:val="7BAC2D3A"/>
    <w:rsid w:val="7BAE3C97"/>
    <w:rsid w:val="7BB16076"/>
    <w:rsid w:val="7BB46DB9"/>
    <w:rsid w:val="7BBF3DB1"/>
    <w:rsid w:val="7BC12C72"/>
    <w:rsid w:val="7BD53F1A"/>
    <w:rsid w:val="7BD74454"/>
    <w:rsid w:val="7BE96DEC"/>
    <w:rsid w:val="7BF32717"/>
    <w:rsid w:val="7C0148DF"/>
    <w:rsid w:val="7C021A51"/>
    <w:rsid w:val="7C033C13"/>
    <w:rsid w:val="7C041A0F"/>
    <w:rsid w:val="7C110306"/>
    <w:rsid w:val="7C1A1B2C"/>
    <w:rsid w:val="7C1A63E7"/>
    <w:rsid w:val="7C212B8A"/>
    <w:rsid w:val="7C3C3809"/>
    <w:rsid w:val="7C3D66BC"/>
    <w:rsid w:val="7C490589"/>
    <w:rsid w:val="7C492337"/>
    <w:rsid w:val="7C6212C4"/>
    <w:rsid w:val="7C8464A1"/>
    <w:rsid w:val="7C9D2D7B"/>
    <w:rsid w:val="7CA26867"/>
    <w:rsid w:val="7CB43A8E"/>
    <w:rsid w:val="7CC106AB"/>
    <w:rsid w:val="7CDF4250"/>
    <w:rsid w:val="7D0821F2"/>
    <w:rsid w:val="7D09113D"/>
    <w:rsid w:val="7D0B1257"/>
    <w:rsid w:val="7D157A0E"/>
    <w:rsid w:val="7D1658AD"/>
    <w:rsid w:val="7D1B2E27"/>
    <w:rsid w:val="7D1D4159"/>
    <w:rsid w:val="7D243099"/>
    <w:rsid w:val="7D4B3993"/>
    <w:rsid w:val="7D586CD5"/>
    <w:rsid w:val="7D5F5E30"/>
    <w:rsid w:val="7D656BAD"/>
    <w:rsid w:val="7D680D06"/>
    <w:rsid w:val="7D6B45FB"/>
    <w:rsid w:val="7D6C208F"/>
    <w:rsid w:val="7D845D1C"/>
    <w:rsid w:val="7D897D56"/>
    <w:rsid w:val="7D8F519C"/>
    <w:rsid w:val="7D9B14E5"/>
    <w:rsid w:val="7D9C12B8"/>
    <w:rsid w:val="7DA753B2"/>
    <w:rsid w:val="7DAA42B2"/>
    <w:rsid w:val="7DAA569A"/>
    <w:rsid w:val="7DB025C3"/>
    <w:rsid w:val="7DB1501E"/>
    <w:rsid w:val="7DB31B42"/>
    <w:rsid w:val="7DB676D9"/>
    <w:rsid w:val="7DBE16CF"/>
    <w:rsid w:val="7DC37DE3"/>
    <w:rsid w:val="7DD45912"/>
    <w:rsid w:val="7DD93D26"/>
    <w:rsid w:val="7DF51E1E"/>
    <w:rsid w:val="7E0D4E8F"/>
    <w:rsid w:val="7E107D04"/>
    <w:rsid w:val="7E1C41A7"/>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CD54A1"/>
    <w:rsid w:val="7ED11A3C"/>
    <w:rsid w:val="7ED91C72"/>
    <w:rsid w:val="7EE33B7E"/>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C468A4"/>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6260</Words>
  <Characters>6827</Characters>
  <Lines>0</Lines>
  <Paragraphs>0</Paragraphs>
  <TotalTime>0</TotalTime>
  <ScaleCrop>false</ScaleCrop>
  <LinksUpToDate>false</LinksUpToDate>
  <CharactersWithSpaces>6931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用友新启航-刘白</cp:lastModifiedBy>
  <dcterms:modified xsi:type="dcterms:W3CDTF">2024-06-23T14:08:03Z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4B5FDDC259FB49A4A0EBEC5A4BB60567_11</vt:lpwstr>
  </property>
</Properties>
</file>