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vAlign w:val="top"/>
          </w:tcPr>
          <w:p>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color w:val="000000"/>
                <w:spacing w:val="-2"/>
                <w:sz w:val="20"/>
                <w:szCs w:val="20"/>
              </w:rPr>
              <w:t>岳阳市岳阳楼区妇幼保健院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vAlign w:val="top"/>
          </w:tcPr>
          <w:p>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vAlign w:val="top"/>
          </w:tcPr>
          <w:p>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vAlign w:val="top"/>
          </w:tcPr>
          <w:p>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宋体" w:hAnsi="宋体" w:eastAsia="宋体" w:cs="宋体"/>
                <w:color w:val="000000"/>
                <w:sz w:val="24"/>
                <w:szCs w:val="24"/>
              </w:rPr>
            </w:pPr>
          </w:p>
        </w:tc>
        <w:tc>
          <w:tcPr>
            <w:tcW w:w="1815" w:type="dxa"/>
            <w:gridSpan w:val="2"/>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47</w:t>
            </w:r>
          </w:p>
        </w:tc>
        <w:tc>
          <w:tcPr>
            <w:tcW w:w="2325" w:type="dxa"/>
            <w:gridSpan w:val="2"/>
            <w:vAlign w:val="top"/>
          </w:tcPr>
          <w:p>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47</w:t>
            </w:r>
          </w:p>
        </w:tc>
        <w:tc>
          <w:tcPr>
            <w:tcW w:w="1679"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vAlign w:val="top"/>
          </w:tcPr>
          <w:p>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vAlign w:val="top"/>
          </w:tcPr>
          <w:p>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7.29</w:t>
            </w:r>
          </w:p>
        </w:tc>
        <w:tc>
          <w:tcPr>
            <w:tcW w:w="2325"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c>
          <w:tcPr>
            <w:tcW w:w="1679" w:type="dxa"/>
            <w:gridSpan w:val="2"/>
            <w:vAlign w:val="top"/>
          </w:tcPr>
          <w:p>
            <w:pP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7.17</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70" w:hRule="atLeast"/>
        </w:trPr>
        <w:tc>
          <w:tcPr>
            <w:tcW w:w="3850" w:type="dxa"/>
            <w:vAlign w:val="top"/>
          </w:tcPr>
          <w:p>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7.17</w:t>
            </w: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0.12</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jc w:val="lef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9" w:hRule="atLeast"/>
        </w:trPr>
        <w:tc>
          <w:tcPr>
            <w:tcW w:w="3850" w:type="dxa"/>
            <w:vAlign w:val="top"/>
          </w:tcPr>
          <w:p>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jc w:val="left"/>
              <w:rPr>
                <w:rFonts w:hint="eastAsia" w:ascii="宋体" w:hAnsi="宋体" w:eastAsia="宋体" w:cs="宋体"/>
                <w:color w:val="000000"/>
                <w:sz w:val="24"/>
                <w:szCs w:val="24"/>
              </w:rPr>
            </w:pP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6.41</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61.55</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27.00</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84.19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3.23</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1.00</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211.76</w:t>
            </w:r>
          </w:p>
        </w:tc>
        <w:tc>
          <w:tcPr>
            <w:tcW w:w="2325"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16.01</w:t>
            </w:r>
          </w:p>
        </w:tc>
        <w:tc>
          <w:tcPr>
            <w:tcW w:w="1679" w:type="dxa"/>
            <w:gridSpan w:val="2"/>
            <w:vAlign w:val="top"/>
          </w:tcPr>
          <w:p>
            <w:pP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267.04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vAlign w:val="top"/>
          </w:tcPr>
          <w:p>
            <w:pPr>
              <w:rPr>
                <w:rFonts w:hint="eastAsia" w:ascii="宋体" w:hAnsi="宋体" w:eastAsia="宋体" w:cs="宋体"/>
                <w:color w:val="000000"/>
                <w:sz w:val="21"/>
              </w:rPr>
            </w:pPr>
          </w:p>
        </w:tc>
        <w:tc>
          <w:tcPr>
            <w:tcW w:w="2325" w:type="dxa"/>
            <w:gridSpan w:val="2"/>
            <w:vAlign w:val="top"/>
          </w:tcPr>
          <w:p>
            <w:pPr>
              <w:rPr>
                <w:rFonts w:hint="eastAsia" w:ascii="宋体" w:hAnsi="宋体" w:eastAsia="宋体" w:cs="宋体"/>
                <w:color w:val="000000"/>
                <w:sz w:val="21"/>
              </w:rPr>
            </w:pPr>
          </w:p>
        </w:tc>
        <w:tc>
          <w:tcPr>
            <w:tcW w:w="1679" w:type="dxa"/>
            <w:gridSpan w:val="2"/>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0" w:hRule="atLeast"/>
        </w:trPr>
        <w:tc>
          <w:tcPr>
            <w:tcW w:w="3850" w:type="dxa"/>
            <w:vMerge w:val="continue"/>
            <w:tcBorders>
              <w:top w:val="nil"/>
            </w:tcBorders>
            <w:vAlign w:val="top"/>
          </w:tcPr>
          <w:p>
            <w:pPr>
              <w:jc w:val="left"/>
              <w:rPr>
                <w:rFonts w:hint="eastAsia" w:ascii="宋体" w:hAnsi="宋体" w:eastAsia="宋体" w:cs="宋体"/>
                <w:color w:val="000000"/>
                <w:sz w:val="24"/>
                <w:szCs w:val="24"/>
              </w:rPr>
            </w:pPr>
          </w:p>
        </w:tc>
        <w:tc>
          <w:tcPr>
            <w:tcW w:w="825" w:type="dxa"/>
            <w:vAlign w:val="top"/>
          </w:tcPr>
          <w:p>
            <w:pPr>
              <w:rPr>
                <w:rFonts w:hint="eastAsia" w:ascii="宋体" w:hAnsi="宋体" w:eastAsia="宋体" w:cs="宋体"/>
                <w:color w:val="000000"/>
                <w:sz w:val="21"/>
              </w:rPr>
            </w:pPr>
          </w:p>
        </w:tc>
        <w:tc>
          <w:tcPr>
            <w:tcW w:w="990" w:type="dxa"/>
            <w:vAlign w:val="top"/>
          </w:tcPr>
          <w:p>
            <w:pPr>
              <w:rPr>
                <w:rFonts w:hint="eastAsia" w:ascii="宋体" w:hAnsi="宋体" w:eastAsia="宋体" w:cs="宋体"/>
                <w:color w:val="000000"/>
                <w:sz w:val="21"/>
              </w:rPr>
            </w:pPr>
          </w:p>
        </w:tc>
        <w:tc>
          <w:tcPr>
            <w:tcW w:w="1140" w:type="dxa"/>
            <w:vAlign w:val="top"/>
          </w:tcPr>
          <w:p>
            <w:pPr>
              <w:rPr>
                <w:rFonts w:hint="eastAsia" w:ascii="宋体" w:hAnsi="宋体" w:eastAsia="宋体" w:cs="宋体"/>
                <w:color w:val="000000"/>
                <w:sz w:val="21"/>
              </w:rPr>
            </w:pPr>
          </w:p>
        </w:tc>
        <w:tc>
          <w:tcPr>
            <w:tcW w:w="1185" w:type="dxa"/>
            <w:vAlign w:val="top"/>
          </w:tcPr>
          <w:p>
            <w:pPr>
              <w:rPr>
                <w:rFonts w:hint="eastAsia" w:ascii="宋体" w:hAnsi="宋体" w:eastAsia="宋体" w:cs="宋体"/>
                <w:color w:val="000000"/>
                <w:sz w:val="21"/>
              </w:rPr>
            </w:pPr>
          </w:p>
        </w:tc>
        <w:tc>
          <w:tcPr>
            <w:tcW w:w="810" w:type="dxa"/>
            <w:vAlign w:val="top"/>
          </w:tcPr>
          <w:p>
            <w:pPr>
              <w:rPr>
                <w:rFonts w:hint="eastAsia" w:ascii="宋体" w:hAnsi="宋体" w:eastAsia="宋体" w:cs="宋体"/>
                <w:color w:val="000000"/>
                <w:sz w:val="21"/>
              </w:rPr>
            </w:pPr>
          </w:p>
        </w:tc>
        <w:tc>
          <w:tcPr>
            <w:tcW w:w="869" w:type="dxa"/>
            <w:vAlign w:val="top"/>
          </w:tcPr>
          <w:p>
            <w:pPr>
              <w:rPr>
                <w:rFonts w:hint="eastAsia" w:ascii="宋体" w:hAnsi="宋体" w:eastAsia="宋体" w:cs="宋体"/>
                <w:color w:val="000000"/>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3"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Calibri" w:eastAsia="宋体"/>
          <w:sz w:val="24"/>
          <w:szCs w:val="24"/>
          <w:lang w:val="en-US" w:eastAsia="zh-CN"/>
        </w:rPr>
        <w:t>魏晓红</w:t>
      </w:r>
      <w:r>
        <w:rPr>
          <w:rFonts w:hint="eastAsia" w:ascii="宋体" w:hAnsi="宋体" w:eastAsia="宋体" w:cs="宋体"/>
          <w:color w:val="000000"/>
          <w:spacing w:val="0"/>
          <w:position w:val="0"/>
          <w:sz w:val="23"/>
          <w:szCs w:val="23"/>
        </w:rPr>
        <w:t xml:space="preserve">    联系电话：</w:t>
      </w:r>
      <w:r>
        <w:rPr>
          <w:rFonts w:hint="eastAsia" w:ascii="Calibri" w:eastAsia="宋体"/>
          <w:sz w:val="24"/>
          <w:szCs w:val="24"/>
          <w:lang w:val="en-US" w:eastAsia="zh-CN"/>
        </w:rPr>
        <w:t>18975001598</w:t>
      </w:r>
      <w:r>
        <w:rPr>
          <w:rFonts w:hint="eastAsia" w:ascii="宋体" w:hAnsi="宋体" w:eastAsia="宋体" w:cs="宋体"/>
          <w:color w:val="000000"/>
          <w:spacing w:val="0"/>
          <w:position w:val="0"/>
          <w:sz w:val="23"/>
          <w:szCs w:val="23"/>
        </w:rPr>
        <w:t xml:space="preserve">   填报日期：</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hint="eastAsia" w:ascii="Times New Roman" w:hAnsi="Times New Roman" w:eastAsia="宋体" w:cs="Times New Roman"/>
          <w:spacing w:val="-4"/>
          <w:sz w:val="31"/>
          <w:szCs w:val="31"/>
          <w:lang w:val="en-US" w:eastAsia="zh-CN"/>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9" w:hRule="atLeast"/>
        </w:trPr>
        <w:tc>
          <w:tcPr>
            <w:tcW w:w="3197" w:type="dxa"/>
            <w:gridSpan w:val="3"/>
            <w:vAlign w:val="top"/>
          </w:tcPr>
          <w:p>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vAlign w:val="top"/>
          </w:tcPr>
          <w:p>
            <w:pPr>
              <w:pStyle w:val="9"/>
              <w:spacing w:line="239" w:lineRule="exact"/>
              <w:rPr>
                <w:rFonts w:hint="eastAsia" w:ascii="宋体" w:hAnsi="宋体" w:eastAsia="宋体" w:cs="宋体"/>
                <w:sz w:val="20"/>
              </w:rPr>
            </w:pPr>
            <w:r>
              <w:rPr>
                <w:rFonts w:hint="eastAsia" w:ascii="宋体" w:hAnsi="宋体" w:eastAsia="宋体" w:cs="宋体"/>
                <w:sz w:val="20"/>
              </w:rPr>
              <w:t>岳阳市岳阳楼区妇幼保健院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restart"/>
            <w:tcBorders>
              <w:bottom w:val="nil"/>
            </w:tcBorders>
            <w:vAlign w:val="top"/>
          </w:tcPr>
          <w:p>
            <w:pPr>
              <w:pStyle w:val="9"/>
              <w:spacing w:line="467" w:lineRule="auto"/>
              <w:rPr>
                <w:rFonts w:hint="eastAsia" w:ascii="宋体" w:hAnsi="宋体" w:eastAsia="宋体" w:cs="宋体"/>
              </w:rPr>
            </w:pPr>
          </w:p>
          <w:p>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vAlign w:val="top"/>
          </w:tcPr>
          <w:p>
            <w:pPr>
              <w:pStyle w:val="9"/>
              <w:spacing w:line="235" w:lineRule="exact"/>
              <w:rPr>
                <w:rFonts w:hint="eastAsia" w:ascii="宋体" w:hAnsi="宋体" w:eastAsia="宋体" w:cs="宋体"/>
                <w:sz w:val="20"/>
              </w:rPr>
            </w:pPr>
          </w:p>
        </w:tc>
        <w:tc>
          <w:tcPr>
            <w:tcW w:w="1269" w:type="dxa"/>
            <w:vAlign w:val="top"/>
          </w:tcPr>
          <w:p>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vAlign w:val="top"/>
          </w:tcPr>
          <w:p>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vAlign w:val="top"/>
          </w:tcPr>
          <w:p>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vAlign w:val="top"/>
          </w:tcPr>
          <w:p>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vAlign w:val="top"/>
          </w:tcPr>
          <w:p>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113" w:type="dxa"/>
            <w:gridSpan w:val="2"/>
            <w:vAlign w:val="top"/>
          </w:tcPr>
          <w:p>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936.20</w:t>
            </w:r>
          </w:p>
        </w:tc>
        <w:tc>
          <w:tcPr>
            <w:tcW w:w="1310"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7391.74</w:t>
            </w:r>
          </w:p>
        </w:tc>
        <w:tc>
          <w:tcPr>
            <w:tcW w:w="1268"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5797.24</w:t>
            </w:r>
          </w:p>
        </w:tc>
        <w:tc>
          <w:tcPr>
            <w:tcW w:w="716" w:type="dxa"/>
            <w:vAlign w:val="top"/>
          </w:tcPr>
          <w:p>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78.43%</w:t>
            </w:r>
          </w:p>
        </w:tc>
        <w:tc>
          <w:tcPr>
            <w:tcW w:w="1450" w:type="dxa"/>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7.84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vAlign w:val="top"/>
          </w:tcPr>
          <w:p>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1" w:line="207" w:lineRule="auto"/>
              <w:ind w:left="312"/>
              <w:rPr>
                <w:rFonts w:hint="eastAsia" w:ascii="宋体" w:hAnsi="宋体" w:eastAsia="宋体" w:cs="宋体"/>
                <w:sz w:val="19"/>
                <w:szCs w:val="19"/>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z w:val="20"/>
                <w:lang w:val="en-US" w:eastAsia="zh-CN"/>
              </w:rPr>
              <w:t>2038.89</w:t>
            </w:r>
          </w:p>
        </w:tc>
        <w:tc>
          <w:tcPr>
            <w:tcW w:w="4307" w:type="dxa"/>
            <w:gridSpan w:val="4"/>
            <w:vAlign w:val="top"/>
          </w:tcPr>
          <w:p>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z w:val="20"/>
                <w:lang w:val="en-US" w:eastAsia="zh-CN"/>
              </w:rPr>
              <w:t>5797.24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1" w:line="207" w:lineRule="auto"/>
              <w:ind w:left="916"/>
              <w:rPr>
                <w:rFonts w:hint="default" w:ascii="宋体" w:hAnsi="宋体" w:eastAsia="宋体" w:cs="宋体"/>
                <w:sz w:val="19"/>
                <w:szCs w:val="19"/>
                <w:lang w:val="en-US" w:eastAsia="zh-CN"/>
              </w:rPr>
            </w:pPr>
            <w:r>
              <w:rPr>
                <w:rFonts w:hint="eastAsia" w:ascii="宋体" w:hAnsi="宋体" w:eastAsia="宋体" w:cs="宋体"/>
                <w:spacing w:val="2"/>
                <w:sz w:val="19"/>
                <w:szCs w:val="19"/>
              </w:rPr>
              <w:t>政府性基金拨款：</w:t>
            </w:r>
          </w:p>
        </w:tc>
        <w:tc>
          <w:tcPr>
            <w:tcW w:w="4307" w:type="dxa"/>
            <w:gridSpan w:val="4"/>
            <w:vAlign w:val="top"/>
          </w:tcPr>
          <w:p>
            <w:pPr>
              <w:spacing w:before="21" w:line="207" w:lineRule="auto"/>
              <w:ind w:left="717"/>
              <w:rPr>
                <w:rFonts w:hint="eastAsia" w:ascii="宋体" w:hAnsi="宋体" w:eastAsia="宋体" w:cs="宋体"/>
                <w:sz w:val="19"/>
                <w:szCs w:val="19"/>
              </w:rPr>
            </w:pPr>
            <w:r>
              <w:rPr>
                <w:rFonts w:hint="eastAsia" w:ascii="宋体" w:hAnsi="宋体" w:eastAsia="宋体" w:cs="宋体"/>
                <w:spacing w:val="-3"/>
                <w:sz w:val="19"/>
                <w:szCs w:val="19"/>
              </w:rPr>
              <w:t>项目支出：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4692" w:type="dxa"/>
            <w:gridSpan w:val="4"/>
            <w:vAlign w:val="top"/>
          </w:tcPr>
          <w:p>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nil"/>
            </w:tcBorders>
            <w:vAlign w:val="top"/>
          </w:tcPr>
          <w:p>
            <w:pPr>
              <w:pStyle w:val="9"/>
              <w:rPr>
                <w:rFonts w:hint="eastAsia" w:ascii="宋体" w:hAnsi="宋体" w:eastAsia="宋体" w:cs="宋体"/>
              </w:rPr>
            </w:pPr>
          </w:p>
        </w:tc>
        <w:tc>
          <w:tcPr>
            <w:tcW w:w="4692" w:type="dxa"/>
            <w:gridSpan w:val="4"/>
            <w:vAlign w:val="top"/>
          </w:tcPr>
          <w:p>
            <w:pPr>
              <w:spacing w:before="20" w:line="208" w:lineRule="auto"/>
              <w:ind w:left="1512"/>
              <w:rPr>
                <w:rFonts w:hint="eastAsia" w:ascii="宋体" w:hAnsi="宋体" w:eastAsia="宋体" w:cs="宋体"/>
                <w:sz w:val="19"/>
                <w:szCs w:val="19"/>
                <w:lang w:val="en-US"/>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5352.85</w:t>
            </w:r>
          </w:p>
        </w:tc>
        <w:tc>
          <w:tcPr>
            <w:tcW w:w="4307" w:type="dxa"/>
            <w:gridSpan w:val="4"/>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restart"/>
            <w:tcBorders>
              <w:bottom w:val="nil"/>
            </w:tcBorders>
            <w:vAlign w:val="top"/>
          </w:tcPr>
          <w:p>
            <w:pPr>
              <w:pStyle w:val="9"/>
              <w:spacing w:line="242" w:lineRule="auto"/>
              <w:rPr>
                <w:rFonts w:hint="eastAsia" w:ascii="宋体" w:hAnsi="宋体" w:eastAsia="宋体" w:cs="宋体"/>
              </w:rPr>
            </w:pPr>
          </w:p>
          <w:p>
            <w:pPr>
              <w:pStyle w:val="9"/>
              <w:spacing w:line="243" w:lineRule="auto"/>
              <w:rPr>
                <w:rFonts w:hint="eastAsia" w:ascii="宋体" w:hAnsi="宋体" w:eastAsia="宋体" w:cs="宋体"/>
              </w:rPr>
            </w:pPr>
          </w:p>
          <w:p>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vAlign w:val="top"/>
          </w:tcPr>
          <w:p>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vAlign w:val="top"/>
          </w:tcPr>
          <w:p>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94" w:hRule="atLeast"/>
        </w:trPr>
        <w:tc>
          <w:tcPr>
            <w:tcW w:w="1084" w:type="dxa"/>
            <w:vMerge w:val="continue"/>
            <w:tcBorders>
              <w:top w:val="nil"/>
              <w:bottom w:val="single" w:color="auto" w:sz="4" w:space="0"/>
            </w:tcBorders>
            <w:vAlign w:val="top"/>
          </w:tcPr>
          <w:p>
            <w:pPr>
              <w:pStyle w:val="9"/>
              <w:rPr>
                <w:rFonts w:hint="eastAsia" w:ascii="宋体" w:hAnsi="宋体" w:eastAsia="宋体" w:cs="宋体"/>
              </w:rPr>
            </w:pPr>
          </w:p>
        </w:tc>
        <w:tc>
          <w:tcPr>
            <w:tcW w:w="4692" w:type="dxa"/>
            <w:gridSpan w:val="4"/>
            <w:tcBorders>
              <w:bottom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1、2023年业务总收入4500万元；</w:t>
            </w:r>
          </w:p>
          <w:p>
            <w:pPr>
              <w:pStyle w:val="9"/>
              <w:numPr>
                <w:ilvl w:val="0"/>
                <w:numId w:val="1"/>
              </w:numPr>
              <w:rPr>
                <w:rFonts w:hint="eastAsia" w:ascii="宋体" w:hAnsi="宋体" w:eastAsia="宋体" w:cs="宋体"/>
                <w:lang w:val="en-US" w:eastAsia="zh-CN"/>
              </w:rPr>
            </w:pPr>
            <w:r>
              <w:rPr>
                <w:rFonts w:hint="eastAsia" w:ascii="宋体" w:hAnsi="宋体" w:eastAsia="宋体" w:cs="宋体"/>
                <w:lang w:val="en-US" w:eastAsia="zh-CN"/>
              </w:rPr>
              <w:t>疫苗接种30000人次；</w:t>
            </w:r>
          </w:p>
          <w:p>
            <w:pPr>
              <w:pStyle w:val="9"/>
              <w:numPr>
                <w:ilvl w:val="0"/>
                <w:numId w:val="1"/>
              </w:numPr>
              <w:rPr>
                <w:rFonts w:hint="default" w:ascii="宋体" w:hAnsi="宋体" w:eastAsia="宋体" w:cs="宋体"/>
                <w:lang w:val="en-US" w:eastAsia="zh-CN"/>
              </w:rPr>
            </w:pPr>
            <w:r>
              <w:rPr>
                <w:rFonts w:hint="eastAsia" w:ascii="宋体" w:hAnsi="宋体" w:eastAsia="宋体" w:cs="宋体"/>
                <w:lang w:val="en-US" w:eastAsia="zh-CN"/>
              </w:rPr>
              <w:t>妇女保健门诊共服务9900人次；</w:t>
            </w:r>
          </w:p>
          <w:p>
            <w:pPr>
              <w:pStyle w:val="9"/>
              <w:numPr>
                <w:ilvl w:val="0"/>
                <w:numId w:val="1"/>
              </w:numPr>
              <w:rPr>
                <w:rFonts w:hint="default" w:ascii="宋体" w:hAnsi="宋体" w:eastAsia="宋体" w:cs="宋体"/>
                <w:lang w:val="en-US" w:eastAsia="zh-CN"/>
              </w:rPr>
            </w:pPr>
            <w:r>
              <w:rPr>
                <w:rFonts w:hint="eastAsia" w:ascii="宋体" w:hAnsi="宋体" w:eastAsia="宋体" w:cs="宋体"/>
                <w:lang w:val="en-US" w:eastAsia="zh-CN"/>
              </w:rPr>
              <w:t>0-6岁儿童管理34000人；</w:t>
            </w:r>
          </w:p>
          <w:p>
            <w:pPr>
              <w:pStyle w:val="9"/>
              <w:numPr>
                <w:ilvl w:val="0"/>
                <w:numId w:val="1"/>
              </w:numPr>
              <w:rPr>
                <w:rFonts w:hint="default" w:ascii="宋体" w:hAnsi="宋体" w:eastAsia="宋体" w:cs="宋体"/>
                <w:lang w:val="en-US" w:eastAsia="zh-CN"/>
              </w:rPr>
            </w:pPr>
            <w:r>
              <w:rPr>
                <w:rFonts w:hint="eastAsia" w:ascii="宋体" w:hAnsi="宋体" w:eastAsia="宋体" w:cs="宋体"/>
                <w:lang w:val="en-US" w:eastAsia="zh-CN"/>
              </w:rPr>
              <w:t>开展全院性创建内审专题会议6次；</w:t>
            </w:r>
          </w:p>
          <w:p>
            <w:pPr>
              <w:pStyle w:val="9"/>
              <w:numPr>
                <w:ilvl w:val="0"/>
                <w:numId w:val="1"/>
              </w:numPr>
              <w:rPr>
                <w:rFonts w:hint="default" w:ascii="宋体" w:hAnsi="宋体" w:eastAsia="宋体" w:cs="宋体"/>
                <w:lang w:val="en-US" w:eastAsia="zh-CN"/>
              </w:rPr>
            </w:pPr>
            <w:r>
              <w:rPr>
                <w:rFonts w:hint="eastAsia" w:ascii="宋体" w:hAnsi="宋体" w:eastAsia="宋体" w:cs="宋体"/>
                <w:lang w:val="en-US" w:eastAsia="zh-CN"/>
              </w:rPr>
              <w:t>全区农村适龄妇女和城镇低保适龄妇女“两癌”免费检查1994人，新生儿耳聋基因免费筛查3000人，新生儿先心病免费筛查3000人，免费婚前检查2800对，孕前优生健康检查2700对。</w:t>
            </w:r>
          </w:p>
        </w:tc>
        <w:tc>
          <w:tcPr>
            <w:tcW w:w="4307" w:type="dxa"/>
            <w:gridSpan w:val="4"/>
            <w:tcBorders>
              <w:bottom w:val="single" w:color="auto" w:sz="4" w:space="0"/>
            </w:tcBorders>
            <w:vAlign w:val="top"/>
          </w:tcPr>
          <w:p>
            <w:pPr>
              <w:keepNext w:val="0"/>
              <w:keepLines w:val="0"/>
              <w:pageBreakBefore w:val="0"/>
              <w:widowControl w:val="0"/>
              <w:tabs>
                <w:tab w:val="right" w:pos="4153"/>
                <w:tab w:val="center" w:pos="8306"/>
              </w:tabs>
              <w:kinsoku/>
              <w:wordWrap/>
              <w:overflowPunct/>
              <w:topLinePunct w:val="0"/>
              <w:autoSpaceDE/>
              <w:autoSpaceDN/>
              <w:bidi w:val="0"/>
              <w:adjustRightInd/>
              <w:snapToGrid w:val="0"/>
              <w:spacing w:before="0" w:after="0" w:line="0" w:lineRule="atLeast"/>
              <w:jc w:val="both"/>
              <w:textAlignment w:val="auto"/>
              <w:rPr>
                <w:rFonts w:hint="default" w:ascii="宋体" w:hAnsi="宋体" w:eastAsia="宋体" w:cs="宋体"/>
                <w:lang w:val="en-US" w:eastAsia="zh-CN"/>
              </w:rPr>
            </w:pPr>
            <w:r>
              <w:rPr>
                <w:rFonts w:hint="eastAsia" w:ascii="宋体" w:hAnsi="宋体" w:eastAsia="宋体" w:cs="宋体"/>
                <w:lang w:val="en-US" w:eastAsia="zh-CN"/>
              </w:rPr>
              <w:t>1、2023年医疗收入4632.6万元，2022年医疗收入4462.97万元，同比增长3.8%；2、一类疫苗接种6664人次，二类疫苗接种23685人次，新冠疫苗接种209人次；3、妇女保健门诊共服务9918人次；4、0-6岁儿童数34856人,健康管理率95.89%，</w:t>
            </w:r>
            <w:r>
              <w:rPr>
                <w:rFonts w:hint="eastAsia" w:ascii="宋体" w:hAnsi="宋体" w:eastAsia="宋体" w:cs="宋体"/>
                <w:lang w:eastAsia="zh-CN"/>
              </w:rPr>
              <w:t>辖区5岁以下儿童死亡</w:t>
            </w:r>
            <w:r>
              <w:rPr>
                <w:rFonts w:hint="eastAsia" w:ascii="宋体" w:hAnsi="宋体" w:eastAsia="宋体" w:cs="宋体"/>
                <w:lang w:val="en-US" w:eastAsia="zh-CN"/>
              </w:rPr>
              <w:t>4</w:t>
            </w:r>
            <w:r>
              <w:rPr>
                <w:rFonts w:hint="eastAsia" w:ascii="宋体" w:hAnsi="宋体" w:eastAsia="宋体" w:cs="宋体"/>
                <w:lang w:eastAsia="zh-CN"/>
              </w:rPr>
              <w:t>例，较去年同期稳步下降。</w:t>
            </w:r>
            <w:r>
              <w:rPr>
                <w:rFonts w:hint="eastAsia" w:ascii="宋体" w:hAnsi="宋体" w:eastAsia="宋体" w:cs="宋体"/>
                <w:lang w:val="en-US" w:eastAsia="zh-CN"/>
              </w:rPr>
              <w:t>4、开展全院性创建内审专题会议6次，召开创建工作例会近30余次。5、全区农村适龄妇女和城镇低保适龄妇女“两癌”免费检查2018人，完成目标任务的101.19%，筛查出宫颈癌病变6人，早期乳腺癌1人；新生儿耳聋基因免费筛查3022人；孕产妇免费中期产前筛查共完成3000人；新生儿先心病免费筛查共完成3000人，均已完成年初目标任务。免费为1000余名育龄妇女发放叶酸6000余瓶；免费婚前检查2850对；孕前优生健康检查2795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4" w:hRule="atLeast"/>
        </w:trPr>
        <w:tc>
          <w:tcPr>
            <w:tcW w:w="1084" w:type="dxa"/>
            <w:vMerge w:val="restart"/>
            <w:tcBorders>
              <w:top w:val="single" w:color="auto" w:sz="4" w:space="0"/>
              <w:left w:val="single" w:color="auto" w:sz="4" w:space="0"/>
              <w:bottom w:val="single" w:color="auto" w:sz="4" w:space="0"/>
              <w:right w:val="single" w:color="auto" w:sz="4" w:space="0"/>
            </w:tcBorders>
            <w:textDirection w:val="tbRlV"/>
            <w:vAlign w:val="top"/>
          </w:tcPr>
          <w:p>
            <w:pPr>
              <w:pStyle w:val="9"/>
              <w:spacing w:line="364" w:lineRule="auto"/>
              <w:rPr>
                <w:rFonts w:hint="eastAsia" w:ascii="宋体" w:hAnsi="宋体" w:eastAsia="宋体" w:cs="宋体"/>
              </w:rPr>
            </w:pPr>
          </w:p>
          <w:p>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tcBorders>
              <w:top w:val="single" w:color="auto" w:sz="4" w:space="0"/>
              <w:left w:val="single" w:color="auto" w:sz="4" w:space="0"/>
              <w:bottom w:val="single" w:color="auto" w:sz="4" w:space="0"/>
              <w:right w:val="single" w:color="auto" w:sz="4" w:space="0"/>
            </w:tcBorders>
            <w:vAlign w:val="top"/>
          </w:tcPr>
          <w:p>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tcBorders>
              <w:top w:val="single" w:color="auto" w:sz="4" w:space="0"/>
              <w:left w:val="single" w:color="auto" w:sz="4" w:space="0"/>
              <w:bottom w:val="single" w:color="auto" w:sz="4" w:space="0"/>
              <w:right w:val="single" w:color="auto" w:sz="4" w:space="0"/>
            </w:tcBorders>
            <w:vAlign w:val="top"/>
          </w:tcPr>
          <w:p>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tcBorders>
              <w:top w:val="single" w:color="auto" w:sz="4" w:space="0"/>
              <w:left w:val="single" w:color="auto" w:sz="4" w:space="0"/>
              <w:bottom w:val="single" w:color="auto" w:sz="4" w:space="0"/>
              <w:right w:val="single" w:color="auto" w:sz="4" w:space="0"/>
            </w:tcBorders>
            <w:vAlign w:val="top"/>
          </w:tcPr>
          <w:p>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tcBorders>
              <w:top w:val="single" w:color="auto" w:sz="4" w:space="0"/>
              <w:left w:val="single" w:color="auto" w:sz="4" w:space="0"/>
              <w:bottom w:val="single" w:color="auto" w:sz="4" w:space="0"/>
              <w:right w:val="single" w:color="auto" w:sz="4" w:space="0"/>
            </w:tcBorders>
            <w:vAlign w:val="top"/>
          </w:tcPr>
          <w:p>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2" w:lineRule="auto"/>
              <w:rPr>
                <w:rFonts w:hint="eastAsia" w:ascii="宋体" w:hAnsi="宋体" w:eastAsia="宋体" w:cs="宋体"/>
              </w:rPr>
            </w:pPr>
          </w:p>
          <w:p>
            <w:pPr>
              <w:pStyle w:val="9"/>
              <w:spacing w:line="273" w:lineRule="auto"/>
              <w:rPr>
                <w:rFonts w:hint="eastAsia" w:ascii="宋体" w:hAnsi="宋体" w:eastAsia="宋体" w:cs="宋体"/>
              </w:rPr>
            </w:pPr>
          </w:p>
          <w:p>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疫苗接种人次</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30000人次</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30558人次</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妇女保健门诊共服务人次</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9900人次</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9918人次</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0-6岁儿童管理人数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34000人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34856人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开展全院性创建内审专题会议</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6次</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6次</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全区农村适龄妇女和城镇低保适龄妇女“两癌”免费检查人数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1994人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2018人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新生儿耳聋基因免费筛查人数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3000人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3022人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新生儿先心病免费筛查人数</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3000人</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3000人</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免费婚前检查</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2800对</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2850对</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孕前优生健康检查</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2700对</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2795对</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安全生产事故发生率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0%</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sz w:val="20"/>
                <w:lang w:val="en-US" w:eastAsia="zh-CN"/>
              </w:rPr>
              <w:t>0%</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eastAsia="zh-CN"/>
              </w:rPr>
              <w:t>“</w:t>
            </w:r>
            <w:r>
              <w:rPr>
                <w:rFonts w:hint="eastAsia" w:ascii="宋体" w:hAnsi="宋体" w:eastAsia="宋体" w:cs="宋体"/>
                <w:sz w:val="20"/>
                <w:lang w:val="en-US" w:eastAsia="zh-CN"/>
              </w:rPr>
              <w:t>两癌</w:t>
            </w:r>
            <w:r>
              <w:rPr>
                <w:rFonts w:hint="eastAsia" w:ascii="宋体" w:hAnsi="宋体" w:eastAsia="宋体" w:cs="宋体"/>
                <w:sz w:val="20"/>
                <w:lang w:eastAsia="zh-CN"/>
              </w:rPr>
              <w:t>”</w:t>
            </w:r>
            <w:r>
              <w:rPr>
                <w:rFonts w:hint="eastAsia" w:ascii="宋体" w:hAnsi="宋体" w:eastAsia="宋体" w:cs="宋体"/>
                <w:sz w:val="20"/>
                <w:lang w:val="en-US" w:eastAsia="zh-CN"/>
              </w:rPr>
              <w:t>筛查病变率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≤0.5%</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0.3%</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医德医风，违法违纪现象等</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无发生</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r>
              <w:rPr>
                <w:rFonts w:hint="eastAsia" w:ascii="宋体" w:hAnsi="宋体" w:eastAsia="宋体" w:cs="宋体"/>
                <w:sz w:val="20"/>
                <w:lang w:val="en-US" w:eastAsia="zh-CN"/>
              </w:rPr>
              <w:t>无发生</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2023年度完成“二甲”创建准备工作</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2023年度完成</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sz w:val="20"/>
                <w:lang w:val="en-US"/>
              </w:rPr>
            </w:pPr>
            <w:r>
              <w:rPr>
                <w:rFonts w:hint="eastAsia" w:ascii="宋体" w:hAnsi="宋体" w:eastAsia="宋体" w:cs="宋体"/>
                <w:sz w:val="20"/>
                <w:lang w:val="en-US" w:eastAsia="zh-CN"/>
              </w:rPr>
              <w:t>2023年完成基本公共卫生服务工作</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2023年度完成</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已完成</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tcBorders>
              <w:top w:val="single" w:color="auto" w:sz="4" w:space="0"/>
              <w:left w:val="single" w:color="auto" w:sz="4" w:space="0"/>
              <w:bottom w:val="single" w:color="auto" w:sz="4" w:space="0"/>
              <w:right w:val="single" w:color="auto" w:sz="4" w:space="0"/>
            </w:tcBorders>
            <w:vAlign w:val="top"/>
          </w:tcPr>
          <w:p>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总成本控制</w:t>
            </w:r>
          </w:p>
        </w:tc>
        <w:tc>
          <w:tcPr>
            <w:tcW w:w="131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不超过预算投入</w:t>
            </w:r>
          </w:p>
        </w:tc>
        <w:tc>
          <w:tcPr>
            <w:tcW w:w="126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sz w:val="20"/>
                <w:lang w:val="en-US" w:eastAsia="zh-CN"/>
              </w:rPr>
              <w:t>7391.74</w:t>
            </w:r>
            <w:r>
              <w:rPr>
                <w:rFonts w:hint="eastAsia" w:ascii="仿宋" w:hAnsi="仿宋" w:eastAsia="仿宋" w:cs="仿宋"/>
                <w:i w:val="0"/>
                <w:iCs w:val="0"/>
                <w:color w:val="000000"/>
                <w:kern w:val="0"/>
                <w:sz w:val="24"/>
                <w:szCs w:val="24"/>
                <w:u w:val="none"/>
                <w:lang w:val="en-US" w:eastAsia="zh-CN" w:bidi="ar"/>
              </w:rPr>
              <w:t>万元</w:t>
            </w:r>
          </w:p>
        </w:tc>
        <w:tc>
          <w:tcPr>
            <w:tcW w:w="71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4</w:t>
            </w:r>
          </w:p>
        </w:tc>
        <w:tc>
          <w:tcPr>
            <w:tcW w:w="87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w:t>
            </w:r>
          </w:p>
        </w:tc>
        <w:tc>
          <w:tcPr>
            <w:tcW w:w="145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做年初预算的时候，只做了在编人员的人员经费和公用经费，在编人员的运转经费和其他人员的相关经费都没有做进预算。单位其他资金也没有做进预算。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115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2023年医疗收入</w:t>
            </w:r>
          </w:p>
        </w:tc>
        <w:tc>
          <w:tcPr>
            <w:tcW w:w="1310"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4500万元</w:t>
            </w:r>
          </w:p>
        </w:tc>
        <w:tc>
          <w:tcPr>
            <w:tcW w:w="1268"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4632.6万元</w:t>
            </w:r>
          </w:p>
        </w:tc>
        <w:tc>
          <w:tcPr>
            <w:tcW w:w="716"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5</w:t>
            </w:r>
          </w:p>
        </w:tc>
        <w:tc>
          <w:tcPr>
            <w:tcW w:w="873"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5</w:t>
            </w:r>
          </w:p>
        </w:tc>
        <w:tc>
          <w:tcPr>
            <w:tcW w:w="1450"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全年医疗纠纷及医疗事故发生率</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0%</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en-US" w:bidi="ar-SA"/>
              </w:rPr>
            </w:pPr>
            <w:r>
              <w:rPr>
                <w:rFonts w:hint="eastAsia" w:ascii="宋体" w:hAnsi="宋体" w:eastAsia="宋体" w:cs="宋体"/>
                <w:sz w:val="20"/>
                <w:lang w:val="en-US" w:eastAsia="zh-CN"/>
              </w:rPr>
              <w:t>0%</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4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“清廉医院”建设</w:t>
            </w:r>
          </w:p>
        </w:tc>
        <w:tc>
          <w:tcPr>
            <w:tcW w:w="131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制定方案</w:t>
            </w:r>
          </w:p>
        </w:tc>
        <w:tc>
          <w:tcPr>
            <w:tcW w:w="1268"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default" w:ascii="宋体" w:hAnsi="宋体" w:eastAsia="宋体" w:cs="宋体"/>
                <w:kern w:val="2"/>
                <w:sz w:val="20"/>
                <w:szCs w:val="21"/>
                <w:lang w:val="en-US" w:eastAsia="zh-CN" w:bidi="ar-SA"/>
              </w:rPr>
            </w:pPr>
            <w:r>
              <w:rPr>
                <w:rFonts w:hint="eastAsia" w:ascii="宋体" w:hAnsi="宋体" w:eastAsia="宋体" w:cs="宋体"/>
                <w:kern w:val="2"/>
                <w:sz w:val="20"/>
                <w:szCs w:val="21"/>
                <w:lang w:val="en-US" w:eastAsia="zh-CN" w:bidi="ar-SA"/>
              </w:rPr>
              <w:t>已制定了相关实施方案和专项行动</w:t>
            </w:r>
          </w:p>
        </w:tc>
        <w:tc>
          <w:tcPr>
            <w:tcW w:w="716"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left w:val="single" w:color="auto" w:sz="4" w:space="0"/>
              <w:right w:val="single" w:color="auto" w:sz="4" w:space="0"/>
            </w:tcBorders>
            <w:vAlign w:val="top"/>
          </w:tcPr>
          <w:p>
            <w:pPr>
              <w:keepNext w:val="0"/>
              <w:keepLines w:val="0"/>
              <w:widowControl/>
              <w:suppressLineNumbers w:val="0"/>
              <w:jc w:val="both"/>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医废处置情况</w:t>
            </w:r>
          </w:p>
        </w:tc>
        <w:tc>
          <w:tcPr>
            <w:tcW w:w="1310" w:type="dxa"/>
            <w:tcBorders>
              <w:top w:val="single" w:color="auto" w:sz="4" w:space="0"/>
              <w:left w:val="single" w:color="auto" w:sz="4" w:space="0"/>
              <w:right w:val="single" w:color="auto" w:sz="4" w:space="0"/>
            </w:tcBorders>
            <w:vAlign w:val="top"/>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1268" w:type="dxa"/>
            <w:tcBorders>
              <w:top w:val="single" w:color="auto" w:sz="4" w:space="0"/>
              <w:left w:val="single" w:color="auto" w:sz="4" w:space="0"/>
              <w:right w:val="single" w:color="auto" w:sz="4" w:space="0"/>
            </w:tcBorders>
            <w:vAlign w:val="top"/>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716"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tcBorders>
              <w:top w:val="single" w:color="auto" w:sz="4" w:space="0"/>
              <w:left w:val="single" w:color="auto" w:sz="4" w:space="0"/>
              <w:right w:val="single" w:color="auto" w:sz="4" w:space="0"/>
            </w:tcBorders>
            <w:vAlign w:val="top"/>
          </w:tcPr>
          <w:p>
            <w:pPr>
              <w:pStyle w:val="9"/>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spacing w:line="235" w:lineRule="exact"/>
              <w:rPr>
                <w:rFonts w:hint="eastAsia" w:ascii="宋体" w:hAnsi="宋体" w:eastAsia="宋体" w:cs="宋体"/>
                <w:sz w:val="20"/>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29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“二甲”创建，夯实妇幼特色专科建设</w:t>
            </w:r>
          </w:p>
        </w:tc>
        <w:tc>
          <w:tcPr>
            <w:tcW w:w="1310"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高质量发展</w:t>
            </w:r>
          </w:p>
        </w:tc>
        <w:tc>
          <w:tcPr>
            <w:tcW w:w="1268" w:type="dxa"/>
            <w:tcBorders>
              <w:top w:val="single" w:color="auto" w:sz="4" w:space="0"/>
              <w:left w:val="single" w:color="auto" w:sz="4" w:space="0"/>
              <w:bottom w:val="single" w:color="auto" w:sz="4" w:space="0"/>
              <w:right w:val="single" w:color="auto" w:sz="4" w:space="0"/>
            </w:tcBorders>
            <w:vAlign w:val="top"/>
          </w:tcPr>
          <w:p>
            <w:pPr>
              <w:keepNext w:val="0"/>
              <w:keepLines w:val="0"/>
              <w:widowControl/>
              <w:suppressLineNumbers w:val="0"/>
              <w:jc w:val="both"/>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创建各项资料已准备完毕，全院进入冲刺迎检阶段</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人才培训和技能培训</w:t>
            </w:r>
          </w:p>
        </w:tc>
        <w:tc>
          <w:tcPr>
            <w:tcW w:w="131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显著提升</w:t>
            </w:r>
          </w:p>
        </w:tc>
        <w:tc>
          <w:tcPr>
            <w:tcW w:w="126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显著提升</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334"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right w:val="single" w:color="auto" w:sz="4" w:space="0"/>
            </w:tcBorders>
            <w:vAlign w:val="top"/>
          </w:tcPr>
          <w:p>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left w:val="single" w:color="auto" w:sz="4" w:space="0"/>
              <w:bottom w:val="single" w:color="auto" w:sz="4" w:space="0"/>
              <w:right w:val="single" w:color="auto" w:sz="4" w:space="0"/>
            </w:tcBorders>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sz w:val="20"/>
                <w:lang w:val="en-US" w:eastAsia="zh-CN"/>
              </w:rPr>
              <w:t>医患满意度</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100%</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5" w:hRule="atLeast"/>
        </w:trPr>
        <w:tc>
          <w:tcPr>
            <w:tcW w:w="1084" w:type="dxa"/>
            <w:vMerge w:val="continue"/>
            <w:tcBorders>
              <w:top w:val="single" w:color="auto" w:sz="4" w:space="0"/>
              <w:left w:val="single" w:color="auto" w:sz="4" w:space="0"/>
              <w:bottom w:val="single" w:color="auto" w:sz="4" w:space="0"/>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034" w:type="dxa"/>
            <w:vMerge w:val="continue"/>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69"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sz w:val="20"/>
                <w:lang w:val="en-US" w:eastAsia="zh-CN"/>
              </w:rPr>
              <w:t>职工满意度</w:t>
            </w:r>
          </w:p>
        </w:tc>
        <w:tc>
          <w:tcPr>
            <w:tcW w:w="131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≥95%</w:t>
            </w:r>
          </w:p>
        </w:tc>
        <w:tc>
          <w:tcPr>
            <w:tcW w:w="1268"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100%</w:t>
            </w:r>
          </w:p>
        </w:tc>
        <w:tc>
          <w:tcPr>
            <w:tcW w:w="716"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5</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kern w:val="2"/>
                <w:sz w:val="21"/>
                <w:szCs w:val="21"/>
                <w:lang w:val="en-US" w:eastAsia="zh-CN" w:bidi="ar-SA"/>
              </w:rPr>
            </w:pPr>
            <w:r>
              <w:rPr>
                <w:rFonts w:hint="eastAsia" w:ascii="宋体" w:hAnsi="宋体" w:eastAsia="宋体" w:cs="宋体"/>
                <w:lang w:val="en-US" w:eastAsia="zh-CN"/>
              </w:rPr>
              <w:t>5</w:t>
            </w:r>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79" w:hRule="atLeast"/>
        </w:trPr>
        <w:tc>
          <w:tcPr>
            <w:tcW w:w="7044" w:type="dxa"/>
            <w:gridSpan w:val="6"/>
            <w:tcBorders>
              <w:top w:val="single" w:color="auto" w:sz="4" w:space="0"/>
              <w:left w:val="single" w:color="auto" w:sz="4" w:space="0"/>
              <w:bottom w:val="single" w:color="auto" w:sz="4" w:space="0"/>
              <w:right w:val="single" w:color="auto" w:sz="4" w:space="0"/>
            </w:tcBorders>
            <w:vAlign w:val="top"/>
          </w:tcPr>
          <w:p>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tcBorders>
              <w:top w:val="single" w:color="auto" w:sz="4" w:space="0"/>
              <w:left w:val="single" w:color="auto" w:sz="4" w:space="0"/>
              <w:bottom w:val="single" w:color="auto" w:sz="4" w:space="0"/>
              <w:right w:val="single" w:color="auto" w:sz="4" w:space="0"/>
            </w:tcBorders>
            <w:vAlign w:val="top"/>
          </w:tcPr>
          <w:p>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tcBorders>
              <w:top w:val="single" w:color="auto" w:sz="4" w:space="0"/>
              <w:left w:val="single" w:color="auto" w:sz="4" w:space="0"/>
              <w:bottom w:val="single" w:color="auto" w:sz="4" w:space="0"/>
              <w:right w:val="single" w:color="auto" w:sz="4" w:space="0"/>
            </w:tcBorders>
            <w:vAlign w:val="top"/>
          </w:tcPr>
          <w:p>
            <w:pPr>
              <w:pStyle w:val="9"/>
              <w:rPr>
                <w:rFonts w:hint="default" w:ascii="宋体" w:hAnsi="宋体" w:eastAsia="宋体" w:cs="宋体"/>
                <w:lang w:val="en-US" w:eastAsia="zh-CN"/>
              </w:rPr>
            </w:pPr>
            <w:r>
              <w:rPr>
                <w:rFonts w:hint="eastAsia" w:ascii="宋体" w:hAnsi="宋体" w:eastAsia="宋体" w:cs="宋体"/>
                <w:lang w:val="en-US" w:eastAsia="zh-CN"/>
              </w:rPr>
              <w:t>95.84</w:t>
            </w:r>
            <w:bookmarkStart w:id="0" w:name="_GoBack"/>
            <w:bookmarkEnd w:id="0"/>
          </w:p>
        </w:tc>
        <w:tc>
          <w:tcPr>
            <w:tcW w:w="1450" w:type="dxa"/>
            <w:tcBorders>
              <w:top w:val="single" w:color="auto" w:sz="4" w:space="0"/>
              <w:left w:val="single" w:color="auto" w:sz="4" w:space="0"/>
              <w:bottom w:val="single" w:color="auto" w:sz="4" w:space="0"/>
              <w:right w:val="single" w:color="auto" w:sz="4" w:space="0"/>
            </w:tcBorders>
            <w:vAlign w:val="top"/>
          </w:tcPr>
          <w:p>
            <w:pPr>
              <w:pStyle w:val="9"/>
              <w:rPr>
                <w:rFonts w:hint="eastAsia" w:ascii="宋体" w:hAnsi="宋体" w:eastAsia="宋体" w:cs="宋体"/>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4"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填表人：</w:t>
      </w:r>
      <w:r>
        <w:rPr>
          <w:rFonts w:hint="eastAsia" w:ascii="Calibri" w:eastAsia="宋体"/>
          <w:sz w:val="24"/>
          <w:szCs w:val="24"/>
          <w:lang w:val="en-US" w:eastAsia="zh-CN"/>
        </w:rPr>
        <w:t>魏晓红</w:t>
      </w:r>
      <w:r>
        <w:rPr>
          <w:rFonts w:hint="eastAsia" w:ascii="宋体" w:hAnsi="宋体" w:eastAsia="宋体" w:cs="宋体"/>
          <w:color w:val="000000"/>
          <w:spacing w:val="0"/>
          <w:position w:val="0"/>
          <w:sz w:val="23"/>
          <w:szCs w:val="23"/>
        </w:rPr>
        <w:t xml:space="preserve">    联系电话：</w:t>
      </w:r>
      <w:r>
        <w:rPr>
          <w:rFonts w:hint="eastAsia" w:ascii="Calibri" w:eastAsia="宋体"/>
          <w:sz w:val="24"/>
          <w:szCs w:val="24"/>
          <w:lang w:val="en-US" w:eastAsia="zh-CN"/>
        </w:rPr>
        <w:t>18975001598</w:t>
      </w:r>
      <w:r>
        <w:rPr>
          <w:rFonts w:hint="eastAsia" w:ascii="宋体" w:hAnsi="宋体" w:eastAsia="宋体" w:cs="宋体"/>
          <w:color w:val="000000"/>
          <w:spacing w:val="0"/>
          <w:position w:val="0"/>
          <w:sz w:val="23"/>
          <w:szCs w:val="23"/>
        </w:rPr>
        <w:t xml:space="preserve">   填报日期：</w:t>
      </w:r>
    </w:p>
    <w:p>
      <w:pPr>
        <w:spacing w:before="191" w:line="230" w:lineRule="auto"/>
        <w:rPr>
          <w:rFonts w:hint="eastAsia" w:ascii="方正小标宋简体" w:hAnsi="方正小标宋简体" w:eastAsia="黑体" w:cs="方正小标宋简体"/>
          <w:sz w:val="31"/>
          <w:szCs w:val="31"/>
          <w:lang w:eastAsia="zh-CN"/>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hint="eastAsia" w:ascii="Times New Roman" w:hAnsi="Times New Roman" w:eastAsia="宋体" w:cs="Times New Roman"/>
          <w:spacing w:val="-4"/>
          <w:sz w:val="31"/>
          <w:szCs w:val="31"/>
          <w:lang w:val="en-US" w:eastAsia="zh-CN"/>
        </w:rPr>
        <w:t>3</w:t>
      </w:r>
    </w:p>
    <w:p>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9" w:hRule="atLeast"/>
        </w:trPr>
        <w:tc>
          <w:tcPr>
            <w:tcW w:w="3118" w:type="dxa"/>
            <w:gridSpan w:val="3"/>
            <w:vAlign w:val="top"/>
          </w:tcPr>
          <w:p>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Align w:val="top"/>
          </w:tcPr>
          <w:p>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vAlign w:val="top"/>
          </w:tcPr>
          <w:p>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restart"/>
            <w:tcBorders>
              <w:bottom w:val="nil"/>
            </w:tcBorders>
            <w:vAlign w:val="top"/>
          </w:tcPr>
          <w:p>
            <w:pPr>
              <w:spacing w:before="61" w:line="241" w:lineRule="auto"/>
              <w:ind w:right="141"/>
              <w:jc w:val="both"/>
              <w:rPr>
                <w:rFonts w:hint="eastAsia" w:ascii="宋体" w:hAnsi="宋体" w:cs="宋体"/>
                <w:sz w:val="19"/>
                <w:szCs w:val="19"/>
                <w:lang w:eastAsia="zh-CN"/>
              </w:rPr>
            </w:pPr>
          </w:p>
          <w:p>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vAlign w:val="top"/>
          </w:tcPr>
          <w:p>
            <w:pPr>
              <w:pStyle w:val="9"/>
              <w:rPr>
                <w:rFonts w:hint="eastAsia" w:ascii="宋体" w:hAnsi="宋体" w:eastAsia="宋体" w:cs="宋体"/>
              </w:rPr>
            </w:pPr>
          </w:p>
        </w:tc>
        <w:tc>
          <w:tcPr>
            <w:tcW w:w="1244" w:type="dxa"/>
            <w:vAlign w:val="top"/>
          </w:tcPr>
          <w:p>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vAlign w:val="top"/>
          </w:tcPr>
          <w:p>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vAlign w:val="top"/>
          </w:tcPr>
          <w:p>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vAlign w:val="top"/>
          </w:tcPr>
          <w:p>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vAlign w:val="top"/>
          </w:tcPr>
          <w:p>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44"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281"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673" w:type="dxa"/>
            <w:vAlign w:val="top"/>
          </w:tcPr>
          <w:p>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vAlign w:val="top"/>
          </w:tcPr>
          <w:p>
            <w:pPr>
              <w:pStyle w:val="9"/>
              <w:rPr>
                <w:rFonts w:hint="eastAsia" w:ascii="宋体" w:hAnsi="宋体" w:eastAsia="宋体" w:cs="宋体"/>
                <w:lang w:val="en-US" w:eastAsia="zh-CN"/>
              </w:rPr>
            </w:pPr>
            <w:r>
              <w:rPr>
                <w:rFonts w:hint="eastAsia" w:ascii="宋体" w:hAnsi="宋体" w:eastAsia="宋体" w:cs="宋体"/>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bottom w:val="nil"/>
            </w:tcBorders>
            <w:vAlign w:val="top"/>
          </w:tcPr>
          <w:p>
            <w:pPr>
              <w:pStyle w:val="9"/>
              <w:rPr>
                <w:rFonts w:hint="eastAsia" w:ascii="宋体" w:hAnsi="宋体" w:eastAsia="宋体" w:cs="宋体"/>
              </w:rPr>
            </w:pPr>
          </w:p>
        </w:tc>
        <w:tc>
          <w:tcPr>
            <w:tcW w:w="2034" w:type="dxa"/>
            <w:gridSpan w:val="2"/>
            <w:vAlign w:val="top"/>
          </w:tcPr>
          <w:p>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4" w:hRule="atLeast"/>
        </w:trPr>
        <w:tc>
          <w:tcPr>
            <w:tcW w:w="1084" w:type="dxa"/>
            <w:vMerge w:val="continue"/>
            <w:tcBorders>
              <w:top w:val="nil"/>
            </w:tcBorders>
            <w:vAlign w:val="top"/>
          </w:tcPr>
          <w:p>
            <w:pPr>
              <w:pStyle w:val="9"/>
              <w:rPr>
                <w:rFonts w:hint="eastAsia" w:ascii="宋体" w:hAnsi="宋体" w:eastAsia="宋体" w:cs="宋体"/>
              </w:rPr>
            </w:pPr>
          </w:p>
        </w:tc>
        <w:tc>
          <w:tcPr>
            <w:tcW w:w="2034" w:type="dxa"/>
            <w:gridSpan w:val="2"/>
            <w:vAlign w:val="top"/>
          </w:tcPr>
          <w:p>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vAlign w:val="top"/>
          </w:tcPr>
          <w:p>
            <w:pPr>
              <w:pStyle w:val="9"/>
              <w:rPr>
                <w:rFonts w:hint="eastAsia" w:ascii="宋体" w:hAnsi="宋体" w:eastAsia="宋体" w:cs="宋体"/>
              </w:rPr>
            </w:pP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5"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vAlign w:val="top"/>
          </w:tcPr>
          <w:p>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vAlign w:val="top"/>
          </w:tcPr>
          <w:p>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47" w:hRule="atLeast"/>
        </w:trPr>
        <w:tc>
          <w:tcPr>
            <w:tcW w:w="1084" w:type="dxa"/>
            <w:vMerge w:val="continue"/>
            <w:tcBorders>
              <w:top w:val="nil"/>
            </w:tcBorders>
            <w:vAlign w:val="top"/>
          </w:tcPr>
          <w:p>
            <w:pPr>
              <w:pStyle w:val="9"/>
              <w:rPr>
                <w:rFonts w:hint="eastAsia" w:ascii="宋体" w:hAnsi="宋体" w:eastAsia="宋体" w:cs="宋体"/>
              </w:rPr>
            </w:pPr>
          </w:p>
        </w:tc>
        <w:tc>
          <w:tcPr>
            <w:tcW w:w="4522" w:type="dxa"/>
            <w:gridSpan w:val="4"/>
            <w:vAlign w:val="top"/>
          </w:tcPr>
          <w:p>
            <w:pPr>
              <w:pStyle w:val="9"/>
              <w:rPr>
                <w:rFonts w:hint="eastAsia" w:ascii="宋体" w:hAnsi="宋体" w:eastAsia="宋体" w:cs="宋体"/>
              </w:rPr>
            </w:pPr>
          </w:p>
        </w:tc>
        <w:tc>
          <w:tcPr>
            <w:tcW w:w="4249" w:type="dxa"/>
            <w:gridSpan w:val="4"/>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7" w:hRule="atLeast"/>
        </w:trPr>
        <w:tc>
          <w:tcPr>
            <w:tcW w:w="1084" w:type="dxa"/>
            <w:vMerge w:val="restart"/>
            <w:tcBorders>
              <w:bottom w:val="nil"/>
            </w:tcBorders>
            <w:textDirection w:val="tbRlV"/>
            <w:vAlign w:val="top"/>
          </w:tcPr>
          <w:p>
            <w:pPr>
              <w:pStyle w:val="9"/>
              <w:spacing w:line="366" w:lineRule="auto"/>
              <w:rPr>
                <w:rFonts w:hint="eastAsia" w:ascii="宋体" w:hAnsi="宋体" w:eastAsia="宋体" w:cs="宋体"/>
              </w:rPr>
            </w:pPr>
          </w:p>
          <w:p>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vAlign w:val="top"/>
          </w:tcPr>
          <w:p>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vAlign w:val="top"/>
          </w:tcPr>
          <w:p>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vAlign w:val="top"/>
          </w:tcPr>
          <w:p>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vAlign w:val="top"/>
          </w:tcPr>
          <w:p>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vAlign w:val="top"/>
          </w:tcPr>
          <w:p>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vAlign w:val="top"/>
          </w:tcPr>
          <w:p>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vAlign w:val="top"/>
          </w:tcPr>
          <w:p>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vAlign w:val="top"/>
          </w:tcPr>
          <w:p>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restart"/>
            <w:tcBorders>
              <w:bottom w:val="nil"/>
            </w:tcBorders>
            <w:vAlign w:val="top"/>
          </w:tcPr>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6" w:lineRule="auto"/>
              <w:rPr>
                <w:rFonts w:hint="eastAsia" w:ascii="宋体" w:hAnsi="宋体" w:eastAsia="宋体" w:cs="宋体"/>
              </w:rPr>
            </w:pPr>
          </w:p>
          <w:p>
            <w:pPr>
              <w:pStyle w:val="9"/>
              <w:spacing w:line="257" w:lineRule="auto"/>
              <w:rPr>
                <w:rFonts w:hint="eastAsia" w:ascii="宋体" w:hAnsi="宋体" w:eastAsia="宋体" w:cs="宋体"/>
              </w:rPr>
            </w:pPr>
          </w:p>
          <w:p>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vAlign w:val="top"/>
          </w:tcPr>
          <w:p>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pPr>
              <w:spacing w:before="126" w:line="239" w:lineRule="auto"/>
              <w:ind w:left="379" w:right="175" w:hanging="192"/>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pPr>
              <w:spacing w:before="126" w:line="239" w:lineRule="auto"/>
              <w:ind w:left="379" w:right="175" w:hanging="196"/>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4"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pPr>
              <w:spacing w:before="126" w:line="239" w:lineRule="auto"/>
              <w:ind w:left="379" w:right="175" w:hanging="178"/>
              <w:rPr>
                <w:rFonts w:hint="eastAsia" w:ascii="宋体" w:hAnsi="宋体" w:eastAsia="宋体" w:cs="宋体"/>
                <w:sz w:val="19"/>
                <w:szCs w:val="19"/>
              </w:rPr>
            </w:pPr>
          </w:p>
        </w:tc>
        <w:tc>
          <w:tcPr>
            <w:tcW w:w="1244" w:type="dxa"/>
            <w:vAlign w:val="top"/>
          </w:tcPr>
          <w:p>
            <w:pPr>
              <w:pStyle w:val="9"/>
              <w:spacing w:line="224" w:lineRule="exact"/>
              <w:rPr>
                <w:rFonts w:hint="eastAsia" w:ascii="宋体" w:hAnsi="宋体" w:eastAsia="宋体" w:cs="宋体"/>
                <w:sz w:val="19"/>
              </w:rPr>
            </w:pPr>
          </w:p>
        </w:tc>
        <w:tc>
          <w:tcPr>
            <w:tcW w:w="1244" w:type="dxa"/>
            <w:vAlign w:val="top"/>
          </w:tcPr>
          <w:p>
            <w:pPr>
              <w:pStyle w:val="9"/>
              <w:spacing w:line="224" w:lineRule="exact"/>
              <w:rPr>
                <w:rFonts w:hint="eastAsia" w:ascii="宋体" w:hAnsi="宋体" w:eastAsia="宋体" w:cs="宋体"/>
                <w:sz w:val="19"/>
              </w:rPr>
            </w:pPr>
          </w:p>
        </w:tc>
        <w:tc>
          <w:tcPr>
            <w:tcW w:w="1281" w:type="dxa"/>
            <w:vAlign w:val="top"/>
          </w:tcPr>
          <w:p>
            <w:pPr>
              <w:pStyle w:val="9"/>
              <w:spacing w:line="224" w:lineRule="exact"/>
              <w:rPr>
                <w:rFonts w:hint="eastAsia" w:ascii="宋体" w:hAnsi="宋体" w:eastAsia="宋体" w:cs="宋体"/>
                <w:sz w:val="19"/>
              </w:rPr>
            </w:pPr>
          </w:p>
        </w:tc>
        <w:tc>
          <w:tcPr>
            <w:tcW w:w="673" w:type="dxa"/>
            <w:vAlign w:val="top"/>
          </w:tcPr>
          <w:p>
            <w:pPr>
              <w:pStyle w:val="9"/>
              <w:spacing w:line="224" w:lineRule="exact"/>
              <w:rPr>
                <w:rFonts w:hint="eastAsia" w:ascii="宋体" w:hAnsi="宋体" w:eastAsia="宋体" w:cs="宋体"/>
                <w:sz w:val="19"/>
              </w:rPr>
            </w:pPr>
          </w:p>
        </w:tc>
        <w:tc>
          <w:tcPr>
            <w:tcW w:w="873" w:type="dxa"/>
            <w:vAlign w:val="top"/>
          </w:tcPr>
          <w:p>
            <w:pPr>
              <w:pStyle w:val="9"/>
              <w:spacing w:line="224" w:lineRule="exact"/>
              <w:rPr>
                <w:rFonts w:hint="eastAsia" w:ascii="宋体" w:hAnsi="宋体" w:eastAsia="宋体" w:cs="宋体"/>
                <w:sz w:val="19"/>
              </w:rPr>
            </w:pPr>
          </w:p>
        </w:tc>
        <w:tc>
          <w:tcPr>
            <w:tcW w:w="1422" w:type="dxa"/>
            <w:vAlign w:val="top"/>
          </w:tcPr>
          <w:p>
            <w:pPr>
              <w:pStyle w:val="9"/>
              <w:spacing w:line="224"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tcBorders>
            <w:vAlign w:val="top"/>
          </w:tcPr>
          <w:p>
            <w:pPr>
              <w:pStyle w:val="9"/>
              <w:rPr>
                <w:rFonts w:hint="eastAsia" w:ascii="宋体" w:hAnsi="宋体" w:eastAsia="宋体" w:cs="宋体"/>
              </w:rPr>
            </w:pPr>
          </w:p>
        </w:tc>
        <w:tc>
          <w:tcPr>
            <w:tcW w:w="1244" w:type="dxa"/>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restart"/>
            <w:tcBorders>
              <w:bottom w:val="nil"/>
            </w:tcBorders>
            <w:vAlign w:val="top"/>
          </w:tcPr>
          <w:p>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pPr>
              <w:spacing w:before="127" w:line="239" w:lineRule="auto"/>
              <w:ind w:left="379" w:right="175" w:hanging="192"/>
              <w:rPr>
                <w:rFonts w:hint="eastAsia" w:ascii="宋体" w:hAnsi="宋体" w:eastAsia="宋体" w:cs="宋体"/>
                <w:sz w:val="19"/>
                <w:szCs w:val="19"/>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nil"/>
            </w:tcBorders>
            <w:vAlign w:val="top"/>
          </w:tcPr>
          <w:p>
            <w:pPr>
              <w:pStyle w:val="9"/>
              <w:rPr>
                <w:rFonts w:hint="eastAsia" w:ascii="宋体" w:hAnsi="宋体" w:eastAsia="宋体" w:cs="宋体"/>
              </w:rPr>
            </w:pPr>
          </w:p>
        </w:tc>
        <w:tc>
          <w:tcPr>
            <w:tcW w:w="955" w:type="dxa"/>
            <w:vMerge w:val="continue"/>
            <w:tcBorders>
              <w:top w:val="nil"/>
              <w:bottom w:val="nil"/>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nil"/>
              <w:bottom w:val="single" w:color="auto" w:sz="4" w:space="0"/>
            </w:tcBorders>
            <w:vAlign w:val="top"/>
          </w:tcPr>
          <w:p>
            <w:pPr>
              <w:pStyle w:val="9"/>
              <w:rPr>
                <w:rFonts w:hint="eastAsia" w:ascii="宋体" w:hAnsi="宋体" w:eastAsia="宋体" w:cs="宋体"/>
              </w:rPr>
            </w:pPr>
          </w:p>
        </w:tc>
        <w:tc>
          <w:tcPr>
            <w:tcW w:w="955" w:type="dxa"/>
            <w:vMerge w:val="continue"/>
            <w:tcBorders>
              <w:top w:val="nil"/>
              <w:bottom w:val="single" w:color="auto" w:sz="4" w:space="0"/>
            </w:tcBorders>
            <w:vAlign w:val="top"/>
          </w:tcPr>
          <w:p>
            <w:pPr>
              <w:pStyle w:val="9"/>
              <w:rPr>
                <w:rFonts w:hint="eastAsia" w:ascii="宋体" w:hAnsi="宋体" w:eastAsia="宋体" w:cs="宋体"/>
              </w:rPr>
            </w:pPr>
          </w:p>
        </w:tc>
        <w:tc>
          <w:tcPr>
            <w:tcW w:w="1244" w:type="dxa"/>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vAlign w:val="top"/>
          </w:tcPr>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pStyle w:val="9"/>
              <w:spacing w:line="315" w:lineRule="auto"/>
              <w:rPr>
                <w:rFonts w:hint="eastAsia" w:ascii="宋体" w:hAnsi="宋体" w:eastAsia="宋体" w:cs="宋体"/>
              </w:rPr>
            </w:pPr>
          </w:p>
          <w:p>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vAlign w:val="top"/>
          </w:tcPr>
          <w:p>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restart"/>
            <w:tcBorders>
              <w:bottom w:val="nil"/>
              <w:right w:val="single" w:color="auto" w:sz="4" w:space="0"/>
            </w:tcBorders>
            <w:vAlign w:val="top"/>
          </w:tcPr>
          <w:p>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restart"/>
            <w:tcBorders>
              <w:bottom w:val="nil"/>
              <w:right w:val="single" w:color="auto" w:sz="4" w:space="0"/>
            </w:tcBorders>
            <w:vAlign w:val="top"/>
          </w:tcPr>
          <w:p>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bottom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vMerge w:val="continue"/>
            <w:tcBorders>
              <w:top w:val="nil"/>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nil"/>
            </w:tcBorders>
            <w:vAlign w:val="top"/>
          </w:tcPr>
          <w:p>
            <w:pPr>
              <w:pStyle w:val="9"/>
              <w:rPr>
                <w:rFonts w:hint="eastAsia" w:ascii="宋体" w:hAnsi="宋体" w:eastAsia="宋体" w:cs="宋体"/>
              </w:rPr>
            </w:pPr>
          </w:p>
        </w:tc>
        <w:tc>
          <w:tcPr>
            <w:tcW w:w="955" w:type="dxa"/>
            <w:tcBorders>
              <w:bottom w:val="nil"/>
              <w:right w:val="single" w:color="auto" w:sz="4" w:space="0"/>
            </w:tcBorders>
            <w:vAlign w:val="top"/>
          </w:tcPr>
          <w:p>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vAlign w:val="top"/>
          </w:tcPr>
          <w:p>
            <w:pPr>
              <w:pStyle w:val="9"/>
              <w:rPr>
                <w:rFonts w:hint="eastAsia" w:ascii="宋体" w:hAnsi="宋体" w:eastAsia="宋体" w:cs="宋体"/>
              </w:rPr>
            </w:pPr>
          </w:p>
        </w:tc>
        <w:tc>
          <w:tcPr>
            <w:tcW w:w="955" w:type="dxa"/>
            <w:vMerge w:val="restart"/>
            <w:tcBorders>
              <w:bottom w:val="single" w:color="auto" w:sz="4" w:space="0"/>
              <w:right w:val="single" w:color="auto" w:sz="4" w:space="0"/>
            </w:tcBorders>
            <w:vAlign w:val="top"/>
          </w:tcPr>
          <w:p>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vAlign w:val="top"/>
          </w:tcPr>
          <w:p>
            <w:pPr>
              <w:pStyle w:val="9"/>
              <w:rPr>
                <w:rFonts w:hint="eastAsia" w:ascii="宋体" w:hAnsi="宋体" w:eastAsia="宋体" w:cs="宋体"/>
              </w:rPr>
            </w:pPr>
          </w:p>
        </w:tc>
        <w:tc>
          <w:tcPr>
            <w:tcW w:w="1244" w:type="dxa"/>
            <w:tcBorders>
              <w:left w:val="single" w:color="auto" w:sz="4" w:space="0"/>
            </w:tcBorders>
            <w:vAlign w:val="top"/>
          </w:tcPr>
          <w:p>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restart"/>
            <w:tcBorders>
              <w:top w:val="single" w:color="auto" w:sz="4" w:space="0"/>
              <w:bottom w:val="single" w:color="auto" w:sz="4" w:space="0"/>
            </w:tcBorders>
            <w:vAlign w:val="top"/>
          </w:tcPr>
          <w:p>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vAlign w:val="top"/>
          </w:tcPr>
          <w:p>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35" w:hRule="atLeast"/>
        </w:trPr>
        <w:tc>
          <w:tcPr>
            <w:tcW w:w="1084" w:type="dxa"/>
            <w:vMerge w:val="continue"/>
            <w:tcBorders>
              <w:top w:val="nil"/>
              <w:bottom w:val="nil"/>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1244" w:type="dxa"/>
            <w:vAlign w:val="top"/>
          </w:tcPr>
          <w:p>
            <w:pPr>
              <w:pStyle w:val="9"/>
              <w:spacing w:line="225" w:lineRule="exact"/>
              <w:rPr>
                <w:rFonts w:hint="eastAsia" w:ascii="宋体" w:hAnsi="宋体" w:eastAsia="宋体" w:cs="宋体"/>
                <w:sz w:val="19"/>
              </w:rPr>
            </w:pPr>
          </w:p>
        </w:tc>
        <w:tc>
          <w:tcPr>
            <w:tcW w:w="1244" w:type="dxa"/>
            <w:vAlign w:val="top"/>
          </w:tcPr>
          <w:p>
            <w:pPr>
              <w:pStyle w:val="9"/>
              <w:spacing w:line="225" w:lineRule="exact"/>
              <w:rPr>
                <w:rFonts w:hint="eastAsia" w:ascii="宋体" w:hAnsi="宋体" w:eastAsia="宋体" w:cs="宋体"/>
                <w:sz w:val="19"/>
              </w:rPr>
            </w:pPr>
          </w:p>
        </w:tc>
        <w:tc>
          <w:tcPr>
            <w:tcW w:w="1281" w:type="dxa"/>
            <w:vAlign w:val="top"/>
          </w:tcPr>
          <w:p>
            <w:pPr>
              <w:pStyle w:val="9"/>
              <w:spacing w:line="225" w:lineRule="exact"/>
              <w:rPr>
                <w:rFonts w:hint="eastAsia" w:ascii="宋体" w:hAnsi="宋体" w:eastAsia="宋体" w:cs="宋体"/>
                <w:sz w:val="19"/>
              </w:rPr>
            </w:pPr>
          </w:p>
        </w:tc>
        <w:tc>
          <w:tcPr>
            <w:tcW w:w="673" w:type="dxa"/>
            <w:vAlign w:val="top"/>
          </w:tcPr>
          <w:p>
            <w:pPr>
              <w:pStyle w:val="9"/>
              <w:spacing w:line="225" w:lineRule="exact"/>
              <w:rPr>
                <w:rFonts w:hint="eastAsia" w:ascii="宋体" w:hAnsi="宋体" w:eastAsia="宋体" w:cs="宋体"/>
                <w:sz w:val="19"/>
              </w:rPr>
            </w:pPr>
          </w:p>
        </w:tc>
        <w:tc>
          <w:tcPr>
            <w:tcW w:w="873" w:type="dxa"/>
            <w:vAlign w:val="top"/>
          </w:tcPr>
          <w:p>
            <w:pPr>
              <w:pStyle w:val="9"/>
              <w:spacing w:line="225" w:lineRule="exact"/>
              <w:rPr>
                <w:rFonts w:hint="eastAsia" w:ascii="宋体" w:hAnsi="宋体" w:eastAsia="宋体" w:cs="宋体"/>
                <w:sz w:val="19"/>
              </w:rPr>
            </w:pPr>
          </w:p>
        </w:tc>
        <w:tc>
          <w:tcPr>
            <w:tcW w:w="1422" w:type="dxa"/>
            <w:vAlign w:val="top"/>
          </w:tcPr>
          <w:p>
            <w:pPr>
              <w:pStyle w:val="9"/>
              <w:spacing w:line="225" w:lineRule="exact"/>
              <w:rPr>
                <w:rFonts w:hint="eastAsia" w:ascii="宋体" w:hAnsi="宋体" w:eastAsia="宋体" w:cs="宋体"/>
                <w:sz w:val="19"/>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02" w:hRule="atLeast"/>
        </w:trPr>
        <w:tc>
          <w:tcPr>
            <w:tcW w:w="1084" w:type="dxa"/>
            <w:vMerge w:val="continue"/>
            <w:tcBorders>
              <w:top w:val="nil"/>
            </w:tcBorders>
            <w:textDirection w:val="tbRlV"/>
            <w:vAlign w:val="top"/>
          </w:tcPr>
          <w:p>
            <w:pPr>
              <w:pStyle w:val="9"/>
              <w:rPr>
                <w:rFonts w:hint="eastAsia" w:ascii="宋体" w:hAnsi="宋体" w:eastAsia="宋体" w:cs="宋体"/>
              </w:rPr>
            </w:pPr>
          </w:p>
        </w:tc>
        <w:tc>
          <w:tcPr>
            <w:tcW w:w="1079"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955" w:type="dxa"/>
            <w:vMerge w:val="continue"/>
            <w:tcBorders>
              <w:top w:val="single" w:color="auto" w:sz="4" w:space="0"/>
              <w:bottom w:val="single" w:color="auto" w:sz="4" w:space="0"/>
            </w:tcBorders>
            <w:vAlign w:val="top"/>
          </w:tcPr>
          <w:p>
            <w:pPr>
              <w:pStyle w:val="9"/>
              <w:rPr>
                <w:rFonts w:hint="eastAsia" w:ascii="宋体" w:hAnsi="宋体" w:eastAsia="宋体" w:cs="宋体"/>
              </w:rPr>
            </w:pPr>
          </w:p>
        </w:tc>
        <w:tc>
          <w:tcPr>
            <w:tcW w:w="1244" w:type="dxa"/>
            <w:vAlign w:val="top"/>
          </w:tcPr>
          <w:p>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vAlign w:val="top"/>
          </w:tcPr>
          <w:p>
            <w:pPr>
              <w:pStyle w:val="9"/>
              <w:rPr>
                <w:rFonts w:hint="eastAsia" w:ascii="宋体" w:hAnsi="宋体" w:eastAsia="宋体" w:cs="宋体"/>
              </w:rPr>
            </w:pPr>
          </w:p>
        </w:tc>
        <w:tc>
          <w:tcPr>
            <w:tcW w:w="1281" w:type="dxa"/>
            <w:vAlign w:val="top"/>
          </w:tcPr>
          <w:p>
            <w:pPr>
              <w:pStyle w:val="9"/>
              <w:rPr>
                <w:rFonts w:hint="eastAsia" w:ascii="宋体" w:hAnsi="宋体" w:eastAsia="宋体" w:cs="宋体"/>
              </w:rPr>
            </w:pPr>
          </w:p>
        </w:tc>
        <w:tc>
          <w:tcPr>
            <w:tcW w:w="673" w:type="dxa"/>
            <w:vAlign w:val="top"/>
          </w:tcPr>
          <w:p>
            <w:pPr>
              <w:pStyle w:val="9"/>
              <w:rPr>
                <w:rFonts w:hint="eastAsia" w:ascii="宋体" w:hAnsi="宋体" w:eastAsia="宋体" w:cs="宋体"/>
              </w:rPr>
            </w:pP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9" w:hRule="atLeast"/>
        </w:trPr>
        <w:tc>
          <w:tcPr>
            <w:tcW w:w="6887" w:type="dxa"/>
            <w:gridSpan w:val="6"/>
            <w:vAlign w:val="top"/>
          </w:tcPr>
          <w:p>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vAlign w:val="top"/>
          </w:tcPr>
          <w:p>
            <w:pPr>
              <w:spacing w:before="67" w:line="195" w:lineRule="auto"/>
              <w:ind w:left="208"/>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vAlign w:val="top"/>
          </w:tcPr>
          <w:p>
            <w:pPr>
              <w:pStyle w:val="9"/>
              <w:rPr>
                <w:rFonts w:hint="eastAsia" w:ascii="宋体" w:hAnsi="宋体" w:eastAsia="宋体" w:cs="宋体"/>
              </w:rPr>
            </w:pPr>
          </w:p>
        </w:tc>
        <w:tc>
          <w:tcPr>
            <w:tcW w:w="1422" w:type="dxa"/>
            <w:vAlign w:val="top"/>
          </w:tcPr>
          <w:p>
            <w:pPr>
              <w:pStyle w:val="9"/>
              <w:rPr>
                <w:rFonts w:hint="eastAsia" w:ascii="宋体" w:hAnsi="宋体" w:eastAsia="宋体" w:cs="宋体"/>
              </w:rPr>
            </w:pPr>
          </w:p>
        </w:tc>
      </w:tr>
    </w:tbl>
    <w:p>
      <w:pPr>
        <w:pStyle w:val="4"/>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pPr>
        <w:spacing w:line="217" w:lineRule="auto"/>
        <w:rPr>
          <w:sz w:val="22"/>
          <w:szCs w:val="22"/>
        </w:rPr>
      </w:pPr>
    </w:p>
    <w:p>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5"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pPr>
        <w:spacing w:before="64" w:line="230" w:lineRule="auto"/>
        <w:rPr>
          <w:rFonts w:hint="eastAsia" w:ascii="Times New Roman" w:hAnsi="Times New Roman" w:eastAsia="黑体" w:cs="Times New Roman"/>
          <w:sz w:val="31"/>
          <w:szCs w:val="31"/>
          <w:lang w:eastAsia="zh-CN"/>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hint="eastAsia" w:ascii="Times New Roman" w:hAnsi="Times New Roman" w:eastAsia="宋体" w:cs="Times New Roman"/>
          <w:spacing w:val="-4"/>
          <w:sz w:val="31"/>
          <w:szCs w:val="31"/>
          <w:lang w:val="en-US" w:eastAsia="zh-CN"/>
        </w:rPr>
        <w:t>4</w:t>
      </w: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年度岳阳市岳阳楼区妇幼保健院单位整体支出绩效自评报告</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4"/>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pPr>
        <w:spacing w:before="228" w:line="222" w:lineRule="auto"/>
        <w:ind w:left="3179"/>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hint="eastAsia" w:ascii="楷体" w:hAnsi="楷体" w:eastAsia="楷体" w:cs="楷体"/>
          <w:spacing w:val="21"/>
          <w:sz w:val="31"/>
          <w:szCs w:val="31"/>
          <w:lang w:val="en-US" w:eastAsia="zh-CN"/>
        </w:rPr>
        <w:t>06</w:t>
      </w:r>
      <w:r>
        <w:rPr>
          <w:rFonts w:ascii="楷体" w:hAnsi="楷体" w:eastAsia="楷体" w:cs="楷体"/>
          <w:spacing w:val="-8"/>
          <w:sz w:val="31"/>
          <w:szCs w:val="31"/>
        </w:rPr>
        <w:t>月</w:t>
      </w:r>
      <w:r>
        <w:rPr>
          <w:rFonts w:hint="eastAsia" w:ascii="楷体" w:hAnsi="楷体" w:eastAsia="楷体" w:cs="楷体"/>
          <w:spacing w:val="43"/>
          <w:sz w:val="31"/>
          <w:szCs w:val="31"/>
          <w:lang w:val="en-US" w:eastAsia="zh-CN"/>
        </w:rPr>
        <w:t>03</w:t>
      </w:r>
      <w:r>
        <w:rPr>
          <w:rFonts w:ascii="楷体" w:hAnsi="楷体" w:eastAsia="楷体" w:cs="楷体"/>
          <w:spacing w:val="-8"/>
          <w:sz w:val="31"/>
          <w:szCs w:val="31"/>
        </w:rPr>
        <w:t>日</w:t>
      </w:r>
    </w:p>
    <w:p>
      <w:pPr>
        <w:spacing w:line="335" w:lineRule="auto"/>
        <w:rPr>
          <w:rFonts w:ascii="Arial"/>
          <w:sz w:val="21"/>
        </w:rPr>
      </w:pPr>
    </w:p>
    <w:p>
      <w:pPr>
        <w:spacing w:line="224" w:lineRule="auto"/>
        <w:sectPr>
          <w:footerReference r:id="rId6" w:type="default"/>
          <w:pgSz w:w="11900" w:h="16833"/>
          <w:pgMar w:top="1401" w:right="1583" w:bottom="1445" w:left="1618" w:header="0" w:footer="1170" w:gutter="0"/>
          <w:pgNumType w:fmt="decimal"/>
          <w:cols w:space="720" w:num="1"/>
        </w:sect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年度岳阳市岳阳楼区妇幼保健院</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pPr>
        <w:spacing w:line="283" w:lineRule="auto"/>
        <w:rPr>
          <w:rFonts w:ascii="Arial"/>
          <w:sz w:val="21"/>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（一）职能职责</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1、为妇女儿童身体健康提供保健服务。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2、妇女、儿童保健。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3、妇女病普查及遗传病筛查。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4、高危孕妇筛查及产前诊断与接生。</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5、产前诊断与监测与监护高危新生儿筛查。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6、卫生监测与信息管理及保健人员培训。</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7、开展优生遗传服务、国家免费孕前优生健康检查等计划生育技术服务项目。</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（二）机构设置</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现有人数</w:t>
      </w:r>
      <w:r>
        <w:rPr>
          <w:rFonts w:hint="default" w:ascii="楷体" w:hAnsi="楷体" w:eastAsia="楷体" w:cs="楷体"/>
          <w:spacing w:val="9"/>
          <w:position w:val="21"/>
          <w:sz w:val="31"/>
          <w:szCs w:val="31"/>
          <w:lang w:val="en-US" w:eastAsia="zh-CN"/>
        </w:rPr>
        <w:t>92</w:t>
      </w:r>
      <w:r>
        <w:rPr>
          <w:rFonts w:hint="eastAsia" w:ascii="楷体" w:hAnsi="楷体" w:eastAsia="楷体" w:cs="楷体"/>
          <w:spacing w:val="9"/>
          <w:position w:val="21"/>
          <w:sz w:val="31"/>
          <w:szCs w:val="31"/>
          <w:lang w:val="en-US" w:eastAsia="zh-CN"/>
        </w:rPr>
        <w:t>人，其中：在职编制</w:t>
      </w:r>
      <w:r>
        <w:rPr>
          <w:rFonts w:hint="default" w:ascii="楷体" w:hAnsi="楷体" w:eastAsia="楷体" w:cs="楷体"/>
          <w:spacing w:val="9"/>
          <w:position w:val="21"/>
          <w:sz w:val="31"/>
          <w:szCs w:val="31"/>
          <w:lang w:val="en-US" w:eastAsia="zh-CN"/>
        </w:rPr>
        <w:t>47</w:t>
      </w:r>
      <w:r>
        <w:rPr>
          <w:rFonts w:hint="eastAsia" w:ascii="楷体" w:hAnsi="楷体" w:eastAsia="楷体" w:cs="楷体"/>
          <w:spacing w:val="9"/>
          <w:position w:val="21"/>
          <w:sz w:val="31"/>
          <w:szCs w:val="31"/>
          <w:lang w:val="en-US" w:eastAsia="zh-CN"/>
        </w:rPr>
        <w:t>人，离退休</w:t>
      </w:r>
      <w:r>
        <w:rPr>
          <w:rFonts w:hint="default" w:ascii="楷体" w:hAnsi="楷体" w:eastAsia="楷体" w:cs="楷体"/>
          <w:spacing w:val="9"/>
          <w:position w:val="21"/>
          <w:sz w:val="31"/>
          <w:szCs w:val="31"/>
          <w:lang w:val="en-US" w:eastAsia="zh-CN"/>
        </w:rPr>
        <w:t>45</w:t>
      </w:r>
      <w:r>
        <w:rPr>
          <w:rFonts w:hint="eastAsia" w:ascii="楷体" w:hAnsi="楷体" w:eastAsia="楷体" w:cs="楷体"/>
          <w:spacing w:val="9"/>
          <w:position w:val="21"/>
          <w:sz w:val="31"/>
          <w:szCs w:val="31"/>
          <w:lang w:val="en-US" w:eastAsia="zh-CN"/>
        </w:rPr>
        <w:t>人。业务科室设：妇产科、儿科、儿童保健科、麻醉科、检验科、超声科、放射科、计生部、妇女保健科、新生儿科、药剂科；行政职能科室设办公室、医务科、护理部、医保科、财务科、基层服务科、院感科、质控科。</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2023年我单位基本支出是2027.41万元，其中：人员经费：891.68万元，占基本支出的43.98%，主要是包括基本工资、津贴补贴、奖金、伙食补助费、绩效工资、机关事业单位养老保险缴费、职工基本医疗保险缴费、其他社会保险缴费、住房公积金、其他工资福利支出、退休费、其他对个人和家庭的补助；公用经费：1135.73万元，占基本支出的56.02%，主要包括办公费、印刷费、咨询费、手续费、水费、电费、邮电费、物业管理费、差旅费、维修（护）费、租赁费、培训费、公务接待费、专用材料费、专用燃料费、劳务费、委托业务费、工会经费、公务用车运行维护费、其他交通费、其他商品和服务支出。</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楷体" w:hAnsi="楷体" w:eastAsia="楷体" w:cs="楷体"/>
          <w:spacing w:val="9"/>
          <w:position w:val="21"/>
          <w:sz w:val="31"/>
          <w:szCs w:val="31"/>
          <w:lang w:val="en-US" w:eastAsia="zh-CN"/>
        </w:rPr>
      </w:pP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二</w:t>
      </w:r>
      <w:r>
        <w:rPr>
          <w:rFonts w:ascii="楷体" w:hAnsi="楷体" w:eastAsia="楷体" w:cs="楷体"/>
          <w:spacing w:val="9"/>
          <w:position w:val="21"/>
          <w:sz w:val="31"/>
          <w:szCs w:val="31"/>
        </w:rPr>
        <w:t>）</w:t>
      </w:r>
      <w:r>
        <w:rPr>
          <w:rFonts w:hint="eastAsia" w:ascii="楷体" w:hAnsi="楷体" w:eastAsia="楷体" w:cs="楷体"/>
          <w:spacing w:val="9"/>
          <w:position w:val="21"/>
          <w:sz w:val="31"/>
          <w:szCs w:val="31"/>
          <w:lang w:val="en-US" w:eastAsia="zh-CN"/>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我单位2023年度无项目支出。</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8"/>
          <w:sz w:val="31"/>
          <w:szCs w:val="31"/>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我单位2023年度无政府性基金预算支出。</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黑体" w:hAnsi="黑体" w:eastAsia="黑体" w:cs="黑体"/>
          <w:color w:val="000000"/>
          <w:spacing w:val="0"/>
          <w:position w:val="0"/>
          <w:sz w:val="32"/>
          <w:szCs w:val="32"/>
          <w:lang w:val="en-US" w:eastAsia="zh-CN"/>
        </w:rPr>
      </w:pPr>
      <w:r>
        <w:rPr>
          <w:rFonts w:hint="eastAsia" w:ascii="黑体" w:hAnsi="黑体" w:eastAsia="黑体" w:cs="黑体"/>
          <w:color w:val="000000"/>
          <w:spacing w:val="0"/>
          <w:position w:val="0"/>
          <w:sz w:val="32"/>
          <w:szCs w:val="32"/>
          <w:lang w:val="en-US" w:eastAsia="zh-CN"/>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我单位2023年度无社会保险基金预算支出。</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2023年，在区委、区政府、区卫健局党委的正确领导下，</w:t>
      </w:r>
      <w:r>
        <w:rPr>
          <w:rFonts w:hint="eastAsia" w:ascii="楷体" w:hAnsi="楷体" w:eastAsia="楷体" w:cs="楷体"/>
          <w:spacing w:val="9"/>
          <w:position w:val="21"/>
          <w:sz w:val="31"/>
          <w:szCs w:val="31"/>
          <w:lang w:val="en-US" w:eastAsia="zh-CN"/>
        </w:rPr>
        <w:t>医院</w:t>
      </w:r>
      <w:r>
        <w:rPr>
          <w:rFonts w:hint="eastAsia" w:ascii="楷体" w:hAnsi="楷体" w:eastAsia="楷体" w:cs="楷体"/>
          <w:spacing w:val="9"/>
          <w:position w:val="21"/>
          <w:sz w:val="31"/>
          <w:szCs w:val="31"/>
          <w:lang w:eastAsia="zh-CN"/>
        </w:rPr>
        <w:t>始终坚持以“儿童优先、母亲安全”为服务宗旨，以二级甲等妇幼保健院创建为重点，以“改善就医感受，提升患者体验”</w:t>
      </w:r>
      <w:r>
        <w:rPr>
          <w:rFonts w:hint="eastAsia" w:ascii="楷体" w:hAnsi="楷体" w:eastAsia="楷体" w:cs="楷体"/>
          <w:spacing w:val="9"/>
          <w:position w:val="21"/>
          <w:sz w:val="31"/>
          <w:szCs w:val="31"/>
          <w:lang w:val="en-US" w:eastAsia="zh-CN"/>
        </w:rPr>
        <w:t>主题活动为抓手，</w:t>
      </w:r>
      <w:r>
        <w:rPr>
          <w:rFonts w:hint="eastAsia" w:ascii="楷体" w:hAnsi="楷体" w:eastAsia="楷体" w:cs="楷体"/>
          <w:spacing w:val="9"/>
          <w:position w:val="21"/>
          <w:sz w:val="31"/>
          <w:szCs w:val="31"/>
          <w:lang w:eastAsia="zh-CN"/>
        </w:rPr>
        <w:t>不断改进服务态度，优化服务流程，提高服务质量，全力实施妇幼民生实事和重大公共卫生服务项目，医院高质量发展各项工作进展顺利。</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b/>
          <w:bCs/>
          <w:spacing w:val="9"/>
          <w:position w:val="21"/>
          <w:sz w:val="31"/>
          <w:szCs w:val="31"/>
          <w:lang w:eastAsia="zh-CN"/>
        </w:rPr>
        <w:t xml:space="preserve">一、基本情况 </w:t>
      </w:r>
      <w:r>
        <w:rPr>
          <w:rFonts w:hint="eastAsia" w:ascii="楷体" w:hAnsi="楷体" w:eastAsia="楷体" w:cs="楷体"/>
          <w:spacing w:val="9"/>
          <w:position w:val="21"/>
          <w:sz w:val="31"/>
          <w:szCs w:val="31"/>
          <w:lang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（一）业务收入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rPr>
      </w:pPr>
      <w:r>
        <w:rPr>
          <w:rFonts w:hint="eastAsia" w:ascii="楷体" w:hAnsi="楷体" w:eastAsia="楷体" w:cs="楷体"/>
          <w:spacing w:val="9"/>
          <w:position w:val="21"/>
          <w:sz w:val="31"/>
          <w:szCs w:val="31"/>
          <w:lang w:eastAsia="zh-CN"/>
        </w:rPr>
        <w:t>2023年医疗收入4632.6万元，2022年医疗收入4462.97万元，同比增长3.8%；门诊人次</w:t>
      </w:r>
      <w:r>
        <w:rPr>
          <w:rFonts w:hint="eastAsia" w:ascii="楷体" w:hAnsi="楷体" w:eastAsia="楷体" w:cs="楷体"/>
          <w:spacing w:val="9"/>
          <w:position w:val="21"/>
          <w:sz w:val="31"/>
          <w:szCs w:val="31"/>
          <w:lang w:val="en-US" w:eastAsia="zh-CN"/>
        </w:rPr>
        <w:t>78695</w:t>
      </w:r>
      <w:r>
        <w:rPr>
          <w:rFonts w:hint="eastAsia" w:ascii="楷体" w:hAnsi="楷体" w:eastAsia="楷体" w:cs="楷体"/>
          <w:spacing w:val="9"/>
          <w:position w:val="21"/>
          <w:sz w:val="31"/>
          <w:szCs w:val="31"/>
          <w:lang w:eastAsia="zh-CN"/>
        </w:rPr>
        <w:t>人</w:t>
      </w:r>
      <w:r>
        <w:rPr>
          <w:rFonts w:hint="eastAsia" w:ascii="楷体" w:hAnsi="楷体" w:eastAsia="楷体" w:cs="楷体"/>
          <w:spacing w:val="9"/>
          <w:position w:val="21"/>
          <w:sz w:val="31"/>
          <w:szCs w:val="31"/>
          <w:lang w:val="en-US" w:eastAsia="zh-CN"/>
        </w:rPr>
        <w:t>次</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lang w:val="en-US" w:eastAsia="zh-CN"/>
        </w:rPr>
        <w:t>较去年同期减少了26540人次</w:t>
      </w:r>
      <w:r>
        <w:rPr>
          <w:rFonts w:hint="eastAsia" w:ascii="楷体" w:hAnsi="楷体" w:eastAsia="楷体" w:cs="楷体"/>
          <w:spacing w:val="9"/>
          <w:position w:val="21"/>
          <w:sz w:val="31"/>
          <w:szCs w:val="31"/>
          <w:lang w:eastAsia="zh-CN"/>
        </w:rPr>
        <w:t>），住院人次</w:t>
      </w:r>
      <w:r>
        <w:rPr>
          <w:rFonts w:hint="eastAsia" w:ascii="楷体" w:hAnsi="楷体" w:eastAsia="楷体" w:cs="楷体"/>
          <w:spacing w:val="9"/>
          <w:position w:val="21"/>
          <w:sz w:val="31"/>
          <w:szCs w:val="31"/>
          <w:lang w:val="en-US" w:eastAsia="zh-CN"/>
        </w:rPr>
        <w:t>1844</w:t>
      </w:r>
      <w:r>
        <w:rPr>
          <w:rFonts w:hint="eastAsia" w:ascii="楷体" w:hAnsi="楷体" w:eastAsia="楷体" w:cs="楷体"/>
          <w:spacing w:val="9"/>
          <w:position w:val="21"/>
          <w:sz w:val="31"/>
          <w:szCs w:val="31"/>
          <w:lang w:eastAsia="zh-CN"/>
        </w:rPr>
        <w:t>人</w:t>
      </w:r>
      <w:r>
        <w:rPr>
          <w:rFonts w:hint="eastAsia" w:ascii="楷体" w:hAnsi="楷体" w:eastAsia="楷体" w:cs="楷体"/>
          <w:spacing w:val="9"/>
          <w:position w:val="21"/>
          <w:sz w:val="31"/>
          <w:szCs w:val="31"/>
          <w:lang w:val="en-US" w:eastAsia="zh-CN"/>
        </w:rPr>
        <w:t>次</w:t>
      </w:r>
      <w:r>
        <w:rPr>
          <w:rFonts w:hint="eastAsia" w:ascii="楷体" w:hAnsi="楷体" w:eastAsia="楷体" w:cs="楷体"/>
          <w:spacing w:val="9"/>
          <w:position w:val="21"/>
          <w:sz w:val="31"/>
          <w:szCs w:val="31"/>
          <w:lang w:eastAsia="zh-CN"/>
        </w:rPr>
        <w:t>（其中妇产科</w:t>
      </w:r>
      <w:r>
        <w:rPr>
          <w:rFonts w:hint="eastAsia" w:ascii="楷体" w:hAnsi="楷体" w:eastAsia="楷体" w:cs="楷体"/>
          <w:spacing w:val="9"/>
          <w:position w:val="21"/>
          <w:sz w:val="31"/>
          <w:szCs w:val="31"/>
          <w:lang w:val="en-US" w:eastAsia="zh-CN"/>
        </w:rPr>
        <w:t>632</w:t>
      </w:r>
      <w:r>
        <w:rPr>
          <w:rFonts w:hint="eastAsia" w:ascii="楷体" w:hAnsi="楷体" w:eastAsia="楷体" w:cs="楷体"/>
          <w:spacing w:val="9"/>
          <w:position w:val="21"/>
          <w:sz w:val="31"/>
          <w:szCs w:val="31"/>
          <w:lang w:eastAsia="zh-CN"/>
        </w:rPr>
        <w:t>人，儿科</w:t>
      </w:r>
      <w:r>
        <w:rPr>
          <w:rFonts w:hint="eastAsia" w:ascii="楷体" w:hAnsi="楷体" w:eastAsia="楷体" w:cs="楷体"/>
          <w:spacing w:val="9"/>
          <w:position w:val="21"/>
          <w:sz w:val="31"/>
          <w:szCs w:val="31"/>
          <w:lang w:val="en-US" w:eastAsia="zh-CN"/>
        </w:rPr>
        <w:t>1212</w:t>
      </w:r>
      <w:r>
        <w:rPr>
          <w:rFonts w:hint="eastAsia" w:ascii="楷体" w:hAnsi="楷体" w:eastAsia="楷体" w:cs="楷体"/>
          <w:spacing w:val="9"/>
          <w:position w:val="21"/>
          <w:sz w:val="31"/>
          <w:szCs w:val="31"/>
          <w:lang w:eastAsia="zh-CN"/>
        </w:rPr>
        <w:t>人；</w:t>
      </w:r>
      <w:r>
        <w:rPr>
          <w:rFonts w:hint="eastAsia" w:ascii="楷体" w:hAnsi="楷体" w:eastAsia="楷体" w:cs="楷体"/>
          <w:spacing w:val="9"/>
          <w:position w:val="21"/>
          <w:sz w:val="31"/>
          <w:szCs w:val="31"/>
          <w:lang w:val="en-US" w:eastAsia="zh-CN"/>
        </w:rPr>
        <w:t>较去年同期减少17人次</w:t>
      </w:r>
      <w:r>
        <w:rPr>
          <w:rFonts w:hint="eastAsia" w:ascii="楷体" w:hAnsi="楷体" w:eastAsia="楷体" w:cs="楷体"/>
          <w:spacing w:val="9"/>
          <w:position w:val="21"/>
          <w:sz w:val="31"/>
          <w:szCs w:val="3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（二）儿童保健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儿童保健门诊共服务</w:t>
      </w:r>
      <w:r>
        <w:rPr>
          <w:rFonts w:hint="eastAsia" w:ascii="楷体" w:hAnsi="楷体" w:eastAsia="楷体" w:cs="楷体"/>
          <w:spacing w:val="9"/>
          <w:position w:val="21"/>
          <w:sz w:val="31"/>
          <w:szCs w:val="31"/>
          <w:lang w:val="en-US" w:eastAsia="zh-CN"/>
        </w:rPr>
        <w:t>41730</w:t>
      </w:r>
      <w:r>
        <w:rPr>
          <w:rFonts w:hint="eastAsia" w:ascii="楷体" w:hAnsi="楷体" w:eastAsia="楷体" w:cs="楷体"/>
          <w:spacing w:val="9"/>
          <w:position w:val="21"/>
          <w:sz w:val="31"/>
          <w:szCs w:val="31"/>
          <w:lang w:eastAsia="zh-CN"/>
        </w:rPr>
        <w:t>人次（其中：新入园儿童体检</w:t>
      </w:r>
      <w:r>
        <w:rPr>
          <w:rFonts w:hint="eastAsia" w:ascii="楷体" w:hAnsi="楷体" w:eastAsia="楷体" w:cs="楷体"/>
          <w:spacing w:val="9"/>
          <w:position w:val="21"/>
          <w:sz w:val="31"/>
          <w:szCs w:val="31"/>
          <w:lang w:val="en-US" w:eastAsia="zh-CN"/>
        </w:rPr>
        <w:t>6342</w:t>
      </w:r>
      <w:r>
        <w:rPr>
          <w:rFonts w:hint="eastAsia" w:ascii="楷体" w:hAnsi="楷体" w:eastAsia="楷体" w:cs="楷体"/>
          <w:spacing w:val="9"/>
          <w:position w:val="21"/>
          <w:sz w:val="31"/>
          <w:szCs w:val="31"/>
          <w:lang w:eastAsia="zh-CN"/>
        </w:rPr>
        <w:t>人；常规体检</w:t>
      </w:r>
      <w:r>
        <w:rPr>
          <w:rFonts w:hint="eastAsia" w:ascii="楷体" w:hAnsi="楷体" w:eastAsia="楷体" w:cs="楷体"/>
          <w:spacing w:val="9"/>
          <w:position w:val="21"/>
          <w:sz w:val="31"/>
          <w:szCs w:val="31"/>
          <w:lang w:val="en-US" w:eastAsia="zh-CN"/>
        </w:rPr>
        <w:t>35179</w:t>
      </w:r>
      <w:r>
        <w:rPr>
          <w:rFonts w:hint="eastAsia" w:ascii="楷体" w:hAnsi="楷体" w:eastAsia="楷体" w:cs="楷体"/>
          <w:spacing w:val="9"/>
          <w:position w:val="21"/>
          <w:sz w:val="31"/>
          <w:szCs w:val="31"/>
          <w:lang w:eastAsia="zh-CN"/>
        </w:rPr>
        <w:t>人；一类疫苗接种</w:t>
      </w:r>
      <w:r>
        <w:rPr>
          <w:rFonts w:hint="eastAsia" w:ascii="楷体" w:hAnsi="楷体" w:eastAsia="楷体" w:cs="楷体"/>
          <w:spacing w:val="9"/>
          <w:position w:val="21"/>
          <w:sz w:val="31"/>
          <w:szCs w:val="31"/>
          <w:lang w:val="en-US" w:eastAsia="zh-CN"/>
        </w:rPr>
        <w:t>6664</w:t>
      </w:r>
      <w:r>
        <w:rPr>
          <w:rFonts w:hint="eastAsia" w:ascii="楷体" w:hAnsi="楷体" w:eastAsia="楷体" w:cs="楷体"/>
          <w:spacing w:val="9"/>
          <w:position w:val="21"/>
          <w:sz w:val="31"/>
          <w:szCs w:val="31"/>
          <w:lang w:eastAsia="zh-CN"/>
        </w:rPr>
        <w:t>人次，二类疫苗接种</w:t>
      </w:r>
      <w:r>
        <w:rPr>
          <w:rFonts w:hint="eastAsia" w:ascii="楷体" w:hAnsi="楷体" w:eastAsia="楷体" w:cs="楷体"/>
          <w:spacing w:val="9"/>
          <w:position w:val="21"/>
          <w:sz w:val="31"/>
          <w:szCs w:val="31"/>
          <w:lang w:val="en-US" w:eastAsia="zh-CN"/>
        </w:rPr>
        <w:t>23685</w:t>
      </w:r>
      <w:r>
        <w:rPr>
          <w:rFonts w:hint="eastAsia" w:ascii="楷体" w:hAnsi="楷体" w:eastAsia="楷体" w:cs="楷体"/>
          <w:spacing w:val="9"/>
          <w:position w:val="21"/>
          <w:sz w:val="31"/>
          <w:szCs w:val="31"/>
          <w:lang w:eastAsia="zh-CN"/>
        </w:rPr>
        <w:t>人次，新冠疫苗接种</w:t>
      </w:r>
      <w:r>
        <w:rPr>
          <w:rFonts w:hint="eastAsia" w:ascii="楷体" w:hAnsi="楷体" w:eastAsia="楷体" w:cs="楷体"/>
          <w:spacing w:val="9"/>
          <w:position w:val="21"/>
          <w:sz w:val="31"/>
          <w:szCs w:val="31"/>
          <w:lang w:val="en-US" w:eastAsia="zh-CN"/>
        </w:rPr>
        <w:t>209</w:t>
      </w:r>
      <w:r>
        <w:rPr>
          <w:rFonts w:hint="eastAsia" w:ascii="楷体" w:hAnsi="楷体" w:eastAsia="楷体" w:cs="楷体"/>
          <w:spacing w:val="9"/>
          <w:position w:val="21"/>
          <w:sz w:val="31"/>
          <w:szCs w:val="31"/>
          <w:lang w:eastAsia="zh-CN"/>
        </w:rPr>
        <w:t xml:space="preserve">人次）。  </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（三）妇女保健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妇女保健门诊共服务</w:t>
      </w:r>
      <w:r>
        <w:rPr>
          <w:rFonts w:hint="eastAsia" w:ascii="楷体" w:hAnsi="楷体" w:eastAsia="楷体" w:cs="楷体"/>
          <w:spacing w:val="9"/>
          <w:position w:val="21"/>
          <w:sz w:val="31"/>
          <w:szCs w:val="31"/>
          <w:lang w:val="en-US" w:eastAsia="zh-CN"/>
        </w:rPr>
        <w:t>9918</w:t>
      </w:r>
      <w:r>
        <w:rPr>
          <w:rFonts w:hint="eastAsia" w:ascii="楷体" w:hAnsi="楷体" w:eastAsia="楷体" w:cs="楷体"/>
          <w:spacing w:val="9"/>
          <w:position w:val="21"/>
          <w:sz w:val="31"/>
          <w:szCs w:val="31"/>
          <w:lang w:eastAsia="zh-CN"/>
        </w:rPr>
        <w:t>人次。住院</w:t>
      </w:r>
      <w:r>
        <w:rPr>
          <w:rFonts w:hint="eastAsia" w:ascii="楷体" w:hAnsi="楷体" w:eastAsia="楷体" w:cs="楷体"/>
          <w:spacing w:val="9"/>
          <w:position w:val="21"/>
          <w:sz w:val="31"/>
          <w:szCs w:val="31"/>
          <w:lang w:val="en-US" w:eastAsia="zh-CN"/>
        </w:rPr>
        <w:t>165</w:t>
      </w:r>
      <w:r>
        <w:rPr>
          <w:rFonts w:hint="eastAsia" w:ascii="楷体" w:hAnsi="楷体" w:eastAsia="楷体" w:cs="楷体"/>
          <w:spacing w:val="9"/>
          <w:position w:val="21"/>
          <w:sz w:val="31"/>
          <w:szCs w:val="31"/>
          <w:lang w:eastAsia="zh-CN"/>
        </w:rPr>
        <w:t>人次（其中：实施腹腔镜手术</w:t>
      </w:r>
      <w:r>
        <w:rPr>
          <w:rFonts w:hint="eastAsia" w:ascii="楷体" w:hAnsi="楷体" w:eastAsia="楷体" w:cs="楷体"/>
          <w:spacing w:val="9"/>
          <w:position w:val="21"/>
          <w:sz w:val="31"/>
          <w:szCs w:val="31"/>
          <w:lang w:val="en-US" w:eastAsia="zh-CN"/>
        </w:rPr>
        <w:t>23</w:t>
      </w:r>
      <w:r>
        <w:rPr>
          <w:rFonts w:hint="eastAsia" w:ascii="楷体" w:hAnsi="楷体" w:eastAsia="楷体" w:cs="楷体"/>
          <w:spacing w:val="9"/>
          <w:position w:val="21"/>
          <w:sz w:val="31"/>
          <w:szCs w:val="31"/>
          <w:lang w:eastAsia="zh-CN"/>
        </w:rPr>
        <w:t>人次；宫腔镜</w:t>
      </w:r>
      <w:r>
        <w:rPr>
          <w:rFonts w:hint="eastAsia" w:ascii="楷体" w:hAnsi="楷体" w:eastAsia="楷体" w:cs="楷体"/>
          <w:spacing w:val="9"/>
          <w:position w:val="21"/>
          <w:sz w:val="31"/>
          <w:szCs w:val="31"/>
          <w:lang w:val="en-US" w:eastAsia="zh-CN"/>
        </w:rPr>
        <w:t>45</w:t>
      </w:r>
      <w:r>
        <w:rPr>
          <w:rFonts w:hint="eastAsia" w:ascii="楷体" w:hAnsi="楷体" w:eastAsia="楷体" w:cs="楷体"/>
          <w:spacing w:val="9"/>
          <w:position w:val="21"/>
          <w:sz w:val="31"/>
          <w:szCs w:val="31"/>
          <w:lang w:eastAsia="zh-CN"/>
        </w:rPr>
        <w:t>人次；子宫全切手术1人次）。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（四）孕产保健</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孕产保健门诊共服务</w:t>
      </w:r>
      <w:r>
        <w:rPr>
          <w:rFonts w:hint="eastAsia" w:ascii="楷体" w:hAnsi="楷体" w:eastAsia="楷体" w:cs="楷体"/>
          <w:spacing w:val="9"/>
          <w:position w:val="21"/>
          <w:sz w:val="31"/>
          <w:szCs w:val="31"/>
          <w:lang w:val="en-US" w:eastAsia="zh-CN"/>
        </w:rPr>
        <w:t>9664</w:t>
      </w:r>
      <w:r>
        <w:rPr>
          <w:rFonts w:hint="eastAsia" w:ascii="楷体" w:hAnsi="楷体" w:eastAsia="楷体" w:cs="楷体"/>
          <w:spacing w:val="9"/>
          <w:position w:val="21"/>
          <w:sz w:val="31"/>
          <w:szCs w:val="31"/>
          <w:lang w:eastAsia="zh-CN"/>
        </w:rPr>
        <w:t>人次，住院</w:t>
      </w:r>
      <w:r>
        <w:rPr>
          <w:rFonts w:hint="eastAsia" w:ascii="楷体" w:hAnsi="楷体" w:eastAsia="楷体" w:cs="楷体"/>
          <w:spacing w:val="9"/>
          <w:position w:val="21"/>
          <w:sz w:val="31"/>
          <w:szCs w:val="31"/>
          <w:lang w:val="en-US" w:eastAsia="zh-CN"/>
        </w:rPr>
        <w:t>675</w:t>
      </w:r>
      <w:r>
        <w:rPr>
          <w:rFonts w:hint="eastAsia" w:ascii="楷体" w:hAnsi="楷体" w:eastAsia="楷体" w:cs="楷体"/>
          <w:spacing w:val="9"/>
          <w:position w:val="21"/>
          <w:sz w:val="31"/>
          <w:szCs w:val="31"/>
          <w:lang w:eastAsia="zh-CN"/>
        </w:rPr>
        <w:t>人次（其中：平产</w:t>
      </w:r>
      <w:r>
        <w:rPr>
          <w:rFonts w:hint="eastAsia" w:ascii="楷体" w:hAnsi="楷体" w:eastAsia="楷体" w:cs="楷体"/>
          <w:spacing w:val="9"/>
          <w:position w:val="21"/>
          <w:sz w:val="31"/>
          <w:szCs w:val="31"/>
          <w:lang w:val="en-US" w:eastAsia="zh-CN"/>
        </w:rPr>
        <w:t>248</w:t>
      </w:r>
      <w:r>
        <w:rPr>
          <w:rFonts w:hint="eastAsia" w:ascii="楷体" w:hAnsi="楷体" w:eastAsia="楷体" w:cs="楷体"/>
          <w:spacing w:val="9"/>
          <w:position w:val="21"/>
          <w:sz w:val="31"/>
          <w:szCs w:val="31"/>
          <w:lang w:eastAsia="zh-CN"/>
        </w:rPr>
        <w:t>人次；剖宫产</w:t>
      </w:r>
      <w:r>
        <w:rPr>
          <w:rFonts w:hint="eastAsia" w:ascii="楷体" w:hAnsi="楷体" w:eastAsia="楷体" w:cs="楷体"/>
          <w:spacing w:val="9"/>
          <w:position w:val="21"/>
          <w:sz w:val="31"/>
          <w:szCs w:val="31"/>
          <w:lang w:val="en-US" w:eastAsia="zh-CN"/>
        </w:rPr>
        <w:t>235</w:t>
      </w:r>
      <w:r>
        <w:rPr>
          <w:rFonts w:hint="eastAsia" w:ascii="楷体" w:hAnsi="楷体" w:eastAsia="楷体" w:cs="楷体"/>
          <w:spacing w:val="9"/>
          <w:position w:val="21"/>
          <w:sz w:val="31"/>
          <w:szCs w:val="31"/>
          <w:lang w:eastAsia="zh-CN"/>
        </w:rPr>
        <w:t>人次；无痛分娩</w:t>
      </w:r>
      <w:r>
        <w:rPr>
          <w:rFonts w:hint="eastAsia" w:ascii="楷体" w:hAnsi="楷体" w:eastAsia="楷体" w:cs="楷体"/>
          <w:spacing w:val="9"/>
          <w:position w:val="21"/>
          <w:sz w:val="31"/>
          <w:szCs w:val="31"/>
          <w:lang w:val="en-US" w:eastAsia="zh-CN"/>
        </w:rPr>
        <w:t>130人次</w:t>
      </w:r>
      <w:r>
        <w:rPr>
          <w:rFonts w:hint="eastAsia" w:ascii="楷体" w:hAnsi="楷体" w:eastAsia="楷体" w:cs="楷体"/>
          <w:spacing w:val="9"/>
          <w:position w:val="21"/>
          <w:sz w:val="31"/>
          <w:szCs w:val="3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（五）妇幼</w:t>
      </w:r>
      <w:r>
        <w:rPr>
          <w:rFonts w:hint="eastAsia" w:ascii="楷体" w:hAnsi="楷体" w:eastAsia="楷体" w:cs="楷体"/>
          <w:b/>
          <w:bCs/>
          <w:spacing w:val="9"/>
          <w:position w:val="21"/>
          <w:sz w:val="31"/>
          <w:szCs w:val="31"/>
          <w:lang w:val="en-US" w:eastAsia="zh-CN"/>
        </w:rPr>
        <w:t>两个</w:t>
      </w:r>
      <w:r>
        <w:rPr>
          <w:rFonts w:hint="eastAsia" w:ascii="楷体" w:hAnsi="楷体" w:eastAsia="楷体" w:cs="楷体"/>
          <w:b/>
          <w:bCs/>
          <w:spacing w:val="9"/>
          <w:position w:val="21"/>
          <w:sz w:val="31"/>
          <w:szCs w:val="31"/>
          <w:lang w:eastAsia="zh-CN"/>
        </w:rPr>
        <w:t>系统管理</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val="en-US" w:eastAsia="zh-CN"/>
        </w:rPr>
        <w:t>2023年，全区户籍产妇3105人，早孕建册率为96.81%，产后访视率96.16%，住院分娩率100%，</w:t>
      </w:r>
      <w:r>
        <w:rPr>
          <w:rFonts w:hint="eastAsia" w:ascii="楷体" w:hAnsi="楷体" w:eastAsia="楷体" w:cs="楷体"/>
          <w:spacing w:val="9"/>
          <w:position w:val="21"/>
          <w:sz w:val="31"/>
          <w:szCs w:val="31"/>
          <w:lang w:eastAsia="zh-CN"/>
        </w:rPr>
        <w:t>辖区未发生孕产妇死亡</w:t>
      </w:r>
      <w:r>
        <w:rPr>
          <w:rFonts w:hint="eastAsia" w:ascii="楷体" w:hAnsi="楷体" w:eastAsia="楷体" w:cs="楷体"/>
          <w:spacing w:val="9"/>
          <w:position w:val="21"/>
          <w:sz w:val="31"/>
          <w:szCs w:val="31"/>
          <w:lang w:val="en-US" w:eastAsia="zh-CN"/>
        </w:rPr>
        <w:t>。0-6岁儿童数34856人,健康管理率95.89%，</w:t>
      </w:r>
      <w:r>
        <w:rPr>
          <w:rFonts w:hint="eastAsia" w:ascii="楷体" w:hAnsi="楷体" w:eastAsia="楷体" w:cs="楷体"/>
          <w:spacing w:val="9"/>
          <w:position w:val="21"/>
          <w:sz w:val="31"/>
          <w:szCs w:val="31"/>
          <w:lang w:eastAsia="zh-CN"/>
        </w:rPr>
        <w:t>辖区5岁以下儿童死亡</w:t>
      </w:r>
      <w:r>
        <w:rPr>
          <w:rFonts w:hint="eastAsia" w:ascii="楷体" w:hAnsi="楷体" w:eastAsia="楷体" w:cs="楷体"/>
          <w:spacing w:val="9"/>
          <w:position w:val="21"/>
          <w:sz w:val="31"/>
          <w:szCs w:val="31"/>
          <w:lang w:val="en-US" w:eastAsia="zh-CN"/>
        </w:rPr>
        <w:t>4</w:t>
      </w:r>
      <w:r>
        <w:rPr>
          <w:rFonts w:hint="eastAsia" w:ascii="楷体" w:hAnsi="楷体" w:eastAsia="楷体" w:cs="楷体"/>
          <w:spacing w:val="9"/>
          <w:position w:val="21"/>
          <w:sz w:val="31"/>
          <w:szCs w:val="31"/>
          <w:lang w:eastAsia="zh-CN"/>
        </w:rPr>
        <w:t>例，较去年同期稳步下降。</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主要工作</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（一）妇幼保健机构标准化建设</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区级妇幼保健机构标准化建设是省级民生实事项目，我院按照省、市、区安排部署，结合辖区妇女儿童保健需求，积极推进妇幼保健机构标准化建设创建要求。岳阳楼区委、区政府领导高度重视，投入专项资金配置了用于急救、疾病筛查、康复治疗和健康促进等基本医疗和急救的设备设施，并将妇幼保健机构标准化建设项目的实施列入了岳阳楼区打好“六仗”其中一仗，建立“一月一调度，一月一会商”制度，有针对性地抓好落实，上下联动，横向配合，全员参与，全面提升医院妇幼保健机构的服务能力。目前，岳阳楼区妇幼保健院标准化建设项目已按要求完成。</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val="en-US" w:eastAsia="zh-CN"/>
        </w:rPr>
      </w:pPr>
      <w:r>
        <w:rPr>
          <w:rFonts w:hint="eastAsia" w:ascii="楷体" w:hAnsi="楷体" w:eastAsia="楷体" w:cs="楷体"/>
          <w:b/>
          <w:bCs/>
          <w:spacing w:val="9"/>
          <w:position w:val="21"/>
          <w:sz w:val="31"/>
          <w:szCs w:val="31"/>
          <w:lang w:val="en-US" w:eastAsia="zh-CN"/>
        </w:rPr>
        <w:t>（二）“二甲”创建</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rPr>
        <w:t>医院以创“二甲”为高质量发展抓手，全面规范大部制管理，夯实妇幼特色专科建设</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lang w:val="en-US" w:eastAsia="zh-CN"/>
        </w:rPr>
        <w:t>2023年医院对业务用房整体布局进行调整，细化了妇女保健部、儿童保健部、孕产保健部等“三大部”科室设置，并新增设中医门诊、更年期门诊、营养门诊、产后康复中心等科室</w:t>
      </w:r>
      <w:r>
        <w:rPr>
          <w:rFonts w:hint="eastAsia" w:ascii="楷体" w:hAnsi="楷体" w:eastAsia="楷体" w:cs="楷体"/>
          <w:spacing w:val="9"/>
          <w:position w:val="21"/>
          <w:sz w:val="31"/>
          <w:szCs w:val="31"/>
        </w:rPr>
        <w:t>。5月12日，医院召开了</w:t>
      </w:r>
      <w:r>
        <w:rPr>
          <w:rFonts w:hint="eastAsia" w:ascii="楷体" w:hAnsi="楷体" w:eastAsia="楷体" w:cs="楷体"/>
          <w:spacing w:val="9"/>
          <w:position w:val="21"/>
          <w:sz w:val="31"/>
          <w:szCs w:val="31"/>
          <w:lang w:eastAsia="zh-CN"/>
        </w:rPr>
        <w:t>“二甲创建”</w:t>
      </w:r>
      <w:r>
        <w:rPr>
          <w:rFonts w:hint="eastAsia" w:ascii="楷体" w:hAnsi="楷体" w:eastAsia="楷体" w:cs="楷体"/>
          <w:spacing w:val="9"/>
          <w:position w:val="21"/>
          <w:sz w:val="31"/>
          <w:szCs w:val="31"/>
        </w:rPr>
        <w:t>誓师大会，成立二甲创建工作领导小组</w:t>
      </w:r>
      <w:r>
        <w:rPr>
          <w:rFonts w:hint="eastAsia" w:ascii="楷体" w:hAnsi="楷体" w:eastAsia="楷体" w:cs="楷体"/>
          <w:spacing w:val="9"/>
          <w:position w:val="21"/>
          <w:sz w:val="31"/>
          <w:szCs w:val="31"/>
          <w:lang w:eastAsia="zh-CN"/>
        </w:rPr>
        <w:t>和</w:t>
      </w:r>
      <w:r>
        <w:rPr>
          <w:rFonts w:hint="eastAsia" w:ascii="楷体" w:hAnsi="楷体" w:eastAsia="楷体" w:cs="楷体"/>
          <w:spacing w:val="9"/>
          <w:position w:val="21"/>
          <w:sz w:val="31"/>
          <w:szCs w:val="31"/>
        </w:rPr>
        <w:t>质量与安全管理委员会，完成了《岗位职责汇编》《应急预案汇编》《</w:t>
      </w:r>
      <w:r>
        <w:rPr>
          <w:rFonts w:hint="eastAsia" w:ascii="楷体" w:hAnsi="楷体" w:eastAsia="楷体" w:cs="楷体"/>
          <w:spacing w:val="9"/>
          <w:position w:val="21"/>
          <w:sz w:val="31"/>
          <w:szCs w:val="31"/>
          <w:lang w:val="en-US" w:eastAsia="zh-CN"/>
        </w:rPr>
        <w:t>制度汇编</w:t>
      </w:r>
      <w:r>
        <w:rPr>
          <w:rFonts w:hint="eastAsia" w:ascii="楷体" w:hAnsi="楷体" w:eastAsia="楷体" w:cs="楷体"/>
          <w:spacing w:val="9"/>
          <w:position w:val="21"/>
          <w:sz w:val="31"/>
          <w:szCs w:val="31"/>
        </w:rPr>
        <w:t>》</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rPr>
        <w:t>对照评审标准，落实《二甲妇幼保健院创建工作考核办法》，制定《创建二级甲等妇幼保健院实施方案》，开展全院性创建内审专题会议6次，召开创建工作例会近30余次。截止目前，</w:t>
      </w:r>
      <w:r>
        <w:rPr>
          <w:rFonts w:hint="eastAsia" w:ascii="楷体" w:hAnsi="楷体" w:eastAsia="楷体" w:cs="楷体"/>
          <w:spacing w:val="9"/>
          <w:position w:val="21"/>
          <w:sz w:val="31"/>
          <w:szCs w:val="31"/>
          <w:lang w:eastAsia="zh-CN"/>
        </w:rPr>
        <w:t>创建各项资料已准备完毕，全院进入冲刺迎检阶段。</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（三）平安医院创建</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根据区卫健局党委的安排部署，</w:t>
      </w:r>
      <w:r>
        <w:rPr>
          <w:rFonts w:hint="eastAsia" w:ascii="楷体" w:hAnsi="楷体" w:eastAsia="楷体" w:cs="楷体"/>
          <w:spacing w:val="9"/>
          <w:position w:val="21"/>
          <w:sz w:val="31"/>
          <w:szCs w:val="31"/>
          <w:lang w:val="en-US" w:eastAsia="zh-CN"/>
        </w:rPr>
        <w:t>区妇保院</w:t>
      </w:r>
      <w:r>
        <w:rPr>
          <w:rFonts w:hint="eastAsia" w:ascii="楷体" w:hAnsi="楷体" w:eastAsia="楷体" w:cs="楷体"/>
          <w:spacing w:val="9"/>
          <w:position w:val="21"/>
          <w:sz w:val="31"/>
          <w:szCs w:val="31"/>
          <w:lang w:eastAsia="zh-CN"/>
        </w:rPr>
        <w:t>认真贯彻落实省、市、区平安医院建设相关会议文件精神，大力推进平安医院建设，通过工作理念与调解方式的不断创新，各项工作更趋规范化、制度化与高效化。</w:t>
      </w:r>
      <w:r>
        <w:rPr>
          <w:rFonts w:hint="eastAsia" w:ascii="楷体" w:hAnsi="楷体" w:eastAsia="楷体" w:cs="楷体"/>
          <w:spacing w:val="9"/>
          <w:position w:val="21"/>
          <w:sz w:val="31"/>
          <w:szCs w:val="31"/>
          <w:lang w:val="en-US" w:eastAsia="zh-CN"/>
        </w:rPr>
        <w:t>2023年，医院共开展安全工作专题会议10余次，组织观看安全警示片5次，开展全院消防安全演练2次，开展全院心肺复苏大练兵1次，全年</w:t>
      </w:r>
      <w:r>
        <w:rPr>
          <w:rFonts w:hint="eastAsia" w:ascii="楷体" w:hAnsi="楷体" w:eastAsia="楷体" w:cs="楷体"/>
          <w:spacing w:val="9"/>
          <w:position w:val="21"/>
          <w:sz w:val="31"/>
          <w:szCs w:val="31"/>
        </w:rPr>
        <w:t>全院无刑事案件、无群体上访事件、无民转刑案件、无火灾事故、无治安案件及无医疗事故，全院职工对治安满意率达100%，患者满意度100%</w:t>
      </w:r>
      <w:r>
        <w:rPr>
          <w:rFonts w:hint="eastAsia" w:ascii="楷体" w:hAnsi="楷体" w:eastAsia="楷体" w:cs="楷体"/>
          <w:spacing w:val="9"/>
          <w:position w:val="21"/>
          <w:sz w:val="31"/>
          <w:szCs w:val="3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b/>
          <w:bCs/>
          <w:spacing w:val="9"/>
          <w:position w:val="21"/>
          <w:sz w:val="31"/>
          <w:szCs w:val="31"/>
          <w:lang w:eastAsia="zh-CN"/>
        </w:rPr>
        <w:t>（</w:t>
      </w:r>
      <w:r>
        <w:rPr>
          <w:rFonts w:hint="eastAsia" w:ascii="楷体" w:hAnsi="楷体" w:eastAsia="楷体" w:cs="楷体"/>
          <w:b/>
          <w:bCs/>
          <w:spacing w:val="9"/>
          <w:position w:val="21"/>
          <w:sz w:val="31"/>
          <w:szCs w:val="31"/>
          <w:lang w:val="en-US" w:eastAsia="zh-CN"/>
        </w:rPr>
        <w:t>四</w:t>
      </w:r>
      <w:r>
        <w:rPr>
          <w:rFonts w:hint="eastAsia" w:ascii="楷体" w:hAnsi="楷体" w:eastAsia="楷体" w:cs="楷体"/>
          <w:b/>
          <w:bCs/>
          <w:spacing w:val="9"/>
          <w:position w:val="21"/>
          <w:sz w:val="31"/>
          <w:szCs w:val="31"/>
          <w:lang w:eastAsia="zh-CN"/>
        </w:rPr>
        <w:t>）清廉医院建设</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区妇保院多措并举，在全院持续推进以“党风清正、院风清朗、医风清新”为主要目标的“清廉医院”建设，为医院事业高质量发展营造风清气正环境,维护良好的政治生态。</w:t>
      </w:r>
      <w:r>
        <w:rPr>
          <w:rFonts w:hint="eastAsia" w:ascii="楷体" w:hAnsi="楷体" w:eastAsia="楷体" w:cs="楷体"/>
          <w:spacing w:val="9"/>
          <w:position w:val="21"/>
          <w:sz w:val="31"/>
          <w:szCs w:val="31"/>
          <w:lang w:val="en-US" w:eastAsia="zh-CN"/>
        </w:rPr>
        <w:t>2023年，共</w:t>
      </w:r>
      <w:r>
        <w:rPr>
          <w:rFonts w:hint="eastAsia" w:ascii="楷体" w:hAnsi="楷体" w:eastAsia="楷体" w:cs="楷体"/>
          <w:spacing w:val="9"/>
          <w:position w:val="21"/>
          <w:sz w:val="31"/>
          <w:szCs w:val="31"/>
          <w:lang w:eastAsia="zh-CN"/>
        </w:rPr>
        <w:t>召开“清廉医院”专题会议</w:t>
      </w:r>
      <w:r>
        <w:rPr>
          <w:rFonts w:hint="eastAsia" w:ascii="楷体" w:hAnsi="楷体" w:eastAsia="楷体" w:cs="楷体"/>
          <w:spacing w:val="9"/>
          <w:position w:val="21"/>
          <w:sz w:val="31"/>
          <w:szCs w:val="31"/>
          <w:lang w:val="en-US" w:eastAsia="zh-CN"/>
        </w:rPr>
        <w:t>6次，</w:t>
      </w:r>
      <w:r>
        <w:rPr>
          <w:rFonts w:hint="eastAsia" w:ascii="楷体" w:hAnsi="楷体" w:eastAsia="楷体" w:cs="楷体"/>
          <w:spacing w:val="9"/>
          <w:position w:val="21"/>
          <w:sz w:val="31"/>
          <w:szCs w:val="31"/>
          <w:lang w:eastAsia="zh-CN"/>
        </w:rPr>
        <w:t>制定《岳阳楼区妇幼保健院“清廉医院”建设实施方案》《岳阳楼区妇幼保健院开展医德医风问题和医药领域腐败问题集中整治工作实施方案》等相关文件</w:t>
      </w:r>
      <w:r>
        <w:rPr>
          <w:rFonts w:hint="eastAsia" w:ascii="楷体" w:hAnsi="楷体" w:eastAsia="楷体" w:cs="楷体"/>
          <w:spacing w:val="9"/>
          <w:position w:val="21"/>
          <w:sz w:val="31"/>
          <w:szCs w:val="31"/>
          <w:lang w:val="en-US" w:eastAsia="zh-CN"/>
        </w:rPr>
        <w:t>3份</w:t>
      </w:r>
      <w:r>
        <w:rPr>
          <w:rFonts w:hint="eastAsia" w:ascii="楷体" w:hAnsi="楷体" w:eastAsia="楷体" w:cs="楷体"/>
          <w:spacing w:val="9"/>
          <w:position w:val="21"/>
          <w:sz w:val="31"/>
          <w:szCs w:val="31"/>
          <w:lang w:eastAsia="zh-CN"/>
        </w:rPr>
        <w:t>，开展“两带头五整治”纠风防腐专项行动、医德医风和医药领域腐败问题集中整治行动等专项行动</w:t>
      </w:r>
      <w:r>
        <w:rPr>
          <w:rFonts w:hint="eastAsia" w:ascii="楷体" w:hAnsi="楷体" w:eastAsia="楷体" w:cs="楷体"/>
          <w:spacing w:val="9"/>
          <w:position w:val="21"/>
          <w:sz w:val="31"/>
          <w:szCs w:val="31"/>
          <w:lang w:val="en-US" w:eastAsia="zh-CN"/>
        </w:rPr>
        <w:t>5次</w:t>
      </w:r>
      <w:r>
        <w:rPr>
          <w:rFonts w:hint="eastAsia" w:ascii="楷体" w:hAnsi="楷体" w:eastAsia="楷体" w:cs="楷体"/>
          <w:spacing w:val="9"/>
          <w:position w:val="21"/>
          <w:sz w:val="31"/>
          <w:szCs w:val="31"/>
          <w:lang w:eastAsia="zh-CN"/>
        </w:rPr>
        <w:t>。全年全院无医德医风和医药领域腐败问题举报事件、无违法违纪现象，无酒驾醉驾现象。</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b/>
          <w:bCs/>
          <w:spacing w:val="9"/>
          <w:position w:val="21"/>
          <w:sz w:val="31"/>
          <w:szCs w:val="31"/>
          <w:lang w:eastAsia="zh-CN"/>
        </w:rPr>
        <w:t>（</w:t>
      </w:r>
      <w:r>
        <w:rPr>
          <w:rFonts w:hint="eastAsia" w:ascii="楷体" w:hAnsi="楷体" w:eastAsia="楷体" w:cs="楷体"/>
          <w:b/>
          <w:bCs/>
          <w:spacing w:val="9"/>
          <w:position w:val="21"/>
          <w:sz w:val="31"/>
          <w:szCs w:val="31"/>
          <w:lang w:val="en-US" w:eastAsia="zh-CN"/>
        </w:rPr>
        <w:t>五</w:t>
      </w:r>
      <w:r>
        <w:rPr>
          <w:rFonts w:hint="eastAsia" w:ascii="楷体" w:hAnsi="楷体" w:eastAsia="楷体" w:cs="楷体"/>
          <w:b/>
          <w:bCs/>
          <w:spacing w:val="9"/>
          <w:position w:val="21"/>
          <w:sz w:val="31"/>
          <w:szCs w:val="31"/>
          <w:lang w:eastAsia="zh-CN"/>
        </w:rPr>
        <w:t>）爱卫创建</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spacing w:val="9"/>
          <w:position w:val="21"/>
          <w:sz w:val="31"/>
          <w:szCs w:val="31"/>
          <w:lang w:eastAsia="zh-CN"/>
        </w:rPr>
        <w:t>深入贯彻市、区爱卫办关于迎接国家卫生城市复审工作。</w:t>
      </w:r>
      <w:r>
        <w:rPr>
          <w:rFonts w:hint="eastAsia" w:ascii="楷体" w:hAnsi="楷体" w:eastAsia="楷体" w:cs="楷体"/>
          <w:spacing w:val="9"/>
          <w:position w:val="21"/>
          <w:sz w:val="31"/>
          <w:szCs w:val="31"/>
          <w:lang w:val="en-US" w:eastAsia="zh-CN"/>
        </w:rPr>
        <w:t>2023年，</w:t>
      </w:r>
      <w:r>
        <w:rPr>
          <w:rFonts w:hint="eastAsia" w:ascii="楷体" w:hAnsi="楷体" w:eastAsia="楷体" w:cs="楷体"/>
          <w:spacing w:val="9"/>
          <w:position w:val="21"/>
          <w:sz w:val="31"/>
          <w:szCs w:val="31"/>
          <w:lang w:eastAsia="zh-CN"/>
        </w:rPr>
        <w:t>区妇保院组织全体干部职工每周对医院大楼、院内停车场、家属区、荷花小区等重点场合开展环境卫生整治，并督促职工、居民做好责任区和门前卫生工作，共计出动人员</w:t>
      </w:r>
      <w:r>
        <w:rPr>
          <w:rFonts w:hint="eastAsia" w:ascii="楷体" w:hAnsi="楷体" w:eastAsia="楷体" w:cs="楷体"/>
          <w:spacing w:val="9"/>
          <w:position w:val="21"/>
          <w:sz w:val="31"/>
          <w:szCs w:val="31"/>
          <w:lang w:val="en-US" w:eastAsia="zh-CN"/>
        </w:rPr>
        <w:t>300余</w:t>
      </w:r>
      <w:r>
        <w:rPr>
          <w:rFonts w:hint="eastAsia" w:ascii="楷体" w:hAnsi="楷体" w:eastAsia="楷体" w:cs="楷体"/>
          <w:spacing w:val="9"/>
          <w:position w:val="21"/>
          <w:sz w:val="31"/>
          <w:szCs w:val="31"/>
          <w:lang w:eastAsia="zh-CN"/>
        </w:rPr>
        <w:t>人次，抽吸处理化粪池</w:t>
      </w:r>
      <w:r>
        <w:rPr>
          <w:rFonts w:hint="eastAsia" w:ascii="楷体" w:hAnsi="楷体" w:eastAsia="楷体" w:cs="楷体"/>
          <w:spacing w:val="9"/>
          <w:position w:val="21"/>
          <w:sz w:val="31"/>
          <w:szCs w:val="31"/>
          <w:lang w:val="en-US" w:eastAsia="zh-CN"/>
        </w:rPr>
        <w:t>2次，修剪院内绿化、草皮补植1次，</w:t>
      </w:r>
      <w:r>
        <w:rPr>
          <w:rFonts w:hint="eastAsia" w:ascii="楷体" w:hAnsi="楷体" w:eastAsia="楷体" w:cs="楷体"/>
          <w:spacing w:val="9"/>
          <w:position w:val="21"/>
          <w:sz w:val="31"/>
          <w:szCs w:val="31"/>
          <w:lang w:eastAsia="zh-CN"/>
        </w:rPr>
        <w:t>翻盆倒罐</w:t>
      </w:r>
      <w:r>
        <w:rPr>
          <w:rFonts w:hint="eastAsia" w:ascii="楷体" w:hAnsi="楷体" w:eastAsia="楷体" w:cs="楷体"/>
          <w:spacing w:val="9"/>
          <w:position w:val="21"/>
          <w:sz w:val="31"/>
          <w:szCs w:val="31"/>
          <w:lang w:val="en-US" w:eastAsia="zh-CN"/>
        </w:rPr>
        <w:t>8</w:t>
      </w:r>
      <w:r>
        <w:rPr>
          <w:rFonts w:hint="eastAsia" w:ascii="楷体" w:hAnsi="楷体" w:eastAsia="楷体" w:cs="楷体"/>
          <w:spacing w:val="9"/>
          <w:position w:val="21"/>
          <w:sz w:val="31"/>
          <w:szCs w:val="31"/>
          <w:lang w:eastAsia="zh-CN"/>
        </w:rPr>
        <w:t>处，清理积水</w:t>
      </w:r>
      <w:r>
        <w:rPr>
          <w:rFonts w:hint="eastAsia" w:ascii="楷体" w:hAnsi="楷体" w:eastAsia="楷体" w:cs="楷体"/>
          <w:spacing w:val="9"/>
          <w:position w:val="21"/>
          <w:sz w:val="31"/>
          <w:szCs w:val="31"/>
          <w:lang w:val="en-US" w:eastAsia="zh-CN"/>
        </w:rPr>
        <w:t>5</w:t>
      </w:r>
      <w:r>
        <w:rPr>
          <w:rFonts w:hint="eastAsia" w:ascii="楷体" w:hAnsi="楷体" w:eastAsia="楷体" w:cs="楷体"/>
          <w:spacing w:val="9"/>
          <w:position w:val="21"/>
          <w:sz w:val="31"/>
          <w:szCs w:val="31"/>
          <w:lang w:eastAsia="zh-CN"/>
        </w:rPr>
        <w:t>处，清理卫生死角</w:t>
      </w:r>
      <w:r>
        <w:rPr>
          <w:rFonts w:hint="eastAsia" w:ascii="楷体" w:hAnsi="楷体" w:eastAsia="楷体" w:cs="楷体"/>
          <w:spacing w:val="9"/>
          <w:position w:val="21"/>
          <w:sz w:val="31"/>
          <w:szCs w:val="31"/>
          <w:lang w:val="en-US" w:eastAsia="zh-CN"/>
        </w:rPr>
        <w:t>23</w:t>
      </w:r>
      <w:r>
        <w:rPr>
          <w:rFonts w:hint="eastAsia" w:ascii="楷体" w:hAnsi="楷体" w:eastAsia="楷体" w:cs="楷体"/>
          <w:spacing w:val="9"/>
          <w:position w:val="21"/>
          <w:sz w:val="31"/>
          <w:szCs w:val="31"/>
          <w:lang w:eastAsia="zh-CN"/>
        </w:rPr>
        <w:t>处，消杀面积</w:t>
      </w:r>
      <w:r>
        <w:rPr>
          <w:rFonts w:hint="eastAsia" w:ascii="楷体" w:hAnsi="楷体" w:eastAsia="楷体" w:cs="楷体"/>
          <w:spacing w:val="9"/>
          <w:position w:val="21"/>
          <w:sz w:val="31"/>
          <w:szCs w:val="31"/>
          <w:lang w:val="en-US" w:eastAsia="zh-CN"/>
        </w:rPr>
        <w:t>11000</w:t>
      </w:r>
      <w:r>
        <w:rPr>
          <w:rFonts w:hint="eastAsia" w:ascii="楷体" w:hAnsi="楷体" w:eastAsia="楷体" w:cs="楷体"/>
          <w:spacing w:val="9"/>
          <w:position w:val="21"/>
          <w:sz w:val="31"/>
          <w:szCs w:val="31"/>
          <w:lang w:eastAsia="zh-CN"/>
        </w:rPr>
        <w:t>平方米，投入消杀“四害”药物三种，共清理</w:t>
      </w:r>
      <w:r>
        <w:rPr>
          <w:rFonts w:hint="eastAsia" w:ascii="楷体" w:hAnsi="楷体" w:eastAsia="楷体" w:cs="楷体"/>
          <w:spacing w:val="9"/>
          <w:position w:val="21"/>
          <w:sz w:val="31"/>
          <w:szCs w:val="31"/>
          <w:lang w:val="en-US" w:eastAsia="zh-CN"/>
        </w:rPr>
        <w:t>5</w:t>
      </w:r>
      <w:r>
        <w:rPr>
          <w:rFonts w:hint="eastAsia" w:ascii="楷体" w:hAnsi="楷体" w:eastAsia="楷体" w:cs="楷体"/>
          <w:spacing w:val="9"/>
          <w:position w:val="21"/>
          <w:sz w:val="31"/>
          <w:szCs w:val="31"/>
          <w:lang w:eastAsia="zh-CN"/>
        </w:rPr>
        <w:t>吨卫生垃圾。</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（六）提升医疗服务质量</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default"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 xml:space="preserve"> 一是不断提升医疗服务水平。2023年医院按照妇幼机构标准化建设要求和“二甲”创建要求，调整业务用房，新增业务科室，完善医疗设施设备，不断完善硬件设施设备建设；同时，持续加强人才队伍建设“软实力”，先后组织5名相关技术骨干赴省妇幼、省儿童医院学习培训；每月按照“三基、三严”训练计划安排对专业技术人员进行理论培训和成人心肺复苏、产后大出血、新生儿窒息复苏等应急演练，加强临床保健业务融合发展。二是持续深化“互联网+医疗健康”便民建设，实现“挂号、咨询、支付、报告查询”全流程闭环“一键诊疗”服务。截止目前，已有约8万人关注区妇幼微信公众号。三是</w:t>
      </w:r>
      <w:r>
        <w:rPr>
          <w:rFonts w:hint="eastAsia" w:ascii="楷体" w:hAnsi="楷体" w:eastAsia="楷体" w:cs="楷体"/>
          <w:spacing w:val="9"/>
          <w:position w:val="21"/>
          <w:sz w:val="31"/>
          <w:szCs w:val="31"/>
          <w:lang w:eastAsia="zh-CN"/>
        </w:rPr>
        <w:t>多措并举实惠于民。持续开展“三好一满意”活动，先后组织专题宣传活动6次，免费义诊5次，宫颈癌疫苗预约接种2次，</w:t>
      </w:r>
      <w:r>
        <w:rPr>
          <w:rFonts w:hint="eastAsia" w:ascii="楷体" w:hAnsi="楷体" w:eastAsia="楷体" w:cs="楷体"/>
          <w:spacing w:val="9"/>
          <w:position w:val="21"/>
          <w:sz w:val="31"/>
          <w:szCs w:val="31"/>
          <w:lang w:val="en-US" w:eastAsia="zh-CN"/>
        </w:rPr>
        <w:t>消除宫颈癌免费筛查活动1次，</w:t>
      </w:r>
      <w:r>
        <w:rPr>
          <w:rFonts w:hint="eastAsia" w:ascii="楷体" w:hAnsi="楷体" w:eastAsia="楷体" w:cs="楷体"/>
          <w:spacing w:val="9"/>
          <w:position w:val="21"/>
          <w:sz w:val="31"/>
          <w:szCs w:val="31"/>
          <w:lang w:eastAsia="zh-CN"/>
        </w:rPr>
        <w:t>不断强化医护人员的服务意识、提升服务品质，增强广大群众的获得感和满意度。</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b/>
          <w:bCs/>
          <w:spacing w:val="9"/>
          <w:position w:val="21"/>
          <w:sz w:val="31"/>
          <w:szCs w:val="31"/>
          <w:lang w:eastAsia="zh-CN"/>
        </w:rPr>
      </w:pPr>
      <w:r>
        <w:rPr>
          <w:rFonts w:hint="eastAsia" w:ascii="楷体" w:hAnsi="楷体" w:eastAsia="楷体" w:cs="楷体"/>
          <w:b/>
          <w:bCs/>
          <w:spacing w:val="9"/>
          <w:position w:val="21"/>
          <w:sz w:val="31"/>
          <w:szCs w:val="31"/>
          <w:lang w:eastAsia="zh-CN"/>
        </w:rPr>
        <w:t>三、民生实事</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6" w:firstLineChars="200"/>
        <w:jc w:val="left"/>
        <w:textAlignment w:val="auto"/>
        <w:rPr>
          <w:rFonts w:hint="eastAsia" w:ascii="楷体" w:hAnsi="楷体" w:eastAsia="楷体" w:cs="楷体"/>
          <w:spacing w:val="9"/>
          <w:position w:val="21"/>
          <w:sz w:val="31"/>
          <w:szCs w:val="31"/>
          <w:lang w:val="en-US" w:eastAsia="zh-CN"/>
        </w:rPr>
      </w:pPr>
      <w:r>
        <w:rPr>
          <w:rFonts w:hint="eastAsia" w:ascii="楷体" w:hAnsi="楷体" w:eastAsia="楷体" w:cs="楷体"/>
          <w:spacing w:val="9"/>
          <w:position w:val="21"/>
          <w:sz w:val="31"/>
          <w:szCs w:val="31"/>
          <w:lang w:val="en-US" w:eastAsia="zh-CN"/>
        </w:rPr>
        <w:t>全区农村适龄妇女和城镇低保适龄妇女“两癌”免费检查2018人，完成目标任务的101.19%，筛查出宫颈癌病变6人，早期乳腺癌1人；新生儿耳聋基因免费筛查3022人；孕产妇免费中期产前筛查共完成3000人；新生儿先心病免费筛查共完成3000人，均已完成年初目标任务。免费为1000余名育龄妇女发放叶酸6000余瓶；免费婚前检查2850对；孕前优生健康检查2795对；国家残疾预防科技创新孕妇外周血胎儿游离DNA产前筛查300人，发现并干预异常人数3人；眼底影像筛查302人，转诊异常人数5人。</w:t>
      </w:r>
      <w:r>
        <w:rPr>
          <w:rFonts w:hint="eastAsia" w:ascii="楷体" w:hAnsi="楷体" w:eastAsia="楷体" w:cs="楷体"/>
          <w:spacing w:val="9"/>
          <w:position w:val="21"/>
          <w:sz w:val="31"/>
          <w:szCs w:val="31"/>
          <w:lang w:eastAsia="zh-CN"/>
        </w:rPr>
        <w:t xml:space="preserve"> 　</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rPr>
      </w:pPr>
      <w:r>
        <w:rPr>
          <w:rFonts w:hint="eastAsia" w:ascii="楷体" w:hAnsi="楷体" w:eastAsia="楷体" w:cs="楷体"/>
          <w:b/>
          <w:bCs/>
          <w:spacing w:val="9"/>
          <w:position w:val="21"/>
          <w:sz w:val="31"/>
          <w:szCs w:val="31"/>
          <w:lang w:eastAsia="zh-CN"/>
        </w:rPr>
        <w:t>一</w:t>
      </w:r>
      <w:r>
        <w:rPr>
          <w:rFonts w:hint="eastAsia" w:ascii="楷体" w:hAnsi="楷体" w:eastAsia="楷体" w:cs="楷体"/>
          <w:b/>
          <w:bCs/>
          <w:spacing w:val="9"/>
          <w:position w:val="21"/>
          <w:sz w:val="31"/>
          <w:szCs w:val="31"/>
        </w:rPr>
        <w:t>是业务总量下降明显。</w:t>
      </w:r>
      <w:r>
        <w:rPr>
          <w:rFonts w:hint="eastAsia" w:ascii="楷体" w:hAnsi="楷体" w:eastAsia="楷体" w:cs="楷体"/>
          <w:spacing w:val="9"/>
          <w:position w:val="21"/>
          <w:sz w:val="31"/>
          <w:szCs w:val="31"/>
        </w:rPr>
        <w:t>受低生育率的影响，我区孕产妇人数由2019</w:t>
      </w:r>
      <w:r>
        <w:rPr>
          <w:rFonts w:hint="eastAsia" w:ascii="楷体" w:hAnsi="楷体" w:eastAsia="楷体" w:cs="楷体"/>
          <w:spacing w:val="9"/>
          <w:position w:val="21"/>
          <w:sz w:val="31"/>
          <w:szCs w:val="31"/>
          <w:lang w:eastAsia="zh-CN"/>
        </w:rPr>
        <w:t>年</w:t>
      </w:r>
      <w:r>
        <w:rPr>
          <w:rFonts w:hint="eastAsia" w:ascii="楷体" w:hAnsi="楷体" w:eastAsia="楷体" w:cs="楷体"/>
          <w:spacing w:val="9"/>
          <w:position w:val="21"/>
          <w:sz w:val="31"/>
          <w:szCs w:val="31"/>
        </w:rPr>
        <w:t>的4200人下降到2022年的3787人，年均下降率约为</w:t>
      </w:r>
      <w:r>
        <w:rPr>
          <w:rFonts w:hint="eastAsia" w:ascii="楷体" w:hAnsi="楷体" w:eastAsia="楷体" w:cs="楷体"/>
          <w:spacing w:val="9"/>
          <w:position w:val="21"/>
          <w:sz w:val="31"/>
          <w:szCs w:val="31"/>
          <w:lang w:val="en-US" w:eastAsia="zh-CN"/>
        </w:rPr>
        <w:t>3.3</w:t>
      </w:r>
      <w:r>
        <w:rPr>
          <w:rFonts w:hint="eastAsia" w:ascii="楷体" w:hAnsi="楷体" w:eastAsia="楷体" w:cs="楷体"/>
          <w:spacing w:val="9"/>
          <w:position w:val="21"/>
          <w:sz w:val="31"/>
          <w:szCs w:val="31"/>
        </w:rPr>
        <w:t>%。孕产保健业务由增量时代进入存量竞争，处于中间地带的楼区妇幼既要和“三甲”医院比技术力量，还要与民营机构比服务质量，多向承压和选择增多对我院业务冲击较大。</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rPr>
      </w:pPr>
      <w:r>
        <w:rPr>
          <w:rFonts w:hint="eastAsia" w:ascii="楷体" w:hAnsi="楷体" w:eastAsia="楷体" w:cs="楷体"/>
          <w:b/>
          <w:bCs/>
          <w:spacing w:val="9"/>
          <w:position w:val="21"/>
          <w:sz w:val="31"/>
          <w:szCs w:val="31"/>
          <w:lang w:eastAsia="zh-CN"/>
        </w:rPr>
        <w:t>二</w:t>
      </w:r>
      <w:r>
        <w:rPr>
          <w:rFonts w:hint="eastAsia" w:ascii="楷体" w:hAnsi="楷体" w:eastAsia="楷体" w:cs="楷体"/>
          <w:b/>
          <w:bCs/>
          <w:spacing w:val="9"/>
          <w:position w:val="21"/>
          <w:sz w:val="31"/>
          <w:szCs w:val="31"/>
        </w:rPr>
        <w:t>是技术人才流失严重。</w:t>
      </w:r>
      <w:r>
        <w:rPr>
          <w:rFonts w:hint="eastAsia" w:ascii="楷体" w:hAnsi="楷体" w:eastAsia="楷体" w:cs="楷体"/>
          <w:spacing w:val="9"/>
          <w:position w:val="21"/>
          <w:sz w:val="31"/>
          <w:szCs w:val="31"/>
        </w:rPr>
        <w:t>受工资、编制、发展等因素影响，人才引进存在较大困难。尽管我们在人才引进上采取了一系列措施和办法，</w:t>
      </w:r>
      <w:r>
        <w:rPr>
          <w:rFonts w:hint="eastAsia" w:ascii="楷体" w:hAnsi="楷体" w:eastAsia="楷体" w:cs="楷体"/>
          <w:spacing w:val="9"/>
          <w:position w:val="21"/>
          <w:sz w:val="31"/>
          <w:szCs w:val="31"/>
          <w:lang w:eastAsia="zh-CN"/>
        </w:rPr>
        <w:t>但收效甚微</w:t>
      </w:r>
      <w:r>
        <w:rPr>
          <w:rFonts w:hint="eastAsia" w:ascii="楷体" w:hAnsi="楷体" w:eastAsia="楷体" w:cs="楷体"/>
          <w:spacing w:val="9"/>
          <w:position w:val="21"/>
          <w:sz w:val="31"/>
          <w:szCs w:val="31"/>
        </w:rPr>
        <w:t>。同时，部分专家</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rPr>
        <w:t>人才一旦技术成熟或职称晋升后，就跳槽至上级医疗机构寻求更好发展。2019年至今，已有12名专业人才辞职。如业务下降导致收入</w:t>
      </w:r>
      <w:r>
        <w:rPr>
          <w:rFonts w:hint="eastAsia" w:ascii="楷体" w:hAnsi="楷体" w:eastAsia="楷体" w:cs="楷体"/>
          <w:spacing w:val="9"/>
          <w:position w:val="21"/>
          <w:sz w:val="31"/>
          <w:szCs w:val="31"/>
          <w:lang w:eastAsia="zh-CN"/>
        </w:rPr>
        <w:t>减少</w:t>
      </w:r>
      <w:r>
        <w:rPr>
          <w:rFonts w:hint="eastAsia" w:ascii="楷体" w:hAnsi="楷体" w:eastAsia="楷体" w:cs="楷体"/>
          <w:spacing w:val="9"/>
          <w:position w:val="21"/>
          <w:sz w:val="31"/>
          <w:szCs w:val="31"/>
        </w:rPr>
        <w:t>问题长期不能得到有效解决，</w:t>
      </w:r>
      <w:r>
        <w:rPr>
          <w:rFonts w:hint="eastAsia" w:ascii="楷体" w:hAnsi="楷体" w:eastAsia="楷体" w:cs="楷体"/>
          <w:spacing w:val="9"/>
          <w:position w:val="21"/>
          <w:sz w:val="31"/>
          <w:szCs w:val="31"/>
          <w:lang w:eastAsia="zh-CN"/>
        </w:rPr>
        <w:t>专技人员</w:t>
      </w:r>
      <w:r>
        <w:rPr>
          <w:rFonts w:hint="eastAsia" w:ascii="楷体" w:hAnsi="楷体" w:eastAsia="楷体" w:cs="楷体"/>
          <w:spacing w:val="9"/>
          <w:position w:val="21"/>
          <w:sz w:val="31"/>
          <w:szCs w:val="31"/>
        </w:rPr>
        <w:t>发展的信心进一步降低，人才</w:t>
      </w:r>
      <w:r>
        <w:rPr>
          <w:rFonts w:hint="eastAsia" w:ascii="楷体" w:hAnsi="楷体" w:eastAsia="楷体" w:cs="楷体"/>
          <w:spacing w:val="9"/>
          <w:position w:val="21"/>
          <w:sz w:val="31"/>
          <w:szCs w:val="31"/>
          <w:lang w:eastAsia="zh-CN"/>
        </w:rPr>
        <w:t>如何</w:t>
      </w:r>
      <w:r>
        <w:rPr>
          <w:rFonts w:hint="eastAsia" w:ascii="楷体" w:hAnsi="楷体" w:eastAsia="楷体" w:cs="楷体"/>
          <w:spacing w:val="9"/>
          <w:position w:val="21"/>
          <w:sz w:val="31"/>
          <w:szCs w:val="31"/>
        </w:rPr>
        <w:t>保留或将成为下步面临的现实问题。</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ascii="黑体" w:hAnsi="黑体" w:eastAsia="黑体" w:cs="黑体"/>
          <w:spacing w:val="9"/>
          <w:position w:val="21"/>
          <w:sz w:val="31"/>
          <w:szCs w:val="31"/>
        </w:rPr>
      </w:pPr>
      <w:r>
        <w:rPr>
          <w:rFonts w:hint="eastAsia" w:ascii="楷体" w:hAnsi="楷体" w:eastAsia="楷体" w:cs="楷体"/>
          <w:b/>
          <w:bCs/>
          <w:spacing w:val="9"/>
          <w:position w:val="21"/>
          <w:sz w:val="31"/>
          <w:szCs w:val="31"/>
          <w:lang w:eastAsia="zh-CN"/>
        </w:rPr>
        <w:t>三</w:t>
      </w:r>
      <w:r>
        <w:rPr>
          <w:rFonts w:hint="eastAsia" w:ascii="楷体" w:hAnsi="楷体" w:eastAsia="楷体" w:cs="楷体"/>
          <w:b/>
          <w:bCs/>
          <w:spacing w:val="9"/>
          <w:position w:val="21"/>
          <w:sz w:val="31"/>
          <w:szCs w:val="31"/>
        </w:rPr>
        <w:t>是技术要求持续增高。</w:t>
      </w:r>
      <w:r>
        <w:rPr>
          <w:rFonts w:hint="eastAsia" w:ascii="楷体" w:hAnsi="楷体" w:eastAsia="楷体" w:cs="楷体"/>
          <w:spacing w:val="9"/>
          <w:position w:val="21"/>
          <w:sz w:val="31"/>
          <w:szCs w:val="31"/>
        </w:rPr>
        <w:t>“全面二孩”政策放开后，高龄、高危产妇数量增多，此类人群出现并发症、合并症、大出血的概率也比普通产妇要大很多。</w:t>
      </w:r>
      <w:r>
        <w:rPr>
          <w:rFonts w:hint="eastAsia" w:ascii="楷体" w:hAnsi="楷体" w:eastAsia="楷体" w:cs="楷体"/>
          <w:spacing w:val="9"/>
          <w:position w:val="21"/>
          <w:sz w:val="31"/>
          <w:szCs w:val="31"/>
          <w:lang w:eastAsia="zh-CN"/>
        </w:rPr>
        <w:t>我区</w:t>
      </w:r>
      <w:r>
        <w:rPr>
          <w:rFonts w:hint="eastAsia" w:ascii="楷体" w:hAnsi="楷体" w:eastAsia="楷体" w:cs="楷体"/>
          <w:spacing w:val="9"/>
          <w:position w:val="21"/>
          <w:sz w:val="31"/>
          <w:szCs w:val="31"/>
        </w:rPr>
        <w:t>高危产妇占比已由2019</w:t>
      </w:r>
      <w:r>
        <w:rPr>
          <w:rFonts w:hint="eastAsia" w:ascii="楷体" w:hAnsi="楷体" w:eastAsia="楷体" w:cs="楷体"/>
          <w:spacing w:val="9"/>
          <w:position w:val="21"/>
          <w:sz w:val="31"/>
          <w:szCs w:val="31"/>
          <w:lang w:eastAsia="zh-CN"/>
        </w:rPr>
        <w:t>年</w:t>
      </w:r>
      <w:r>
        <w:rPr>
          <w:rFonts w:hint="eastAsia" w:ascii="楷体" w:hAnsi="楷体" w:eastAsia="楷体" w:cs="楷体"/>
          <w:spacing w:val="9"/>
          <w:position w:val="21"/>
          <w:sz w:val="31"/>
          <w:szCs w:val="31"/>
          <w:lang w:val="en-US" w:eastAsia="zh-CN"/>
        </w:rPr>
        <w:t>55</w:t>
      </w:r>
      <w:r>
        <w:rPr>
          <w:rFonts w:hint="eastAsia" w:ascii="楷体" w:hAnsi="楷体" w:eastAsia="楷体" w:cs="楷体"/>
          <w:spacing w:val="9"/>
          <w:position w:val="21"/>
          <w:sz w:val="31"/>
          <w:szCs w:val="31"/>
        </w:rPr>
        <w:t>%增加到2023年</w:t>
      </w:r>
      <w:r>
        <w:rPr>
          <w:rFonts w:hint="eastAsia" w:ascii="楷体" w:hAnsi="楷体" w:eastAsia="楷体" w:cs="楷体"/>
          <w:spacing w:val="9"/>
          <w:position w:val="21"/>
          <w:sz w:val="31"/>
          <w:szCs w:val="31"/>
          <w:lang w:val="en-US" w:eastAsia="zh-CN"/>
        </w:rPr>
        <w:t>65</w:t>
      </w:r>
      <w:r>
        <w:rPr>
          <w:rFonts w:hint="eastAsia" w:ascii="楷体" w:hAnsi="楷体" w:eastAsia="楷体" w:cs="楷体"/>
          <w:spacing w:val="9"/>
          <w:position w:val="21"/>
          <w:sz w:val="31"/>
          <w:szCs w:val="31"/>
        </w:rPr>
        <w:t>%</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rPr>
        <w:t>对于</w:t>
      </w:r>
      <w:r>
        <w:rPr>
          <w:rFonts w:hint="eastAsia" w:ascii="楷体" w:hAnsi="楷体" w:eastAsia="楷体" w:cs="楷体"/>
          <w:spacing w:val="9"/>
          <w:position w:val="21"/>
          <w:sz w:val="31"/>
          <w:szCs w:val="31"/>
          <w:lang w:eastAsia="zh-CN"/>
        </w:rPr>
        <w:t>高危</w:t>
      </w:r>
      <w:r>
        <w:rPr>
          <w:rFonts w:hint="eastAsia" w:ascii="楷体" w:hAnsi="楷体" w:eastAsia="楷体" w:cs="楷体"/>
          <w:spacing w:val="9"/>
          <w:position w:val="21"/>
          <w:sz w:val="31"/>
          <w:szCs w:val="31"/>
        </w:rPr>
        <w:t>孕产妇的救治，不仅对医院技术水平提出了更高的</w:t>
      </w:r>
      <w:r>
        <w:rPr>
          <w:rFonts w:hint="eastAsia" w:ascii="楷体" w:hAnsi="楷体" w:eastAsia="楷体" w:cs="楷体"/>
          <w:spacing w:val="9"/>
          <w:position w:val="21"/>
          <w:sz w:val="31"/>
          <w:szCs w:val="31"/>
          <w:lang w:eastAsia="zh-CN"/>
        </w:rPr>
        <w:t>要求</w:t>
      </w:r>
      <w:r>
        <w:rPr>
          <w:rFonts w:hint="eastAsia" w:ascii="楷体" w:hAnsi="楷体" w:eastAsia="楷体" w:cs="楷体"/>
          <w:spacing w:val="9"/>
          <w:position w:val="21"/>
          <w:sz w:val="31"/>
          <w:szCs w:val="31"/>
        </w:rPr>
        <w:t>，也增加了产妇去三甲医院分娩的概率。</w:t>
      </w:r>
    </w:p>
    <w:p>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rPr>
      </w:pPr>
      <w:r>
        <w:rPr>
          <w:rFonts w:hint="eastAsia" w:ascii="楷体" w:hAnsi="楷体" w:eastAsia="楷体" w:cs="楷体"/>
          <w:b/>
          <w:bCs/>
          <w:spacing w:val="9"/>
          <w:position w:val="21"/>
          <w:sz w:val="31"/>
          <w:szCs w:val="31"/>
        </w:rPr>
        <w:t>一是锚定主责主业,发挥品牌优势。</w:t>
      </w:r>
      <w:r>
        <w:rPr>
          <w:rFonts w:hint="eastAsia" w:ascii="楷体" w:hAnsi="楷体" w:eastAsia="楷体" w:cs="楷体"/>
          <w:spacing w:val="9"/>
          <w:position w:val="21"/>
          <w:sz w:val="31"/>
          <w:szCs w:val="31"/>
          <w:lang w:eastAsia="zh-CN"/>
        </w:rPr>
        <w:t>一方面</w:t>
      </w:r>
      <w:r>
        <w:rPr>
          <w:rFonts w:hint="eastAsia" w:ascii="楷体" w:hAnsi="楷体" w:eastAsia="楷体" w:cs="楷体"/>
          <w:spacing w:val="9"/>
          <w:position w:val="21"/>
          <w:sz w:val="31"/>
          <w:szCs w:val="31"/>
        </w:rPr>
        <w:t>充分吸收学习“三甲”医院和兄弟单位先进技术和诊疗理念，积极发挥妇保院专科特色和地理位置等优势，</w:t>
      </w:r>
      <w:r>
        <w:rPr>
          <w:rFonts w:hint="eastAsia" w:ascii="楷体" w:hAnsi="楷体" w:eastAsia="楷体" w:cs="楷体"/>
          <w:spacing w:val="9"/>
          <w:position w:val="21"/>
          <w:sz w:val="31"/>
          <w:szCs w:val="31"/>
          <w:lang w:eastAsia="zh-CN"/>
        </w:rPr>
        <w:t>扩大宣传力度，</w:t>
      </w:r>
      <w:r>
        <w:rPr>
          <w:rFonts w:hint="eastAsia" w:ascii="楷体" w:hAnsi="楷体" w:eastAsia="楷体" w:cs="楷体"/>
          <w:spacing w:val="9"/>
          <w:position w:val="21"/>
          <w:sz w:val="31"/>
          <w:szCs w:val="31"/>
        </w:rPr>
        <w:t>大力发展主力科室</w:t>
      </w:r>
      <w:r>
        <w:rPr>
          <w:rFonts w:hint="eastAsia" w:ascii="楷体" w:hAnsi="楷体" w:eastAsia="楷体" w:cs="楷体"/>
          <w:spacing w:val="9"/>
          <w:position w:val="21"/>
          <w:sz w:val="31"/>
          <w:szCs w:val="31"/>
          <w:lang w:eastAsia="zh-CN"/>
        </w:rPr>
        <w:t>，创新打造特色科室</w:t>
      </w:r>
      <w:r>
        <w:rPr>
          <w:rFonts w:hint="eastAsia" w:ascii="楷体" w:hAnsi="楷体" w:eastAsia="楷体" w:cs="楷体"/>
          <w:spacing w:val="9"/>
          <w:position w:val="21"/>
          <w:sz w:val="31"/>
          <w:szCs w:val="31"/>
        </w:rPr>
        <w:t>，促进重点学科快速发展，由点及面形成辐射，进而形成妇幼健康品牌效应</w:t>
      </w:r>
      <w:r>
        <w:rPr>
          <w:rFonts w:hint="eastAsia" w:ascii="楷体" w:hAnsi="楷体" w:eastAsia="楷体" w:cs="楷体"/>
          <w:spacing w:val="9"/>
          <w:position w:val="21"/>
          <w:sz w:val="31"/>
          <w:szCs w:val="31"/>
          <w:lang w:eastAsia="zh-CN"/>
        </w:rPr>
        <w:t>。另一方面要借助自我品牌资源的专营优势进行内部资源与外部资源的优化配置，打破医院围墙，实行联合经营服务，如到社区设点实施网络布局，进一步扩大医院影响力和知名度，</w:t>
      </w:r>
      <w:r>
        <w:rPr>
          <w:rFonts w:hint="eastAsia" w:ascii="楷体" w:hAnsi="楷体" w:eastAsia="楷体" w:cs="楷体"/>
          <w:spacing w:val="9"/>
          <w:position w:val="21"/>
          <w:sz w:val="31"/>
          <w:szCs w:val="31"/>
        </w:rPr>
        <w:t>助推医院高质量发展。</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hint="eastAsia" w:ascii="楷体" w:hAnsi="楷体" w:eastAsia="楷体" w:cs="楷体"/>
          <w:spacing w:val="9"/>
          <w:position w:val="21"/>
          <w:sz w:val="31"/>
          <w:szCs w:val="31"/>
          <w:lang w:eastAsia="zh-CN"/>
        </w:rPr>
      </w:pPr>
      <w:r>
        <w:rPr>
          <w:rFonts w:hint="eastAsia" w:ascii="楷体" w:hAnsi="楷体" w:eastAsia="楷体" w:cs="楷体"/>
          <w:b/>
          <w:bCs/>
          <w:spacing w:val="9"/>
          <w:position w:val="21"/>
          <w:sz w:val="31"/>
          <w:szCs w:val="31"/>
        </w:rPr>
        <w:t>二是深化服务改革,提升收入来源。</w:t>
      </w:r>
      <w:r>
        <w:rPr>
          <w:rFonts w:hint="eastAsia" w:ascii="楷体" w:hAnsi="楷体" w:eastAsia="楷体" w:cs="楷体"/>
          <w:spacing w:val="9"/>
          <w:position w:val="21"/>
          <w:sz w:val="31"/>
          <w:szCs w:val="31"/>
        </w:rPr>
        <w:t>一是加强引流式服务。充分利用公众号、微信群、新媒体等方式，大力普及各项惠民政策，引导辖区群众到妇幼机构就医就诊，同时加强民</w:t>
      </w:r>
      <w:r>
        <w:rPr>
          <w:rFonts w:hint="eastAsia" w:ascii="楷体" w:hAnsi="楷体" w:eastAsia="楷体" w:cs="楷体"/>
          <w:spacing w:val="9"/>
          <w:position w:val="21"/>
          <w:sz w:val="31"/>
          <w:szCs w:val="31"/>
          <w:lang w:eastAsia="zh-CN"/>
        </w:rPr>
        <w:t>生</w:t>
      </w:r>
      <w:r>
        <w:rPr>
          <w:rFonts w:hint="eastAsia" w:ascii="楷体" w:hAnsi="楷体" w:eastAsia="楷体" w:cs="楷体"/>
          <w:spacing w:val="9"/>
          <w:position w:val="21"/>
          <w:sz w:val="31"/>
          <w:szCs w:val="31"/>
        </w:rPr>
        <w:t>实事和公共卫生项目衍生服务，确保国家政策落地见效的同时，拓展医院收入来源。二是提供差异化服务。充分认清虽然人口出生率持续下降，但母婴消费市场却保持增长</w:t>
      </w:r>
      <w:r>
        <w:rPr>
          <w:rFonts w:hint="eastAsia" w:ascii="楷体" w:hAnsi="楷体" w:eastAsia="楷体" w:cs="楷体"/>
          <w:spacing w:val="9"/>
          <w:position w:val="21"/>
          <w:sz w:val="31"/>
          <w:szCs w:val="31"/>
          <w:lang w:eastAsia="zh-CN"/>
        </w:rPr>
        <w:t>的</w:t>
      </w:r>
      <w:r>
        <w:rPr>
          <w:rFonts w:hint="eastAsia" w:ascii="楷体" w:hAnsi="楷体" w:eastAsia="楷体" w:cs="楷体"/>
          <w:spacing w:val="9"/>
          <w:position w:val="21"/>
          <w:sz w:val="31"/>
          <w:szCs w:val="31"/>
        </w:rPr>
        <w:t>特点规律，针对不同的经济收入群体，大力开展“供给侧”改革，</w:t>
      </w:r>
      <w:r>
        <w:rPr>
          <w:rFonts w:hint="eastAsia" w:ascii="楷体" w:hAnsi="楷体" w:eastAsia="楷体" w:cs="楷体"/>
          <w:spacing w:val="9"/>
          <w:position w:val="21"/>
          <w:sz w:val="31"/>
          <w:szCs w:val="31"/>
          <w:lang w:eastAsia="zh-CN"/>
        </w:rPr>
        <w:t>建立起具有特色的母婴保健服务，来适应新时代母婴健康需求，</w:t>
      </w:r>
      <w:r>
        <w:rPr>
          <w:rFonts w:hint="eastAsia" w:ascii="楷体" w:hAnsi="楷体" w:eastAsia="楷体" w:cs="楷体"/>
          <w:spacing w:val="9"/>
          <w:position w:val="21"/>
          <w:sz w:val="31"/>
          <w:szCs w:val="31"/>
        </w:rPr>
        <w:t>如盆底肌肉康复治疗、产后身材</w:t>
      </w:r>
      <w:r>
        <w:rPr>
          <w:rFonts w:hint="eastAsia" w:ascii="楷体" w:hAnsi="楷体" w:eastAsia="楷体" w:cs="楷体"/>
          <w:spacing w:val="9"/>
          <w:position w:val="21"/>
          <w:sz w:val="31"/>
          <w:szCs w:val="31"/>
          <w:lang w:eastAsia="zh-CN"/>
        </w:rPr>
        <w:t>塑形、孕期心理咨询、儿童心理咨询、儿童早教</w:t>
      </w:r>
      <w:r>
        <w:rPr>
          <w:rFonts w:hint="eastAsia" w:ascii="楷体" w:hAnsi="楷体" w:eastAsia="楷体" w:cs="楷体"/>
          <w:spacing w:val="9"/>
          <w:position w:val="21"/>
          <w:sz w:val="31"/>
          <w:szCs w:val="31"/>
        </w:rPr>
        <w:t>等项目,</w:t>
      </w:r>
      <w:r>
        <w:rPr>
          <w:rFonts w:hint="eastAsia" w:ascii="楷体" w:hAnsi="楷体" w:eastAsia="楷体" w:cs="楷体"/>
          <w:spacing w:val="9"/>
          <w:position w:val="21"/>
          <w:sz w:val="31"/>
          <w:szCs w:val="31"/>
          <w:lang w:eastAsia="zh-CN"/>
        </w:rPr>
        <w:t>为医院发展开辟新的经济增长点</w:t>
      </w:r>
      <w:r>
        <w:rPr>
          <w:rFonts w:hint="eastAsia" w:ascii="楷体" w:hAnsi="楷体" w:eastAsia="楷体" w:cs="楷体"/>
          <w:spacing w:val="9"/>
          <w:position w:val="21"/>
          <w:sz w:val="31"/>
          <w:szCs w:val="31"/>
        </w:rPr>
        <w:t>。三是持续深化全生命周期健康服务</w:t>
      </w:r>
      <w:r>
        <w:rPr>
          <w:rFonts w:hint="eastAsia" w:ascii="楷体" w:hAnsi="楷体" w:eastAsia="楷体" w:cs="楷体"/>
          <w:spacing w:val="9"/>
          <w:position w:val="21"/>
          <w:sz w:val="31"/>
          <w:szCs w:val="31"/>
          <w:lang w:eastAsia="zh-CN"/>
        </w:rPr>
        <w:t>。从以往只注重医中服务向医前和医后服务延伸，</w:t>
      </w:r>
      <w:r>
        <w:rPr>
          <w:rFonts w:hint="eastAsia" w:ascii="楷体" w:hAnsi="楷体" w:eastAsia="楷体" w:cs="楷体"/>
          <w:spacing w:val="9"/>
          <w:position w:val="21"/>
          <w:sz w:val="31"/>
          <w:szCs w:val="31"/>
        </w:rPr>
        <w:t>进一步加强婚前孕前准备、孕期保健、产时处理,产后康复、月子康养、新生儿疾病筛查、儿童</w:t>
      </w:r>
      <w:r>
        <w:rPr>
          <w:rFonts w:hint="eastAsia" w:ascii="楷体" w:hAnsi="楷体" w:eastAsia="楷体" w:cs="楷体"/>
          <w:spacing w:val="9"/>
          <w:position w:val="21"/>
          <w:sz w:val="31"/>
          <w:szCs w:val="31"/>
          <w:lang w:eastAsia="zh-CN"/>
        </w:rPr>
        <w:t>生长</w:t>
      </w:r>
      <w:r>
        <w:rPr>
          <w:rFonts w:hint="eastAsia" w:ascii="楷体" w:hAnsi="楷体" w:eastAsia="楷体" w:cs="楷体"/>
          <w:spacing w:val="9"/>
          <w:position w:val="21"/>
          <w:sz w:val="31"/>
          <w:szCs w:val="31"/>
        </w:rPr>
        <w:t>发展等环节布局，全力打造“婚孕育教一体化”闭环服务，让更多家庭享受“怀得上、孕得优、生得安、育得好”的生育全程优质服务。</w:t>
      </w:r>
      <w:r>
        <w:rPr>
          <w:rFonts w:hint="eastAsia" w:ascii="楷体" w:hAnsi="楷体" w:eastAsia="楷体" w:cs="楷体"/>
          <w:spacing w:val="9"/>
          <w:position w:val="21"/>
          <w:sz w:val="31"/>
          <w:szCs w:val="31"/>
          <w:lang w:eastAsia="zh-CN"/>
        </w:rPr>
        <w:t>四是继续加强医联体建设。坚持上下联系，加强合作、内外交流的原则，与一流医院建立联系，通过技术引进和人才引进减少与大医院的差距，把本院年轻业务骨干派送出去进修学习，培养自己的专家，增强自身竞争力。</w:t>
      </w:r>
    </w:p>
    <w:p>
      <w:pPr>
        <w:keepNext w:val="0"/>
        <w:keepLines w:val="0"/>
        <w:pageBreakBefore w:val="0"/>
        <w:widowControl w:val="0"/>
        <w:numPr>
          <w:ilvl w:val="0"/>
          <w:numId w:val="0"/>
        </w:numPr>
        <w:kinsoku/>
        <w:wordWrap/>
        <w:overflowPunct/>
        <w:topLinePunct w:val="0"/>
        <w:autoSpaceDE/>
        <w:autoSpaceDN/>
        <w:bidi w:val="0"/>
        <w:adjustRightInd/>
        <w:snapToGrid/>
        <w:spacing w:line="0" w:lineRule="atLeast"/>
        <w:ind w:firstLine="658" w:firstLineChars="200"/>
        <w:jc w:val="left"/>
        <w:textAlignment w:val="auto"/>
        <w:rPr>
          <w:rFonts w:ascii="黑体" w:hAnsi="黑体" w:eastAsia="黑体" w:cs="黑体"/>
          <w:spacing w:val="8"/>
          <w:sz w:val="31"/>
          <w:szCs w:val="31"/>
        </w:rPr>
      </w:pPr>
      <w:r>
        <w:rPr>
          <w:rFonts w:hint="eastAsia" w:ascii="楷体" w:hAnsi="楷体" w:eastAsia="楷体" w:cs="楷体"/>
          <w:b/>
          <w:bCs/>
          <w:spacing w:val="9"/>
          <w:position w:val="21"/>
          <w:sz w:val="31"/>
          <w:szCs w:val="31"/>
        </w:rPr>
        <w:t>三是加强内部管理，不断提质增效。</w:t>
      </w:r>
      <w:r>
        <w:rPr>
          <w:rFonts w:hint="eastAsia" w:ascii="楷体" w:hAnsi="楷体" w:eastAsia="楷体" w:cs="楷体"/>
          <w:spacing w:val="9"/>
          <w:position w:val="21"/>
          <w:sz w:val="31"/>
          <w:szCs w:val="31"/>
        </w:rPr>
        <w:t>坚持向管理要效益，不断加强顶层设计和整体谋划，使学习培训、人才建设、日常管理、绩效考核等各项管理举措相互配合、相得益彰，同时优化人文环境,加强后勤保障,充分调动广大干部职工的积极性、主动性和创造性,持续增强医院</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rPr>
        <w:t>软实力</w:t>
      </w:r>
      <w:r>
        <w:rPr>
          <w:rFonts w:hint="eastAsia" w:ascii="楷体" w:hAnsi="楷体" w:eastAsia="楷体" w:cs="楷体"/>
          <w:spacing w:val="9"/>
          <w:position w:val="21"/>
          <w:sz w:val="31"/>
          <w:szCs w:val="31"/>
          <w:lang w:eastAsia="zh-CN"/>
        </w:rPr>
        <w:t>”</w:t>
      </w:r>
      <w:r>
        <w:rPr>
          <w:rFonts w:hint="eastAsia" w:ascii="楷体" w:hAnsi="楷体" w:eastAsia="楷体" w:cs="楷体"/>
          <w:spacing w:val="9"/>
          <w:position w:val="21"/>
          <w:sz w:val="31"/>
          <w:szCs w:val="31"/>
        </w:rPr>
        <w:t>、奋力开展医院高</w:t>
      </w:r>
      <w:r>
        <w:rPr>
          <w:rFonts w:hint="eastAsia" w:ascii="楷体" w:hAnsi="楷体" w:eastAsia="楷体" w:cs="楷体"/>
          <w:spacing w:val="9"/>
          <w:position w:val="21"/>
          <w:sz w:val="31"/>
          <w:szCs w:val="31"/>
          <w:lang w:eastAsia="zh-CN"/>
        </w:rPr>
        <w:t>质量发展的新局面。</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pPr>
        <w:pStyle w:val="4"/>
        <w:keepNext w:val="0"/>
        <w:keepLines w:val="0"/>
        <w:pageBreakBefore w:val="0"/>
        <w:widowControl w:val="0"/>
        <w:kinsoku/>
        <w:wordWrap/>
        <w:overflowPunct/>
        <w:topLinePunct w:val="0"/>
        <w:autoSpaceDE/>
        <w:autoSpaceDN/>
        <w:bidi w:val="0"/>
        <w:adjustRightInd/>
        <w:snapToGrid/>
        <w:spacing w:line="240" w:lineRule="auto"/>
        <w:ind w:left="0" w:right="0" w:firstLine="960" w:firstLineChars="300"/>
        <w:jc w:val="left"/>
        <w:textAlignment w:val="auto"/>
        <w:rPr>
          <w:rFonts w:hint="eastAsia" w:ascii="仿宋_GB2312" w:hAnsi="仿宋_GB2312" w:eastAsia="仿宋_GB2312" w:cs="仿宋_GB2312"/>
          <w:sz w:val="32"/>
          <w:szCs w:val="32"/>
        </w:rPr>
      </w:pP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8+2hAaAgAAIQQAAA4AAABkcnMvZTJvRG9jLnhtbK1TzY7TMBC+I/EO&#10;lu80aVFX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5vW0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rz7aEBoCAAAhBAAADgAA&#10;AAAAAAABACAAAAAfAQAAZHJzL2Uyb0RvYy54bWxQSwUGAAAAAAYABgBZAQAAqw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1" w:line="174" w:lineRule="auto"/>
      <w:ind w:left="574"/>
      <w:rPr>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before="1" w:line="174" w:lineRule="auto"/>
      <w:jc w:val="right"/>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11E890"/>
    <w:multiLevelType w:val="singleLevel"/>
    <w:tmpl w:val="3D11E890"/>
    <w:lvl w:ilvl="0" w:tentative="0">
      <w:start w:val="6"/>
      <w:numFmt w:val="chineseCounting"/>
      <w:suff w:val="nothing"/>
      <w:lvlText w:val="%1、"/>
      <w:lvlJc w:val="left"/>
      <w:rPr>
        <w:rFonts w:hint="eastAsia"/>
      </w:rPr>
    </w:lvl>
  </w:abstractNum>
  <w:abstractNum w:abstractNumId="1">
    <w:nsid w:val="4D8612F8"/>
    <w:multiLevelType w:val="singleLevel"/>
    <w:tmpl w:val="4D8612F8"/>
    <w:lvl w:ilvl="0" w:tentative="0">
      <w:start w:val="2"/>
      <w:numFmt w:val="decimal"/>
      <w:suff w:val="nothing"/>
      <w:lvlText w:val="%1、"/>
      <w:lvlJc w:val="left"/>
    </w:lvl>
  </w:abstractNum>
  <w:abstractNum w:abstractNumId="2">
    <w:nsid w:val="6E96EAA7"/>
    <w:multiLevelType w:val="singleLevel"/>
    <w:tmpl w:val="6E96EAA7"/>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76284CE1"/>
    <w:rsid w:val="000A3765"/>
    <w:rsid w:val="00147BF7"/>
    <w:rsid w:val="00184120"/>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DF14BB"/>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7D70D6"/>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23B99"/>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57A"/>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C7B4D"/>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D0F30"/>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DF86B6C"/>
    <w:rsid w:val="0E11550B"/>
    <w:rsid w:val="0E1E619E"/>
    <w:rsid w:val="0E2325E3"/>
    <w:rsid w:val="0E267F81"/>
    <w:rsid w:val="0E2826F4"/>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046DA"/>
    <w:rsid w:val="0EC36A56"/>
    <w:rsid w:val="0EC62499"/>
    <w:rsid w:val="0ECE4E6F"/>
    <w:rsid w:val="0ED86777"/>
    <w:rsid w:val="0EDA5C56"/>
    <w:rsid w:val="0EE57112"/>
    <w:rsid w:val="0EFE4287"/>
    <w:rsid w:val="0F0A7BB7"/>
    <w:rsid w:val="0F0C3DC3"/>
    <w:rsid w:val="0F0D525E"/>
    <w:rsid w:val="0F2A2A37"/>
    <w:rsid w:val="0F2C42BA"/>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90525"/>
    <w:rsid w:val="15DA784E"/>
    <w:rsid w:val="15DB017B"/>
    <w:rsid w:val="15E6370B"/>
    <w:rsid w:val="15E84717"/>
    <w:rsid w:val="15EE2D2E"/>
    <w:rsid w:val="1606331B"/>
    <w:rsid w:val="160F0091"/>
    <w:rsid w:val="16144614"/>
    <w:rsid w:val="162029BF"/>
    <w:rsid w:val="1623520D"/>
    <w:rsid w:val="16322361"/>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4F322A"/>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206B1"/>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4831C3"/>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82954"/>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0742D"/>
    <w:rsid w:val="24E41611"/>
    <w:rsid w:val="25010438"/>
    <w:rsid w:val="250F44FD"/>
    <w:rsid w:val="2514288A"/>
    <w:rsid w:val="25174EE8"/>
    <w:rsid w:val="251A2540"/>
    <w:rsid w:val="253B3869"/>
    <w:rsid w:val="25473008"/>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74948"/>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05CC2"/>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9601FE"/>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413E2"/>
    <w:rsid w:val="2CC907F0"/>
    <w:rsid w:val="2CCC5126"/>
    <w:rsid w:val="2CD55307"/>
    <w:rsid w:val="2CDB3D10"/>
    <w:rsid w:val="2CDE24A4"/>
    <w:rsid w:val="2CF24D2C"/>
    <w:rsid w:val="2CF756B7"/>
    <w:rsid w:val="2CF9252D"/>
    <w:rsid w:val="2CF97782"/>
    <w:rsid w:val="2CFE30EF"/>
    <w:rsid w:val="2CFE33A0"/>
    <w:rsid w:val="2D107154"/>
    <w:rsid w:val="2D143281"/>
    <w:rsid w:val="2D1C79F8"/>
    <w:rsid w:val="2D324177"/>
    <w:rsid w:val="2D4E073F"/>
    <w:rsid w:val="2D510DD6"/>
    <w:rsid w:val="2D510EC7"/>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55EB0"/>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63820"/>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056568"/>
    <w:rsid w:val="34153577"/>
    <w:rsid w:val="34203CE1"/>
    <w:rsid w:val="342425FD"/>
    <w:rsid w:val="342D258E"/>
    <w:rsid w:val="34467089"/>
    <w:rsid w:val="34523AB5"/>
    <w:rsid w:val="34635CAD"/>
    <w:rsid w:val="346B4B47"/>
    <w:rsid w:val="346E4F77"/>
    <w:rsid w:val="34762AAC"/>
    <w:rsid w:val="348402A8"/>
    <w:rsid w:val="349A6F27"/>
    <w:rsid w:val="349C0953"/>
    <w:rsid w:val="349D307E"/>
    <w:rsid w:val="34A66C9C"/>
    <w:rsid w:val="34B510BB"/>
    <w:rsid w:val="34BB2714"/>
    <w:rsid w:val="34C25EF7"/>
    <w:rsid w:val="34CC620E"/>
    <w:rsid w:val="34D20F28"/>
    <w:rsid w:val="34E22DC0"/>
    <w:rsid w:val="34FD1935"/>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8D0A96"/>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873EC3"/>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E647B"/>
    <w:rsid w:val="3BEF1DA2"/>
    <w:rsid w:val="3BF64635"/>
    <w:rsid w:val="3BF956C3"/>
    <w:rsid w:val="3C0E5CDB"/>
    <w:rsid w:val="3C195860"/>
    <w:rsid w:val="3C2F32D0"/>
    <w:rsid w:val="3C360DE6"/>
    <w:rsid w:val="3C467833"/>
    <w:rsid w:val="3C4D3B02"/>
    <w:rsid w:val="3C553044"/>
    <w:rsid w:val="3C5B1D89"/>
    <w:rsid w:val="3C652EF5"/>
    <w:rsid w:val="3C6C29B2"/>
    <w:rsid w:val="3C6F136A"/>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2613A"/>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3F95709"/>
    <w:rsid w:val="440026EF"/>
    <w:rsid w:val="44172128"/>
    <w:rsid w:val="441805FD"/>
    <w:rsid w:val="44210C59"/>
    <w:rsid w:val="44390E25"/>
    <w:rsid w:val="443F6D81"/>
    <w:rsid w:val="44405E6B"/>
    <w:rsid w:val="44433468"/>
    <w:rsid w:val="44437F9F"/>
    <w:rsid w:val="44493A52"/>
    <w:rsid w:val="444F5C68"/>
    <w:rsid w:val="4450645F"/>
    <w:rsid w:val="44613E6E"/>
    <w:rsid w:val="446A5324"/>
    <w:rsid w:val="447E7804"/>
    <w:rsid w:val="44943661"/>
    <w:rsid w:val="44950E83"/>
    <w:rsid w:val="44A05C5C"/>
    <w:rsid w:val="44AC3CFA"/>
    <w:rsid w:val="44AC7417"/>
    <w:rsid w:val="44B16853"/>
    <w:rsid w:val="44BE1DEF"/>
    <w:rsid w:val="44BF0A6C"/>
    <w:rsid w:val="44C91833"/>
    <w:rsid w:val="44F41584"/>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ED300F"/>
    <w:rsid w:val="46F84006"/>
    <w:rsid w:val="470033AC"/>
    <w:rsid w:val="47081659"/>
    <w:rsid w:val="47123940"/>
    <w:rsid w:val="4726595C"/>
    <w:rsid w:val="47292AEA"/>
    <w:rsid w:val="472A74E5"/>
    <w:rsid w:val="4734181A"/>
    <w:rsid w:val="47600773"/>
    <w:rsid w:val="47600F91"/>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51401A"/>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DFC768C"/>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D908C5"/>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13418"/>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6B68A8"/>
    <w:rsid w:val="51721A38"/>
    <w:rsid w:val="517D016D"/>
    <w:rsid w:val="51890449"/>
    <w:rsid w:val="518E3CF1"/>
    <w:rsid w:val="519B65FE"/>
    <w:rsid w:val="51A30823"/>
    <w:rsid w:val="51A45867"/>
    <w:rsid w:val="51AD7250"/>
    <w:rsid w:val="51CD43DD"/>
    <w:rsid w:val="51CE7CC8"/>
    <w:rsid w:val="51CF1465"/>
    <w:rsid w:val="51D1247D"/>
    <w:rsid w:val="51DD50DE"/>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32C9A"/>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EB70D0"/>
    <w:rsid w:val="53F40360"/>
    <w:rsid w:val="5407756C"/>
    <w:rsid w:val="540A5EE2"/>
    <w:rsid w:val="54191438"/>
    <w:rsid w:val="542247A4"/>
    <w:rsid w:val="5427381E"/>
    <w:rsid w:val="543B788E"/>
    <w:rsid w:val="54402F8B"/>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0D2F"/>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44EE"/>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77A83"/>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0270B"/>
    <w:rsid w:val="59A11ED6"/>
    <w:rsid w:val="59AB0DFC"/>
    <w:rsid w:val="59C1557F"/>
    <w:rsid w:val="59C34F85"/>
    <w:rsid w:val="59C8615E"/>
    <w:rsid w:val="59CC1227"/>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7F6293"/>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2D4870"/>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CE7D1A"/>
    <w:rsid w:val="5ED82627"/>
    <w:rsid w:val="5EDB6E5E"/>
    <w:rsid w:val="5F050603"/>
    <w:rsid w:val="5F073AC0"/>
    <w:rsid w:val="5F0F5BF5"/>
    <w:rsid w:val="5F1070E5"/>
    <w:rsid w:val="5F137093"/>
    <w:rsid w:val="5F144956"/>
    <w:rsid w:val="5F2E4A29"/>
    <w:rsid w:val="5F3B5980"/>
    <w:rsid w:val="5F475DFB"/>
    <w:rsid w:val="5F4A6912"/>
    <w:rsid w:val="5F5875E4"/>
    <w:rsid w:val="5F5D3310"/>
    <w:rsid w:val="5F792AFF"/>
    <w:rsid w:val="5F7B3F7D"/>
    <w:rsid w:val="5F826595"/>
    <w:rsid w:val="5F901AC8"/>
    <w:rsid w:val="5F993F7A"/>
    <w:rsid w:val="5FA342D5"/>
    <w:rsid w:val="5FA40581"/>
    <w:rsid w:val="5FBF418B"/>
    <w:rsid w:val="5FC03F1C"/>
    <w:rsid w:val="5FC128D4"/>
    <w:rsid w:val="5FC577B3"/>
    <w:rsid w:val="5FD02E83"/>
    <w:rsid w:val="5FD44EBD"/>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312A9A"/>
    <w:rsid w:val="6245212D"/>
    <w:rsid w:val="6245710A"/>
    <w:rsid w:val="624B2E9D"/>
    <w:rsid w:val="624F2006"/>
    <w:rsid w:val="62504ABA"/>
    <w:rsid w:val="62510C1A"/>
    <w:rsid w:val="62550B75"/>
    <w:rsid w:val="625C5461"/>
    <w:rsid w:val="62607DE0"/>
    <w:rsid w:val="626F13F7"/>
    <w:rsid w:val="62757089"/>
    <w:rsid w:val="62893709"/>
    <w:rsid w:val="628957FD"/>
    <w:rsid w:val="629105C7"/>
    <w:rsid w:val="62A975CA"/>
    <w:rsid w:val="62AB5771"/>
    <w:rsid w:val="62AE05DB"/>
    <w:rsid w:val="62B60A29"/>
    <w:rsid w:val="62BA5EE7"/>
    <w:rsid w:val="62D572CD"/>
    <w:rsid w:val="62DD4B35"/>
    <w:rsid w:val="62F04E93"/>
    <w:rsid w:val="62F14EED"/>
    <w:rsid w:val="62F51D1A"/>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1C32D6"/>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7C2A8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C7AA3"/>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2147B"/>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673"/>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270F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5F4802"/>
    <w:rsid w:val="71693DCF"/>
    <w:rsid w:val="71715206"/>
    <w:rsid w:val="71743A1D"/>
    <w:rsid w:val="71774D56"/>
    <w:rsid w:val="71901CEF"/>
    <w:rsid w:val="719438F4"/>
    <w:rsid w:val="719D7F3F"/>
    <w:rsid w:val="71A843FB"/>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CB65F3"/>
    <w:rsid w:val="72EB23D5"/>
    <w:rsid w:val="72F03574"/>
    <w:rsid w:val="72F77CB6"/>
    <w:rsid w:val="72FA423D"/>
    <w:rsid w:val="73025BA4"/>
    <w:rsid w:val="731438BD"/>
    <w:rsid w:val="73216743"/>
    <w:rsid w:val="732D5C49"/>
    <w:rsid w:val="733155C8"/>
    <w:rsid w:val="73403A1F"/>
    <w:rsid w:val="73407A23"/>
    <w:rsid w:val="73422D3C"/>
    <w:rsid w:val="734463A5"/>
    <w:rsid w:val="735171FE"/>
    <w:rsid w:val="73625723"/>
    <w:rsid w:val="737007D9"/>
    <w:rsid w:val="737A5923"/>
    <w:rsid w:val="73861499"/>
    <w:rsid w:val="738B5B50"/>
    <w:rsid w:val="73AA53A0"/>
    <w:rsid w:val="73B04F6B"/>
    <w:rsid w:val="73D20D1A"/>
    <w:rsid w:val="73E168D2"/>
    <w:rsid w:val="73E873C4"/>
    <w:rsid w:val="73EC193B"/>
    <w:rsid w:val="73F07AA4"/>
    <w:rsid w:val="74010DBC"/>
    <w:rsid w:val="74054701"/>
    <w:rsid w:val="740D2C3F"/>
    <w:rsid w:val="74135925"/>
    <w:rsid w:val="74176620"/>
    <w:rsid w:val="741A1B22"/>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2E53A2"/>
    <w:rsid w:val="77316A71"/>
    <w:rsid w:val="773736A8"/>
    <w:rsid w:val="773C23A4"/>
    <w:rsid w:val="77536779"/>
    <w:rsid w:val="77683E14"/>
    <w:rsid w:val="77734EA5"/>
    <w:rsid w:val="777E537D"/>
    <w:rsid w:val="778B6351"/>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61220"/>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510DB"/>
    <w:rsid w:val="7A6737D5"/>
    <w:rsid w:val="7A675EA5"/>
    <w:rsid w:val="7A6B3865"/>
    <w:rsid w:val="7A7041ED"/>
    <w:rsid w:val="7A832390"/>
    <w:rsid w:val="7A92679C"/>
    <w:rsid w:val="7A955810"/>
    <w:rsid w:val="7A985E92"/>
    <w:rsid w:val="7A9A1D5D"/>
    <w:rsid w:val="7A9C2E47"/>
    <w:rsid w:val="7AC019FF"/>
    <w:rsid w:val="7ACA6FB9"/>
    <w:rsid w:val="7AF03942"/>
    <w:rsid w:val="7AF46C5F"/>
    <w:rsid w:val="7AF528AE"/>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246D74"/>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57192"/>
    <w:rsid w:val="7E2E0E57"/>
    <w:rsid w:val="7E304C9A"/>
    <w:rsid w:val="7E5341B1"/>
    <w:rsid w:val="7E613E8F"/>
    <w:rsid w:val="7E616C7B"/>
    <w:rsid w:val="7E733A70"/>
    <w:rsid w:val="7E7B6F02"/>
    <w:rsid w:val="7E7C322C"/>
    <w:rsid w:val="7E892220"/>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6A2CF0"/>
    <w:rsid w:val="7F704CA4"/>
    <w:rsid w:val="7F8A0815"/>
    <w:rsid w:val="7F915ABD"/>
    <w:rsid w:val="7FA41496"/>
    <w:rsid w:val="7FA8327A"/>
    <w:rsid w:val="7FB12AEF"/>
    <w:rsid w:val="7FB32EED"/>
    <w:rsid w:val="7FB6358D"/>
    <w:rsid w:val="7FBF394E"/>
    <w:rsid w:val="7FD82F39"/>
    <w:rsid w:val="7FDF723A"/>
    <w:rsid w:val="7FE076F1"/>
    <w:rsid w:val="7FF56F47"/>
    <w:rsid w:val="D7D65B9E"/>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Body Text"/>
    <w:basedOn w:val="1"/>
    <w:semiHidden/>
    <w:qFormat/>
    <w:uiPriority w:val="0"/>
    <w:rPr>
      <w:rFonts w:ascii="仿宋" w:hAnsi="仿宋" w:eastAsia="仿宋" w:cs="仿宋"/>
      <w:sz w:val="35"/>
      <w:szCs w:val="35"/>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table" w:customStyle="1" w:styleId="8">
    <w:name w:val="Table Normal"/>
    <w:unhideWhenUsed/>
    <w:qFormat/>
    <w:uiPriority w:val="0"/>
    <w:tblPr>
      <w:tblLayout w:type="fixed"/>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 w:type="character" w:customStyle="1" w:styleId="10">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5718</Words>
  <Characters>6230</Characters>
  <Lines>0</Lines>
  <Paragraphs>0</Paragraphs>
  <TotalTime>2</TotalTime>
  <ScaleCrop>false</ScaleCrop>
  <LinksUpToDate>false</LinksUpToDate>
  <CharactersWithSpaces>6352</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2024-04-21T00:44:00Z</dcterms:created>
  <dc:creator>新一天</dc:creator>
  <cp:lastModifiedBy>青海</cp:lastModifiedBy>
  <dcterms:modified xsi:type="dcterms:W3CDTF">2024-06-18T13:01:08Z</dcterms:modified>
  <dc:title>附件1</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26EA791A61B343A3B5B6B561FEAAFDD4_13</vt:lpwstr>
  </property>
</Properties>
</file>