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9A1CF24">
      <w:pPr>
        <w:spacing w:after="120" w:afterLines="5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1</w:t>
      </w:r>
    </w:p>
    <w:p w14:paraId="0B207BAC">
      <w:pPr>
        <w:spacing w:after="120" w:afterLines="50" w:line="600" w:lineRule="exact"/>
        <w:jc w:val="center"/>
        <w:rPr>
          <w:rFonts w:hint="eastAsia" w:ascii="方正小标宋简体" w:hAnsi="方正小标宋简体" w:eastAsia="方正小标宋简体" w:cs="方正小标宋简体"/>
          <w:sz w:val="2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年度部门整体支出绩效评价基础数据表</w:t>
      </w:r>
    </w:p>
    <w:tbl>
      <w:tblPr>
        <w:tblStyle w:val="4"/>
        <w:tblW w:w="967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4"/>
        <w:gridCol w:w="1189"/>
        <w:gridCol w:w="849"/>
        <w:gridCol w:w="1129"/>
        <w:gridCol w:w="1111"/>
        <w:gridCol w:w="1081"/>
        <w:gridCol w:w="960"/>
      </w:tblGrid>
      <w:tr w14:paraId="770F58C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2A457D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财政供养人员情况（人）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746AA8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编制数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FB94C6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年实际在职人数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DA4DD4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控制率</w:t>
            </w:r>
          </w:p>
        </w:tc>
      </w:tr>
      <w:tr w14:paraId="583B14C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F1A995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FD7D81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86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07E4BE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86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1353AD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100%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 w14:paraId="5345241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3DFFA0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经费控制情况（万元）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2D1A6EAC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6831263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年预算数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19A6C643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</w:tr>
      <w:tr w14:paraId="5A23381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075B82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三公经费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4767D25">
            <w:pPr>
              <w:widowControl/>
              <w:spacing w:line="360" w:lineRule="exact"/>
              <w:jc w:val="center"/>
              <w:rPr>
                <w:rFonts w:hint="default" w:eastAsia="仿宋" w:cs="仿宋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  <w:t>0.00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7C2A169">
            <w:pPr>
              <w:widowControl/>
              <w:spacing w:line="360" w:lineRule="exact"/>
              <w:jc w:val="center"/>
              <w:rPr>
                <w:rFonts w:hint="default" w:eastAsia="仿宋" w:cs="仿宋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  <w:t>0.00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315095D">
            <w:pPr>
              <w:widowControl/>
              <w:spacing w:line="360" w:lineRule="exact"/>
              <w:jc w:val="center"/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  <w:t>0.00</w:t>
            </w:r>
          </w:p>
        </w:tc>
      </w:tr>
      <w:tr w14:paraId="01A950B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EC8312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1、公务用车购置和维护经费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C69577C">
            <w:pPr>
              <w:widowControl/>
              <w:spacing w:line="360" w:lineRule="exact"/>
              <w:jc w:val="center"/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F5AB4C4">
            <w:pPr>
              <w:widowControl/>
              <w:spacing w:line="360" w:lineRule="exact"/>
              <w:jc w:val="center"/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202909B7">
            <w:pPr>
              <w:widowControl/>
              <w:spacing w:line="360" w:lineRule="exact"/>
              <w:jc w:val="center"/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</w:pPr>
          </w:p>
        </w:tc>
      </w:tr>
      <w:tr w14:paraId="090A812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07F58A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其中：公车购置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9294601">
            <w:pPr>
              <w:widowControl/>
              <w:spacing w:line="360" w:lineRule="exact"/>
              <w:jc w:val="center"/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62E36AC8">
            <w:pPr>
              <w:widowControl/>
              <w:spacing w:line="360" w:lineRule="exact"/>
              <w:jc w:val="center"/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A51900A">
            <w:pPr>
              <w:widowControl/>
              <w:spacing w:line="360" w:lineRule="exact"/>
              <w:jc w:val="center"/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</w:pPr>
          </w:p>
        </w:tc>
      </w:tr>
      <w:tr w14:paraId="6756CB6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556344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   公车运行维护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6D855FC7">
            <w:pPr>
              <w:widowControl/>
              <w:spacing w:line="360" w:lineRule="exact"/>
              <w:jc w:val="center"/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0DD87BD3">
            <w:pPr>
              <w:widowControl/>
              <w:spacing w:line="360" w:lineRule="exact"/>
              <w:jc w:val="center"/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C185B09">
            <w:pPr>
              <w:widowControl/>
              <w:spacing w:line="360" w:lineRule="exact"/>
              <w:jc w:val="center"/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</w:pPr>
          </w:p>
        </w:tc>
      </w:tr>
      <w:tr w14:paraId="2CB6F2A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A768D0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2、出国经费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17EE1CE">
            <w:pPr>
              <w:widowControl/>
              <w:spacing w:line="360" w:lineRule="exact"/>
              <w:jc w:val="center"/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1562142D">
            <w:pPr>
              <w:widowControl/>
              <w:spacing w:line="360" w:lineRule="exact"/>
              <w:jc w:val="center"/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13CB5190">
            <w:pPr>
              <w:widowControl/>
              <w:spacing w:line="360" w:lineRule="exact"/>
              <w:jc w:val="center"/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</w:pPr>
          </w:p>
        </w:tc>
      </w:tr>
      <w:tr w14:paraId="314BFB4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30D476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3、公务接待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AA440AC">
            <w:pPr>
              <w:widowControl/>
              <w:spacing w:line="360" w:lineRule="exact"/>
              <w:jc w:val="center"/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A75A695">
            <w:pPr>
              <w:widowControl/>
              <w:spacing w:line="360" w:lineRule="exact"/>
              <w:jc w:val="center"/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8FA96B3">
            <w:pPr>
              <w:widowControl/>
              <w:spacing w:line="360" w:lineRule="exact"/>
              <w:jc w:val="center"/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</w:pPr>
          </w:p>
        </w:tc>
      </w:tr>
      <w:tr w14:paraId="4EDA113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512B43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项目支出：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1B899EEA">
            <w:pPr>
              <w:widowControl/>
              <w:spacing w:line="360" w:lineRule="exact"/>
              <w:jc w:val="center"/>
              <w:rPr>
                <w:rFonts w:hint="default" w:eastAsia="仿宋" w:cs="仿宋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  <w:t>292.17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84CE35F">
            <w:pPr>
              <w:widowControl/>
              <w:spacing w:line="360" w:lineRule="exact"/>
              <w:jc w:val="center"/>
              <w:rPr>
                <w:rFonts w:hint="default" w:eastAsia="仿宋" w:cs="仿宋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  <w:t>301.51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0DE09274">
            <w:pPr>
              <w:widowControl/>
              <w:spacing w:line="360" w:lineRule="exact"/>
              <w:jc w:val="center"/>
              <w:rPr>
                <w:rFonts w:hint="default" w:eastAsia="仿宋" w:cs="仿宋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  <w:t>594.26</w:t>
            </w:r>
          </w:p>
        </w:tc>
      </w:tr>
      <w:tr w14:paraId="25DC43C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E22E33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1、业务工作经费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CC96DCE">
            <w:pPr>
              <w:widowControl/>
              <w:spacing w:line="360" w:lineRule="exact"/>
              <w:jc w:val="center"/>
              <w:rPr>
                <w:rFonts w:hint="default" w:eastAsia="仿宋" w:cs="仿宋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  <w:t>292.17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0A27E15">
            <w:pPr>
              <w:widowControl/>
              <w:spacing w:line="360" w:lineRule="exact"/>
              <w:jc w:val="center"/>
              <w:rPr>
                <w:rFonts w:hint="default" w:eastAsia="仿宋" w:cs="仿宋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  <w:t>301.51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2655EC8C">
            <w:pPr>
              <w:widowControl/>
              <w:spacing w:line="360" w:lineRule="exact"/>
              <w:jc w:val="center"/>
              <w:rPr>
                <w:rFonts w:hint="default" w:eastAsia="仿宋" w:cs="仿宋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  <w:t>594.26</w:t>
            </w:r>
          </w:p>
        </w:tc>
      </w:tr>
      <w:tr w14:paraId="24E2B55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04EE4B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2、运行维护经费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E3BC697">
            <w:pPr>
              <w:widowControl/>
              <w:spacing w:line="360" w:lineRule="exact"/>
              <w:jc w:val="center"/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1AC058E7">
            <w:pPr>
              <w:widowControl/>
              <w:spacing w:line="360" w:lineRule="exact"/>
              <w:jc w:val="center"/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0340A036">
            <w:pPr>
              <w:widowControl/>
              <w:spacing w:line="360" w:lineRule="exact"/>
              <w:jc w:val="center"/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</w:pPr>
          </w:p>
        </w:tc>
      </w:tr>
      <w:tr w14:paraId="2CD42E3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6BB72B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3、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专项资金（一个专项一行）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07DF103">
            <w:pPr>
              <w:widowControl/>
              <w:spacing w:line="360" w:lineRule="exact"/>
              <w:jc w:val="center"/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CF302A0">
            <w:pPr>
              <w:widowControl/>
              <w:spacing w:line="360" w:lineRule="exact"/>
              <w:jc w:val="center"/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838B2DB">
            <w:pPr>
              <w:widowControl/>
              <w:spacing w:line="360" w:lineRule="exact"/>
              <w:jc w:val="center"/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</w:pPr>
          </w:p>
        </w:tc>
      </w:tr>
      <w:tr w14:paraId="4351A8D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0A9CC1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公用经费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D8B1801">
            <w:pPr>
              <w:widowControl/>
              <w:spacing w:line="360" w:lineRule="exact"/>
              <w:jc w:val="center"/>
              <w:rPr>
                <w:rFonts w:hint="default" w:eastAsia="仿宋" w:cs="仿宋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  <w:t>219.69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00338F33">
            <w:pPr>
              <w:widowControl/>
              <w:spacing w:line="360" w:lineRule="exact"/>
              <w:jc w:val="center"/>
              <w:rPr>
                <w:rFonts w:hint="default" w:eastAsia="仿宋" w:cs="仿宋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  <w:t>165.60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6D84F13C">
            <w:pPr>
              <w:widowControl/>
              <w:spacing w:line="360" w:lineRule="exact"/>
              <w:jc w:val="center"/>
              <w:rPr>
                <w:rFonts w:hint="default" w:eastAsia="仿宋" w:cs="仿宋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  <w:t>159.85</w:t>
            </w:r>
          </w:p>
        </w:tc>
      </w:tr>
      <w:tr w14:paraId="1A190B8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908F68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其中：办公经费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904FEA8">
            <w:pPr>
              <w:widowControl/>
              <w:spacing w:line="360" w:lineRule="exact"/>
              <w:jc w:val="center"/>
              <w:rPr>
                <w:rFonts w:hint="default" w:eastAsia="仿宋" w:cs="仿宋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  <w:t>100.58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3339CB7">
            <w:pPr>
              <w:widowControl/>
              <w:spacing w:line="360" w:lineRule="exact"/>
              <w:jc w:val="center"/>
              <w:rPr>
                <w:rFonts w:hint="default" w:eastAsia="仿宋" w:cs="仿宋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  <w:t>142.00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6F825669">
            <w:pPr>
              <w:widowControl/>
              <w:spacing w:line="360" w:lineRule="exact"/>
              <w:jc w:val="center"/>
              <w:rPr>
                <w:rFonts w:hint="default" w:eastAsia="仿宋" w:cs="仿宋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  <w:t>130.25</w:t>
            </w:r>
          </w:p>
        </w:tc>
      </w:tr>
      <w:tr w14:paraId="4A3FFA7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58F14D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水费、电费、差旅费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144DE0ED">
            <w:pPr>
              <w:widowControl/>
              <w:spacing w:line="360" w:lineRule="exact"/>
              <w:jc w:val="center"/>
              <w:rPr>
                <w:rFonts w:hint="default" w:eastAsia="仿宋" w:cs="仿宋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  <w:t>13.95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285A847">
            <w:pPr>
              <w:widowControl/>
              <w:spacing w:line="360" w:lineRule="exact"/>
              <w:jc w:val="center"/>
              <w:rPr>
                <w:rFonts w:hint="default" w:eastAsia="仿宋" w:cs="仿宋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  <w:t>1.00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05C5CA1">
            <w:pPr>
              <w:widowControl/>
              <w:spacing w:line="360" w:lineRule="exact"/>
              <w:jc w:val="center"/>
              <w:rPr>
                <w:rFonts w:hint="default" w:eastAsia="仿宋" w:cs="仿宋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  <w:t>2.90</w:t>
            </w:r>
          </w:p>
        </w:tc>
      </w:tr>
      <w:tr w14:paraId="51AB0FA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452037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会议费、培训费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49EE45F">
            <w:pPr>
              <w:widowControl/>
              <w:spacing w:line="360" w:lineRule="exact"/>
              <w:jc w:val="center"/>
              <w:rPr>
                <w:rFonts w:hint="default" w:eastAsia="仿宋" w:cs="仿宋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  <w:t>2.55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E03E6CD">
            <w:pPr>
              <w:widowControl/>
              <w:spacing w:line="360" w:lineRule="exact"/>
              <w:jc w:val="center"/>
              <w:rPr>
                <w:rFonts w:hint="default" w:eastAsia="仿宋" w:cs="仿宋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  <w:t>3.00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04B23DE6">
            <w:pPr>
              <w:widowControl/>
              <w:spacing w:line="360" w:lineRule="exact"/>
              <w:jc w:val="center"/>
              <w:rPr>
                <w:rFonts w:hint="default" w:eastAsia="仿宋" w:cs="仿宋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  <w:t>2.51</w:t>
            </w:r>
          </w:p>
        </w:tc>
      </w:tr>
      <w:tr w14:paraId="42A7FB1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602281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政府采购金额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88637D6">
            <w:pPr>
              <w:widowControl/>
              <w:spacing w:line="360" w:lineRule="exact"/>
              <w:jc w:val="center"/>
              <w:rPr>
                <w:rFonts w:hint="default" w:eastAsia="仿宋" w:cs="仿宋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default" w:eastAsia="仿宋" w:cs="仿宋"/>
                <w:color w:val="000000"/>
                <w:sz w:val="20"/>
                <w:szCs w:val="20"/>
                <w:lang w:val="en-US" w:eastAsia="zh-CN"/>
              </w:rPr>
              <w:t>172.8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BB06F3A">
            <w:pPr>
              <w:widowControl/>
              <w:spacing w:line="360" w:lineRule="exact"/>
              <w:jc w:val="center"/>
              <w:rPr>
                <w:rFonts w:hint="default" w:eastAsia="仿宋" w:cs="仿宋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  <w:t>450.00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016279B7">
            <w:pPr>
              <w:widowControl/>
              <w:spacing w:line="360" w:lineRule="exact"/>
              <w:jc w:val="center"/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  <w:t>450.00</w:t>
            </w:r>
          </w:p>
        </w:tc>
      </w:tr>
      <w:tr w14:paraId="2EB719B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606BBF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部门基本支出预算调整 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96467A1">
            <w:pPr>
              <w:widowControl/>
              <w:spacing w:line="360" w:lineRule="exact"/>
              <w:jc w:val="center"/>
              <w:rPr>
                <w:rFonts w:hint="default" w:eastAsia="仿宋" w:cs="仿宋"/>
                <w:color w:val="000000"/>
                <w:sz w:val="20"/>
                <w:szCs w:val="20"/>
                <w:lang w:val="en-US" w:eastAsia="zh-CN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1DD4558">
            <w:pPr>
              <w:widowControl/>
              <w:spacing w:line="360" w:lineRule="exact"/>
              <w:jc w:val="center"/>
              <w:rPr>
                <w:rFonts w:hint="default" w:eastAsia="仿宋" w:cs="仿宋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  <w:t>-236.99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290B9296">
            <w:pPr>
              <w:widowControl/>
              <w:spacing w:line="360" w:lineRule="exact"/>
              <w:jc w:val="center"/>
              <w:rPr>
                <w:rFonts w:hint="default" w:eastAsia="仿宋" w:cs="仿宋"/>
                <w:color w:val="000000"/>
                <w:sz w:val="20"/>
                <w:szCs w:val="20"/>
                <w:lang w:val="en-US" w:eastAsia="zh-CN"/>
              </w:rPr>
            </w:pPr>
          </w:p>
        </w:tc>
      </w:tr>
      <w:tr w14:paraId="1578E5B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5D1B19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楼堂馆所控制情况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（202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年完工项目）</w:t>
            </w: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FAD23C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批复规模</w:t>
            </w: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（㎡）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CF43DE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实际规模（㎡）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761E08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规模控制率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958DA3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预算投资（万元）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ACF2EE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实际投资（万元）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02969C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投资概算控制率</w:t>
            </w:r>
          </w:p>
        </w:tc>
      </w:tr>
      <w:tr w14:paraId="18C0FAC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A6B982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3FF9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BC0C4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A520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CE23B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7BACF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B954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 w14:paraId="0A23DB3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53AF8C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厉行节约保障措施</w:t>
            </w:r>
          </w:p>
        </w:tc>
        <w:tc>
          <w:tcPr>
            <w:tcW w:w="631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2E5A3E59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</w:tbl>
    <w:p w14:paraId="131F5036"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说明：“项目支出”需要填报基本支出以外的所有项目支出情况，“公用经费”填报基本支出中的一般商品和服务支出。</w:t>
      </w:r>
    </w:p>
    <w:p w14:paraId="65DD7641"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</w:p>
    <w:p w14:paraId="34BB5F6A">
      <w:pPr>
        <w:widowControl/>
        <w:spacing w:after="0" w:afterLines="0" w:line="4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填表人：        填报日期：          联系电话：            单位负责人签字：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2</w:t>
      </w:r>
    </w:p>
    <w:p w14:paraId="23B04E41">
      <w:pPr>
        <w:widowControl/>
        <w:spacing w:after="120" w:afterLines="50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年度部门整体支出绩效自评表</w:t>
      </w:r>
    </w:p>
    <w:tbl>
      <w:tblPr>
        <w:tblStyle w:val="4"/>
        <w:tblW w:w="10079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34"/>
        <w:gridCol w:w="1270"/>
        <w:gridCol w:w="1311"/>
        <w:gridCol w:w="1269"/>
        <w:gridCol w:w="716"/>
        <w:gridCol w:w="873"/>
        <w:gridCol w:w="1446"/>
      </w:tblGrid>
      <w:tr w14:paraId="60400EC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E5C435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级预算部门名称</w:t>
            </w:r>
          </w:p>
        </w:tc>
        <w:tc>
          <w:tcPr>
            <w:tcW w:w="899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121D59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岳阳市金鹗公园管理中心</w:t>
            </w:r>
          </w:p>
        </w:tc>
      </w:tr>
      <w:tr w14:paraId="342831F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7065FDF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年度预</w:t>
            </w:r>
          </w:p>
          <w:p w14:paraId="1EBDE0F4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算申请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D83BEF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4ECF0F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年初预算数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4EF03F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全年预算数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EAA5EB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全年执行数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8A949A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2B8627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E6B4D8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 w14:paraId="25DB732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4218B33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870632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ED5602"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2095.94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A43FDC"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2151.71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4EB6D5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2151.71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A54364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1BFF64"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7F8851"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</w:tr>
      <w:tr w14:paraId="3C8E269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7374975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3E94C5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按收入性质分：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C33679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按支出性质分：</w:t>
            </w:r>
          </w:p>
        </w:tc>
      </w:tr>
      <w:tr w14:paraId="351336D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10603B1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BF4B01"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  其中：  一般公共预算：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2150.82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02ABAE"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其中：基本支出：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1557.45</w:t>
            </w:r>
          </w:p>
        </w:tc>
      </w:tr>
      <w:tr w14:paraId="5000A94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F3C0673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5F877A">
            <w:pPr>
              <w:widowControl/>
              <w:spacing w:line="240" w:lineRule="exact"/>
              <w:ind w:firstLine="800" w:firstLineChars="4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政府性基金拨款：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1788AE">
            <w:pPr>
              <w:widowControl/>
              <w:spacing w:line="240" w:lineRule="exact"/>
              <w:ind w:firstLine="600" w:firstLineChars="3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项目支出：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594.26</w:t>
            </w:r>
          </w:p>
        </w:tc>
      </w:tr>
      <w:tr w14:paraId="647CB5F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E8EC883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038D0F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纳入专户管理的非税收入拨款：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5C37D5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 w14:paraId="05D7CF1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73FF8145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87F846">
            <w:pPr>
              <w:widowControl/>
              <w:spacing w:line="240" w:lineRule="exact"/>
              <w:ind w:firstLine="1400" w:firstLineChars="7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0.89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793715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 w14:paraId="7F4BFC4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689E1069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69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C870E43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3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1EA5D2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 w14:paraId="12CDC34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08556F88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3D107879">
            <w:pPr>
              <w:widowControl/>
              <w:numPr>
                <w:ilvl w:val="0"/>
                <w:numId w:val="0"/>
              </w:num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　绿化养护科学精细，公共秩序大力优化，园内保持整洁卫生，隐患排查，防患火灾。</w:t>
            </w:r>
          </w:p>
        </w:tc>
        <w:tc>
          <w:tcPr>
            <w:tcW w:w="43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3C9AE0E1">
            <w:pPr>
              <w:widowControl/>
              <w:numPr>
                <w:ilvl w:val="0"/>
                <w:numId w:val="0"/>
              </w:num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1.提高环境卫生质量。开展常态化清扫保洁，针对环卫设施陈旧、路面沙尘、落叶清运、关键区域排水不良及水面垃圾等突出问题进行集中整治，强化公共场所卫生监督，协助小区进行环境卫生改善。</w:t>
            </w:r>
          </w:p>
          <w:p w14:paraId="4E9C6348">
            <w:pPr>
              <w:widowControl/>
              <w:numPr>
                <w:ilvl w:val="0"/>
                <w:numId w:val="0"/>
              </w:num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2.提高园林绿化品质。做好日常养护工作，包括除草、防病虫、修剪，补种耐阴植物与乔灌木，提升公园绿化等。更新季节花卉，引入多年生植物，增强花卉景观多样性与美观度。</w:t>
            </w:r>
          </w:p>
          <w:p w14:paraId="76F3BE63">
            <w:pPr>
              <w:widowControl/>
              <w:numPr>
                <w:ilvl w:val="0"/>
                <w:numId w:val="0"/>
              </w:num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3.加强基础设施建设。加强公共设施维护，保障路灯、厕所、健身设备及建筑安全。建成800平米的清廉文化园，提升东门广场1400平米，维修历史建筑，创建3700平米的垃圾分类教育园，倡导环保新潮流。</w:t>
            </w:r>
          </w:p>
          <w:p w14:paraId="05D83C88">
            <w:pPr>
              <w:widowControl/>
              <w:numPr>
                <w:ilvl w:val="0"/>
                <w:numId w:val="0"/>
              </w:numPr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4.</w:t>
            </w:r>
            <w:r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维护公共安全秩序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、消除公共安全隐患。</w:t>
            </w:r>
          </w:p>
        </w:tc>
      </w:tr>
      <w:tr w14:paraId="6C32C5B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4A84DD86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 w14:paraId="32BAEE2F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 w14:paraId="6733DAFE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 w14:paraId="481221B4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  <w:p w14:paraId="40573C2B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6802FE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F9D024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BC3459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111FE9"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年度指标值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BAF2B1"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实际完成值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5BBC2D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7D8640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EE05E1"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 w14:paraId="0408C76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6CA1459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8DC434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 w14:paraId="602F448A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 w14:paraId="2E4A6CF9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8E7D0D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E21B4A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景点建筑物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维护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F70A4F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6153平方米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F93FBB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10A775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E75A94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07E10F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3580902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12C19F8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ACE740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46C558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8D5E85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广场、游路及山体绿地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维护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6F12BA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53720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平方米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CA8F99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A42C48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3B2C6E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6DAB72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 w14:paraId="679924F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160F1FE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9D42F1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7919D7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58047B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消防设施维护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8162EA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4502米、具、个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44101B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EEFC64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C1A476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62E37F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0FFDAF5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EE5A2C3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9EC13A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CA3131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86FBBA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路灯及公厕等公共设施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维护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5310D4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409盏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F5AD3E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9617E1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814A51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7D508F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4EEBF94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EBBC13A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06177A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350B8D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7ADAE6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消防设备维护率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DC46E3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100%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07180E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100%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185773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88224C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A1F55C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0C04C5A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021D86D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FAA033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6D44D4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FEE488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公共设施维护率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49CEF6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100%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D45ACC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100%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76B353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879B84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B3FB8D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6553381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6FD080F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39C195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29F29D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86C095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负责公园全天候安全保卫工作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039773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100%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759939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100%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72F4E8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EB8F23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1D9203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18F1D45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DA3B11F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14D11F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103BAF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FFF50D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综治管理及时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性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ab/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DED260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全年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4A3C79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C6BD4A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AB80C3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B3E357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286AC1A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DBF955A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305D35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CEB0FE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5E2DB0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控制成本在预算内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33997C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2151.71万元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24EA84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2151.71万元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FE86EF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8C9377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101153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 w14:paraId="6D1E4B8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D9CC561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6240B0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 w14:paraId="21C1BB31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 w14:paraId="749AC831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 w14:paraId="2FF26369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ED6555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 w14:paraId="548689B1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6EBD20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创造了宜业、宜居、宜游的环境，带动了旅游经济发展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B4282F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有所提升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9C9606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有所提升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19A3FA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C94DCB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197403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16E7B9F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9D59AEE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8DF9D2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DA9F26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 w14:paraId="246607E2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2954C1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改善市民居住休闲环境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140D78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有所改善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589EFC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有所改善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F47961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D28288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32F93F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664349A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EB135B3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E4317A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533F1F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 w14:paraId="7A6BA6B9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8791EE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生态环境改善情况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5EAF12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有所改善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16B153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有所改善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41F44E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56F418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B3B635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3D84A41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409E82E0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E98806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DAAAB2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575B20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color w:val="212529"/>
                <w:sz w:val="20"/>
                <w:szCs w:val="20"/>
                <w:lang w:val="en-US" w:eastAsia="zh-CN"/>
              </w:rPr>
              <w:t>园区适应未来一定时期的需求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发展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8FE617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适应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A01AB2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适应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5604AA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ABDD3E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A63958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1E169FD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456FE2C3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9A61FC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 w14:paraId="6492BBB3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 w14:paraId="44564C1F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53A2C9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C4F38B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公众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941B33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≧95%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D785D0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9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%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25BA69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4E4211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E59394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6D84D7E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704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A48A14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FCF445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07C59E"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BA3C69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 w14:paraId="576F8AD8">
      <w:pPr>
        <w:widowControl/>
        <w:spacing w:line="600" w:lineRule="exact"/>
        <w:jc w:val="left"/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填表人：      填报日期：         联系电话：  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单位负责人签字：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3</w:t>
      </w:r>
    </w:p>
    <w:p w14:paraId="40C2C290">
      <w:pPr>
        <w:widowControl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年度项目支出绩效自评表</w:t>
      </w:r>
    </w:p>
    <w:tbl>
      <w:tblPr>
        <w:tblStyle w:val="4"/>
        <w:tblW w:w="9851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80"/>
        <w:gridCol w:w="1224"/>
        <w:gridCol w:w="1134"/>
        <w:gridCol w:w="1134"/>
        <w:gridCol w:w="828"/>
        <w:gridCol w:w="873"/>
        <w:gridCol w:w="1418"/>
      </w:tblGrid>
      <w:tr w14:paraId="24BAA8C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210D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</w:t>
            </w:r>
          </w:p>
          <w:p w14:paraId="3527D87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出名称</w:t>
            </w:r>
          </w:p>
        </w:tc>
        <w:tc>
          <w:tcPr>
            <w:tcW w:w="8771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CEABD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业务工作经费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5B66101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61EAB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主管部门</w:t>
            </w: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6800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楼区人民政府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97822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实施单位</w:t>
            </w:r>
          </w:p>
        </w:tc>
        <w:tc>
          <w:tcPr>
            <w:tcW w:w="311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5FDB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岳阳市金鹗公园管理中心</w:t>
            </w:r>
          </w:p>
        </w:tc>
      </w:tr>
      <w:tr w14:paraId="2E1C7C5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35C80DA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项目资金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500DB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15D5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年初</w:t>
            </w:r>
          </w:p>
          <w:p w14:paraId="5EB8D19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04943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全年</w:t>
            </w:r>
          </w:p>
          <w:p w14:paraId="2E5573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06B42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</w:t>
            </w:r>
          </w:p>
          <w:p w14:paraId="7214547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执行数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D4E12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735A7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35A08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 w14:paraId="603F1E4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5C1E63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D47B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BC7E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301.51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F947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594.26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D3ED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594.26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B4A7A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572AB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AB3F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</w:tr>
      <w:tr w14:paraId="6E1D9E3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2C1289B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D0D0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其中：当年财政拨款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9084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301.51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01836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594.26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16C5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1DC5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5244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3EF5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128CB91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6538A3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3792C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上年结转资金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122D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C9E2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B2B60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55D2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8CF06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1CA39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3F8D20D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45467E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8B79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F9DF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6E877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D24FB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07FD8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6D446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C9BB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0670EFA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09A4A8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6D3B0B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25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AF866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 w14:paraId="561B684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52B1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2F49108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1、提供休闲场所，丰富人民群众文化生活。</w:t>
            </w:r>
          </w:p>
          <w:p w14:paraId="636D88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2、休闲场所提供、公园设施维护与管理、公园绿地管理、公园游览与娱乐项目组织管理、动物繁育与饲养、相关社会服务。</w:t>
            </w:r>
          </w:p>
        </w:tc>
        <w:tc>
          <w:tcPr>
            <w:tcW w:w="425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B0138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已完成</w:t>
            </w:r>
          </w:p>
        </w:tc>
      </w:tr>
      <w:tr w14:paraId="58D7207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97351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 w14:paraId="73879A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 w14:paraId="529D17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 w14:paraId="1A9F4C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AD846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87EA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3F188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9DC07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</w:t>
            </w:r>
          </w:p>
          <w:p w14:paraId="24908CD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指标值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BF16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</w:t>
            </w:r>
          </w:p>
          <w:p w14:paraId="0B0632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完成值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2542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1A49E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880E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 w14:paraId="5E98F52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2D63C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4DA11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 w14:paraId="72E31F0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 w14:paraId="02A2DBD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F96C5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8F00A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景点建筑物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0A549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6153平方米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FD531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6C31F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5CB06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045B1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1AC0714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BC30D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2C8A9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4A13D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AE2F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广场、游路及山体绿地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BED0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53720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平方米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FBEC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70B0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3487C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EF0A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 w14:paraId="10E634F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3A951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F2067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E6E2C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00E2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消防设施维护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44E8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4502米、具、个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1135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0674C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A34E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18733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0155803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0039B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82E0C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5B9F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CA5F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路灯及公厕等公共设施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1D333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409盏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2F8C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FE44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3AD2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12CE9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62DB6B5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AF617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2456E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B7F2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D9D3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景点建筑物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覆盖率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3EF8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≥95%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5CB5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4CF1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4AFE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CA52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06F8199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BE896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8B2D3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A6FBD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E706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广场、游路及山体绿地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覆盖率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C3AC5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≥95%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C650C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135B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0FF03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6B2F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 w14:paraId="14191E9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71C48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EFD4B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E0636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EAA4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消防设施维护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覆盖率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624C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≥95%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097C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3F210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8B309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FC9B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6D6312B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4F043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FEC0D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E3E1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7D89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路灯及公厕等公共设施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覆盖率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A3F37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≥95%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E4C61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9AE8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355B0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19013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07385EF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89C90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877B8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E9F83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000A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基础设施维护维修完成时间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5BD82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2023年度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A51D0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B9D7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293C7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7133B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41E654E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C60B0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0098D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3F7B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995D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总成本控制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E57B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594.27万元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4C3E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AE6A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7D4D4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5FB1F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01E3513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4B879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D81F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 w14:paraId="5CA3085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 w14:paraId="3B3AAD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 w14:paraId="0370FEE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41020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 w14:paraId="2145336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64D604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创造了宜业、宜居、宜游的环境，带动了旅游经济发展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9C01C3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有所提升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5D9149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有所提升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02B4E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E107B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98BF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37C21C7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5BBD6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C90F3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AC61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 w14:paraId="18800B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3181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维护公共秩序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78C9C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效果显著提升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D90E4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效果显著提升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444A1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2B08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D335B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481A9C6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8A8A5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55361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5F6F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 w14:paraId="14B8BED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13AB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绿地绿化程度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EA418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较大提升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00DDC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较大提升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5E1F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08D0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988E8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6CADC08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E7774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A8E19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72C3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135E18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color w:val="212529"/>
                <w:sz w:val="20"/>
                <w:szCs w:val="20"/>
                <w:lang w:val="en-US" w:eastAsia="zh-CN"/>
              </w:rPr>
              <w:t>园区适应未来一定时期的需求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发展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AF494C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适应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F00988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适应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86D5CC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883AA6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51F09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14D47B5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F0002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CB48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 w14:paraId="135C6C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 w14:paraId="51B6D0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68AA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8B8D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受益对象满意度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449F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≧95%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5D4A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97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%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CEB3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D3C7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4D912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0670CB2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3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82B25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E0E3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FC97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6C1A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 w14:paraId="45A879D6">
      <w:pP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</w:pPr>
    </w:p>
    <w:p w14:paraId="15FF8E34">
      <w:pPr>
        <w:rPr>
          <w:rFonts w:hint="default" w:ascii="Times New Roman" w:hAnsi="Times New Roman" w:eastAsia="仿宋_GB2312" w:cs="Times New Roman"/>
          <w:szCs w:val="21"/>
          <w:highlight w:val="none"/>
        </w:rPr>
      </w:pP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备注：一个一级项目支出一张表。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如，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业务工作经费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运行维护经费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，其他事业发展类资金…各一张表。</w:t>
      </w:r>
    </w:p>
    <w:p w14:paraId="57ECA7BF">
      <w:pP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填表人：    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填报日期：  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联系电话：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单位负责人签字：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4</w:t>
      </w:r>
    </w:p>
    <w:p w14:paraId="6AD6270E">
      <w:pPr>
        <w:jc w:val="center"/>
        <w:rPr>
          <w:rFonts w:hint="default" w:ascii="Times New Roman" w:hAnsi="Times New Roman" w:eastAsia="方正小标宋_GBK" w:cs="Times New Roman"/>
          <w:sz w:val="52"/>
          <w:szCs w:val="52"/>
          <w:highlight w:val="none"/>
        </w:rPr>
      </w:pPr>
    </w:p>
    <w:p w14:paraId="3A4B52C5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年度岳阳市金鹗公园管理中心</w:t>
      </w:r>
    </w:p>
    <w:p w14:paraId="2B7F21C0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整体支出绩效自评报告</w:t>
      </w:r>
    </w:p>
    <w:p w14:paraId="2F5395BA">
      <w:pPr>
        <w:jc w:val="center"/>
        <w:rPr>
          <w:rFonts w:hint="default" w:ascii="Times New Roman" w:hAnsi="Times New Roman" w:eastAsia="方正小标宋_GBK" w:cs="Times New Roman"/>
          <w:b/>
          <w:sz w:val="52"/>
          <w:szCs w:val="52"/>
          <w:highlight w:val="none"/>
        </w:rPr>
      </w:pPr>
    </w:p>
    <w:p w14:paraId="6B5D8865">
      <w:pPr>
        <w:jc w:val="both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 w14:paraId="2C182D7F"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 w14:paraId="77E976B4"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 w14:paraId="1A35F528"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 w14:paraId="1250B43B"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 w14:paraId="30D87663"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 w14:paraId="4591CA81"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 w14:paraId="4E0B0C48">
      <w:pPr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 w14:paraId="40A6438D"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 w14:paraId="082EE853"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 w14:paraId="0E8F6EF2"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 w14:paraId="18E5E0AB"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部门（单位）名称：岳阳市金鹗公园管理中心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（盖章）</w:t>
      </w:r>
    </w:p>
    <w:p w14:paraId="11F4B195">
      <w:pPr>
        <w:spacing w:line="600" w:lineRule="exact"/>
        <w:jc w:val="center"/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年  月  日</w:t>
      </w:r>
    </w:p>
    <w:p w14:paraId="2A108E7E">
      <w:pPr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（此页为封面）</w:t>
      </w:r>
    </w:p>
    <w:p w14:paraId="6A7C0053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br w:type="page"/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年度岳阳楼区金鹗公园管理中心</w:t>
      </w:r>
    </w:p>
    <w:p w14:paraId="3246AF4B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整体支出绩效自评报告</w:t>
      </w:r>
    </w:p>
    <w:p w14:paraId="7D8D466A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 w14:paraId="4572E92A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kern w:val="0"/>
          <w:sz w:val="32"/>
          <w:szCs w:val="32"/>
          <w:lang w:val="en-US" w:eastAsia="zh-CN" w:bidi="ar-SA"/>
        </w:rPr>
        <w:t>一、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部门（单位）基本情况</w:t>
      </w:r>
    </w:p>
    <w:p w14:paraId="4B3A1EDC">
      <w:pPr>
        <w:ind w:left="560" w:leftChars="200"/>
        <w:jc w:val="left"/>
        <w:rPr>
          <w:rFonts w:hint="default" w:ascii="Times New Roman" w:hAnsi="Times New Roman" w:eastAsia="黑体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t>提供休闲场所，丰富人民群众文化生活。休闲场所提供、公园设施维护与管理、公园绿地管理、公园游览与娱乐项目组织管理、动物繁育与饲养、相关社会服务。在职在编人数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86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t>人。机构设置5个职能股室：办公室、政工股、安全消防股、旅游服务股、园林建设股。</w:t>
      </w:r>
    </w:p>
    <w:p w14:paraId="4B5B450C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kern w:val="0"/>
          <w:sz w:val="32"/>
          <w:szCs w:val="32"/>
          <w:lang w:val="en-US" w:eastAsia="zh-CN" w:bidi="ar-SA"/>
        </w:rPr>
        <w:t>二、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一般公共预算支出情况</w:t>
      </w:r>
    </w:p>
    <w:p w14:paraId="6D556EF6"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（一）基本支出情况</w:t>
      </w:r>
    </w:p>
    <w:p w14:paraId="10DB513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200"/>
        <w:jc w:val="left"/>
        <w:textAlignment w:val="auto"/>
        <w:rPr>
          <w:rFonts w:ascii="仿宋_GB2312" w:hAnsi="仿宋_GB2312" w:eastAsia="仿宋_GB2312" w:cs="仿宋_GB2312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t>年基本支出年初预算数为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1794.43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t>万元，实际支出数为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1556.56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t>万元。其中：人员经费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1397.59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t>万元，主要包括：基本工资、津贴补贴、奖金、伙食补助费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t>绩效工资、机关事业单位基本养老保险缴费、职工基本医疗保险缴费、其他社会保障缴费、住房公积金、退休费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、其他对个人和家庭的补助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t>；公用经费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158.96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t>万元，主要包括：办公费、印刷费、咨询费、电费、邮电费、差旅费、维修（护）费、培训费、工会经费、福利费、其他交通费用、其他商品和服务支出。</w:t>
      </w:r>
    </w:p>
    <w:p w14:paraId="35A8FA41">
      <w:pPr>
        <w:pStyle w:val="7"/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项目支出情况</w:t>
      </w:r>
    </w:p>
    <w:p w14:paraId="22887C89">
      <w:pPr>
        <w:ind w:firstLine="640" w:firstLineChars="200"/>
        <w:jc w:val="left"/>
        <w:rPr>
          <w:rFonts w:hint="eastAsia" w:ascii="Times New Roman" w:hAnsi="Times New Roman" w:eastAsia="仿宋_GB2312" w:cs="Times New Roman"/>
          <w:b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t>年项目支出年初预算数</w:t>
      </w:r>
      <w:bookmarkStart w:id="0" w:name="_GoBack"/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t>为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301.51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t>万</w:t>
      </w:r>
      <w:bookmarkEnd w:id="0"/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t>元，实际支出数为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594.26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t>万</w:t>
      </w:r>
      <w:r>
        <w:rPr>
          <w:rFonts w:hint="eastAsia" w:ascii="仿宋" w:hAnsi="仿宋" w:eastAsia="仿宋" w:cs="仿宋_GB2312"/>
          <w:kern w:val="0"/>
          <w:sz w:val="32"/>
          <w:szCs w:val="32"/>
        </w:rPr>
        <w:t>元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t>。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主要用于</w:t>
      </w:r>
      <w:r>
        <w:rPr>
          <w:rFonts w:hint="eastAsia" w:ascii="宋体" w:hAnsi="宋体" w:eastAsia="仿宋_GB2312" w:cs="仿宋_GB2312"/>
          <w:b w:val="0"/>
          <w:bCs/>
          <w:color w:val="auto"/>
          <w:sz w:val="32"/>
          <w:szCs w:val="32"/>
          <w:highlight w:val="none"/>
        </w:rPr>
        <w:t>除草除杂</w:t>
      </w:r>
      <w:r>
        <w:rPr>
          <w:rFonts w:hint="eastAsia" w:ascii="宋体" w:hAnsi="宋体" w:eastAsia="仿宋_GB2312" w:cs="仿宋_GB2312"/>
          <w:b w:val="0"/>
          <w:bCs/>
          <w:color w:val="auto"/>
          <w:sz w:val="32"/>
          <w:szCs w:val="32"/>
          <w:highlight w:val="none"/>
          <w:lang w:val="en-US" w:eastAsia="zh-CN"/>
        </w:rPr>
        <w:t>、</w:t>
      </w:r>
      <w:r>
        <w:rPr>
          <w:rFonts w:hint="eastAsia" w:ascii="宋体" w:hAnsi="宋体" w:eastAsia="仿宋_GB2312" w:cs="仿宋_GB2312"/>
          <w:b w:val="0"/>
          <w:bCs/>
          <w:color w:val="auto"/>
          <w:kern w:val="0"/>
          <w:sz w:val="32"/>
          <w:szCs w:val="32"/>
          <w:highlight w:val="none"/>
          <w:lang w:val="en-US" w:eastAsia="zh-CN" w:bidi="ar-SA"/>
        </w:rPr>
        <w:t>病虫害防治、花灌木和草坪修剪等日常养护工作，绿地补植工作，</w:t>
      </w:r>
      <w:r>
        <w:rPr>
          <w:rFonts w:hint="eastAsia" w:ascii="宋体" w:hAnsi="宋体" w:eastAsia="仿宋_GB2312" w:cs="仿宋_GB2312"/>
          <w:b w:val="0"/>
          <w:bCs/>
          <w:color w:val="auto"/>
          <w:sz w:val="32"/>
          <w:szCs w:val="32"/>
          <w:highlight w:val="none"/>
          <w:shd w:val="clear" w:color="auto" w:fill="auto"/>
          <w:lang w:val="en-US" w:eastAsia="zh-CN" w:bidi="ar-SA"/>
        </w:rPr>
        <w:t>提升公园鲜花美化效果，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highlight w:val="none"/>
          <w:lang w:val="en-US" w:eastAsia="zh-CN" w:bidi="ar-SA"/>
        </w:rPr>
        <w:t>加大公共设施排查和检修力度，确保路灯、公厕、健身器材、建筑物等设施的安全运行，完成论语林、东来亭、思贤亭、恩嘉亭及文昌阁南北厢房的整体维修等工作</w:t>
      </w:r>
    </w:p>
    <w:p w14:paraId="561C27FD"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kern w:val="0"/>
          <w:sz w:val="32"/>
          <w:szCs w:val="32"/>
          <w:lang w:val="en-US" w:eastAsia="zh-CN" w:bidi="ar-SA"/>
        </w:rPr>
        <w:t>三、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政府性基金预算支出情况</w:t>
      </w:r>
    </w:p>
    <w:p w14:paraId="535BE111"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年度无政府性基金预算支出。</w:t>
      </w:r>
    </w:p>
    <w:p w14:paraId="23134C1E"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kern w:val="0"/>
          <w:sz w:val="32"/>
          <w:szCs w:val="32"/>
          <w:lang w:val="en-US" w:eastAsia="zh-CN" w:bidi="ar-SA"/>
        </w:rPr>
        <w:t>四、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国有资本经营预算支出情况</w:t>
      </w:r>
    </w:p>
    <w:p w14:paraId="7CB69E0E"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年度无国有资本经营预算支出。</w:t>
      </w:r>
    </w:p>
    <w:p w14:paraId="2B867074"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kern w:val="0"/>
          <w:sz w:val="32"/>
          <w:szCs w:val="32"/>
          <w:lang w:val="en-US" w:eastAsia="zh-CN" w:bidi="ar-SA"/>
        </w:rPr>
        <w:t>五、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社会保险基金预算支出情况</w:t>
      </w:r>
    </w:p>
    <w:p w14:paraId="3465A06F">
      <w:pPr>
        <w:ind w:firstLine="640" w:firstLineChars="200"/>
        <w:jc w:val="left"/>
        <w:rPr>
          <w:rFonts w:hint="default" w:ascii="仿宋_GB2312" w:hAnsi="仿宋_GB2312" w:eastAsia="仿宋_GB2312" w:cs="仿宋_GB2312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度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t>无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社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t>会保险基金预算支出。</w:t>
      </w:r>
    </w:p>
    <w:p w14:paraId="61AC5ECC"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kern w:val="0"/>
          <w:sz w:val="32"/>
          <w:szCs w:val="32"/>
          <w:lang w:val="en-US" w:eastAsia="zh-CN" w:bidi="ar-SA"/>
        </w:rPr>
        <w:t>六、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部门整体支出绩效情况</w:t>
      </w:r>
    </w:p>
    <w:p w14:paraId="3E4D3F60"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我中心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t>各项资金其主要用途是确保单位的正常运转，促进各项工作任务顺利完成。在人员经费支出、公共支出严格执行区委区政府的各项制度；在项目经费的使用上，在保证各项任务顺利完成的同时，严格落实厉行节约的原则；三公经费的使用严格控制在预算申报的范围内，“四本预算”支出的绩效目标基本完成情况。</w:t>
      </w:r>
    </w:p>
    <w:p w14:paraId="10FD7531"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kern w:val="0"/>
          <w:sz w:val="32"/>
          <w:szCs w:val="32"/>
          <w:lang w:val="en-US" w:eastAsia="zh-CN" w:bidi="ar-SA"/>
        </w:rPr>
        <w:t>七、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存在的问题及原因分析</w:t>
      </w:r>
    </w:p>
    <w:p w14:paraId="03D102E7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公园建立较早，前期无总体规划，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t>部分配套设施不完善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t>基础设施陈旧落后，存在一定安全隐患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。</w:t>
      </w:r>
    </w:p>
    <w:p w14:paraId="5BCE10AD"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kern w:val="0"/>
          <w:sz w:val="32"/>
          <w:szCs w:val="32"/>
          <w:lang w:val="en-US" w:eastAsia="zh-CN" w:bidi="ar-SA"/>
        </w:rPr>
        <w:t>八、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下一步改进措施</w:t>
      </w:r>
    </w:p>
    <w:p w14:paraId="3DC49A64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加快完成金鹗公园整体规划编制工作，完成金鹗公园消防设施完善项目建设；争取儿童友好示范城市专项资金，将动物园旧址改建成儿童友好示范园；争取新开发银行贷款岳阳水环境改善专项资金，逐年完成仿古建筑整体维修、公厕改造、路灯和导游系统更新、栈道和护栏整体维修、小广场和游园改造、新增监控系统等工作，完善公园基础设施，完成公园更新工作。</w:t>
      </w:r>
    </w:p>
    <w:p w14:paraId="4FF12B68"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kern w:val="0"/>
          <w:sz w:val="32"/>
          <w:szCs w:val="32"/>
          <w:lang w:val="en-US" w:eastAsia="zh-CN" w:bidi="ar-SA"/>
        </w:rPr>
        <w:t>九、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部门整体支出绩效自评结果拟应用和公开情况</w:t>
      </w:r>
    </w:p>
    <w:p w14:paraId="3364ACE3"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我中心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14:textFill>
            <w14:solidFill>
              <w14:schemeClr w14:val="tx1"/>
            </w14:solidFill>
          </w14:textFill>
        </w:rPr>
        <w:t>高度重视此项绩效自评工作，积极落实主体责任，切实加强组织领导，按照绩效评价相关制度规定，明确具体责任人，认真开展自评，撰写了此份绩效评价报告，确保绩效自评工作顺利实施，并将按照要求进行信息公开，对存在的问题积极整改。</w:t>
      </w:r>
    </w:p>
    <w:p w14:paraId="1987B4B4"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kern w:val="0"/>
          <w:sz w:val="32"/>
          <w:szCs w:val="32"/>
          <w:lang w:val="en-US" w:eastAsia="zh-CN" w:bidi="ar-SA"/>
        </w:rPr>
        <w:t>十、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其他需要说明的情况</w:t>
      </w:r>
    </w:p>
    <w:p w14:paraId="7989C389">
      <w:pPr>
        <w:ind w:firstLine="640" w:firstLineChars="200"/>
        <w:jc w:val="left"/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无。</w:t>
      </w:r>
    </w:p>
    <w:p w14:paraId="301AA51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 w14:paraId="55E6721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报告需要以下附件：</w:t>
      </w:r>
    </w:p>
    <w:p w14:paraId="2F47749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部门整体支出绩效评价基础数据表</w:t>
      </w:r>
    </w:p>
    <w:p w14:paraId="4679F67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部门整体支出绩效自评表</w:t>
      </w:r>
    </w:p>
    <w:p w14:paraId="2144E34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项目支出绩效自评表（一个一级项目支出一张表）</w:t>
      </w:r>
    </w:p>
    <w:p w14:paraId="0D6FA10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政府性基金预算支出情况表</w:t>
      </w:r>
    </w:p>
    <w:p w14:paraId="39DF003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国有资本经营预算支出情况表</w:t>
      </w:r>
    </w:p>
    <w:p w14:paraId="330CC62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社会保险基金预算支出情况表</w:t>
      </w:r>
    </w:p>
    <w:p w14:paraId="4B79C50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5</w:t>
      </w:r>
    </w:p>
    <w:p w14:paraId="3E4224DD">
      <w:pPr>
        <w:spacing w:before="120" w:beforeLines="50" w:after="120" w:afterLines="50"/>
        <w:jc w:val="center"/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部门整体支出</w:t>
      </w:r>
      <w:r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  <w:t>绩效自评工作考核评分表</w:t>
      </w:r>
    </w:p>
    <w:tbl>
      <w:tblPr>
        <w:tblStyle w:val="4"/>
        <w:tblW w:w="9941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1174"/>
        <w:gridCol w:w="5000"/>
        <w:gridCol w:w="3022"/>
      </w:tblGrid>
      <w:tr w14:paraId="4B41A6E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EF36E5"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一级指标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6EB221"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二级指标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FA1A20"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评分标准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E507F2"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所需佐证材料</w:t>
            </w:r>
          </w:p>
        </w:tc>
      </w:tr>
      <w:tr w14:paraId="19A1617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39F989C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布置工作</w:t>
            </w:r>
          </w:p>
          <w:p w14:paraId="604036AE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 w14:paraId="55B37929"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 w14:paraId="7445BEE5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自评通知</w:t>
            </w:r>
          </w:p>
          <w:p w14:paraId="139919A7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（8分）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4A5424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印发绩效自评通知的得2分，否则不得分。</w:t>
            </w:r>
          </w:p>
          <w:p w14:paraId="0192B4F9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按照本规程规定，绩效自评通知包括自评范围、自评主要依据、自评主要内容、自评程序和步骤、有关要求等内容，并附有本通知要求的附件的，得6分；否则缺1项扣1分，最多扣6分。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6C3571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绩效自评通知盖章的电子版</w:t>
            </w:r>
          </w:p>
        </w:tc>
      </w:tr>
      <w:tr w14:paraId="2D843C5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FB3CAD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3A3E34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工作小组</w:t>
            </w:r>
          </w:p>
          <w:p w14:paraId="2819BF49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96725C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成立绩效自评工作小组的得2分，否则不得分。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DFCAF2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本部门、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本单位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预算绩效管理领导小组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  <w:lang w:val="en-US" w:eastAsia="zh-CN"/>
              </w:rPr>
              <w:t>/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绩效评价工作小组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有关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</w:rPr>
              <w:t>文件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盖章的电子版</w:t>
            </w:r>
          </w:p>
        </w:tc>
      </w:tr>
      <w:tr w14:paraId="321FA21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9932F56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实施评价</w:t>
            </w:r>
          </w:p>
          <w:p w14:paraId="12140185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 w14:paraId="089807E6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28CD39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单位自查</w:t>
            </w:r>
          </w:p>
          <w:p w14:paraId="1EC1DEFA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7FCCCD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预算部门本级和所属单位都要开展绩效自查，转移支付项目单位都要开展绩效自查，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县、区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级主管部门都要汇总本区域转移支付情况；以上各项每发现一个单位没有做相应工作的，扣1分，最多扣10分。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3AD71C">
            <w:pPr>
              <w:numPr>
                <w:ilvl w:val="0"/>
                <w:numId w:val="2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转移支付项目单位名称和资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金情况清单</w:t>
            </w:r>
          </w:p>
          <w:p w14:paraId="515154C2">
            <w:pPr>
              <w:numPr>
                <w:ilvl w:val="0"/>
                <w:numId w:val="2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有转移支付资金的各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主管部门汇总情况的盖章PDF版　</w:t>
            </w:r>
          </w:p>
        </w:tc>
      </w:tr>
      <w:tr w14:paraId="6FFFA66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DA0570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5D1EC0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提交报告</w:t>
            </w:r>
          </w:p>
          <w:p w14:paraId="50B50D29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802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02CDA4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按时向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市财政局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报送报告的得10分；每推迟一个工作日报送报告的扣1分，最多扣10分。</w:t>
            </w:r>
          </w:p>
        </w:tc>
      </w:tr>
      <w:tr w14:paraId="6055DCB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3977EA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自评报告</w:t>
            </w:r>
          </w:p>
          <w:p w14:paraId="07B63E45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 w14:paraId="592E45B3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70分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F30DF5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完整性</w:t>
            </w:r>
          </w:p>
          <w:p w14:paraId="3A1D186D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033323"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绩效自评报告正文部分内容齐全的，得8分；否则每少一个部分扣2分，最多扣8分。</w:t>
            </w:r>
          </w:p>
          <w:p w14:paraId="547A8304"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绩效自评报告附件部分内容齐全的，得7分；否则每少一个部分扣2分，最多扣7分。</w:t>
            </w:r>
          </w:p>
        </w:tc>
      </w:tr>
      <w:tr w14:paraId="6EB47DD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3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5BDC41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 w14:paraId="330414EE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</w:t>
            </w:r>
          </w:p>
          <w:p w14:paraId="03667156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自评表</w:t>
            </w:r>
          </w:p>
          <w:p w14:paraId="4CA9A5B6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671CC5"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1、部门整体支出和项目支出绩效指标反映产出、效益、服务对象满意度方面的指标和预算执行率的权重符合《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岳阳市市级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预算部门绩效自评操作规程》要求的，得5分，否则按比例扣除相应的分数。</w:t>
            </w:r>
          </w:p>
          <w:p w14:paraId="10975B4E"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部门整体支出和项目支出绩效指标全部细化到三级指标的，得5分；部分细化的，酌情扣分；没有细化的，不得分。</w:t>
            </w:r>
          </w:p>
          <w:p w14:paraId="4411D8E5"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3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三级绩效指标内涵明确、具体、可衡量的得5分；突出核心指标，精简实用的得3分；指标与部门整体支出和项目支出密切相关，全面反映产出和效益的得2分；否则，每项酌情扣分，最多扣10分。</w:t>
            </w:r>
          </w:p>
        </w:tc>
      </w:tr>
      <w:tr w14:paraId="68DB775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98D3DA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43FC9B">
            <w:pPr>
              <w:jc w:val="center"/>
              <w:rPr>
                <w:rFonts w:hint="default" w:ascii="Times New Roman" w:hAnsi="Times New Roman" w:cs="Times New Roman"/>
                <w:highlight w:val="none"/>
              </w:rPr>
            </w:pPr>
          </w:p>
          <w:p w14:paraId="71CEEF0D"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反映问</w:t>
            </w:r>
          </w:p>
          <w:p w14:paraId="44B1814F"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题情况</w:t>
            </w:r>
          </w:p>
          <w:p w14:paraId="3C8E2697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E80692"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从预算和预算绩效管理，部门履职效能，资金分配、使用和管理，资产和财务管理，政府采购等方面归纳问题、分析原因全面的，得20分；反映问题、分析原因较全面的，得16—18分；反映问题、分析原因不全面的，得13—15分；问题未归纳且过于简单的，得10—12分；只提出资金不足问题的不得分；其他情况酌情扣分。　</w:t>
            </w:r>
          </w:p>
        </w:tc>
      </w:tr>
      <w:tr w14:paraId="682AE31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8B0597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AC6235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建议情况</w:t>
            </w:r>
          </w:p>
          <w:p w14:paraId="2A5EFAAB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88B9E0"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建议与问题对应且全面的得15分，建议比较全面的得12—14分，建议不全面的得9—11分，建议过于简单的得6—8分，只提出加大资金投入建议的不得分；其他情况酌情扣分。</w:t>
            </w:r>
          </w:p>
        </w:tc>
      </w:tr>
      <w:tr w14:paraId="3765FA6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546686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合计</w:t>
            </w:r>
          </w:p>
        </w:tc>
        <w:tc>
          <w:tcPr>
            <w:tcW w:w="1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BFF51D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100分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3C8055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</w:tr>
    </w:tbl>
    <w:p w14:paraId="2D68054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E26964B"/>
    <w:multiLevelType w:val="singleLevel"/>
    <w:tmpl w:val="9E26964B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1">
    <w:nsid w:val="5DDF8822"/>
    <w:multiLevelType w:val="singleLevel"/>
    <w:tmpl w:val="5DDF8822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VhM2RiODNhYzYwODk5ZTg2MTVmODIyMGIzNjA1OGYifQ=="/>
  </w:docVars>
  <w:rsids>
    <w:rsidRoot w:val="59886344"/>
    <w:rsid w:val="00F22F9D"/>
    <w:rsid w:val="010351AA"/>
    <w:rsid w:val="01350C9C"/>
    <w:rsid w:val="015123B9"/>
    <w:rsid w:val="015974C0"/>
    <w:rsid w:val="01706D91"/>
    <w:rsid w:val="02B811DD"/>
    <w:rsid w:val="030A2F9E"/>
    <w:rsid w:val="042F62B6"/>
    <w:rsid w:val="04E05DCB"/>
    <w:rsid w:val="070B300A"/>
    <w:rsid w:val="07AB20F7"/>
    <w:rsid w:val="08D4468A"/>
    <w:rsid w:val="0AA277E2"/>
    <w:rsid w:val="0BC83278"/>
    <w:rsid w:val="0D3D1A44"/>
    <w:rsid w:val="0D676AC1"/>
    <w:rsid w:val="0E2624D8"/>
    <w:rsid w:val="0EEC1973"/>
    <w:rsid w:val="0F1113DA"/>
    <w:rsid w:val="108654B0"/>
    <w:rsid w:val="10B1077E"/>
    <w:rsid w:val="10F1501F"/>
    <w:rsid w:val="10FC5772"/>
    <w:rsid w:val="11477335"/>
    <w:rsid w:val="11A76A18"/>
    <w:rsid w:val="12300CE6"/>
    <w:rsid w:val="13691CCD"/>
    <w:rsid w:val="13CC1D73"/>
    <w:rsid w:val="152F25BA"/>
    <w:rsid w:val="16565924"/>
    <w:rsid w:val="16893F4C"/>
    <w:rsid w:val="16900E36"/>
    <w:rsid w:val="176C18A3"/>
    <w:rsid w:val="17A42169"/>
    <w:rsid w:val="18047D2E"/>
    <w:rsid w:val="18153CE9"/>
    <w:rsid w:val="18273A1C"/>
    <w:rsid w:val="188861E0"/>
    <w:rsid w:val="1A2521DD"/>
    <w:rsid w:val="1AC90DBB"/>
    <w:rsid w:val="1B6E6B2A"/>
    <w:rsid w:val="1B866CAC"/>
    <w:rsid w:val="1C9F02DF"/>
    <w:rsid w:val="1CFC11B5"/>
    <w:rsid w:val="1E8E65A3"/>
    <w:rsid w:val="1ECF44C6"/>
    <w:rsid w:val="1F525966"/>
    <w:rsid w:val="1F9F20EA"/>
    <w:rsid w:val="22966913"/>
    <w:rsid w:val="22B03359"/>
    <w:rsid w:val="22DA1DB7"/>
    <w:rsid w:val="22EA7B20"/>
    <w:rsid w:val="234436D4"/>
    <w:rsid w:val="23641680"/>
    <w:rsid w:val="238910E7"/>
    <w:rsid w:val="24253506"/>
    <w:rsid w:val="24831FDA"/>
    <w:rsid w:val="24D34D10"/>
    <w:rsid w:val="24FA6740"/>
    <w:rsid w:val="25D435F5"/>
    <w:rsid w:val="26103D41"/>
    <w:rsid w:val="26964247"/>
    <w:rsid w:val="26DD00C8"/>
    <w:rsid w:val="27EF6F69"/>
    <w:rsid w:val="286345FC"/>
    <w:rsid w:val="289847C9"/>
    <w:rsid w:val="28991DCC"/>
    <w:rsid w:val="29451F54"/>
    <w:rsid w:val="29B73240"/>
    <w:rsid w:val="2A816AF6"/>
    <w:rsid w:val="2BF10171"/>
    <w:rsid w:val="2C074670"/>
    <w:rsid w:val="2CA23219"/>
    <w:rsid w:val="2EDC0415"/>
    <w:rsid w:val="2EF835C5"/>
    <w:rsid w:val="2FC260AC"/>
    <w:rsid w:val="30AD0B0B"/>
    <w:rsid w:val="323112C7"/>
    <w:rsid w:val="32B85545"/>
    <w:rsid w:val="3350577D"/>
    <w:rsid w:val="34565015"/>
    <w:rsid w:val="34E914C1"/>
    <w:rsid w:val="350C1B78"/>
    <w:rsid w:val="35D45C99"/>
    <w:rsid w:val="35DA6748"/>
    <w:rsid w:val="35EF3A10"/>
    <w:rsid w:val="35F20D6E"/>
    <w:rsid w:val="360F461D"/>
    <w:rsid w:val="36343134"/>
    <w:rsid w:val="36C26992"/>
    <w:rsid w:val="38517C98"/>
    <w:rsid w:val="385950D4"/>
    <w:rsid w:val="38A65E3F"/>
    <w:rsid w:val="38B22A36"/>
    <w:rsid w:val="38F1355F"/>
    <w:rsid w:val="3A6F5083"/>
    <w:rsid w:val="3B170F7B"/>
    <w:rsid w:val="3B25113E"/>
    <w:rsid w:val="3B5129DA"/>
    <w:rsid w:val="3C0161AE"/>
    <w:rsid w:val="3C680F15"/>
    <w:rsid w:val="3C7F0E81"/>
    <w:rsid w:val="3C81109D"/>
    <w:rsid w:val="3DB46FC5"/>
    <w:rsid w:val="3DDA6CB7"/>
    <w:rsid w:val="3FB83028"/>
    <w:rsid w:val="3FDC2362"/>
    <w:rsid w:val="40302BBE"/>
    <w:rsid w:val="404B7DB0"/>
    <w:rsid w:val="412070D7"/>
    <w:rsid w:val="415C7ADD"/>
    <w:rsid w:val="41B94E35"/>
    <w:rsid w:val="42BE6BA7"/>
    <w:rsid w:val="434500D6"/>
    <w:rsid w:val="4550160D"/>
    <w:rsid w:val="471C20EE"/>
    <w:rsid w:val="477261B2"/>
    <w:rsid w:val="48531B40"/>
    <w:rsid w:val="488066AD"/>
    <w:rsid w:val="488501FF"/>
    <w:rsid w:val="49C56A6D"/>
    <w:rsid w:val="4A2C089A"/>
    <w:rsid w:val="4B3E493E"/>
    <w:rsid w:val="4B9A64FB"/>
    <w:rsid w:val="4C434755"/>
    <w:rsid w:val="4D710D8B"/>
    <w:rsid w:val="4E612ADD"/>
    <w:rsid w:val="4FC7696F"/>
    <w:rsid w:val="5019541D"/>
    <w:rsid w:val="505F4DFA"/>
    <w:rsid w:val="51477D68"/>
    <w:rsid w:val="520E5D83"/>
    <w:rsid w:val="523F4EE3"/>
    <w:rsid w:val="52817CEB"/>
    <w:rsid w:val="52EA4E4F"/>
    <w:rsid w:val="53AD7BDA"/>
    <w:rsid w:val="5415414D"/>
    <w:rsid w:val="5435659E"/>
    <w:rsid w:val="56A678AF"/>
    <w:rsid w:val="56E83DA1"/>
    <w:rsid w:val="577E200A"/>
    <w:rsid w:val="583152CE"/>
    <w:rsid w:val="583D1D79"/>
    <w:rsid w:val="58CF5213"/>
    <w:rsid w:val="59886344"/>
    <w:rsid w:val="5AAE0E58"/>
    <w:rsid w:val="5AD563E4"/>
    <w:rsid w:val="5B863B83"/>
    <w:rsid w:val="5C533A65"/>
    <w:rsid w:val="5C7C618F"/>
    <w:rsid w:val="5CEB4A45"/>
    <w:rsid w:val="5D7A7962"/>
    <w:rsid w:val="5E3649E5"/>
    <w:rsid w:val="5F1F0576"/>
    <w:rsid w:val="5F5054DB"/>
    <w:rsid w:val="6192502F"/>
    <w:rsid w:val="626F619A"/>
    <w:rsid w:val="62894684"/>
    <w:rsid w:val="63FB79D0"/>
    <w:rsid w:val="663743F7"/>
    <w:rsid w:val="681A04AD"/>
    <w:rsid w:val="685A568A"/>
    <w:rsid w:val="68837B39"/>
    <w:rsid w:val="6902539D"/>
    <w:rsid w:val="696038C5"/>
    <w:rsid w:val="697A2F79"/>
    <w:rsid w:val="69A022B3"/>
    <w:rsid w:val="6A8B4D12"/>
    <w:rsid w:val="6A947A25"/>
    <w:rsid w:val="6AF24D91"/>
    <w:rsid w:val="6C5C0714"/>
    <w:rsid w:val="6C865790"/>
    <w:rsid w:val="6D1C57AD"/>
    <w:rsid w:val="6EAB5982"/>
    <w:rsid w:val="6F4162E7"/>
    <w:rsid w:val="704D7FE5"/>
    <w:rsid w:val="70AB1C6A"/>
    <w:rsid w:val="70C64CF5"/>
    <w:rsid w:val="717D79A1"/>
    <w:rsid w:val="71BB5EDC"/>
    <w:rsid w:val="71D858A6"/>
    <w:rsid w:val="724E74BA"/>
    <w:rsid w:val="73D72D76"/>
    <w:rsid w:val="73D83EF4"/>
    <w:rsid w:val="74884070"/>
    <w:rsid w:val="74951A61"/>
    <w:rsid w:val="74CA3F6B"/>
    <w:rsid w:val="75660855"/>
    <w:rsid w:val="76592168"/>
    <w:rsid w:val="76595CC4"/>
    <w:rsid w:val="771029DD"/>
    <w:rsid w:val="771434BB"/>
    <w:rsid w:val="78686E6C"/>
    <w:rsid w:val="78A84CE1"/>
    <w:rsid w:val="7B362A78"/>
    <w:rsid w:val="7C02295A"/>
    <w:rsid w:val="7C9A0DE4"/>
    <w:rsid w:val="7C9B7036"/>
    <w:rsid w:val="7CFB5D27"/>
    <w:rsid w:val="7D033C70"/>
    <w:rsid w:val="7DD15C5F"/>
    <w:rsid w:val="7EC107E4"/>
    <w:rsid w:val="7EEF6318"/>
    <w:rsid w:val="7F460DAF"/>
    <w:rsid w:val="7FF56A5D"/>
    <w:rsid w:val="DFEF8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99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autoRedefine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styleId="3">
    <w:name w:val="toc 5"/>
    <w:next w:val="1"/>
    <w:autoRedefine/>
    <w:qFormat/>
    <w:uiPriority w:val="99"/>
    <w:pPr>
      <w:widowControl w:val="0"/>
      <w:ind w:left="1680" w:leftChars="800"/>
      <w:jc w:val="both"/>
    </w:pPr>
    <w:rPr>
      <w:rFonts w:ascii="Arial" w:hAnsi="Arial" w:eastAsia="宋体" w:cs="Arial"/>
      <w:sz w:val="18"/>
      <w:szCs w:val="18"/>
      <w:lang w:val="en-US" w:eastAsia="zh-CN" w:bidi="ar-SA"/>
    </w:rPr>
  </w:style>
  <w:style w:type="paragraph" w:customStyle="1" w:styleId="6">
    <w:name w:val="列出段落1"/>
    <w:basedOn w:val="1"/>
    <w:autoRedefine/>
    <w:qFormat/>
    <w:uiPriority w:val="34"/>
    <w:pPr>
      <w:ind w:firstLine="420" w:firstLineChars="200"/>
    </w:pPr>
  </w:style>
  <w:style w:type="paragraph" w:styleId="7">
    <w:name w:val="List Paragraph"/>
    <w:basedOn w:val="1"/>
    <w:autoRedefine/>
    <w:qFormat/>
    <w:uiPriority w:val="99"/>
    <w:pPr>
      <w:ind w:firstLine="420" w:firstLineChars="200"/>
    </w:pPr>
    <w:rPr>
      <w:rFonts w:ascii="Calibri" w:hAnsi="Calibri"/>
      <w:szCs w:val="22"/>
    </w:rPr>
  </w:style>
  <w:style w:type="table" w:customStyle="1" w:styleId="8">
    <w:name w:val="Table Normal"/>
    <w:autoRedefine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4164</Words>
  <Characters>4648</Characters>
  <Lines>0</Lines>
  <Paragraphs>0</Paragraphs>
  <TotalTime>1</TotalTime>
  <ScaleCrop>false</ScaleCrop>
  <LinksUpToDate>false</LinksUpToDate>
  <CharactersWithSpaces>4890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2024-03-18T08:36:00Z</dcterms:created>
  <dc:creator>Administrator</dc:creator>
  <cp:lastModifiedBy>朱碧珺（找货员-1）</cp:lastModifiedBy>
  <dcterms:modified xsi:type="dcterms:W3CDTF">2024-09-25T02:05:48Z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E6FAEB0550764ADCB6AD68FE44AB2321_13</vt:lpwstr>
  </property>
</Properties>
</file>