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3</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岳阳市岳阳楼区自然资源事务中心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w:t>
            </w: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年实际在职人数</w:t>
            </w:r>
          </w:p>
        </w:tc>
        <w:tc>
          <w:tcPr>
            <w:tcW w:w="1679" w:type="dxa"/>
            <w:gridSpan w:val="2"/>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17</w:t>
            </w:r>
          </w:p>
        </w:tc>
        <w:tc>
          <w:tcPr>
            <w:tcW w:w="2325"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17</w:t>
            </w:r>
          </w:p>
        </w:tc>
        <w:tc>
          <w:tcPr>
            <w:tcW w:w="1679"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年决算数</w:t>
            </w:r>
          </w:p>
        </w:tc>
        <w:tc>
          <w:tcPr>
            <w:tcW w:w="2325" w:type="dxa"/>
            <w:gridSpan w:val="2"/>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年预算数</w:t>
            </w:r>
          </w:p>
        </w:tc>
        <w:tc>
          <w:tcPr>
            <w:tcW w:w="1679" w:type="dxa"/>
            <w:gridSpan w:val="2"/>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w:t>
            </w:r>
            <w:r>
              <w:rPr>
                <w:rFonts w:hint="eastAsia" w:asciiTheme="majorEastAsia" w:hAnsiTheme="majorEastAsia" w:eastAsiaTheme="majorEastAsia" w:cstheme="majorEastAsia"/>
                <w:b w:val="0"/>
                <w:bCs w:val="0"/>
                <w:color w:val="000000" w:themeColor="text1"/>
                <w:spacing w:val="-4"/>
                <w:sz w:val="24"/>
                <w:szCs w:val="24"/>
                <w:lang w:val="en-US" w:eastAsia="zh-CN"/>
                <w14:textFill>
                  <w14:solidFill>
                    <w14:schemeClr w14:val="tx1"/>
                  </w14:solidFill>
                </w14:textFill>
              </w:rPr>
              <w:t>3</w:t>
            </w: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1679"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136.99</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134.97</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134.97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86.4</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98.8</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2021年拆迁档案数字化项目经费</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26.29</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2022年拆迁档案数字化项目经费</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24.3</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36.17</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36.17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13.23</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26.98</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8.66</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20.6</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0.08</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48.65</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25.33</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-23.87</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990"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1140"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1185"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810"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869"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严格缩减经费开支</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3</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9"/>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975"/>
        <w:gridCol w:w="1185"/>
        <w:gridCol w:w="1457"/>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vAlign w:val="top"/>
          </w:tcPr>
          <w:p>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岳阳市岳阳楼区自然资源事务中心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05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457"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054" w:type="dxa"/>
            <w:gridSpan w:val="2"/>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199.89</w:t>
            </w:r>
          </w:p>
        </w:tc>
        <w:tc>
          <w:tcPr>
            <w:tcW w:w="1457"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360.67</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332.85</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92.29%</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9.23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357.43</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197.88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134.97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3.23</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宋体" w:hAnsi="宋体" w:eastAsia="宋体" w:cs="宋体"/>
                <w:b w:val="0"/>
                <w:bCs/>
                <w:color w:val="000000" w:themeColor="text1"/>
                <w:sz w:val="18"/>
                <w:szCs w:val="18"/>
                <w:lang w:eastAsia="zh-CN"/>
                <w14:textFill>
                  <w14:solidFill>
                    <w14:schemeClr w14:val="tx1"/>
                  </w14:solidFill>
                </w14:textFill>
              </w:rPr>
            </w:pPr>
            <w:r>
              <w:rPr>
                <w:rFonts w:hint="eastAsia" w:ascii="宋体" w:hAnsi="宋体" w:eastAsia="宋体" w:cs="宋体"/>
                <w:b w:val="0"/>
                <w:bCs/>
                <w:color w:val="000000" w:themeColor="text1"/>
                <w:sz w:val="18"/>
                <w:szCs w:val="18"/>
                <w14:textFill>
                  <w14:solidFill>
                    <w14:schemeClr w14:val="tx1"/>
                  </w14:solidFill>
                </w14:textFill>
              </w:rPr>
              <w:t>一是服务土地依法征收工作</w:t>
            </w:r>
            <w:r>
              <w:rPr>
                <w:rFonts w:hint="eastAsia" w:ascii="宋体" w:hAnsi="宋体" w:eastAsia="宋体" w:cs="宋体"/>
                <w:b w:val="0"/>
                <w:bCs/>
                <w:color w:val="000000" w:themeColor="text1"/>
                <w:sz w:val="18"/>
                <w:szCs w:val="18"/>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宋体" w:hAnsi="宋体" w:eastAsia="宋体" w:cs="宋体"/>
                <w:b w:val="0"/>
                <w:bCs/>
                <w:color w:val="000000" w:themeColor="text1"/>
                <w:sz w:val="18"/>
                <w:szCs w:val="18"/>
                <w:lang w:eastAsia="zh-CN"/>
                <w14:textFill>
                  <w14:solidFill>
                    <w14:schemeClr w14:val="tx1"/>
                  </w14:solidFill>
                </w14:textFill>
              </w:rPr>
            </w:pPr>
            <w:r>
              <w:rPr>
                <w:rFonts w:hint="eastAsia" w:ascii="宋体" w:hAnsi="宋体" w:eastAsia="宋体" w:cs="宋体"/>
                <w:b w:val="0"/>
                <w:bCs/>
                <w:color w:val="000000" w:themeColor="text1"/>
                <w:sz w:val="18"/>
                <w:szCs w:val="18"/>
                <w14:textFill>
                  <w14:solidFill>
                    <w14:schemeClr w14:val="tx1"/>
                  </w14:solidFill>
                </w14:textFill>
              </w:rPr>
              <w:t>二是服务</w:t>
            </w:r>
            <w:r>
              <w:rPr>
                <w:rFonts w:hint="eastAsia" w:ascii="宋体" w:hAnsi="宋体" w:eastAsia="宋体" w:cs="宋体"/>
                <w:b w:val="0"/>
                <w:bCs/>
                <w:color w:val="000000" w:themeColor="text1"/>
                <w:sz w:val="18"/>
                <w:szCs w:val="18"/>
                <w:lang w:val="en-US" w:eastAsia="zh-CN"/>
                <w14:textFill>
                  <w14:solidFill>
                    <w14:schemeClr w14:val="tx1"/>
                  </w14:solidFill>
                </w14:textFill>
              </w:rPr>
              <w:t>存量</w:t>
            </w:r>
            <w:r>
              <w:rPr>
                <w:rFonts w:hint="eastAsia" w:ascii="宋体" w:hAnsi="宋体" w:eastAsia="宋体" w:cs="宋体"/>
                <w:b w:val="0"/>
                <w:bCs/>
                <w:color w:val="000000" w:themeColor="text1"/>
                <w:sz w:val="18"/>
                <w:szCs w:val="18"/>
                <w14:textFill>
                  <w14:solidFill>
                    <w14:schemeClr w14:val="tx1"/>
                  </w14:solidFill>
                </w14:textFill>
              </w:rPr>
              <w:t>棚</w:t>
            </w:r>
            <w:r>
              <w:rPr>
                <w:rFonts w:hint="eastAsia" w:ascii="宋体" w:hAnsi="宋体" w:eastAsia="宋体" w:cs="宋体"/>
                <w:b w:val="0"/>
                <w:bCs/>
                <w:color w:val="000000" w:themeColor="text1"/>
                <w:sz w:val="18"/>
                <w:szCs w:val="18"/>
                <w:lang w:eastAsia="zh-CN"/>
                <w14:textFill>
                  <w14:solidFill>
                    <w14:schemeClr w14:val="tx1"/>
                  </w14:solidFill>
                </w14:textFill>
              </w:rPr>
              <w:t>（</w:t>
            </w:r>
            <w:r>
              <w:rPr>
                <w:rFonts w:hint="eastAsia" w:ascii="宋体" w:hAnsi="宋体" w:eastAsia="宋体" w:cs="宋体"/>
                <w:b w:val="0"/>
                <w:bCs/>
                <w:color w:val="000000" w:themeColor="text1"/>
                <w:sz w:val="18"/>
                <w:szCs w:val="18"/>
                <w:lang w:val="en-US" w:eastAsia="zh-CN"/>
                <w14:textFill>
                  <w14:solidFill>
                    <w14:schemeClr w14:val="tx1"/>
                  </w14:solidFill>
                </w14:textFill>
              </w:rPr>
              <w:t>旧</w:t>
            </w:r>
            <w:r>
              <w:rPr>
                <w:rFonts w:hint="eastAsia" w:ascii="宋体" w:hAnsi="宋体" w:eastAsia="宋体" w:cs="宋体"/>
                <w:b w:val="0"/>
                <w:bCs/>
                <w:color w:val="000000" w:themeColor="text1"/>
                <w:sz w:val="18"/>
                <w:szCs w:val="18"/>
                <w:lang w:eastAsia="zh-CN"/>
                <w14:textFill>
                  <w14:solidFill>
                    <w14:schemeClr w14:val="tx1"/>
                  </w14:solidFill>
                </w14:textFill>
              </w:rPr>
              <w:t>）</w:t>
            </w:r>
            <w:r>
              <w:rPr>
                <w:rFonts w:hint="eastAsia" w:ascii="宋体" w:hAnsi="宋体" w:eastAsia="宋体" w:cs="宋体"/>
                <w:b w:val="0"/>
                <w:bCs/>
                <w:color w:val="000000" w:themeColor="text1"/>
                <w:sz w:val="18"/>
                <w:szCs w:val="18"/>
                <w14:textFill>
                  <w14:solidFill>
                    <w14:schemeClr w14:val="tx1"/>
                  </w14:solidFill>
                </w14:textFill>
              </w:rPr>
              <w:t>改项目征拆</w:t>
            </w:r>
            <w:r>
              <w:rPr>
                <w:rFonts w:hint="eastAsia" w:ascii="宋体" w:hAnsi="宋体" w:eastAsia="宋体" w:cs="宋体"/>
                <w:b w:val="0"/>
                <w:bCs/>
                <w:color w:val="000000" w:themeColor="text1"/>
                <w:sz w:val="18"/>
                <w:szCs w:val="18"/>
                <w:lang w:val="en-US" w:eastAsia="zh-CN"/>
                <w14:textFill>
                  <w14:solidFill>
                    <w14:schemeClr w14:val="tx1"/>
                  </w14:solidFill>
                </w14:textFill>
              </w:rPr>
              <w:t>结算</w:t>
            </w:r>
            <w:r>
              <w:rPr>
                <w:rFonts w:hint="eastAsia" w:ascii="宋体" w:hAnsi="宋体" w:eastAsia="宋体" w:cs="宋体"/>
                <w:b w:val="0"/>
                <w:bCs/>
                <w:color w:val="000000" w:themeColor="text1"/>
                <w:sz w:val="18"/>
                <w:szCs w:val="18"/>
                <w14:textFill>
                  <w14:solidFill>
                    <w14:schemeClr w14:val="tx1"/>
                  </w14:solidFill>
                </w14:textFill>
              </w:rPr>
              <w:t>清零</w:t>
            </w:r>
            <w:r>
              <w:rPr>
                <w:rFonts w:hint="eastAsia" w:ascii="宋体" w:hAnsi="宋体" w:eastAsia="宋体" w:cs="宋体"/>
                <w:b w:val="0"/>
                <w:bCs/>
                <w:color w:val="000000" w:themeColor="text1"/>
                <w:sz w:val="18"/>
                <w:szCs w:val="18"/>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宋体" w:hAnsi="宋体" w:eastAsia="宋体" w:cs="宋体"/>
                <w:b w:val="0"/>
                <w:bCs/>
                <w:color w:val="000000" w:themeColor="text1"/>
                <w:sz w:val="18"/>
                <w:szCs w:val="18"/>
                <w:lang w:eastAsia="zh-CN"/>
                <w14:textFill>
                  <w14:solidFill>
                    <w14:schemeClr w14:val="tx1"/>
                  </w14:solidFill>
                </w14:textFill>
              </w:rPr>
            </w:pPr>
            <w:r>
              <w:rPr>
                <w:rFonts w:hint="eastAsia" w:ascii="宋体" w:hAnsi="宋体" w:eastAsia="宋体" w:cs="宋体"/>
                <w:b w:val="0"/>
                <w:bCs/>
                <w:color w:val="000000" w:themeColor="text1"/>
                <w:sz w:val="18"/>
                <w:szCs w:val="18"/>
                <w14:textFill>
                  <w14:solidFill>
                    <w14:schemeClr w14:val="tx1"/>
                  </w14:solidFill>
                </w14:textFill>
              </w:rPr>
              <w:t>三是服务土地出让</w:t>
            </w:r>
            <w:r>
              <w:rPr>
                <w:rFonts w:hint="eastAsia" w:ascii="宋体" w:hAnsi="宋体" w:eastAsia="宋体" w:cs="宋体"/>
                <w:b w:val="0"/>
                <w:bCs/>
                <w:color w:val="000000" w:themeColor="text1"/>
                <w:sz w:val="18"/>
                <w:szCs w:val="18"/>
                <w:lang w:val="en-US" w:eastAsia="zh-CN"/>
                <w14:textFill>
                  <w14:solidFill>
                    <w14:schemeClr w14:val="tx1"/>
                  </w14:solidFill>
                </w14:textFill>
              </w:rPr>
              <w:t>和储备项目腾地</w:t>
            </w:r>
            <w:r>
              <w:rPr>
                <w:rFonts w:hint="eastAsia" w:ascii="宋体" w:hAnsi="宋体" w:eastAsia="宋体" w:cs="宋体"/>
                <w:b w:val="0"/>
                <w:bCs/>
                <w:color w:val="000000" w:themeColor="text1"/>
                <w:sz w:val="18"/>
                <w:szCs w:val="18"/>
                <w14:textFill>
                  <w14:solidFill>
                    <w14:schemeClr w14:val="tx1"/>
                  </w14:solidFill>
                </w14:textFill>
              </w:rPr>
              <w:t>工作</w:t>
            </w:r>
            <w:r>
              <w:rPr>
                <w:rFonts w:hint="eastAsia" w:ascii="宋体" w:hAnsi="宋体" w:eastAsia="宋体" w:cs="宋体"/>
                <w:b w:val="0"/>
                <w:bCs/>
                <w:color w:val="000000" w:themeColor="text1"/>
                <w:sz w:val="18"/>
                <w:szCs w:val="18"/>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宋体" w:hAnsi="宋体" w:eastAsia="宋体" w:cs="宋体"/>
                <w:b w:val="0"/>
                <w:bCs/>
                <w:color w:val="000000" w:themeColor="text1"/>
                <w:sz w:val="18"/>
                <w:szCs w:val="18"/>
                <w:lang w:eastAsia="zh-CN"/>
                <w14:textFill>
                  <w14:solidFill>
                    <w14:schemeClr w14:val="tx1"/>
                  </w14:solidFill>
                </w14:textFill>
              </w:rPr>
            </w:pPr>
            <w:r>
              <w:rPr>
                <w:rFonts w:hint="eastAsia" w:ascii="宋体" w:hAnsi="宋体" w:eastAsia="宋体" w:cs="宋体"/>
                <w:b w:val="0"/>
                <w:bCs/>
                <w:color w:val="000000" w:themeColor="text1"/>
                <w:sz w:val="18"/>
                <w:szCs w:val="18"/>
                <w:lang w:val="en-US" w:eastAsia="zh-CN"/>
                <w14:textFill>
                  <w14:solidFill>
                    <w14:schemeClr w14:val="tx1"/>
                  </w14:solidFill>
                </w14:textFill>
              </w:rPr>
              <w:t>四</w:t>
            </w:r>
            <w:r>
              <w:rPr>
                <w:rFonts w:hint="eastAsia" w:ascii="宋体" w:hAnsi="宋体" w:eastAsia="宋体" w:cs="宋体"/>
                <w:b w:val="0"/>
                <w:bCs/>
                <w:color w:val="000000" w:themeColor="text1"/>
                <w:sz w:val="18"/>
                <w:szCs w:val="18"/>
                <w14:textFill>
                  <w14:solidFill>
                    <w14:schemeClr w14:val="tx1"/>
                  </w14:solidFill>
                </w14:textFill>
              </w:rPr>
              <w:t>是服务省市重点项目</w:t>
            </w:r>
            <w:r>
              <w:rPr>
                <w:rFonts w:hint="eastAsia" w:ascii="宋体" w:hAnsi="宋体" w:eastAsia="宋体" w:cs="宋体"/>
                <w:b w:val="0"/>
                <w:bCs/>
                <w:color w:val="000000" w:themeColor="text1"/>
                <w:sz w:val="18"/>
                <w:szCs w:val="18"/>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宋体" w:hAnsi="宋体" w:eastAsia="宋体" w:cs="宋体"/>
                <w:b w:val="0"/>
                <w:bCs/>
                <w:color w:val="000000" w:themeColor="text1"/>
                <w:sz w:val="18"/>
                <w:szCs w:val="18"/>
                <w:lang w:val="en-US" w:eastAsia="zh-CN"/>
                <w14:textFill>
                  <w14:solidFill>
                    <w14:schemeClr w14:val="tx1"/>
                  </w14:solidFill>
                </w14:textFill>
              </w:rPr>
            </w:pPr>
            <w:r>
              <w:rPr>
                <w:rFonts w:hint="eastAsia" w:ascii="宋体" w:hAnsi="宋体" w:eastAsia="宋体" w:cs="宋体"/>
                <w:b w:val="0"/>
                <w:bCs/>
                <w:color w:val="000000" w:themeColor="text1"/>
                <w:sz w:val="18"/>
                <w:szCs w:val="18"/>
                <w:lang w:val="en-US" w:eastAsia="zh-CN"/>
                <w14:textFill>
                  <w14:solidFill>
                    <w14:schemeClr w14:val="tx1"/>
                  </w14:solidFill>
                </w14:textFill>
              </w:rPr>
              <w:t>五是服务区政府财税工作；</w:t>
            </w:r>
          </w:p>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宋体" w:hAnsi="宋体" w:eastAsia="仿宋" w:cs="宋体"/>
                <w:color w:val="000000" w:themeColor="text1"/>
                <w:spacing w:val="0"/>
                <w:sz w:val="18"/>
                <w:szCs w:val="18"/>
                <w:lang w:eastAsia="zh-CN"/>
                <w14:textFill>
                  <w14:solidFill>
                    <w14:schemeClr w14:val="tx1"/>
                  </w14:solidFill>
                </w14:textFill>
              </w:rPr>
            </w:pPr>
            <w:r>
              <w:rPr>
                <w:rFonts w:hint="eastAsia" w:ascii="宋体" w:hAnsi="宋体" w:eastAsia="宋体" w:cs="宋体"/>
                <w:b w:val="0"/>
                <w:bCs/>
                <w:color w:val="000000" w:themeColor="text1"/>
                <w:sz w:val="18"/>
                <w:szCs w:val="18"/>
                <w:lang w:val="en-US" w:eastAsia="zh-CN"/>
                <w14:textFill>
                  <w14:solidFill>
                    <w14:schemeClr w14:val="tx1"/>
                  </w14:solidFill>
                </w14:textFill>
              </w:rPr>
              <w:t>六是</w:t>
            </w:r>
            <w:r>
              <w:rPr>
                <w:rFonts w:hint="eastAsia" w:ascii="宋体" w:hAnsi="宋体" w:eastAsia="宋体" w:cs="宋体"/>
                <w:b w:val="0"/>
                <w:bCs/>
                <w:color w:val="000000" w:themeColor="text1"/>
                <w:sz w:val="18"/>
                <w:szCs w:val="18"/>
                <w14:textFill>
                  <w14:solidFill>
                    <w14:schemeClr w14:val="tx1"/>
                  </w14:solidFill>
                </w14:textFill>
              </w:rPr>
              <w:t>严格监管拆迁资金确保专款专用拨付到位</w:t>
            </w:r>
            <w:r>
              <w:rPr>
                <w:rFonts w:hint="eastAsia" w:ascii="宋体" w:hAnsi="宋体" w:eastAsia="宋体" w:cs="宋体"/>
                <w:b w:val="0"/>
                <w:bCs/>
                <w:color w:val="000000" w:themeColor="text1"/>
                <w:sz w:val="18"/>
                <w:szCs w:val="18"/>
                <w:lang w:eastAsia="zh-CN"/>
                <w14:textFill>
                  <w14:solidFill>
                    <w14:schemeClr w14:val="tx1"/>
                  </w14:solidFill>
                </w14:textFill>
              </w:rPr>
              <w:t>。</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宋体" w:hAnsi="宋体" w:eastAsia="宋体" w:cs="宋体"/>
                <w:color w:val="000000" w:themeColor="text1"/>
                <w:sz w:val="18"/>
                <w:szCs w:val="18"/>
                <w:lang w:eastAsia="zh-CN"/>
                <w14:textFill>
                  <w14:solidFill>
                    <w14:schemeClr w14:val="tx1"/>
                  </w14:solidFill>
                </w14:textFill>
              </w:rPr>
            </w:pPr>
            <w:r>
              <w:rPr>
                <w:rFonts w:hint="eastAsia" w:ascii="宋体" w:hAnsi="宋体" w:eastAsia="宋体" w:cs="宋体"/>
                <w:bCs/>
                <w:color w:val="000000" w:themeColor="text1"/>
                <w:sz w:val="18"/>
                <w:szCs w:val="18"/>
                <w:lang w:val="en-US" w:eastAsia="zh-CN"/>
                <w14:textFill>
                  <w14:solidFill>
                    <w14:schemeClr w14:val="tx1"/>
                  </w14:solidFill>
                </w14:textFill>
              </w:rPr>
              <w:t>一、</w:t>
            </w:r>
            <w:r>
              <w:rPr>
                <w:rFonts w:hint="eastAsia" w:ascii="宋体" w:hAnsi="宋体" w:eastAsia="宋体" w:cs="宋体"/>
                <w:bCs/>
                <w:color w:val="000000" w:themeColor="text1"/>
                <w:sz w:val="18"/>
                <w:szCs w:val="18"/>
                <w14:textFill>
                  <w14:solidFill>
                    <w14:schemeClr w14:val="tx1"/>
                  </w14:solidFill>
                </w14:textFill>
              </w:rPr>
              <w:t>202</w:t>
            </w:r>
            <w:r>
              <w:rPr>
                <w:rFonts w:hint="eastAsia" w:ascii="宋体" w:hAnsi="宋体" w:eastAsia="宋体" w:cs="宋体"/>
                <w:bCs/>
                <w:color w:val="000000" w:themeColor="text1"/>
                <w:sz w:val="18"/>
                <w:szCs w:val="18"/>
                <w:lang w:val="en-US" w:eastAsia="zh-CN"/>
                <w14:textFill>
                  <w14:solidFill>
                    <w14:schemeClr w14:val="tx1"/>
                  </w14:solidFill>
                </w14:textFill>
              </w:rPr>
              <w:t>3</w:t>
            </w:r>
            <w:r>
              <w:rPr>
                <w:rFonts w:hint="eastAsia" w:ascii="宋体" w:hAnsi="宋体" w:eastAsia="宋体" w:cs="宋体"/>
                <w:bCs/>
                <w:color w:val="000000" w:themeColor="text1"/>
                <w:sz w:val="18"/>
                <w:szCs w:val="18"/>
                <w14:textFill>
                  <w14:solidFill>
                    <w14:schemeClr w14:val="tx1"/>
                  </w14:solidFill>
                </w14:textFill>
              </w:rPr>
              <w:t>年</w:t>
            </w:r>
            <w:r>
              <w:rPr>
                <w:rFonts w:hint="eastAsia" w:ascii="宋体" w:hAnsi="宋体" w:eastAsia="宋体" w:cs="宋体"/>
                <w:bCs/>
                <w:color w:val="000000" w:themeColor="text1"/>
                <w:sz w:val="18"/>
                <w:szCs w:val="18"/>
                <w:lang w:val="en-US" w:eastAsia="zh-CN"/>
                <w14:textFill>
                  <w14:solidFill>
                    <w14:schemeClr w14:val="tx1"/>
                  </w14:solidFill>
                </w14:textFill>
              </w:rPr>
              <w:t>实施西瓜山湖光一路西南侧</w:t>
            </w:r>
            <w:r>
              <w:rPr>
                <w:rFonts w:hint="eastAsia" w:ascii="宋体" w:hAnsi="宋体" w:eastAsia="宋体" w:cs="宋体"/>
                <w:color w:val="000000" w:themeColor="text1"/>
                <w:sz w:val="18"/>
                <w:szCs w:val="18"/>
                <w14:textFill>
                  <w14:solidFill>
                    <w14:schemeClr w14:val="tx1"/>
                  </w14:solidFill>
                </w14:textFill>
              </w:rPr>
              <w:t>等一批</w:t>
            </w:r>
            <w:r>
              <w:rPr>
                <w:rFonts w:hint="eastAsia" w:ascii="宋体" w:hAnsi="宋体" w:eastAsia="宋体" w:cs="宋体"/>
                <w:color w:val="000000" w:themeColor="text1"/>
                <w:sz w:val="18"/>
                <w:szCs w:val="18"/>
                <w:lang w:val="en-US" w:eastAsia="zh-CN"/>
                <w14:textFill>
                  <w14:solidFill>
                    <w14:schemeClr w14:val="tx1"/>
                  </w14:solidFill>
                </w14:textFill>
              </w:rPr>
              <w:t>19个土地储备、</w:t>
            </w:r>
            <w:r>
              <w:rPr>
                <w:rFonts w:hint="eastAsia" w:ascii="宋体" w:hAnsi="宋体" w:eastAsia="宋体" w:cs="宋体"/>
                <w:color w:val="000000" w:themeColor="text1"/>
                <w:sz w:val="18"/>
                <w:szCs w:val="18"/>
                <w14:textFill>
                  <w14:solidFill>
                    <w14:schemeClr w14:val="tx1"/>
                  </w14:solidFill>
                </w14:textFill>
              </w:rPr>
              <w:t>依法征收</w:t>
            </w:r>
            <w:r>
              <w:rPr>
                <w:rFonts w:hint="eastAsia" w:ascii="宋体" w:hAnsi="宋体" w:eastAsia="宋体" w:cs="宋体"/>
                <w:color w:val="000000" w:themeColor="text1"/>
                <w:sz w:val="18"/>
                <w:szCs w:val="18"/>
                <w:lang w:eastAsia="zh-CN"/>
                <w14:textFill>
                  <w14:solidFill>
                    <w14:schemeClr w14:val="tx1"/>
                  </w14:solidFill>
                </w14:textFill>
              </w:rPr>
              <w:t>、</w:t>
            </w:r>
            <w:r>
              <w:rPr>
                <w:rFonts w:hint="eastAsia" w:ascii="宋体" w:hAnsi="宋体" w:eastAsia="宋体" w:cs="宋体"/>
                <w:color w:val="000000" w:themeColor="text1"/>
                <w:sz w:val="18"/>
                <w:szCs w:val="18"/>
                <w:lang w:val="en-US" w:eastAsia="zh-CN"/>
                <w14:textFill>
                  <w14:solidFill>
                    <w14:schemeClr w14:val="tx1"/>
                  </w14:solidFill>
                </w14:textFill>
              </w:rPr>
              <w:t>胥家桥物流园配套和交通运输重点</w:t>
            </w:r>
            <w:r>
              <w:rPr>
                <w:rFonts w:hint="eastAsia" w:ascii="宋体" w:hAnsi="宋体" w:eastAsia="宋体" w:cs="宋体"/>
                <w:color w:val="000000" w:themeColor="text1"/>
                <w:sz w:val="18"/>
                <w:szCs w:val="18"/>
                <w14:textFill>
                  <w14:solidFill>
                    <w14:schemeClr w14:val="tx1"/>
                  </w14:solidFill>
                </w14:textFill>
              </w:rPr>
              <w:t>项目，共征收</w:t>
            </w:r>
            <w:r>
              <w:rPr>
                <w:rFonts w:hint="eastAsia" w:ascii="宋体" w:hAnsi="宋体" w:eastAsia="宋体" w:cs="宋体"/>
                <w:color w:val="000000" w:themeColor="text1"/>
                <w:sz w:val="18"/>
                <w:szCs w:val="18"/>
                <w:u w:val="none"/>
                <w14:textFill>
                  <w14:solidFill>
                    <w14:schemeClr w14:val="tx1"/>
                  </w14:solidFill>
                </w14:textFill>
              </w:rPr>
              <w:t>土地</w:t>
            </w:r>
            <w:r>
              <w:rPr>
                <w:rFonts w:hint="eastAsia" w:ascii="宋体" w:hAnsi="宋体" w:eastAsia="宋体" w:cs="宋体"/>
                <w:color w:val="000000" w:themeColor="text1"/>
                <w:sz w:val="18"/>
                <w:szCs w:val="18"/>
                <w:u w:val="none"/>
                <w:vertAlign w:val="baseline"/>
                <w:lang w:val="en-US" w:eastAsia="zh-CN"/>
                <w14:textFill>
                  <w14:solidFill>
                    <w14:schemeClr w14:val="tx1"/>
                  </w14:solidFill>
                </w14:textFill>
              </w:rPr>
              <w:t>1377.5568</w:t>
            </w:r>
            <w:r>
              <w:rPr>
                <w:rFonts w:hint="eastAsia" w:ascii="宋体" w:hAnsi="宋体" w:eastAsia="宋体" w:cs="宋体"/>
                <w:color w:val="000000" w:themeColor="text1"/>
                <w:sz w:val="18"/>
                <w:szCs w:val="18"/>
                <w:u w:val="none"/>
                <w14:textFill>
                  <w14:solidFill>
                    <w14:schemeClr w14:val="tx1"/>
                  </w14:solidFill>
                </w14:textFill>
              </w:rPr>
              <w:t>亩，拆迁房屋</w:t>
            </w:r>
            <w:r>
              <w:rPr>
                <w:rFonts w:hint="eastAsia" w:ascii="宋体" w:hAnsi="宋体" w:eastAsia="宋体" w:cs="宋体"/>
                <w:color w:val="000000" w:themeColor="text1"/>
                <w:sz w:val="18"/>
                <w:szCs w:val="18"/>
                <w:u w:val="none"/>
                <w:lang w:val="en-US" w:eastAsia="zh-CN"/>
                <w14:textFill>
                  <w14:solidFill>
                    <w14:schemeClr w14:val="tx1"/>
                  </w14:solidFill>
                </w14:textFill>
              </w:rPr>
              <w:t>168</w:t>
            </w:r>
            <w:r>
              <w:rPr>
                <w:rFonts w:hint="eastAsia" w:ascii="宋体" w:hAnsi="宋体" w:eastAsia="宋体" w:cs="宋体"/>
                <w:color w:val="000000" w:themeColor="text1"/>
                <w:sz w:val="18"/>
                <w:szCs w:val="18"/>
                <w:u w:val="none"/>
                <w14:textFill>
                  <w14:solidFill>
                    <w14:schemeClr w14:val="tx1"/>
                  </w14:solidFill>
                </w14:textFill>
              </w:rPr>
              <w:t>栋/户，拆迁房屋面积</w:t>
            </w:r>
            <w:r>
              <w:rPr>
                <w:rFonts w:hint="eastAsia" w:ascii="宋体" w:hAnsi="宋体" w:eastAsia="宋体" w:cs="宋体"/>
                <w:color w:val="000000" w:themeColor="text1"/>
                <w:sz w:val="18"/>
                <w:szCs w:val="18"/>
                <w:u w:val="none"/>
                <w:lang w:val="en-US" w:eastAsia="zh-CN"/>
                <w14:textFill>
                  <w14:solidFill>
                    <w14:schemeClr w14:val="tx1"/>
                  </w14:solidFill>
                </w14:textFill>
              </w:rPr>
              <w:t>51311.5115</w:t>
            </w:r>
            <w:r>
              <w:rPr>
                <w:rFonts w:hint="eastAsia" w:ascii="宋体" w:hAnsi="宋体" w:eastAsia="宋体" w:cs="宋体"/>
                <w:color w:val="000000" w:themeColor="text1"/>
                <w:sz w:val="18"/>
                <w:szCs w:val="18"/>
                <w:u w:val="none"/>
                <w14:textFill>
                  <w14:solidFill>
                    <w14:schemeClr w14:val="tx1"/>
                  </w14:solidFill>
                </w14:textFill>
              </w:rPr>
              <w:t>平</w:t>
            </w:r>
            <w:r>
              <w:rPr>
                <w:rFonts w:hint="eastAsia" w:ascii="宋体" w:hAnsi="宋体" w:eastAsia="宋体" w:cs="宋体"/>
                <w:color w:val="000000" w:themeColor="text1"/>
                <w:sz w:val="18"/>
                <w:szCs w:val="18"/>
                <w14:textFill>
                  <w14:solidFill>
                    <w14:schemeClr w14:val="tx1"/>
                  </w14:solidFill>
                </w14:textFill>
              </w:rPr>
              <w:t>方米</w:t>
            </w:r>
            <w:r>
              <w:rPr>
                <w:rFonts w:hint="eastAsia" w:ascii="宋体" w:hAnsi="宋体" w:eastAsia="宋体" w:cs="宋体"/>
                <w:color w:val="000000" w:themeColor="text1"/>
                <w:sz w:val="18"/>
                <w:szCs w:val="18"/>
                <w:lang w:eastAsia="zh-CN"/>
                <w14:textFill>
                  <w14:solidFill>
                    <w14:schemeClr w14:val="tx1"/>
                  </w14:solidFill>
                </w14:textFill>
              </w:rPr>
              <w:t>；</w:t>
            </w:r>
          </w:p>
          <w:p>
            <w:pPr>
              <w:keepNext w:val="0"/>
              <w:keepLines w:val="0"/>
              <w:pageBreakBefore w:val="0"/>
              <w:widowControl w:val="0"/>
              <w:numPr>
                <w:ilvl w:val="0"/>
                <w:numId w:val="1"/>
              </w:numPr>
              <w:kinsoku/>
              <w:wordWrap/>
              <w:overflowPunct/>
              <w:topLinePunct w:val="0"/>
              <w:autoSpaceDE/>
              <w:autoSpaceDN/>
              <w:bidi w:val="0"/>
              <w:adjustRightInd/>
              <w:snapToGrid/>
              <w:spacing w:line="240" w:lineRule="exact"/>
              <w:ind w:left="0"/>
              <w:jc w:val="both"/>
              <w:textAlignment w:val="auto"/>
              <w:rPr>
                <w:rFonts w:hint="eastAsia" w:ascii="宋体" w:hAnsi="宋体" w:eastAsia="宋体" w:cs="宋体"/>
                <w:color w:val="000000" w:themeColor="text1"/>
                <w:sz w:val="18"/>
                <w:szCs w:val="18"/>
                <w:lang w:eastAsia="zh-CN"/>
                <w14:textFill>
                  <w14:solidFill>
                    <w14:schemeClr w14:val="tx1"/>
                  </w14:solidFill>
                </w14:textFill>
              </w:rPr>
            </w:pPr>
            <w:r>
              <w:rPr>
                <w:rStyle w:val="10"/>
                <w:rFonts w:hint="eastAsia" w:ascii="宋体" w:hAnsi="宋体" w:eastAsia="宋体" w:cs="宋体"/>
                <w:color w:val="000000" w:themeColor="text1"/>
                <w:sz w:val="18"/>
                <w:szCs w:val="18"/>
                <w14:textFill>
                  <w14:solidFill>
                    <w14:schemeClr w14:val="tx1"/>
                  </w14:solidFill>
                </w14:textFill>
              </w:rPr>
              <w:t>存量棚改项目成本结算</w:t>
            </w:r>
            <w:r>
              <w:rPr>
                <w:rFonts w:hint="eastAsia" w:ascii="宋体" w:hAnsi="宋体" w:eastAsia="宋体" w:cs="宋体"/>
                <w:color w:val="000000" w:themeColor="text1"/>
                <w:sz w:val="18"/>
                <w:szCs w:val="18"/>
                <w14:textFill>
                  <w14:solidFill>
                    <w14:schemeClr w14:val="tx1"/>
                  </w14:solidFill>
                </w14:textFill>
              </w:rPr>
              <w:t>涉及集体土地共35个项目（含子项目和增补）</w:t>
            </w:r>
            <w:r>
              <w:rPr>
                <w:rFonts w:hint="eastAsia" w:ascii="宋体" w:hAnsi="宋体" w:eastAsia="宋体" w:cs="宋体"/>
                <w:color w:val="000000" w:themeColor="text1"/>
                <w:sz w:val="18"/>
                <w:szCs w:val="18"/>
                <w:lang w:eastAsia="zh-CN"/>
                <w14:textFill>
                  <w14:solidFill>
                    <w14:schemeClr w14:val="tx1"/>
                  </w14:solidFill>
                </w14:textFill>
              </w:rPr>
              <w:t>，</w:t>
            </w:r>
            <w:r>
              <w:rPr>
                <w:rFonts w:hint="eastAsia" w:ascii="宋体" w:hAnsi="宋体" w:eastAsia="宋体" w:cs="宋体"/>
                <w:color w:val="000000" w:themeColor="text1"/>
                <w:sz w:val="18"/>
                <w:szCs w:val="18"/>
                <w:lang w:val="en-US" w:eastAsia="zh-CN"/>
                <w14:textFill>
                  <w14:solidFill>
                    <w14:schemeClr w14:val="tx1"/>
                  </w14:solidFill>
                </w14:textFill>
              </w:rPr>
              <w:t>概算上报总金额：111.9322亿元</w:t>
            </w:r>
            <w:r>
              <w:rPr>
                <w:rFonts w:hint="eastAsia" w:ascii="宋体" w:hAnsi="宋体" w:eastAsia="宋体" w:cs="宋体"/>
                <w:color w:val="000000" w:themeColor="text1"/>
                <w:sz w:val="18"/>
                <w:szCs w:val="18"/>
                <w:lang w:eastAsia="zh-CN"/>
                <w14:textFill>
                  <w14:solidFill>
                    <w14:schemeClr w14:val="tx1"/>
                  </w14:solidFill>
                </w14:textFill>
              </w:rPr>
              <w:t>，已有</w:t>
            </w:r>
            <w:r>
              <w:rPr>
                <w:rFonts w:hint="eastAsia" w:ascii="宋体" w:hAnsi="宋体" w:eastAsia="宋体" w:cs="宋体"/>
                <w:color w:val="000000" w:themeColor="text1"/>
                <w:sz w:val="18"/>
                <w:szCs w:val="18"/>
                <w:lang w:val="en-US" w:eastAsia="zh-CN"/>
                <w14:textFill>
                  <w14:solidFill>
                    <w14:schemeClr w14:val="tx1"/>
                  </w14:solidFill>
                </w14:textFill>
              </w:rPr>
              <w:t>32个在市财政局完成了备案程序，备案金额82.9866</w:t>
            </w:r>
            <w:r>
              <w:rPr>
                <w:rFonts w:hint="eastAsia" w:ascii="宋体" w:hAnsi="宋体" w:eastAsia="宋体" w:cs="宋体"/>
                <w:color w:val="000000" w:themeColor="text1"/>
                <w:sz w:val="18"/>
                <w:szCs w:val="18"/>
                <w:highlight w:val="none"/>
                <w:lang w:val="en-US" w:eastAsia="zh-CN"/>
                <w14:textFill>
                  <w14:solidFill>
                    <w14:schemeClr w14:val="tx1"/>
                  </w14:solidFill>
                </w14:textFill>
              </w:rPr>
              <w:t>亿元</w:t>
            </w:r>
            <w:r>
              <w:rPr>
                <w:rFonts w:hint="eastAsia" w:ascii="宋体" w:hAnsi="宋体" w:eastAsia="宋体" w:cs="宋体"/>
                <w:color w:val="000000" w:themeColor="text1"/>
                <w:sz w:val="18"/>
                <w:szCs w:val="18"/>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三、2023年已出让成交25宗地，</w:t>
            </w:r>
            <w:r>
              <w:rPr>
                <w:rFonts w:hint="eastAsia" w:ascii="宋体" w:hAnsi="宋体" w:eastAsia="宋体" w:cs="宋体"/>
                <w:color w:val="000000" w:themeColor="text1"/>
                <w:kern w:val="2"/>
                <w:sz w:val="18"/>
                <w:szCs w:val="18"/>
                <w:shd w:val="clear" w:color="auto" w:fill="FFFFFF"/>
                <w:lang w:val="en-US" w:eastAsia="zh-CN" w:bidi="ar-SA"/>
                <w14:textFill>
                  <w14:solidFill>
                    <w14:schemeClr w14:val="tx1"/>
                  </w14:solidFill>
                </w14:textFill>
              </w:rPr>
              <w:t>其中征拆地块18宗地，出让面积1178.28亩，成交价228483万元；四、</w:t>
            </w:r>
            <w:r>
              <w:rPr>
                <w:rFonts w:hint="eastAsia" w:ascii="宋体" w:hAnsi="宋体" w:eastAsia="宋体" w:cs="宋体"/>
                <w:color w:val="000000" w:themeColor="text1"/>
                <w:sz w:val="18"/>
                <w:szCs w:val="18"/>
                <w14:textFill>
                  <w14:solidFill>
                    <w14:schemeClr w14:val="tx1"/>
                  </w14:solidFill>
                </w14:textFill>
              </w:rPr>
              <w:t>一方面</w:t>
            </w:r>
            <w:r>
              <w:rPr>
                <w:rFonts w:hint="eastAsia" w:ascii="宋体" w:hAnsi="宋体" w:eastAsia="宋体" w:cs="宋体"/>
                <w:color w:val="000000" w:themeColor="text1"/>
                <w:sz w:val="18"/>
                <w:szCs w:val="18"/>
                <w:lang w:val="en-US" w:eastAsia="zh-CN"/>
                <w14:textFill>
                  <w14:solidFill>
                    <w14:schemeClr w14:val="tx1"/>
                  </w14:solidFill>
                </w14:textFill>
              </w:rPr>
              <w:t>加速完成东风湖环境整治工程项目（望岳路项目部）征购补偿概算的补编工作</w:t>
            </w:r>
            <w:r>
              <w:rPr>
                <w:rFonts w:hint="eastAsia" w:ascii="宋体" w:hAnsi="宋体" w:eastAsia="宋体" w:cs="宋体"/>
                <w:b w:val="0"/>
                <w:bCs w:val="0"/>
                <w:color w:val="000000" w:themeColor="text1"/>
                <w:sz w:val="18"/>
                <w:szCs w:val="18"/>
                <w14:textFill>
                  <w14:solidFill>
                    <w14:schemeClr w14:val="tx1"/>
                  </w14:solidFill>
                </w14:textFill>
              </w:rPr>
              <w:t>，</w:t>
            </w:r>
            <w:r>
              <w:rPr>
                <w:rFonts w:hint="eastAsia" w:ascii="宋体" w:hAnsi="宋体" w:eastAsia="宋体" w:cs="宋体"/>
                <w:color w:val="000000" w:themeColor="text1"/>
                <w:sz w:val="18"/>
                <w:szCs w:val="18"/>
                <w14:textFill>
                  <w14:solidFill>
                    <w14:schemeClr w14:val="tx1"/>
                  </w14:solidFill>
                </w14:textFill>
              </w:rPr>
              <w:t>另一方面积极</w:t>
            </w:r>
            <w:r>
              <w:rPr>
                <w:rFonts w:hint="eastAsia" w:ascii="宋体" w:hAnsi="宋体" w:eastAsia="宋体" w:cs="宋体"/>
                <w:color w:val="000000" w:themeColor="text1"/>
                <w:sz w:val="18"/>
                <w:szCs w:val="18"/>
                <w:lang w:val="en-US" w:eastAsia="zh-CN"/>
                <w14:textFill>
                  <w14:solidFill>
                    <w14:schemeClr w14:val="tx1"/>
                  </w14:solidFill>
                </w14:textFill>
              </w:rPr>
              <w:t>协助吉家湖环境综合治理一期项目的调查摸底和东风湖流域水生态修复工程图斑核查、确定权属、补偿测算等工作</w:t>
            </w:r>
            <w:r>
              <w:rPr>
                <w:rFonts w:hint="eastAsia" w:ascii="宋体" w:hAnsi="宋体" w:eastAsia="宋体" w:cs="宋体"/>
                <w:color w:val="000000" w:themeColor="text1"/>
                <w:sz w:val="18"/>
                <w:szCs w:val="18"/>
                <w14:textFill>
                  <w14:solidFill>
                    <w14:schemeClr w14:val="tx1"/>
                  </w14:solidFill>
                </w14:textFill>
              </w:rPr>
              <w:t>。</w:t>
            </w:r>
          </w:p>
          <w:p>
            <w:pPr>
              <w:keepNext w:val="0"/>
              <w:keepLines w:val="0"/>
              <w:pageBreakBefore w:val="0"/>
              <w:widowControl w:val="0"/>
              <w:numPr>
                <w:ilvl w:val="0"/>
                <w:numId w:val="2"/>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全年共上缴非税346.43万元，争取市级概算审查工作经费34.2859万元；</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六、全年共支付拆迁款：20304.75万元；其中棚改资金：743.66万元、其他收储项目：19561.09万元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975"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457"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70" w:lineRule="auto"/>
              <w:ind w:left="0"/>
              <w:jc w:val="both"/>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975"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征拆款项拨付情况</w:t>
            </w:r>
          </w:p>
        </w:tc>
        <w:tc>
          <w:tcPr>
            <w:tcW w:w="1457"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20304.75万元</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20304.75万元</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75"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征拆补偿标准审查工作质量保障</w:t>
            </w:r>
          </w:p>
        </w:tc>
        <w:tc>
          <w:tcPr>
            <w:tcW w:w="1457"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质检合格</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质检合格</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75"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征拆业务工作完成时间</w:t>
            </w:r>
          </w:p>
        </w:tc>
        <w:tc>
          <w:tcPr>
            <w:tcW w:w="1457"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1年</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1年</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75"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年度资金</w:t>
            </w:r>
          </w:p>
        </w:tc>
        <w:tc>
          <w:tcPr>
            <w:tcW w:w="1457"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360.67</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332.85</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11.54</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both"/>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16"/>
                <w:szCs w:val="16"/>
                <w:lang w:val="en-US" w:eastAsia="zh-CN"/>
                <w14:textFill>
                  <w14:solidFill>
                    <w14:schemeClr w14:val="tx1"/>
                  </w14:solidFill>
                </w14:textFill>
              </w:rPr>
              <w:t>12月份按照财政要求，优先支付三保经费，因此除三保以外的经费2024年才支付。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1" w:lineRule="auto"/>
              <w:ind w:left="0"/>
              <w:jc w:val="both"/>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975"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b w:val="0"/>
                <w:bCs w:val="0"/>
                <w:color w:val="000000" w:themeColor="text1"/>
                <w:sz w:val="21"/>
                <w:szCs w:val="21"/>
                <w14:textFill>
                  <w14:solidFill>
                    <w14:schemeClr w14:val="tx1"/>
                  </w14:solidFill>
                </w14:textFill>
              </w:rPr>
            </w:pPr>
            <w:r>
              <w:rPr>
                <w:rFonts w:ascii="宋体" w:hAnsi="宋体" w:eastAsia="宋体" w:cs="宋体"/>
                <w:b w:val="0"/>
                <w:bCs w:val="0"/>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b w:val="0"/>
                <w:bCs w:val="0"/>
                <w:color w:val="000000" w:themeColor="text1"/>
                <w:sz w:val="21"/>
                <w:szCs w:val="21"/>
                <w14:textFill>
                  <w14:solidFill>
                    <w14:schemeClr w14:val="tx1"/>
                  </w14:solidFill>
                </w14:textFill>
              </w:rPr>
            </w:pPr>
            <w:r>
              <w:rPr>
                <w:rFonts w:ascii="宋体" w:hAnsi="宋体" w:eastAsia="宋体" w:cs="宋体"/>
                <w:b w:val="0"/>
                <w:bCs w:val="0"/>
                <w:color w:val="000000" w:themeColor="text1"/>
                <w:spacing w:val="-3"/>
                <w:sz w:val="21"/>
                <w:szCs w:val="21"/>
                <w14:textFill>
                  <w14:solidFill>
                    <w14:schemeClr w14:val="tx1"/>
                  </w14:solidFill>
                </w14:textFill>
              </w:rPr>
              <w:t>益指标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b w:val="0"/>
                <w:bCs w:val="0"/>
                <w:color w:val="000000" w:themeColor="text1"/>
                <w:kern w:val="2"/>
                <w:sz w:val="20"/>
                <w:szCs w:val="24"/>
                <w:lang w:val="en-US" w:eastAsia="zh-CN" w:bidi="ar-SA"/>
                <w14:textFill>
                  <w14:solidFill>
                    <w14:schemeClr w14:val="tx1"/>
                  </w14:solidFill>
                </w14:textFill>
              </w:rPr>
            </w:pPr>
            <w:r>
              <w:rPr>
                <w:rFonts w:hint="eastAsia" w:ascii="宋体" w:hAnsi="宋体" w:eastAsia="宋体" w:cs="宋体"/>
                <w:b w:val="0"/>
                <w:bCs w:val="0"/>
                <w:color w:val="000000" w:themeColor="text1"/>
                <w:sz w:val="18"/>
                <w:szCs w:val="18"/>
                <w:lang w:val="en-US" w:eastAsia="zh-CN"/>
                <w14:textFill>
                  <w14:solidFill>
                    <w14:schemeClr w14:val="tx1"/>
                  </w14:solidFill>
                </w14:textFill>
              </w:rPr>
              <w:t>促进楼区财税工作</w:t>
            </w:r>
          </w:p>
        </w:tc>
        <w:tc>
          <w:tcPr>
            <w:tcW w:w="1457"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全年共上缴非税346.43万元，争取市级概算审查工作经费34.2859万元</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全年共上缴非税346.43万元，争取市级概算审查工作经费34.2859万元</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75"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b w:val="0"/>
                <w:bCs w:val="0"/>
                <w:color w:val="000000" w:themeColor="text1"/>
                <w:kern w:val="2"/>
                <w:sz w:val="20"/>
                <w:szCs w:val="24"/>
                <w:lang w:val="en-US" w:eastAsia="zh-CN" w:bidi="ar-SA"/>
                <w14:textFill>
                  <w14:solidFill>
                    <w14:schemeClr w14:val="tx1"/>
                  </w14:solidFill>
                </w14:textFill>
              </w:rPr>
            </w:pPr>
            <w:r>
              <w:rPr>
                <w:rFonts w:hint="eastAsia" w:ascii="宋体" w:hAnsi="宋体" w:eastAsia="宋体" w:cs="宋体"/>
                <w:b w:val="0"/>
                <w:bCs w:val="0"/>
                <w:color w:val="000000" w:themeColor="text1"/>
                <w:sz w:val="18"/>
                <w:szCs w:val="18"/>
                <w:lang w:eastAsia="zh-CN"/>
                <w14:textFill>
                  <w14:solidFill>
                    <w14:schemeClr w14:val="tx1"/>
                  </w14:solidFill>
                </w14:textFill>
              </w:rPr>
              <w:t>促进城市规划和基础设施建设</w:t>
            </w:r>
          </w:p>
        </w:tc>
        <w:tc>
          <w:tcPr>
            <w:tcW w:w="1457"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b w:val="0"/>
                <w:bCs w:val="0"/>
                <w:color w:val="000000" w:themeColor="text1"/>
                <w:kern w:val="2"/>
                <w:sz w:val="20"/>
                <w:szCs w:val="24"/>
                <w:lang w:val="en-US" w:eastAsia="zh-CN" w:bidi="ar-SA"/>
                <w14:textFill>
                  <w14:solidFill>
                    <w14:schemeClr w14:val="tx1"/>
                  </w14:solidFill>
                </w14:textFill>
              </w:rPr>
            </w:pPr>
            <w:r>
              <w:rPr>
                <w:rFonts w:hint="eastAsia" w:ascii="宋体" w:hAnsi="宋体" w:eastAsia="宋体" w:cs="宋体"/>
                <w:b w:val="0"/>
                <w:bCs w:val="0"/>
                <w:color w:val="000000" w:themeColor="text1"/>
                <w:sz w:val="18"/>
                <w:szCs w:val="18"/>
                <w:lang w:eastAsia="zh-CN"/>
                <w14:textFill>
                  <w14:solidFill>
                    <w14:schemeClr w14:val="tx1"/>
                  </w14:solidFill>
                </w14:textFill>
              </w:rPr>
              <w:t>促进城市规划和基础设施建设</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宋体" w:hAnsi="宋体" w:eastAsia="宋体" w:cs="宋体"/>
                <w:b w:val="0"/>
                <w:bCs w:val="0"/>
                <w:color w:val="000000" w:themeColor="text1"/>
                <w:sz w:val="18"/>
                <w:szCs w:val="18"/>
                <w:lang w:eastAsia="zh-CN"/>
                <w14:textFill>
                  <w14:solidFill>
                    <w14:schemeClr w14:val="tx1"/>
                  </w14:solidFill>
                </w14:textFill>
              </w:rPr>
              <w:t>促进城市规划和基础设施建设</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75"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不适用</w:t>
            </w:r>
          </w:p>
        </w:tc>
        <w:tc>
          <w:tcPr>
            <w:tcW w:w="1457"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75"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185"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对城市建设发展有可持续影响</w:t>
            </w:r>
          </w:p>
        </w:tc>
        <w:tc>
          <w:tcPr>
            <w:tcW w:w="1457"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对城市招商引资及城市规划建设有可持续影响</w:t>
            </w: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对城市招商引资及城市规划建设有可持续影响</w:t>
            </w: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975"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185"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457"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98.27</w:t>
            </w: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bookmarkStart w:id="0" w:name="_GoBack"/>
      <w:bookmarkEnd w:id="0"/>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5</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3</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岳阳市岳阳楼区自然资源</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事务中心</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2024年05月30日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default"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2023年度岳阳楼区自然资源事务中心</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widowControl/>
        <w:numPr>
          <w:ilvl w:val="0"/>
          <w:numId w:val="3"/>
        </w:numPr>
        <w:spacing w:line="600" w:lineRule="exact"/>
        <w:ind w:firstLine="640" w:firstLineChars="20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widowControl/>
        <w:numPr>
          <w:ilvl w:val="0"/>
          <w:numId w:val="0"/>
        </w:numPr>
        <w:spacing w:line="600" w:lineRule="exact"/>
        <w:ind w:firstLine="562" w:firstLineChars="200"/>
        <w:rPr>
          <w:rFonts w:hint="eastAsia" w:ascii="仿宋" w:hAnsi="仿宋" w:eastAsia="仿宋" w:cs="仿宋_GB2312"/>
          <w:b/>
          <w:bCs/>
          <w:kern w:val="0"/>
          <w:sz w:val="28"/>
          <w:szCs w:val="28"/>
        </w:rPr>
      </w:pPr>
      <w:r>
        <w:rPr>
          <w:rFonts w:hint="eastAsia" w:ascii="仿宋" w:hAnsi="仿宋" w:eastAsia="仿宋" w:cs="仿宋_GB2312"/>
          <w:b/>
          <w:bCs/>
          <w:kern w:val="0"/>
          <w:sz w:val="28"/>
          <w:szCs w:val="28"/>
        </w:rPr>
        <w:t>（一）职能职责</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1、承担辖区内土地收储及前期开发工作；承办辖区内国家建设征收集体土地的补偿、房屋拆迁和安置等事务性工作； 2、负责国有土地使用权、矿产资源探矿权采矿权的招拍挂交易的具体工作； 3、负责公益性地价评估和地籍测绘工作；管理国有土地出租、土地抵押登记事务、代收土地收益金； 4、负责辖区内国土空间综合整治、生态修复工程项目的设计和实施；为辖区内城乡规划编制、修建性详细规划及建设工程设计方案、各类项目选址与用地预审、规划条件核实和用地核验核查等工作提供技术服务； 5、负责信息化建设、教育培训、档案管理工作；完成上级交办的其他事务性工作。</w:t>
      </w:r>
    </w:p>
    <w:p>
      <w:pPr>
        <w:widowControl/>
        <w:spacing w:line="600" w:lineRule="exact"/>
        <w:ind w:firstLine="562" w:firstLineChars="200"/>
        <w:rPr>
          <w:rFonts w:hint="eastAsia" w:ascii="仿宋" w:hAnsi="仿宋" w:eastAsia="仿宋" w:cs="仿宋_GB2312"/>
          <w:b/>
          <w:bCs/>
          <w:kern w:val="0"/>
          <w:sz w:val="28"/>
          <w:szCs w:val="28"/>
        </w:rPr>
      </w:pPr>
      <w:r>
        <w:rPr>
          <w:rFonts w:hint="eastAsia" w:ascii="仿宋" w:hAnsi="仿宋" w:eastAsia="仿宋" w:cs="仿宋_GB2312"/>
          <w:b/>
          <w:bCs/>
          <w:kern w:val="0"/>
          <w:sz w:val="28"/>
          <w:szCs w:val="28"/>
        </w:rPr>
        <w:t>（二）机构设置</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1、内设机构设置：综合办公室、财务室、业务一部、业务二部、业务三部、信息技术部、档案室；2、本单位现有干部职工17人，其中事业编制人数17人；3、本单位无下属单位。</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基本支出197.88万元：1）人员支出170.9万元，2）公用支出26.98万元。</w:t>
      </w:r>
    </w:p>
    <w:p>
      <w:pPr>
        <w:numPr>
          <w:ilvl w:val="0"/>
          <w:numId w:val="0"/>
        </w:numPr>
        <w:ind w:firstLine="643" w:firstLineChars="200"/>
        <w:rPr>
          <w:rFonts w:hint="eastAsia" w:ascii="楷体_GB2312" w:hAnsi="楷体_GB2312" w:eastAsia="楷体_GB2312" w:cs="楷体_GB2312"/>
          <w:b/>
          <w:bCs/>
          <w:color w:val="auto"/>
          <w:spacing w:val="0"/>
          <w:position w:val="0"/>
          <w:sz w:val="32"/>
          <w:szCs w:val="32"/>
          <w:lang w:val="en-US" w:eastAsia="zh-CN"/>
        </w:rPr>
      </w:pPr>
      <w:r>
        <w:rPr>
          <w:rFonts w:hint="eastAsia" w:ascii="楷体_GB2312" w:hAnsi="楷体_GB2312" w:eastAsia="楷体_GB2312" w:cs="楷体_GB2312"/>
          <w:b/>
          <w:bCs/>
          <w:color w:val="auto"/>
          <w:spacing w:val="0"/>
          <w:position w:val="0"/>
          <w:sz w:val="32"/>
          <w:szCs w:val="32"/>
          <w:lang w:val="en-US" w:eastAsia="zh-CN"/>
        </w:rPr>
        <w:t>(二)项目支出情况：</w:t>
      </w:r>
      <w:r>
        <w:rPr>
          <w:rFonts w:hint="eastAsia" w:ascii="仿宋_GB2312" w:hAnsi="仿宋_GB2312" w:eastAsia="仿宋_GB2312" w:cs="仿宋_GB2312"/>
          <w:bCs/>
          <w:color w:val="auto"/>
          <w:sz w:val="28"/>
          <w:szCs w:val="28"/>
          <w:lang w:val="en-US" w:eastAsia="zh-CN"/>
        </w:rPr>
        <w:t>项目支出134.97万元。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numPr>
          <w:ilvl w:val="0"/>
          <w:numId w:val="0"/>
        </w:numPr>
        <w:ind w:firstLine="640" w:firstLineChars="200"/>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1、总结归纳本单位“四本预算”支出的绩效目标完成情况：一般公共预算支出357.43万元，政府性基金拨款0元，纳入专户管理的非税收入拨款0元，其他资金3.23元；</w:t>
      </w:r>
    </w:p>
    <w:p>
      <w:pPr>
        <w:numPr>
          <w:ilvl w:val="0"/>
          <w:numId w:val="0"/>
        </w:numPr>
        <w:ind w:firstLine="640" w:firstLineChars="200"/>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实现产出和取得效益的情况：征地拆迁款拨付情况达到100%，征拆补偿标准审查工作质量合格率达到了100%，征拆业务工作完成率100%，由于市级财政项目资金紧张压缩等原因，影响个别项目完成及时性。3、围绕单位职责、行业发展规划，以预算资金管理为主线，总结单位资产管理和开展业务情况：我单位在资产管理中严格按照文件规定，不管是资产资金的使用及采购流程及资产管理上都做到了完整统一的管理目标；我单位在自然资源业务工作中，其主要涵盖的征地拆迁补偿及补偿标准审查工作等都严格按照事权下放的要求，恪尽职守。</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4、从运行成本、管理效率、履职效能、 社会效应、可持续发展能力和服务对象满意度等方面，衡量单位整体及核心业务实施效果：我单位承担的自然资源工作具有促进发展的效益，有效保障机关正常运转，有效保障楼区范围内自然资源保护工作，自然资源政策宣传到位，社会公众满意度较高。</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numPr>
          <w:ilvl w:val="0"/>
          <w:numId w:val="0"/>
        </w:numPr>
        <w:ind w:firstLine="640" w:firstLineChars="200"/>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1、自然资源相关业务部门年度专项工作无下拨经费或经费不足；2、事权下放承接较困难。</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目前我单位主管部门自然资源局无专项业务经费或经费不够部分，从我单位非税收入返还款资金中调剂使用；2、多向单位工作人员宣传专项资金及时使用的重要性，重视采购内控制度的宣传把握，资金使用和采购流程必须人人清楚。3、对接好事权下放工作。转变观念，理清思路，积极汇报，争取上级的重视和支持，搞好事权属地改革。</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w:t>
      </w: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firstLine="608" w:firstLineChars="200"/>
        <w:textAlignment w:val="auto"/>
        <w:rPr>
          <w:rFonts w:ascii="黑体" w:hAnsi="黑体" w:eastAsia="黑体" w:cs="黑体"/>
          <w:spacing w:val="-3"/>
          <w:sz w:val="31"/>
          <w:szCs w:val="31"/>
        </w:rPr>
      </w:pPr>
      <w:r>
        <w:rPr>
          <w:rFonts w:ascii="黑体" w:hAnsi="黑体" w:eastAsia="黑体" w:cs="黑体"/>
          <w:spacing w:val="-3"/>
          <w:sz w:val="31"/>
          <w:szCs w:val="31"/>
        </w:rPr>
        <w:t>其他需要说明的情况</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textAlignment w:val="auto"/>
        <w:rPr>
          <w:rFonts w:hint="default" w:ascii="黑体" w:hAnsi="黑体" w:eastAsia="黑体" w:cs="黑体"/>
          <w:spacing w:val="-3"/>
          <w:sz w:val="31"/>
          <w:szCs w:val="31"/>
          <w:lang w:val="en-US" w:eastAsia="zh-CN"/>
        </w:rPr>
      </w:pPr>
      <w:r>
        <w:rPr>
          <w:rFonts w:hint="eastAsia" w:ascii="黑体" w:hAnsi="黑体" w:eastAsia="黑体" w:cs="黑体"/>
          <w:spacing w:val="-3"/>
          <w:sz w:val="31"/>
          <w:szCs w:val="31"/>
          <w:lang w:val="en-US" w:eastAsia="zh-CN"/>
        </w:rPr>
        <w:t xml:space="preserve"> </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pPr>
      <w:r>
        <w:rPr>
          <w:spacing w:val="6"/>
        </w:rPr>
        <w:t>附件：</w:t>
      </w:r>
      <w:r>
        <w:rPr>
          <w:rFonts w:ascii="Times New Roman" w:hAnsi="Times New Roman" w:eastAsia="Times New Roman" w:cs="Times New Roman"/>
          <w:spacing w:val="6"/>
        </w:rPr>
        <w:t>1</w:t>
      </w:r>
      <w:r>
        <w:rPr>
          <w:spacing w:val="6"/>
        </w:rPr>
        <w:t>、</w:t>
      </w:r>
      <w:r>
        <w:rPr>
          <w:rFonts w:hint="eastAsia"/>
          <w:spacing w:val="6"/>
          <w:lang w:eastAsia="zh-CN"/>
        </w:rPr>
        <w:t>单位</w:t>
      </w:r>
      <w:r>
        <w:rPr>
          <w:spacing w:val="6"/>
        </w:rPr>
        <w:t>整体支出绩效评价基础数据表</w:t>
      </w:r>
    </w:p>
    <w:p>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8" w:firstLineChars="300"/>
        <w:jc w:val="left"/>
        <w:textAlignment w:val="auto"/>
      </w:pPr>
      <w:r>
        <w:rPr>
          <w:rFonts w:ascii="Times New Roman" w:hAnsi="Times New Roman" w:eastAsia="Times New Roman" w:cs="Times New Roman"/>
          <w:spacing w:val="8"/>
        </w:rPr>
        <w:t>2</w:t>
      </w:r>
      <w:r>
        <w:rPr>
          <w:spacing w:val="8"/>
        </w:rPr>
        <w:t>、</w:t>
      </w:r>
      <w:r>
        <w:rPr>
          <w:rFonts w:hint="eastAsia"/>
          <w:spacing w:val="8"/>
          <w:lang w:eastAsia="zh-CN"/>
        </w:rPr>
        <w:t>单位</w:t>
      </w:r>
      <w:r>
        <w:rPr>
          <w:spacing w:val="8"/>
        </w:rPr>
        <w:t>整体支出绩效自评表</w:t>
      </w:r>
    </w:p>
    <w:p>
      <w:pPr>
        <w:pStyle w:val="3"/>
        <w:keepNext w:val="0"/>
        <w:keepLines w:val="0"/>
        <w:pageBreakBefore w:val="0"/>
        <w:widowControl w:val="0"/>
        <w:kinsoku/>
        <w:wordWrap/>
        <w:overflowPunct/>
        <w:topLinePunct w:val="0"/>
        <w:autoSpaceDE/>
        <w:autoSpaceDN/>
        <w:bidi w:val="0"/>
        <w:adjustRightInd/>
        <w:snapToGrid/>
        <w:spacing w:line="240" w:lineRule="auto"/>
        <w:ind w:left="0" w:right="0" w:firstLine="1104" w:firstLineChars="300"/>
        <w:jc w:val="left"/>
        <w:textAlignment w:val="auto"/>
      </w:pPr>
      <w:r>
        <w:rPr>
          <w:rFonts w:ascii="Times New Roman" w:hAnsi="Times New Roman" w:eastAsia="Times New Roman" w:cs="Times New Roman"/>
          <w:spacing w:val="9"/>
          <w:position w:val="21"/>
        </w:rPr>
        <w:t>3</w:t>
      </w:r>
      <w:r>
        <w:rPr>
          <w:spacing w:val="9"/>
          <w:position w:val="21"/>
        </w:rPr>
        <w:t>、项目支出绩效自评表（每个一级项目一张</w:t>
      </w:r>
      <w:r>
        <w:rPr>
          <w:spacing w:val="8"/>
          <w:position w:val="21"/>
        </w:rPr>
        <w:t>表）</w:t>
      </w:r>
    </w:p>
    <w:p>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rPr>
        <w:t>4</w:t>
      </w:r>
      <w:r>
        <w:rPr>
          <w:spacing w:val="7"/>
        </w:rPr>
        <w:t>、政府性基金预算支出情况表</w:t>
      </w:r>
    </w:p>
    <w:p>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position w:val="21"/>
        </w:rPr>
        <w:t>5</w:t>
      </w:r>
      <w:r>
        <w:rPr>
          <w:spacing w:val="7"/>
          <w:position w:val="21"/>
        </w:rPr>
        <w:t>、国有资本经营预算支出情况表</w:t>
      </w:r>
    </w:p>
    <w:p>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rPr>
          <w:rFonts w:hint="eastAsia" w:ascii="仿宋_GB2312" w:hAnsi="仿宋_GB2312" w:eastAsia="仿宋_GB2312" w:cs="仿宋_GB2312"/>
          <w:sz w:val="32"/>
          <w:szCs w:val="32"/>
        </w:rPr>
      </w:pPr>
      <w:r>
        <w:rPr>
          <w:rFonts w:ascii="Times New Roman" w:hAnsi="Times New Roman" w:eastAsia="Times New Roman" w:cs="Times New Roman"/>
          <w:spacing w:val="7"/>
        </w:rPr>
        <w:t>6</w:t>
      </w:r>
      <w:r>
        <w:rPr>
          <w:spacing w:val="7"/>
        </w:rPr>
        <w:t>、社会保险基金预算支出情况</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Arial Unicode MS"/>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7BF1C1"/>
    <w:multiLevelType w:val="singleLevel"/>
    <w:tmpl w:val="907BF1C1"/>
    <w:lvl w:ilvl="0" w:tentative="0">
      <w:start w:val="5"/>
      <w:numFmt w:val="chineseCounting"/>
      <w:suff w:val="nothing"/>
      <w:lvlText w:val="%1、"/>
      <w:lvlJc w:val="left"/>
      <w:rPr>
        <w:rFonts w:hint="eastAsia"/>
      </w:rPr>
    </w:lvl>
  </w:abstractNum>
  <w:abstractNum w:abstractNumId="1">
    <w:nsid w:val="ACBF9270"/>
    <w:multiLevelType w:val="singleLevel"/>
    <w:tmpl w:val="ACBF9270"/>
    <w:lvl w:ilvl="0" w:tentative="0">
      <w:start w:val="2"/>
      <w:numFmt w:val="chineseCounting"/>
      <w:suff w:val="nothing"/>
      <w:lvlText w:val="%1、"/>
      <w:lvlJc w:val="left"/>
      <w:rPr>
        <w:rFonts w:hint="eastAsia"/>
      </w:rPr>
    </w:lvl>
  </w:abstractNum>
  <w:abstractNum w:abstractNumId="2">
    <w:nsid w:val="2BDF73D6"/>
    <w:multiLevelType w:val="singleLevel"/>
    <w:tmpl w:val="2BDF73D6"/>
    <w:lvl w:ilvl="0" w:tentative="0">
      <w:start w:val="10"/>
      <w:numFmt w:val="chineseCounting"/>
      <w:suff w:val="space"/>
      <w:lvlText w:val="%1、"/>
      <w:lvlJc w:val="left"/>
      <w:rPr>
        <w:rFonts w:hint="eastAsia"/>
      </w:rPr>
    </w:lvl>
  </w:abstractNum>
  <w:abstractNum w:abstractNumId="3">
    <w:nsid w:val="626D48C2"/>
    <w:multiLevelType w:val="singleLevel"/>
    <w:tmpl w:val="626D48C2"/>
    <w:lvl w:ilvl="0" w:tentative="0">
      <w:start w:val="1"/>
      <w:numFmt w:val="chineseCounting"/>
      <w:suff w:val="nothing"/>
      <w:lvlText w:val="%1、"/>
      <w:lvlJc w:val="left"/>
      <w:rPr>
        <w:rFonts w:hint="eastAsia"/>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VlZjI4MmJjMDZkMmQyYjU0NDZkYzc1NWI2NTA0OWQifQ=="/>
  </w:docVars>
  <w:rsids>
    <w:rsidRoot w:val="53FC3987"/>
    <w:rsid w:val="000A3765"/>
    <w:rsid w:val="001D7282"/>
    <w:rsid w:val="0039081D"/>
    <w:rsid w:val="005E6ECB"/>
    <w:rsid w:val="00726300"/>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A048B9"/>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2243CB"/>
    <w:rsid w:val="054037EF"/>
    <w:rsid w:val="054E7FFF"/>
    <w:rsid w:val="05621117"/>
    <w:rsid w:val="058C5045"/>
    <w:rsid w:val="058D598A"/>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427A6"/>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BE7551"/>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ED500D"/>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6E041E"/>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807518"/>
    <w:rsid w:val="13914897"/>
    <w:rsid w:val="13960100"/>
    <w:rsid w:val="13A55CD5"/>
    <w:rsid w:val="13B654E3"/>
    <w:rsid w:val="13B819E6"/>
    <w:rsid w:val="13BC4189"/>
    <w:rsid w:val="13C169EC"/>
    <w:rsid w:val="13CA717D"/>
    <w:rsid w:val="13CE022A"/>
    <w:rsid w:val="13DF25B8"/>
    <w:rsid w:val="13E2403C"/>
    <w:rsid w:val="13FE67C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7FF44C5"/>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862BF"/>
    <w:rsid w:val="198E7C2B"/>
    <w:rsid w:val="199945D5"/>
    <w:rsid w:val="199B5065"/>
    <w:rsid w:val="19D37D58"/>
    <w:rsid w:val="19DD0438"/>
    <w:rsid w:val="1A0A04E6"/>
    <w:rsid w:val="1A187AC0"/>
    <w:rsid w:val="1A213466"/>
    <w:rsid w:val="1A3F3F76"/>
    <w:rsid w:val="1A461DE0"/>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07463"/>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37025D"/>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CC488E"/>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1F33730"/>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A113C"/>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8F11C0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B0D55"/>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3C4A2B"/>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985878"/>
    <w:rsid w:val="33A8285D"/>
    <w:rsid w:val="33AC1E29"/>
    <w:rsid w:val="33B17041"/>
    <w:rsid w:val="33B202F3"/>
    <w:rsid w:val="33B20F64"/>
    <w:rsid w:val="33EE53FA"/>
    <w:rsid w:val="33FD7485"/>
    <w:rsid w:val="34012F1B"/>
    <w:rsid w:val="34467089"/>
    <w:rsid w:val="34523AB5"/>
    <w:rsid w:val="346B4B47"/>
    <w:rsid w:val="346E4F77"/>
    <w:rsid w:val="34762AAC"/>
    <w:rsid w:val="3482018E"/>
    <w:rsid w:val="348402A8"/>
    <w:rsid w:val="34B510BB"/>
    <w:rsid w:val="34BB2714"/>
    <w:rsid w:val="34C25EF7"/>
    <w:rsid w:val="34D20F28"/>
    <w:rsid w:val="34E22DC0"/>
    <w:rsid w:val="350233D4"/>
    <w:rsid w:val="35195F01"/>
    <w:rsid w:val="35313A72"/>
    <w:rsid w:val="35493C91"/>
    <w:rsid w:val="355C0228"/>
    <w:rsid w:val="357800DF"/>
    <w:rsid w:val="35814314"/>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96FD8"/>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84704"/>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8E5B70"/>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202484"/>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60BCE"/>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3226A3"/>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851F2C"/>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35DE0"/>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9275C"/>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7203A"/>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1328"/>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3D2FE0"/>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00333"/>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662DE6"/>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83497A"/>
    <w:rsid w:val="5C912690"/>
    <w:rsid w:val="5C970365"/>
    <w:rsid w:val="5C9F632F"/>
    <w:rsid w:val="5CCB04A2"/>
    <w:rsid w:val="5CCD7E04"/>
    <w:rsid w:val="5CD51F6A"/>
    <w:rsid w:val="5CD6026B"/>
    <w:rsid w:val="5CE319F6"/>
    <w:rsid w:val="5CE42846"/>
    <w:rsid w:val="5CE9406B"/>
    <w:rsid w:val="5CE95A75"/>
    <w:rsid w:val="5D0656E1"/>
    <w:rsid w:val="5D3A7EAB"/>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96FA4"/>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174CBD"/>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822479"/>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4940ED"/>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81174"/>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5C242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471CA9"/>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AD6F34"/>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0"/>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oa heading"/>
    <w:basedOn w:val="1"/>
    <w:next w:val="1"/>
    <w:qFormat/>
    <w:uiPriority w:val="99"/>
    <w:pPr>
      <w:spacing w:before="120" w:after="200" w:line="276" w:lineRule="auto"/>
    </w:pPr>
    <w:rPr>
      <w:rFonts w:ascii="Arial" w:hAnsi="Arial"/>
      <w:sz w:val="24"/>
    </w:rPr>
  </w:style>
  <w:style w:type="paragraph" w:styleId="3">
    <w:name w:val="Body Text"/>
    <w:basedOn w:val="1"/>
    <w:semiHidden/>
    <w:qFormat/>
    <w:uiPriority w:val="0"/>
    <w:rPr>
      <w:rFonts w:ascii="仿宋" w:hAnsi="仿宋" w:eastAsia="仿宋" w:cs="仿宋"/>
      <w:sz w:val="35"/>
      <w:szCs w:val="35"/>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unhideWhenUsed/>
    <w:qFormat/>
    <w:uiPriority w:val="0"/>
    <w:tblPr>
      <w:tblCellMar>
        <w:top w:w="0" w:type="dxa"/>
        <w:left w:w="0" w:type="dxa"/>
        <w:bottom w:w="0" w:type="dxa"/>
        <w:right w:w="0" w:type="dxa"/>
      </w:tblCellMar>
    </w:tblPr>
  </w:style>
  <w:style w:type="character" w:customStyle="1" w:styleId="10">
    <w:name w:val="NormalCharacter"/>
    <w:link w:val="1"/>
    <w:qFormat/>
    <w:uiPriority w:val="0"/>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2851</Words>
  <Characters>3268</Characters>
  <Lines>0</Lines>
  <Paragraphs>0</Paragraphs>
  <TotalTime>0</TotalTime>
  <ScaleCrop>false</ScaleCrop>
  <LinksUpToDate>false</LinksUpToDate>
  <CharactersWithSpaces>3335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LENOVO</cp:lastModifiedBy>
  <cp:lastPrinted>2024-06-18T04:36:00Z</cp:lastPrinted>
  <dcterms:modified xsi:type="dcterms:W3CDTF">2024-06-18T06:32:07Z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A512FA8964B249D8B00003A9BDAF7EC3_13</vt:lpwstr>
  </property>
</Properties>
</file>