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00" w:lineRule="exact"/>
        <w:jc w:val="center"/>
        <w:rPr>
          <w:rFonts w:ascii="方正小标宋简体" w:hAnsi="方正小标宋简体" w:eastAsia="方正小标宋简体" w:cs="方正小标宋简体"/>
          <w:color w:val="000000" w:themeColor="text1"/>
          <w:spacing w:val="2"/>
          <w:sz w:val="42"/>
          <w:szCs w:val="42"/>
          <w14:textFill>
            <w14:solidFill>
              <w14:schemeClr w14:val="tx1"/>
            </w14:solidFill>
          </w14:textFill>
        </w:rPr>
      </w:pPr>
    </w:p>
    <w:p>
      <w:pPr>
        <w:spacing w:line="700" w:lineRule="exact"/>
        <w:jc w:val="center"/>
        <w:rPr>
          <w:rFonts w:ascii="方正小标宋简体" w:hAnsi="方正小标宋简体" w:eastAsia="方正小标宋简体" w:cs="方正小标宋简体"/>
          <w:color w:val="000000" w:themeColor="text1"/>
          <w:spacing w:val="2"/>
          <w:sz w:val="44"/>
          <w:szCs w:val="44"/>
          <w14:textFill>
            <w14:solidFill>
              <w14:schemeClr w14:val="tx1"/>
            </w14:solidFill>
          </w14:textFill>
        </w:rPr>
      </w:pPr>
      <w:r>
        <w:rPr>
          <w:rFonts w:ascii="方正小标宋简体" w:hAnsi="方正小标宋简体" w:eastAsia="方正小标宋简体" w:cs="方正小标宋简体"/>
          <w:color w:val="000000" w:themeColor="text1"/>
          <w:spacing w:val="2"/>
          <w:sz w:val="44"/>
          <w:szCs w:val="44"/>
          <w14:textFill>
            <w14:solidFill>
              <w14:schemeClr w14:val="tx1"/>
            </w14:solidFill>
          </w14:textFill>
        </w:rPr>
        <w:t>202</w:t>
      </w:r>
      <w:r>
        <w:rPr>
          <w:rFonts w:hint="eastAsia" w:ascii="方正小标宋简体" w:hAnsi="方正小标宋简体" w:eastAsia="方正小标宋简体" w:cs="方正小标宋简体"/>
          <w:color w:val="000000" w:themeColor="text1"/>
          <w:spacing w:val="2"/>
          <w:sz w:val="44"/>
          <w:szCs w:val="44"/>
          <w:lang w:val="en-US" w:eastAsia="zh-CN"/>
          <w14:textFill>
            <w14:solidFill>
              <w14:schemeClr w14:val="tx1"/>
            </w14:solidFill>
          </w14:textFill>
        </w:rPr>
        <w:t>3</w:t>
      </w:r>
      <w:r>
        <w:rPr>
          <w:rFonts w:ascii="方正小标宋简体" w:hAnsi="方正小标宋简体" w:eastAsia="方正小标宋简体" w:cs="方正小标宋简体"/>
          <w:color w:val="000000" w:themeColor="text1"/>
          <w:spacing w:val="2"/>
          <w:sz w:val="44"/>
          <w:szCs w:val="44"/>
          <w14:textFill>
            <w14:solidFill>
              <w14:schemeClr w14:val="tx1"/>
            </w14:solidFill>
          </w14:textFill>
        </w:rPr>
        <w:t>年度</w:t>
      </w:r>
      <w:r>
        <w:rPr>
          <w:rFonts w:hint="eastAsia" w:ascii="方正小标宋简体" w:hAnsi="方正小标宋简体" w:eastAsia="方正小标宋简体" w:cs="方正小标宋简体"/>
          <w:color w:val="000000" w:themeColor="text1"/>
          <w:spacing w:val="2"/>
          <w:sz w:val="44"/>
          <w:szCs w:val="44"/>
          <w14:textFill>
            <w14:solidFill>
              <w14:schemeClr w14:val="tx1"/>
            </w14:solidFill>
          </w14:textFill>
        </w:rPr>
        <w:t>岳阳楼区商务粮食局</w:t>
      </w:r>
      <w:r>
        <w:rPr>
          <w:rFonts w:ascii="方正小标宋简体" w:hAnsi="方正小标宋简体" w:eastAsia="方正小标宋简体" w:cs="方正小标宋简体"/>
          <w:color w:val="000000" w:themeColor="text1"/>
          <w:spacing w:val="2"/>
          <w:sz w:val="44"/>
          <w:szCs w:val="44"/>
          <w14:textFill>
            <w14:solidFill>
              <w14:schemeClr w14:val="tx1"/>
            </w14:solidFill>
          </w14:textFill>
        </w:rPr>
        <w:t>整体支出</w:t>
      </w:r>
    </w:p>
    <w:p>
      <w:pPr>
        <w:spacing w:line="700" w:lineRule="exact"/>
        <w:jc w:val="center"/>
        <w:rPr>
          <w:rFonts w:ascii="方正小标宋简体" w:hAnsi="方正小标宋简体" w:eastAsia="方正小标宋简体" w:cs="方正小标宋简体"/>
          <w:color w:val="000000" w:themeColor="text1"/>
          <w:spacing w:val="2"/>
          <w:sz w:val="44"/>
          <w:szCs w:val="44"/>
          <w14:textFill>
            <w14:solidFill>
              <w14:schemeClr w14:val="tx1"/>
            </w14:solidFill>
          </w14:textFill>
        </w:rPr>
      </w:pPr>
      <w:r>
        <w:rPr>
          <w:rFonts w:ascii="方正小标宋简体" w:hAnsi="方正小标宋简体" w:eastAsia="方正小标宋简体" w:cs="方正小标宋简体"/>
          <w:color w:val="000000" w:themeColor="text1"/>
          <w:spacing w:val="2"/>
          <w:sz w:val="44"/>
          <w:szCs w:val="44"/>
          <w14:textFill>
            <w14:solidFill>
              <w14:schemeClr w14:val="tx1"/>
            </w14:solidFill>
          </w14:textFill>
        </w:rPr>
        <w:t>绩效自评报告</w:t>
      </w: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center"/>
        <w:rPr>
          <w:rFonts w:ascii="楷体_GB2312" w:hAnsi="楷体_GB2312" w:eastAsia="楷体_GB2312" w:cs="楷体_GB2312"/>
          <w:color w:val="000000" w:themeColor="text1"/>
          <w:sz w:val="36"/>
          <w:szCs w:val="36"/>
          <w14:textFill>
            <w14:solidFill>
              <w14:schemeClr w14:val="tx1"/>
            </w14:solidFill>
          </w14:textFill>
        </w:rPr>
      </w:pPr>
      <w:r>
        <w:rPr>
          <w:rFonts w:hint="eastAsia" w:ascii="楷体_GB2312" w:hAnsi="楷体_GB2312" w:eastAsia="楷体_GB2312" w:cs="楷体_GB2312"/>
          <w:color w:val="000000" w:themeColor="text1"/>
          <w:sz w:val="36"/>
          <w:szCs w:val="36"/>
          <w14:textFill>
            <w14:solidFill>
              <w14:schemeClr w14:val="tx1"/>
            </w14:solidFill>
          </w14:textFill>
        </w:rPr>
        <w:t>部门(单位)名称：   ( 盖 章 )</w:t>
      </w:r>
    </w:p>
    <w:p>
      <w:pPr>
        <w:jc w:val="center"/>
        <w:rPr>
          <w:rFonts w:ascii="楷体_GB2312" w:hAnsi="楷体_GB2312" w:eastAsia="楷体_GB2312" w:cs="楷体_GB2312"/>
          <w:color w:val="000000" w:themeColor="text1"/>
          <w:sz w:val="36"/>
          <w:szCs w:val="36"/>
          <w14:textFill>
            <w14:solidFill>
              <w14:schemeClr w14:val="tx1"/>
            </w14:solidFill>
          </w14:textFill>
        </w:rPr>
      </w:pPr>
      <w:r>
        <w:rPr>
          <w:rFonts w:hint="eastAsia" w:ascii="楷体_GB2312" w:hAnsi="楷体_GB2312" w:eastAsia="楷体_GB2312" w:cs="楷体_GB2312"/>
          <w:color w:val="000000" w:themeColor="text1"/>
          <w:sz w:val="36"/>
          <w:szCs w:val="36"/>
          <w:lang w:val="en-US" w:eastAsia="zh-CN"/>
          <w14:textFill>
            <w14:solidFill>
              <w14:schemeClr w14:val="tx1"/>
            </w14:solidFill>
          </w14:textFill>
        </w:rPr>
        <w:t>2024</w:t>
      </w:r>
      <w:r>
        <w:rPr>
          <w:rFonts w:hint="eastAsia" w:ascii="楷体_GB2312" w:hAnsi="楷体_GB2312" w:eastAsia="楷体_GB2312" w:cs="楷体_GB2312"/>
          <w:color w:val="000000" w:themeColor="text1"/>
          <w:sz w:val="36"/>
          <w:szCs w:val="36"/>
          <w14:textFill>
            <w14:solidFill>
              <w14:schemeClr w14:val="tx1"/>
            </w14:solidFill>
          </w14:textFill>
        </w:rPr>
        <w:t>年</w:t>
      </w:r>
      <w:r>
        <w:rPr>
          <w:rFonts w:hint="eastAsia" w:ascii="楷体_GB2312" w:hAnsi="楷体_GB2312" w:eastAsia="楷体_GB2312" w:cs="楷体_GB2312"/>
          <w:color w:val="000000" w:themeColor="text1"/>
          <w:sz w:val="36"/>
          <w:szCs w:val="36"/>
          <w:lang w:val="en-US" w:eastAsia="zh-CN"/>
          <w14:textFill>
            <w14:solidFill>
              <w14:schemeClr w14:val="tx1"/>
            </w14:solidFill>
          </w14:textFill>
        </w:rPr>
        <w:t>6</w:t>
      </w:r>
      <w:r>
        <w:rPr>
          <w:rFonts w:hint="eastAsia" w:ascii="楷体_GB2312" w:hAnsi="楷体_GB2312" w:eastAsia="楷体_GB2312" w:cs="楷体_GB2312"/>
          <w:color w:val="000000" w:themeColor="text1"/>
          <w:sz w:val="36"/>
          <w:szCs w:val="36"/>
          <w14:textFill>
            <w14:solidFill>
              <w14:schemeClr w14:val="tx1"/>
            </w14:solidFill>
          </w14:textFill>
        </w:rPr>
        <w:t>月</w:t>
      </w:r>
      <w:r>
        <w:rPr>
          <w:rFonts w:hint="eastAsia" w:ascii="楷体_GB2312" w:hAnsi="楷体_GB2312" w:eastAsia="楷体_GB2312" w:cs="楷体_GB2312"/>
          <w:color w:val="000000" w:themeColor="text1"/>
          <w:sz w:val="36"/>
          <w:szCs w:val="36"/>
          <w:lang w:val="en-US" w:eastAsia="zh-CN"/>
          <w14:textFill>
            <w14:solidFill>
              <w14:schemeClr w14:val="tx1"/>
            </w14:solidFill>
          </w14:textFill>
        </w:rPr>
        <w:t>10</w:t>
      </w:r>
      <w:r>
        <w:rPr>
          <w:rFonts w:hint="eastAsia" w:ascii="楷体_GB2312" w:hAnsi="楷体_GB2312" w:eastAsia="楷体_GB2312" w:cs="楷体_GB2312"/>
          <w:color w:val="000000" w:themeColor="text1"/>
          <w:sz w:val="36"/>
          <w:szCs w:val="36"/>
          <w14:textFill>
            <w14:solidFill>
              <w14:schemeClr w14:val="tx1"/>
            </w14:solidFill>
          </w14:textFill>
        </w:rPr>
        <w:t>日</w:t>
      </w:r>
      <w:bookmarkStart w:id="0" w:name="_GoBack"/>
      <w:bookmarkEnd w:id="0"/>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w:t>
      </w:r>
      <w:r>
        <w:rPr>
          <w:rFonts w:hint="eastAsia" w:ascii="方正小标宋简体" w:hAnsi="方正小标宋简体" w:eastAsia="方正小标宋简体" w:cs="方正小标宋简体"/>
          <w:color w:val="000000" w:themeColor="text1"/>
          <w:sz w:val="44"/>
          <w:szCs w:val="44"/>
          <w:lang w:val="en-US" w:eastAsia="zh-CN"/>
          <w14:textFill>
            <w14:solidFill>
              <w14:schemeClr w14:val="tx1"/>
            </w14:solidFill>
          </w14:textFill>
        </w:rPr>
        <w:t>3</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年度岳阳楼区岳阳楼区商务粮食局整体支出绩效自评报告</w:t>
      </w: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jc w:val="left"/>
        <w:rPr>
          <w:rFonts w:ascii="仿宋" w:hAnsi="仿宋" w:eastAsia="仿宋" w:cs="仿宋"/>
          <w:color w:val="000000" w:themeColor="text1"/>
          <w:sz w:val="22"/>
          <w:szCs w:val="22"/>
          <w14:textFill>
            <w14:solidFill>
              <w14:schemeClr w14:val="tx1"/>
            </w14:solidFill>
          </w14:textFill>
        </w:rPr>
      </w:pPr>
    </w:p>
    <w:p>
      <w:pPr>
        <w:numPr>
          <w:ilvl w:val="0"/>
          <w:numId w:val="1"/>
        </w:numPr>
        <w:ind w:firstLine="640" w:firstLineChars="200"/>
        <w:jc w:val="left"/>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单位基本情况</w:t>
      </w:r>
    </w:p>
    <w:p>
      <w:pPr>
        <w:keepNext w:val="0"/>
        <w:keepLines w:val="0"/>
        <w:pageBreakBefore w:val="0"/>
        <w:widowControl/>
        <w:kinsoku w:val="0"/>
        <w:wordWrap/>
        <w:overflowPunct/>
        <w:topLinePunct w:val="0"/>
        <w:autoSpaceDE w:val="0"/>
        <w:autoSpaceDN w:val="0"/>
        <w:bidi w:val="0"/>
        <w:adjustRightInd w:val="0"/>
        <w:snapToGrid w:val="0"/>
        <w:spacing w:before="95" w:line="396" w:lineRule="auto"/>
        <w:ind w:left="15" w:leftChars="7" w:right="11" w:firstLine="616" w:firstLineChars="200"/>
        <w:textAlignment w:val="baseline"/>
        <w:rPr>
          <w:rFonts w:hint="eastAsia" w:ascii="仿宋" w:hAnsi="仿宋" w:eastAsia="仿宋" w:cs="仿宋"/>
          <w:spacing w:val="9"/>
          <w:kern w:val="0"/>
          <w:sz w:val="29"/>
          <w:szCs w:val="29"/>
        </w:rPr>
      </w:pPr>
      <w:r>
        <w:rPr>
          <w:rFonts w:hint="eastAsia" w:ascii="黑体" w:hAnsi="黑体" w:eastAsia="黑体" w:cs="黑体"/>
          <w:color w:val="000000" w:themeColor="text1"/>
          <w:sz w:val="32"/>
          <w:szCs w:val="32"/>
          <w:lang w:val="en-US" w:eastAsia="zh-CN"/>
          <w14:textFill>
            <w14:solidFill>
              <w14:schemeClr w14:val="tx1"/>
            </w14:solidFill>
          </w14:textFill>
        </w:rPr>
        <w:t xml:space="preserve">    </w:t>
      </w:r>
      <w:r>
        <w:rPr>
          <w:rFonts w:hint="eastAsia" w:ascii="仿宋" w:hAnsi="仿宋" w:eastAsia="仿宋" w:cs="仿宋"/>
          <w:spacing w:val="9"/>
          <w:kern w:val="0"/>
          <w:sz w:val="29"/>
          <w:szCs w:val="29"/>
        </w:rPr>
        <w:t>岳阳市岳阳楼区商务粮食局是岳阳楼区人民政府工作部门，为正科级单位。其主要职责是:(一)贯彻执行关于发展国内外贸易、国际经济合作和区域经济合作的政策，具体组织实施我区经济贸易、对外援助、对外投资和对外经济合作的活动，提出区域经济工作、现代流通方式的发展、流通体制的改革建议意见。(二)负责促进商贸服务业和社区商业发展，提出促进商贸中小企业发展的建议，推动流通标准化和连锁经营、商业特许经营、物流配送、电子商务等现代流通方式的发展。(三)策划全区大宗产业批发市场规划和城市商业网点特色街区规划、商业体系建设、粮食市场体系建设工作。(四)协调规范商贸企业交易行为;推动商贸领域信用建设，指导商业信用销售，配合主管部门开展市场诚信公共服务平台建设工作;按有关规定对特殊流通行业进行监督管理。(五)监测分析市场运行、商品供求状况，调查分析商品价格信息，并进行预测预警和信息引导:按分工、分级负责重要消费品储备管理工作;按有关规定对成品油流通进行监督管理。(六)执行国家进出口商品、加工贸易管理办法和进出口管理商品、技术目录和外贸促进体系建设;承担会展业促进与管理有关工作;执行有关服务贸易发展规划并开展相关工作;组织实施促进服务出口、服务外包的政策措施，推动服务外包平台建设。(七)贯彻执行我国多双边(含区域、自由贸易区)经贸合作战略和政策，推进我区与其他国家和地区的经贸往来与投资贸易合作;负责组织协调反倾销、反补贴、保障措施及其他与进出口公平贸易相关的工作;依法管理和监督对外劳务合作组织;实施区内人员出境就业管理政策，负责牵头外派劳务和境外从业人员的权益保护工作。(八)提出全区粮食调控、平衡以及粮食流通的中长期规划，制定粮食流通、粮食库存监督检查制度并组织实施;承担粮食监测预警和应急责任，指导辖区内军队粮食供应保障。负责粮食系统国有资产增值保值监管与资产处置工作。(九)提出区级储备粮的规模、布局及动用区级储备粮的建议，会同有关部门制定区级储备粮轮换计划并监督实施，依职权监督检查驻区范围内储备粮的数量、质量和储备安全。(十)指导全区商贸流通领域信息网络和电子商务建设。承担全区商务粮食统计及其信息发布工作，提供信息咨询服务。(十)负责本单位、本系统的信访维稳和安全生产工作。承办区委、区人民政府交办的其他事项。</w:t>
      </w:r>
    </w:p>
    <w:p>
      <w:pPr>
        <w:keepNext w:val="0"/>
        <w:keepLines w:val="0"/>
        <w:pageBreakBefore w:val="0"/>
        <w:widowControl/>
        <w:kinsoku w:val="0"/>
        <w:wordWrap/>
        <w:overflowPunct/>
        <w:topLinePunct w:val="0"/>
        <w:autoSpaceDE w:val="0"/>
        <w:autoSpaceDN w:val="0"/>
        <w:bidi w:val="0"/>
        <w:adjustRightInd w:val="0"/>
        <w:snapToGrid w:val="0"/>
        <w:spacing w:before="95" w:line="396" w:lineRule="auto"/>
        <w:ind w:left="15" w:leftChars="7" w:right="11" w:firstLine="616" w:firstLineChars="200"/>
        <w:textAlignment w:val="baseline"/>
        <w:rPr>
          <w:rFonts w:hint="eastAsia" w:ascii="仿宋" w:hAnsi="仿宋" w:eastAsia="仿宋" w:cs="仿宋"/>
          <w:spacing w:val="9"/>
          <w:kern w:val="0"/>
          <w:sz w:val="29"/>
          <w:szCs w:val="29"/>
          <w:lang w:val="en-US" w:eastAsia="zh-CN"/>
        </w:rPr>
      </w:pPr>
      <w:r>
        <w:rPr>
          <w:rFonts w:hint="eastAsia" w:ascii="仿宋" w:hAnsi="仿宋" w:eastAsia="仿宋" w:cs="仿宋"/>
          <w:spacing w:val="9"/>
          <w:kern w:val="0"/>
          <w:sz w:val="29"/>
          <w:szCs w:val="29"/>
          <w:lang w:val="en-US" w:eastAsia="zh-CN"/>
        </w:rPr>
        <w:t>2023年末，我局共有干部职工95人，其中在职人员26人，离退休69人。</w:t>
      </w:r>
    </w:p>
    <w:p/>
    <w:p>
      <w:pPr>
        <w:numPr>
          <w:ilvl w:val="0"/>
          <w:numId w:val="0"/>
        </w:numPr>
        <w:jc w:val="left"/>
        <w:rPr>
          <w:rFonts w:hint="eastAsia" w:ascii="黑体" w:hAnsi="黑体" w:eastAsia="黑体" w:cs="黑体"/>
          <w:color w:val="000000" w:themeColor="text1"/>
          <w:sz w:val="32"/>
          <w:szCs w:val="32"/>
          <w:lang w:val="en-US" w:eastAsia="zh-CN"/>
          <w14:textFill>
            <w14:solidFill>
              <w14:schemeClr w14:val="tx1"/>
            </w14:solidFill>
          </w14:textFill>
        </w:rPr>
      </w:pPr>
    </w:p>
    <w:p>
      <w:pPr>
        <w:numPr>
          <w:ilvl w:val="0"/>
          <w:numId w:val="0"/>
        </w:numPr>
        <w:jc w:val="left"/>
        <w:rPr>
          <w:rFonts w:hint="eastAsia" w:ascii="黑体" w:hAnsi="黑体" w:eastAsia="黑体" w:cs="黑体"/>
          <w:color w:val="000000" w:themeColor="text1"/>
          <w:sz w:val="32"/>
          <w:szCs w:val="32"/>
          <w14:textFill>
            <w14:solidFill>
              <w14:schemeClr w14:val="tx1"/>
            </w14:solidFill>
          </w14:textFill>
        </w:rPr>
      </w:pPr>
    </w:p>
    <w:p>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二、一般公共预算支出情况</w:t>
      </w:r>
    </w:p>
    <w:p>
      <w:pPr>
        <w:ind w:firstLine="643" w:firstLineChars="200"/>
        <w:jc w:val="left"/>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(一)基本支出情况</w:t>
      </w:r>
    </w:p>
    <w:p>
      <w:pPr>
        <w:pStyle w:val="13"/>
        <w:ind w:firstLine="640" w:firstLineChars="200"/>
        <w:jc w:val="both"/>
        <w:rPr>
          <w:rFonts w:hint="eastAsia" w:ascii="仿宋_GB2312" w:hAnsi="仿宋" w:eastAsia="仿宋_GB2312" w:cs="仿宋_GB2312"/>
          <w:kern w:val="0"/>
          <w:sz w:val="32"/>
          <w:szCs w:val="32"/>
          <w:lang w:val="en-US" w:eastAsia="zh-CN" w:bidi="ar-SA"/>
        </w:rPr>
      </w:pPr>
      <w:r>
        <w:rPr>
          <w:rFonts w:hint="eastAsia" w:ascii="仿宋_GB2312" w:hAnsi="仿宋_GB2312" w:eastAsia="仿宋_GB2312" w:cs="仿宋_GB2312"/>
          <w:bCs/>
          <w:sz w:val="32"/>
          <w:szCs w:val="32"/>
        </w:rPr>
        <w:t>202</w:t>
      </w:r>
      <w:r>
        <w:rPr>
          <w:rFonts w:hint="eastAsia" w:ascii="仿宋_GB2312" w:hAnsi="仿宋_GB2312" w:eastAsia="仿宋_GB2312" w:cs="仿宋_GB2312"/>
          <w:bCs/>
          <w:sz w:val="32"/>
          <w:szCs w:val="32"/>
          <w:lang w:val="en-US" w:eastAsia="zh-CN"/>
        </w:rPr>
        <w:t>3</w:t>
      </w:r>
      <w:r>
        <w:rPr>
          <w:rFonts w:hint="eastAsia" w:ascii="仿宋_GB2312" w:hAnsi="仿宋_GB2312" w:eastAsia="仿宋_GB2312" w:cs="仿宋_GB2312"/>
          <w:bCs/>
          <w:sz w:val="32"/>
          <w:szCs w:val="32"/>
        </w:rPr>
        <w:t>年基本支出</w:t>
      </w:r>
      <w:r>
        <w:rPr>
          <w:rFonts w:hint="eastAsia" w:ascii="仿宋_GB2312" w:hAnsi="仿宋_GB2312" w:eastAsia="仿宋_GB2312" w:cs="仿宋_GB2312"/>
          <w:color w:val="000000"/>
          <w:sz w:val="32"/>
          <w:szCs w:val="32"/>
          <w:lang w:val="en-US" w:eastAsia="zh-CN"/>
        </w:rPr>
        <w:t>534.83</w:t>
      </w:r>
      <w:r>
        <w:rPr>
          <w:rFonts w:hint="eastAsia" w:ascii="仿宋_GB2312" w:hAnsi="仿宋_GB2312" w:eastAsia="仿宋_GB2312" w:cs="仿宋_GB2312"/>
          <w:bCs/>
          <w:sz w:val="32"/>
          <w:szCs w:val="32"/>
        </w:rPr>
        <w:t>万元，其中人员经费支出</w:t>
      </w:r>
      <w:r>
        <w:rPr>
          <w:rFonts w:hint="eastAsia" w:ascii="仿宋_GB2312" w:hAnsi="仿宋_GB2312" w:eastAsia="仿宋_GB2312" w:cs="仿宋_GB2312"/>
          <w:bCs/>
          <w:sz w:val="32"/>
          <w:szCs w:val="32"/>
          <w:lang w:val="en-US" w:eastAsia="zh-CN"/>
        </w:rPr>
        <w:t>489.53</w:t>
      </w:r>
      <w:r>
        <w:rPr>
          <w:rFonts w:hint="eastAsia" w:ascii="仿宋_GB2312" w:hAnsi="仿宋_GB2312" w:eastAsia="仿宋_GB2312" w:cs="仿宋_GB2312"/>
          <w:bCs/>
          <w:sz w:val="32"/>
          <w:szCs w:val="32"/>
        </w:rPr>
        <w:t>万元，</w:t>
      </w:r>
      <w:r>
        <w:rPr>
          <w:rFonts w:hint="eastAsia" w:ascii="仿宋_GB2312" w:hAnsi="仿宋" w:eastAsia="仿宋_GB2312" w:cs="仿宋_GB2312"/>
          <w:kern w:val="0"/>
          <w:sz w:val="32"/>
          <w:szCs w:val="32"/>
          <w:lang w:val="en-US" w:eastAsia="zh-CN" w:bidi="ar-SA"/>
        </w:rPr>
        <w:t>占基本支出的91.53 %，主要包括：基本工资、津贴补贴、奖金、绩效工资、机关事业单位基本养老保险缴费、职业年金缴费、职工基本医疗保险缴费、其他社会保障缴费、住房公积金、抚恤金、生活补助、医疗费补助、代缴社会保险费、其他对个人和家庭的补助。公用经费45.3万元，占基本支出的8.47%，主要包括：办公费、印刷费、咨询费、手续费、水费、电费、邮电费、维修（护）费、公务接待费、劳务费、工会经费、福利费、其他交通费用。</w:t>
      </w:r>
    </w:p>
    <w:p>
      <w:pPr>
        <w:pStyle w:val="5"/>
        <w:spacing w:before="0" w:beforeAutospacing="0" w:after="0" w:afterAutospacing="0" w:line="480" w:lineRule="auto"/>
        <w:ind w:firstLine="480"/>
        <w:jc w:val="both"/>
        <w:rPr>
          <w:rFonts w:ascii="仿宋_GB2312" w:hAnsi="仿宋_GB2312" w:eastAsia="仿宋_GB2312" w:cs="仿宋_GB2312"/>
          <w:bCs/>
          <w:sz w:val="28"/>
          <w:szCs w:val="28"/>
        </w:rPr>
      </w:pPr>
      <w:r>
        <w:rPr>
          <w:rFonts w:hint="eastAsia" w:ascii="仿宋_GB2312" w:hAnsi="仿宋_GB2312" w:eastAsia="仿宋_GB2312" w:cs="仿宋_GB2312"/>
          <w:bCs/>
          <w:sz w:val="32"/>
          <w:szCs w:val="32"/>
          <w:lang w:eastAsia="zh-CN"/>
        </w:rPr>
        <w:t>2023年</w:t>
      </w:r>
      <w:r>
        <w:rPr>
          <w:rFonts w:hint="eastAsia" w:ascii="仿宋_GB2312" w:hAnsi="仿宋_GB2312" w:eastAsia="仿宋_GB2312" w:cs="仿宋_GB2312"/>
          <w:bCs/>
          <w:sz w:val="32"/>
          <w:szCs w:val="32"/>
        </w:rPr>
        <w:t>“三公”经费0</w:t>
      </w:r>
      <w:r>
        <w:rPr>
          <w:rFonts w:hint="eastAsia" w:ascii="仿宋_GB2312" w:hAnsi="仿宋_GB2312" w:eastAsia="仿宋_GB2312" w:cs="仿宋_GB2312"/>
          <w:bCs/>
          <w:sz w:val="32"/>
          <w:szCs w:val="32"/>
          <w:lang w:val="en-US" w:eastAsia="zh-CN"/>
        </w:rPr>
        <w:t>.58</w:t>
      </w:r>
      <w:r>
        <w:rPr>
          <w:rFonts w:hint="eastAsia" w:ascii="仿宋_GB2312" w:hAnsi="仿宋_GB2312" w:eastAsia="仿宋_GB2312" w:cs="仿宋_GB2312"/>
          <w:bCs/>
          <w:sz w:val="32"/>
          <w:szCs w:val="32"/>
        </w:rPr>
        <w:t>万元，</w:t>
      </w:r>
      <w:r>
        <w:rPr>
          <w:rFonts w:hint="eastAsia" w:ascii="仿宋_GB2312" w:hAnsi="仿宋_GB2312" w:eastAsia="仿宋_GB2312" w:cs="仿宋_GB2312"/>
          <w:bCs/>
          <w:sz w:val="32"/>
          <w:szCs w:val="32"/>
          <w:lang w:val="en-US" w:eastAsia="zh-CN"/>
        </w:rPr>
        <w:t>其中</w:t>
      </w:r>
      <w:r>
        <w:rPr>
          <w:rFonts w:hint="eastAsia" w:ascii="仿宋_GB2312" w:hAnsi="仿宋_GB2312" w:eastAsia="仿宋_GB2312" w:cs="仿宋_GB2312"/>
          <w:bCs/>
          <w:sz w:val="32"/>
          <w:szCs w:val="32"/>
        </w:rPr>
        <w:t>公务接待费开支</w:t>
      </w:r>
      <w:r>
        <w:rPr>
          <w:rFonts w:hint="eastAsia" w:ascii="仿宋_GB2312" w:hAnsi="仿宋_GB2312" w:eastAsia="仿宋_GB2312" w:cs="仿宋_GB2312"/>
          <w:bCs/>
          <w:sz w:val="32"/>
          <w:szCs w:val="32"/>
          <w:lang w:val="en-US" w:eastAsia="zh-CN"/>
        </w:rPr>
        <w:t>0.58万元</w:t>
      </w:r>
      <w:r>
        <w:rPr>
          <w:rFonts w:hint="eastAsia" w:ascii="仿宋_GB2312" w:hAnsi="仿宋_GB2312" w:eastAsia="仿宋_GB2312" w:cs="仿宋_GB2312"/>
          <w:bCs/>
          <w:sz w:val="32"/>
          <w:szCs w:val="32"/>
        </w:rPr>
        <w:t>，本无公务用车购置费及运行维护费，无因公出国（境）费。</w:t>
      </w:r>
    </w:p>
    <w:p>
      <w:pPr>
        <w:numPr>
          <w:ilvl w:val="0"/>
          <w:numId w:val="2"/>
        </w:numPr>
        <w:ind w:firstLine="643" w:firstLineChars="200"/>
        <w:jc w:val="left"/>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项目支出情况</w:t>
      </w:r>
    </w:p>
    <w:p>
      <w:pPr>
        <w:ind w:left="420" w:leftChars="200"/>
        <w:jc w:val="left"/>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 xml:space="preserve"> </w:t>
      </w:r>
      <w:r>
        <w:rPr>
          <w:rFonts w:hint="eastAsia" w:ascii="仿宋_GB2312" w:hAnsi="仿宋_GB2312" w:eastAsia="仿宋_GB2312" w:cs="仿宋_GB2312"/>
          <w:bCs/>
          <w:sz w:val="32"/>
          <w:szCs w:val="32"/>
          <w:lang w:eastAsia="zh-CN"/>
        </w:rPr>
        <w:t>2023年</w:t>
      </w:r>
      <w:r>
        <w:rPr>
          <w:rFonts w:hint="eastAsia" w:ascii="仿宋_GB2312" w:hAnsi="仿宋_GB2312" w:eastAsia="仿宋_GB2312" w:cs="仿宋_GB2312"/>
          <w:bCs/>
          <w:sz w:val="32"/>
          <w:szCs w:val="32"/>
        </w:rPr>
        <w:t>项目支出共计</w:t>
      </w:r>
      <w:r>
        <w:rPr>
          <w:rFonts w:hint="eastAsia" w:ascii="仿宋_GB2312" w:hAnsi="仿宋_GB2312" w:eastAsia="仿宋_GB2312" w:cs="仿宋_GB2312"/>
          <w:bCs/>
          <w:sz w:val="32"/>
          <w:szCs w:val="32"/>
          <w:lang w:val="en-US" w:eastAsia="zh-CN"/>
        </w:rPr>
        <w:t>917.18</w:t>
      </w:r>
      <w:r>
        <w:rPr>
          <w:rFonts w:hint="eastAsia" w:ascii="仿宋_GB2312" w:hAnsi="仿宋_GB2312" w:eastAsia="仿宋_GB2312" w:cs="仿宋_GB2312"/>
          <w:bCs/>
          <w:sz w:val="32"/>
          <w:szCs w:val="32"/>
        </w:rPr>
        <w:t>万元，其中</w:t>
      </w:r>
      <w:r>
        <w:rPr>
          <w:rFonts w:hint="eastAsia" w:ascii="仿宋_GB2312" w:hAnsi="仿宋_GB2312" w:eastAsia="仿宋_GB2312" w:cs="仿宋_GB2312"/>
          <w:bCs/>
          <w:sz w:val="32"/>
          <w:szCs w:val="32"/>
          <w:lang w:val="en-US" w:eastAsia="zh-CN"/>
        </w:rPr>
        <w:t>财政追加的工资</w:t>
      </w:r>
    </w:p>
    <w:p>
      <w:pPr>
        <w:jc w:val="left"/>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仿宋_GB2312" w:hAnsi="仿宋_GB2312" w:eastAsia="仿宋_GB2312" w:cs="仿宋_GB2312"/>
          <w:bCs/>
          <w:sz w:val="32"/>
          <w:szCs w:val="32"/>
          <w:lang w:val="en-US" w:eastAsia="zh-CN"/>
        </w:rPr>
        <w:t>性支出296.77</w:t>
      </w:r>
      <w:r>
        <w:rPr>
          <w:rFonts w:hint="eastAsia" w:ascii="仿宋_GB2312" w:hAnsi="仿宋_GB2312" w:eastAsia="仿宋_GB2312" w:cs="仿宋_GB2312"/>
          <w:bCs/>
          <w:sz w:val="32"/>
          <w:szCs w:val="32"/>
        </w:rPr>
        <w:t>万元，</w:t>
      </w:r>
      <w:r>
        <w:rPr>
          <w:rFonts w:hint="eastAsia" w:ascii="仿宋_GB2312" w:hAnsi="仿宋_GB2312" w:eastAsia="仿宋_GB2312" w:cs="仿宋_GB2312"/>
          <w:bCs/>
          <w:sz w:val="32"/>
          <w:szCs w:val="32"/>
          <w:lang w:val="en-US" w:eastAsia="zh-CN"/>
        </w:rPr>
        <w:t>数字经济62</w:t>
      </w:r>
      <w:r>
        <w:rPr>
          <w:rFonts w:hint="eastAsia" w:ascii="仿宋_GB2312" w:hAnsi="仿宋_GB2312" w:eastAsia="仿宋_GB2312" w:cs="仿宋_GB2312"/>
          <w:bCs/>
          <w:sz w:val="32"/>
          <w:szCs w:val="32"/>
        </w:rPr>
        <w:t>万元，</w:t>
      </w:r>
      <w:r>
        <w:rPr>
          <w:rFonts w:hint="eastAsia" w:ascii="仿宋_GB2312" w:hAnsi="仿宋_GB2312" w:eastAsia="仿宋_GB2312" w:cs="仿宋_GB2312"/>
          <w:bCs/>
          <w:sz w:val="32"/>
          <w:szCs w:val="32"/>
          <w:lang w:val="en-US" w:eastAsia="zh-CN"/>
        </w:rPr>
        <w:t>节会促销474.74</w:t>
      </w:r>
      <w:r>
        <w:rPr>
          <w:rFonts w:hint="eastAsia" w:ascii="仿宋_GB2312" w:hAnsi="仿宋_GB2312" w:eastAsia="仿宋_GB2312" w:cs="仿宋_GB2312"/>
          <w:bCs/>
          <w:sz w:val="32"/>
          <w:szCs w:val="32"/>
        </w:rPr>
        <w:t>万元，</w:t>
      </w:r>
      <w:r>
        <w:rPr>
          <w:rFonts w:hint="eastAsia" w:ascii="仿宋_GB2312" w:hAnsi="仿宋_GB2312" w:eastAsia="仿宋_GB2312" w:cs="仿宋_GB2312"/>
          <w:bCs/>
          <w:sz w:val="32"/>
          <w:szCs w:val="32"/>
          <w:lang w:val="en-US" w:eastAsia="zh-CN"/>
        </w:rPr>
        <w:t>对企业的补助6.5万元，</w:t>
      </w:r>
      <w:r>
        <w:rPr>
          <w:rFonts w:hint="eastAsia" w:ascii="仿宋_GB2312" w:hAnsi="仿宋_GB2312" w:eastAsia="仿宋_GB2312" w:cs="仿宋_GB2312"/>
          <w:bCs/>
          <w:sz w:val="32"/>
          <w:szCs w:val="32"/>
        </w:rPr>
        <w:t>其他</w:t>
      </w:r>
      <w:r>
        <w:rPr>
          <w:rFonts w:hint="eastAsia" w:ascii="仿宋_GB2312" w:hAnsi="仿宋_GB2312" w:eastAsia="仿宋_GB2312" w:cs="仿宋_GB2312"/>
          <w:bCs/>
          <w:sz w:val="32"/>
          <w:szCs w:val="32"/>
          <w:lang w:val="en-US" w:eastAsia="zh-CN"/>
        </w:rPr>
        <w:t>商品服务</w:t>
      </w:r>
      <w:r>
        <w:rPr>
          <w:rFonts w:hint="eastAsia" w:ascii="仿宋_GB2312" w:hAnsi="仿宋_GB2312" w:eastAsia="仿宋_GB2312" w:cs="仿宋_GB2312"/>
          <w:bCs/>
          <w:sz w:val="32"/>
          <w:szCs w:val="32"/>
        </w:rPr>
        <w:t>支出</w:t>
      </w:r>
      <w:r>
        <w:rPr>
          <w:rFonts w:hint="eastAsia" w:ascii="仿宋_GB2312" w:hAnsi="仿宋_GB2312" w:eastAsia="仿宋_GB2312" w:cs="仿宋_GB2312"/>
          <w:bCs/>
          <w:sz w:val="32"/>
          <w:szCs w:val="32"/>
          <w:lang w:val="en-US" w:eastAsia="zh-CN"/>
        </w:rPr>
        <w:t>77.17</w:t>
      </w:r>
      <w:r>
        <w:rPr>
          <w:rFonts w:hint="eastAsia" w:ascii="仿宋_GB2312" w:hAnsi="仿宋_GB2312" w:eastAsia="仿宋_GB2312" w:cs="仿宋_GB2312"/>
          <w:bCs/>
          <w:sz w:val="32"/>
          <w:szCs w:val="32"/>
        </w:rPr>
        <w:t>万元。</w:t>
      </w:r>
    </w:p>
    <w:p>
      <w:pPr>
        <w:numPr>
          <w:ilvl w:val="0"/>
          <w:numId w:val="3"/>
        </w:num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政府性基金预算支出情况</w:t>
      </w:r>
    </w:p>
    <w:p>
      <w:pPr>
        <w:ind w:left="420" w:leftChars="200"/>
        <w:jc w:val="left"/>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 xml:space="preserve"> 无</w:t>
      </w:r>
    </w:p>
    <w:p>
      <w:pPr>
        <w:numPr>
          <w:ilvl w:val="0"/>
          <w:numId w:val="3"/>
        </w:num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国有资本经营预算支出情况</w:t>
      </w:r>
    </w:p>
    <w:p>
      <w:pPr>
        <w:ind w:left="420" w:leftChars="200"/>
        <w:jc w:val="left"/>
        <w:rPr>
          <w:rFonts w:ascii="黑体" w:hAnsi="黑体" w:eastAsia="黑体" w:cs="黑体"/>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无</w:t>
      </w:r>
    </w:p>
    <w:p>
      <w:pPr>
        <w:numPr>
          <w:ilvl w:val="0"/>
          <w:numId w:val="3"/>
        </w:num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社会保险基金预算支出情况</w:t>
      </w:r>
    </w:p>
    <w:p>
      <w:pPr>
        <w:ind w:left="420" w:leftChars="200"/>
        <w:jc w:val="left"/>
        <w:rPr>
          <w:rFonts w:ascii="黑体" w:hAnsi="黑体" w:eastAsia="黑体" w:cs="黑体"/>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无</w:t>
      </w:r>
    </w:p>
    <w:p>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六、部门整体支出绩效情况</w:t>
      </w:r>
    </w:p>
    <w:p>
      <w:pPr>
        <w:keepNext w:val="0"/>
        <w:keepLines w:val="0"/>
        <w:pageBreakBefore w:val="0"/>
        <w:widowControl/>
        <w:kinsoku w:val="0"/>
        <w:wordWrap/>
        <w:overflowPunct/>
        <w:topLinePunct w:val="0"/>
        <w:autoSpaceDE w:val="0"/>
        <w:autoSpaceDN w:val="0"/>
        <w:bidi w:val="0"/>
        <w:adjustRightInd w:val="0"/>
        <w:snapToGrid w:val="0"/>
        <w:spacing w:before="120" w:beforeLines="50" w:line="396" w:lineRule="auto"/>
        <w:ind w:left="15" w:leftChars="7" w:right="11" w:firstLine="604" w:firstLineChars="200"/>
        <w:jc w:val="left"/>
        <w:textAlignment w:val="baseline"/>
        <w:rPr>
          <w:rFonts w:hint="eastAsia" w:ascii="仿宋" w:hAnsi="仿宋" w:eastAsia="仿宋" w:cs="仿宋"/>
          <w:spacing w:val="6"/>
          <w:kern w:val="0"/>
          <w:sz w:val="29"/>
          <w:szCs w:val="29"/>
          <w:lang w:eastAsia="zh-CN"/>
        </w:rPr>
      </w:pPr>
      <w:r>
        <w:rPr>
          <w:rFonts w:hint="eastAsia" w:ascii="仿宋" w:hAnsi="仿宋" w:eastAsia="仿宋" w:cs="仿宋"/>
          <w:spacing w:val="6"/>
          <w:kern w:val="0"/>
          <w:sz w:val="29"/>
          <w:szCs w:val="29"/>
        </w:rPr>
        <w:t>今年来，在区委、区政府的坚强领导下，区商务粮食局以习近平新时代中国特色社会主义思想为指导，认真贯彻落实党的二十大精神，紧扣“促消费、稳增长、惠民生”主旋律，以落实打好发展六仗和经济高质量发展为抓手，凝心聚力、砥砺前行,各项工作呈现良好发展态势</w:t>
      </w:r>
      <w:r>
        <w:rPr>
          <w:rFonts w:hint="eastAsia" w:ascii="仿宋" w:hAnsi="仿宋" w:eastAsia="仿宋" w:cs="仿宋"/>
          <w:spacing w:val="6"/>
          <w:kern w:val="0"/>
          <w:sz w:val="29"/>
          <w:szCs w:val="29"/>
          <w:lang w:eastAsia="zh-CN"/>
        </w:rPr>
        <w:t>。</w:t>
      </w:r>
    </w:p>
    <w:p>
      <w:pPr>
        <w:keepNext w:val="0"/>
        <w:keepLines w:val="0"/>
        <w:pageBreakBefore w:val="0"/>
        <w:widowControl/>
        <w:kinsoku w:val="0"/>
        <w:wordWrap/>
        <w:overflowPunct/>
        <w:topLinePunct w:val="0"/>
        <w:autoSpaceDE w:val="0"/>
        <w:autoSpaceDN w:val="0"/>
        <w:bidi w:val="0"/>
        <w:adjustRightInd w:val="0"/>
        <w:snapToGrid w:val="0"/>
        <w:spacing w:before="120" w:beforeLines="50" w:line="396" w:lineRule="auto"/>
        <w:ind w:left="15" w:leftChars="7" w:right="11" w:firstLine="604" w:firstLineChars="200"/>
        <w:jc w:val="left"/>
        <w:textAlignment w:val="baseline"/>
        <w:rPr>
          <w:rFonts w:hint="eastAsia" w:ascii="仿宋" w:hAnsi="仿宋" w:eastAsia="仿宋" w:cs="仿宋"/>
          <w:spacing w:val="6"/>
          <w:kern w:val="0"/>
          <w:sz w:val="29"/>
          <w:szCs w:val="29"/>
        </w:rPr>
      </w:pPr>
      <w:r>
        <w:rPr>
          <w:rFonts w:hint="eastAsia" w:ascii="仿宋" w:hAnsi="仿宋" w:eastAsia="仿宋" w:cs="仿宋"/>
          <w:spacing w:val="6"/>
          <w:kern w:val="0"/>
          <w:sz w:val="29"/>
          <w:szCs w:val="29"/>
        </w:rPr>
        <w:t>一、主要工作成效</w:t>
      </w:r>
    </w:p>
    <w:p>
      <w:pPr>
        <w:keepNext w:val="0"/>
        <w:keepLines w:val="0"/>
        <w:pageBreakBefore w:val="0"/>
        <w:widowControl/>
        <w:kinsoku w:val="0"/>
        <w:wordWrap/>
        <w:overflowPunct/>
        <w:topLinePunct w:val="0"/>
        <w:autoSpaceDE w:val="0"/>
        <w:autoSpaceDN w:val="0"/>
        <w:bidi w:val="0"/>
        <w:adjustRightInd w:val="0"/>
        <w:snapToGrid w:val="0"/>
        <w:spacing w:before="120" w:beforeLines="50" w:line="396" w:lineRule="auto"/>
        <w:ind w:left="15" w:leftChars="7" w:right="11" w:firstLine="604" w:firstLineChars="200"/>
        <w:jc w:val="left"/>
        <w:textAlignment w:val="baseline"/>
        <w:rPr>
          <w:rFonts w:hint="eastAsia" w:ascii="仿宋" w:hAnsi="仿宋" w:eastAsia="仿宋" w:cs="仿宋"/>
          <w:spacing w:val="6"/>
          <w:kern w:val="0"/>
          <w:sz w:val="29"/>
          <w:szCs w:val="29"/>
        </w:rPr>
      </w:pPr>
      <w:r>
        <w:rPr>
          <w:rFonts w:hint="eastAsia" w:ascii="仿宋" w:hAnsi="仿宋" w:eastAsia="仿宋" w:cs="仿宋"/>
          <w:spacing w:val="6"/>
          <w:kern w:val="0"/>
          <w:sz w:val="29"/>
          <w:szCs w:val="29"/>
        </w:rPr>
        <w:t>1.扩内需，激发消费活力。一是消费促进活动“亮点纷呈”。按照市、区工作部署，精心筹办“月季有约”系列消费促进活动。先后举办了“玩转巴陵”新潮年货节、“福满巴陵·岳购岳嗨”消费促进季、“惠动盛夏·礼赠金秋”巴陵消费券发放、与美相约助力“她经济”、“月季有约·焕新生活”惠民车展、“洞庭渔火季·夏之夜”啤酒烧烤节、“洞庭渔火季·秋之韵”2023年岳阳楼区金秋购物节、洞庭渔火季·冬之味“金鹗叠翠”文旅推介活动等系列消费促进活动，期间共发放消费券700万元，拉动消费增长近30亿元，进一步增强了市场主体活力，激发了消费市场人气，为加速消费回升和潜力释放注入新动力；二是品牌创建“可圈可点”。2023年，在市主管部门的具体指导下，我区远山茶业的“北港毛尖”、巴陵全鱼席、巴陵扇社的“岳州扇”、天怡食品的“籣花”牌兰花萝卜先后获评湖南省老字号；湖南乐邦制药的鬼蛇酒、巴陵全鱼席正在申报中华老字号；三是示范区建设“再添精品”。会同相关部门，以炮台山“夜美食”示范街区、东茅岭步行街商圈“夜购物”示范圈、岳阳楼-汴河街-洞庭南路“夜观光”示范街区为重点，打造我区“夜经济”精品品牌，达到持续闹热经济、炒旺市场的年度消费促进工作目标，现“汴河街”街区已获批“湖南省改制提升试点步行街”和“湖南省示范步行街”。通过积极作为，截止11月底，全区新增限额以上商贸企业35家，累计完成社会消费品零售总额545.34亿元，同比增长9.7%，总量居全市第一，增速居全市第三。</w:t>
      </w:r>
    </w:p>
    <w:p>
      <w:pPr>
        <w:keepNext w:val="0"/>
        <w:keepLines w:val="0"/>
        <w:pageBreakBefore w:val="0"/>
        <w:widowControl/>
        <w:kinsoku w:val="0"/>
        <w:wordWrap/>
        <w:overflowPunct/>
        <w:topLinePunct w:val="0"/>
        <w:autoSpaceDE w:val="0"/>
        <w:autoSpaceDN w:val="0"/>
        <w:bidi w:val="0"/>
        <w:adjustRightInd w:val="0"/>
        <w:snapToGrid w:val="0"/>
        <w:spacing w:before="120" w:beforeLines="50" w:line="396" w:lineRule="auto"/>
        <w:ind w:left="15" w:leftChars="7" w:right="11" w:firstLine="604" w:firstLineChars="200"/>
        <w:jc w:val="left"/>
        <w:textAlignment w:val="baseline"/>
        <w:rPr>
          <w:rFonts w:hint="eastAsia" w:ascii="仿宋" w:hAnsi="仿宋" w:eastAsia="仿宋" w:cs="仿宋"/>
          <w:spacing w:val="6"/>
          <w:kern w:val="0"/>
          <w:sz w:val="29"/>
          <w:szCs w:val="29"/>
        </w:rPr>
      </w:pPr>
      <w:r>
        <w:rPr>
          <w:rFonts w:hint="eastAsia" w:ascii="仿宋" w:hAnsi="仿宋" w:eastAsia="仿宋" w:cs="仿宋"/>
          <w:spacing w:val="6"/>
          <w:kern w:val="0"/>
          <w:sz w:val="29"/>
          <w:szCs w:val="29"/>
        </w:rPr>
        <w:t>2.强产业，发展数字经济。一是打造电商产业聚集区。在市、区两级政府的高度重视下，我区小龙城和洞庭在线数字产业园顺利开园，园区以数字产业化为主线，促进数字技术与实体经济深度融合，着力打造新的经济增长点。目前，已签约品牌98家，入驻企业139家，园区入驻以直播、产业服务公司为主，为我区传统企业赋能，带动数字经济转型升级，为全区外贸企业发展注入新生动力；二是推进电商消费帮扶。2023年，岳阳楼区电商销售农产品5.98亿元，全区226家单位通过“832”平台、省乡村振兴馆、岳阳市消费扶贫网、对口帮扶保靖县、岳阳楼区消费扶贫专柜、岳阳楼区本地平台等线上线下渠道采购消费扶贫产品1586.3万元；三是开展电商直播培训。洞庭在线园区多次引进江浙沪直播头部企业/达人入驻园区，园内现有企业直播工会员工近4000人，园内开展直播场次1600场，落地活动69场，包括市妇联主办的“一村一主播培训”，电商办、网信办与园区联合主办的“星起航计划”专向直播人才集训、企业招商等活动，共计活动参与人数5000余人。特别是8月1日，由直播电商知名主播、岳阳乡友李佳琦领衔的美ONE团队助力岳阳数字产业发展，近16小时的数字电商直播，涵盖岳阳本地品牌10个，2场大型直播电商培训，培训人数400人次，掀起了岳阳楼区产业转型升级、“换道超车”的新高潮。</w:t>
      </w:r>
    </w:p>
    <w:p>
      <w:pPr>
        <w:keepNext w:val="0"/>
        <w:keepLines w:val="0"/>
        <w:pageBreakBefore w:val="0"/>
        <w:widowControl/>
        <w:kinsoku w:val="0"/>
        <w:wordWrap/>
        <w:overflowPunct/>
        <w:topLinePunct w:val="0"/>
        <w:autoSpaceDE w:val="0"/>
        <w:autoSpaceDN w:val="0"/>
        <w:bidi w:val="0"/>
        <w:adjustRightInd w:val="0"/>
        <w:snapToGrid w:val="0"/>
        <w:spacing w:before="120" w:beforeLines="50" w:line="396" w:lineRule="auto"/>
        <w:ind w:left="15" w:leftChars="7" w:right="11" w:firstLine="604" w:firstLineChars="200"/>
        <w:jc w:val="left"/>
        <w:textAlignment w:val="baseline"/>
        <w:rPr>
          <w:rFonts w:hint="eastAsia" w:ascii="仿宋" w:hAnsi="仿宋" w:eastAsia="仿宋" w:cs="仿宋"/>
          <w:spacing w:val="6"/>
          <w:kern w:val="0"/>
          <w:sz w:val="29"/>
          <w:szCs w:val="29"/>
        </w:rPr>
      </w:pPr>
      <w:r>
        <w:rPr>
          <w:rFonts w:hint="eastAsia" w:ascii="仿宋" w:hAnsi="仿宋" w:eastAsia="仿宋" w:cs="仿宋"/>
          <w:spacing w:val="6"/>
          <w:kern w:val="0"/>
          <w:sz w:val="29"/>
          <w:szCs w:val="29"/>
        </w:rPr>
        <w:t>3.促开放，创优企业服务。一是强化服务，积极引导外贸企业发展。今年采取设立外贸服务工作专班和“一事一议”服务的工作措施，帮助企业解决了项目申报等实际问题12个，组织企业申报2023年度外经贸发展专项资金86.39万元，包括凯美特、飞德诺供应链、巴陵华兴石化、湘北精化化工等11家企业14个项目。全年新增对外投资项目两个，分别为湖南康君工程服务有限公司在纳米比亚设立康君服务有限公司项目和岳阳礼一科技股份有限公司在中国香港设立香港礼一贸易有限公司项目。项目金额分别为12万美元和10.5万美元，总金额22.5万美元；二是开拓渠道，千方百计帮助企业抢订单。重点指导岳阳乾明礼品有限公司等跨境电商企业将服务贸易额转化为外贸进出口额，预计全年可实现外贸进出口额5000万元。全年全区实现外贸进出口总额5.1亿元，同比增长25.3%，完成全年目标任务4.86亿元的105%；完成服务贸易213.7万美元，有9家企业实现业绩“破零”；三是用实政策，鼓励企业“走出去”和“引进来”。组织中仓国际物流等企业参加进博会，协助岳阳宏腾贸易有限公司与纳米比亚签订矿石意向性供货协议，合同金额3000万元；协助湖南湘北精化化工公司成功邀请巴勒斯坦客户来岳洽谈化肥合作业务，签订意向性供货协议3000万元，千方百计帮助企业“走出去”和“引进来”。</w:t>
      </w:r>
    </w:p>
    <w:p>
      <w:pPr>
        <w:keepNext w:val="0"/>
        <w:keepLines w:val="0"/>
        <w:pageBreakBefore w:val="0"/>
        <w:widowControl/>
        <w:kinsoku w:val="0"/>
        <w:wordWrap/>
        <w:overflowPunct/>
        <w:topLinePunct w:val="0"/>
        <w:autoSpaceDE w:val="0"/>
        <w:autoSpaceDN w:val="0"/>
        <w:bidi w:val="0"/>
        <w:adjustRightInd w:val="0"/>
        <w:snapToGrid w:val="0"/>
        <w:spacing w:before="120" w:beforeLines="50" w:line="396" w:lineRule="auto"/>
        <w:ind w:left="15" w:leftChars="7" w:right="11" w:firstLine="604" w:firstLineChars="200"/>
        <w:jc w:val="left"/>
        <w:textAlignment w:val="baseline"/>
        <w:rPr>
          <w:rFonts w:hint="eastAsia" w:ascii="仿宋" w:hAnsi="仿宋" w:eastAsia="仿宋" w:cs="仿宋"/>
          <w:spacing w:val="6"/>
          <w:kern w:val="0"/>
          <w:sz w:val="29"/>
          <w:szCs w:val="29"/>
        </w:rPr>
      </w:pPr>
      <w:r>
        <w:rPr>
          <w:rFonts w:hint="eastAsia" w:ascii="仿宋" w:hAnsi="仿宋" w:eastAsia="仿宋" w:cs="仿宋"/>
          <w:spacing w:val="6"/>
          <w:kern w:val="0"/>
          <w:sz w:val="29"/>
          <w:szCs w:val="29"/>
        </w:rPr>
        <w:t>4.稳民生，完善市场体系。一是规范市场管理，助力文明卫生城市建设。牵头组织全区36家农（集）贸市场文明卫生城市建设工作，成立了区农（集）贸市场文明卫生城市建设工作专班，由区政府分管副区长任组长，区商务粮食等7部门和15个街道（乡)分管负责人为成员，制订了《岳阳楼区农（集）贸市场文明卫生城市建设工作方案》、《岳阳楼区农贸市场顽瘴痼疾整治工作方案》和《岳阳楼区梅溪桥农贸市场安全隐患和卫生环境整治工作方案》等文件，进一步压实了市场业主单位主体责任和街道的属地责任，并采取班子成员包片负责，局机关和二级机构工作人员打桩定位的工作方法，全力以赴推进文明卫生城市建设工作。期间，开展巡查督导1400余人/次，发现活禽宰杀、存放和销售未分区设置等问题500余个，均要求相关单位在规定时间内整改到位。同时，按照文明卫生城市农贸市场测评工作要求，在市场入口处统一悬挂“四公示”和文明城市公益宣传牌500余块，组织开展卫生大扫除16次，组织开展了农贸市场顽瘴痼疾集中整治，完成19农贸市场活禽区改造、增加常态化保洁人员39人，卫生间设施设备维修以及铺设防滑垫等工作，市场面貌明显改善；二是积极多方协调，推进市场提质升级。牵头组织实施了为期2个月梅溪桥农贸市场集中整治，成立由7个部门和吕仙亭街道为成员的整治工作领导小组。期间，共开展部门联合执法检查8次，对市场内消防安全隐患、出店占道经营、环境卫生和市场外经营秩序等进行了集中整治，清运各类杂物5吨，劝导商户410户，排查整改安全隐患14处。同时，完成梅溪桥临时菜市场建设，选址建设南路与梅溪桥街交叉口西南侧（G240西环线道路两侧配套设施项目-芋头田社会停车场），该项目用地面积约3000平方米，总建筑面积2300平方米。目前已完成主体建设，摊位和门面共224个临时摊位（其中门面86个，摊位138个），并配套建设公共卫生间和办公用房，200余户经营户搬迁思想动员摸底工作基本完成，有序稳妥推进市场搬迁工作；三是加强项目调度，快速推进县域商业体系建设。2023年共征集项目3个，湖南物博农产品经营有限公司、岳阳市交投园区建设管理有限公司和田园牧歌等3家企业申报2023年度县域商业建设项目。</w:t>
      </w:r>
    </w:p>
    <w:p>
      <w:pPr>
        <w:keepNext w:val="0"/>
        <w:keepLines w:val="0"/>
        <w:pageBreakBefore w:val="0"/>
        <w:widowControl/>
        <w:kinsoku w:val="0"/>
        <w:wordWrap/>
        <w:overflowPunct/>
        <w:topLinePunct w:val="0"/>
        <w:autoSpaceDE w:val="0"/>
        <w:autoSpaceDN w:val="0"/>
        <w:bidi w:val="0"/>
        <w:adjustRightInd w:val="0"/>
        <w:snapToGrid w:val="0"/>
        <w:spacing w:before="120" w:beforeLines="50" w:line="396" w:lineRule="auto"/>
        <w:ind w:left="15" w:leftChars="7" w:right="11" w:firstLine="604" w:firstLineChars="200"/>
        <w:jc w:val="left"/>
        <w:textAlignment w:val="baseline"/>
        <w:rPr>
          <w:rFonts w:hint="eastAsia" w:ascii="仿宋" w:hAnsi="仿宋" w:eastAsia="仿宋" w:cs="仿宋"/>
          <w:spacing w:val="6"/>
          <w:kern w:val="0"/>
          <w:sz w:val="29"/>
          <w:szCs w:val="29"/>
        </w:rPr>
      </w:pPr>
      <w:r>
        <w:rPr>
          <w:rFonts w:hint="eastAsia" w:ascii="仿宋" w:hAnsi="仿宋" w:eastAsia="仿宋" w:cs="仿宋"/>
          <w:spacing w:val="6"/>
          <w:kern w:val="0"/>
          <w:sz w:val="29"/>
          <w:szCs w:val="29"/>
        </w:rPr>
        <w:t>5.抓安全，落实行业监管。一是加强行业安全生产巡查。严格落实落实农（集）贸市场、商超安全生产行业监管责任,定期会同相关部门督查行业监管单位安全生产工作落实情况，督促业主单位要有针对性地部署加强防风险除隐患遏事故各项措施，动员一切可用力量，以最大力度、最高标准、最严要求守护好安全生产防线。今年来，共查访农（集）贸市场生产126次，查出安全隐患45处，下发《安全生产防范巡查督导记录表》和《落实安全生产责任督办通知》各37份，督促市场业主整改隐患45处。其中，梅溪桥农贸市场占地4707平方米，年代久远，属钢棚结构，与其共墙的百信农贸市场实属连体单一建筑体，耐火等级达不到要求，安全隐患大，已对梅溪桥市场下达整改通知书，责令限期内整改到位；东茅岭菜市场后墙倾斜并且天然气管道穿墙而过存在重大安全隐患，经多部门协商由东茅岭街道办负责将后墙拆除重建，天然气管道重新规划；二是抓好粮食行业属地监管。按照市委涉粮巡察岳阳楼区整改要求，认真履行属地监管职责，组织开展2022年度地方政府储备粮食油政策执行情况暨2023年度地方储粮春季普查和一季度、三季度巡查等相关工作，对市粮购城陵矶本Q3仓超标粮6467吨实行全程监控，与购买方粮食监督147186吨，其中：岳阳市粮食购销有限公司完成全年的轮换计划，省级储备粮19000吨、市级储备粮28000吨，中央储备粮岳阳直属库，中央储粮2280吨，红光米厂200吨，4家粮食企业出入库报备97706吨（中粮贸易出库报备23170吨、市粮购出库报备31080吨、益海嘉里报备6715吨、中储粮报备36741吨），较好的完成了年度粮安考核目标任务和粮食库存区级自查、市级抽查等工作；三是加强成品油市场监管。坚持“早部署，早行动，早落实，防患于未然”的工作原则，采取定期巡查和联合执法检查相结合的工作方式，全年会同应急、公安、消防、等部门开展执法检查36次，先后查封取缔无证经营摊点5个关闭非法加油点2个，查封加油机2台，截止目前5户非法加油站、点全部依法取缔，消除了安全隐患，违规经营成品油的现象得到有效扼制，全年全区32家加油站点销售汽油116800吨，柴油销售35040吨，同比增长35%，较好的保障了城区居民用油安全。</w:t>
      </w:r>
    </w:p>
    <w:p>
      <w:pPr>
        <w:keepNext w:val="0"/>
        <w:keepLines w:val="0"/>
        <w:pageBreakBefore w:val="0"/>
        <w:widowControl/>
        <w:kinsoku w:val="0"/>
        <w:wordWrap/>
        <w:overflowPunct/>
        <w:topLinePunct w:val="0"/>
        <w:autoSpaceDE w:val="0"/>
        <w:autoSpaceDN w:val="0"/>
        <w:bidi w:val="0"/>
        <w:adjustRightInd w:val="0"/>
        <w:snapToGrid w:val="0"/>
        <w:spacing w:before="120" w:beforeLines="50" w:line="396" w:lineRule="auto"/>
        <w:ind w:left="15" w:leftChars="7" w:right="11" w:firstLine="604" w:firstLineChars="200"/>
        <w:jc w:val="left"/>
        <w:textAlignment w:val="baseline"/>
        <w:rPr>
          <w:rFonts w:hint="eastAsia" w:ascii="仿宋" w:hAnsi="仿宋" w:eastAsia="仿宋" w:cs="仿宋"/>
          <w:spacing w:val="6"/>
          <w:kern w:val="0"/>
          <w:sz w:val="29"/>
          <w:szCs w:val="29"/>
        </w:rPr>
      </w:pPr>
      <w:r>
        <w:rPr>
          <w:rFonts w:hint="eastAsia" w:ascii="仿宋" w:hAnsi="仿宋" w:eastAsia="仿宋" w:cs="仿宋"/>
          <w:spacing w:val="6"/>
          <w:kern w:val="0"/>
          <w:sz w:val="29"/>
          <w:szCs w:val="29"/>
        </w:rPr>
        <w:t>6.保供应，保障市场稳定。一是强化粮食应急保障。目前，全区已设置粮食应急加工企业2家、应急配送中心1个、应急储运企业2家、粮食应急供应网点19个（2023年新增10个），保证了每个乡街至少布局1家应急供应网点，应急保供网络体系进一步完善。10月31日，联合市粮食购销有限公司，开展了市级储备粮出库应急演练，增强了承担应急储运任务企业的应急实战能力。同时，已落实2个粮食价格动态监测点，重点监测面粉、大米、食用油的批发价和零售价，每周采集1次数据，定期向省粮油市场信息监测平台上报数据，及时反映我区粮食市场的供需动态；二是完善生活必需品监测。全区已设置商贸流通监测企业16家，负责监测每月、每旬、每个黄金周销售情况；设置生活必需品监测企业1家，每周一次周报，特殊情况随时监测报送，不断提高监测灵敏性、及时性、有效性和前瞻性；三是夯实军粮站供应保障。我区军粮供应站是市中心城区（包括经开区、南湖风景区）唯一军粮供应网点，负责辖区内火箭军、武警部队、军分区通讯连等部队的粮油供应，2023年全年供应大米100吨，面粉19吨，食用油35吨，军粮供应保障能力进一步提升，部队满意率100%。</w:t>
      </w:r>
    </w:p>
    <w:p>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七、存在的问题及原因分析</w:t>
      </w:r>
    </w:p>
    <w:p>
      <w:pPr>
        <w:keepNext w:val="0"/>
        <w:keepLines w:val="0"/>
        <w:pageBreakBefore w:val="0"/>
        <w:widowControl/>
        <w:kinsoku w:val="0"/>
        <w:wordWrap/>
        <w:overflowPunct/>
        <w:topLinePunct w:val="0"/>
        <w:autoSpaceDE w:val="0"/>
        <w:autoSpaceDN w:val="0"/>
        <w:bidi w:val="0"/>
        <w:adjustRightInd w:val="0"/>
        <w:snapToGrid w:val="0"/>
        <w:spacing w:before="120" w:beforeLines="50" w:line="396" w:lineRule="auto"/>
        <w:ind w:left="15" w:leftChars="7" w:right="11" w:firstLine="604" w:firstLineChars="200"/>
        <w:jc w:val="left"/>
        <w:textAlignment w:val="baseline"/>
        <w:rPr>
          <w:rFonts w:hint="eastAsia" w:ascii="仿宋" w:hAnsi="仿宋" w:eastAsia="仿宋" w:cs="仿宋"/>
          <w:spacing w:val="6"/>
          <w:kern w:val="0"/>
          <w:sz w:val="29"/>
          <w:szCs w:val="29"/>
        </w:rPr>
      </w:pPr>
      <w:r>
        <w:rPr>
          <w:rFonts w:hint="eastAsia" w:ascii="仿宋" w:hAnsi="仿宋" w:eastAsia="仿宋" w:cs="仿宋"/>
          <w:spacing w:val="6"/>
          <w:kern w:val="0"/>
          <w:sz w:val="29"/>
          <w:szCs w:val="29"/>
        </w:rPr>
        <w:t>绩效考核意识有待进一步加强，内部绩效管理制度还不够完善，评价体系有待进一步健全。预算编制工作不够细化。</w:t>
      </w:r>
    </w:p>
    <w:p>
      <w:pPr>
        <w:numPr>
          <w:ilvl w:val="0"/>
          <w:numId w:val="4"/>
        </w:num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下一步改进措施</w:t>
      </w:r>
    </w:p>
    <w:p>
      <w:pPr>
        <w:keepNext w:val="0"/>
        <w:keepLines w:val="0"/>
        <w:pageBreakBefore w:val="0"/>
        <w:widowControl/>
        <w:kinsoku w:val="0"/>
        <w:wordWrap/>
        <w:overflowPunct/>
        <w:topLinePunct w:val="0"/>
        <w:autoSpaceDE w:val="0"/>
        <w:autoSpaceDN w:val="0"/>
        <w:bidi w:val="0"/>
        <w:adjustRightInd w:val="0"/>
        <w:snapToGrid w:val="0"/>
        <w:spacing w:before="120" w:beforeLines="50" w:line="396" w:lineRule="auto"/>
        <w:ind w:left="15" w:leftChars="7" w:right="11" w:firstLine="604" w:firstLineChars="200"/>
        <w:jc w:val="left"/>
        <w:textAlignment w:val="baseline"/>
        <w:rPr>
          <w:rFonts w:hint="eastAsia" w:ascii="仿宋" w:hAnsi="仿宋" w:eastAsia="仿宋" w:cs="仿宋"/>
          <w:spacing w:val="6"/>
          <w:kern w:val="0"/>
          <w:sz w:val="29"/>
          <w:szCs w:val="29"/>
        </w:rPr>
      </w:pPr>
      <w:r>
        <w:rPr>
          <w:rFonts w:hint="eastAsia" w:ascii="仿宋" w:hAnsi="仿宋" w:eastAsia="仿宋" w:cs="仿宋"/>
          <w:spacing w:val="6"/>
          <w:kern w:val="0"/>
          <w:sz w:val="29"/>
          <w:szCs w:val="29"/>
        </w:rPr>
        <w:t>1、加强绩效管理，完善绩效管理制度。</w:t>
      </w:r>
    </w:p>
    <w:p>
      <w:pPr>
        <w:keepNext w:val="0"/>
        <w:keepLines w:val="0"/>
        <w:pageBreakBefore w:val="0"/>
        <w:widowControl/>
        <w:kinsoku w:val="0"/>
        <w:wordWrap/>
        <w:overflowPunct/>
        <w:topLinePunct w:val="0"/>
        <w:autoSpaceDE w:val="0"/>
        <w:autoSpaceDN w:val="0"/>
        <w:bidi w:val="0"/>
        <w:adjustRightInd w:val="0"/>
        <w:snapToGrid w:val="0"/>
        <w:spacing w:before="120" w:beforeLines="50" w:line="396" w:lineRule="auto"/>
        <w:ind w:left="15" w:leftChars="7" w:right="11" w:firstLine="604" w:firstLineChars="200"/>
        <w:jc w:val="left"/>
        <w:textAlignment w:val="baseline"/>
        <w:rPr>
          <w:rFonts w:hint="eastAsia" w:ascii="仿宋" w:hAnsi="仿宋" w:eastAsia="仿宋" w:cs="仿宋"/>
          <w:spacing w:val="6"/>
          <w:kern w:val="0"/>
          <w:sz w:val="29"/>
          <w:szCs w:val="29"/>
        </w:rPr>
      </w:pPr>
      <w:r>
        <w:rPr>
          <w:rFonts w:hint="eastAsia" w:ascii="仿宋" w:hAnsi="仿宋" w:eastAsia="仿宋" w:cs="仿宋"/>
          <w:spacing w:val="6"/>
          <w:kern w:val="0"/>
          <w:sz w:val="29"/>
          <w:szCs w:val="29"/>
        </w:rPr>
        <w:t>2、严格执行财务预算管理制度，重视日常财务收支管理，建立健全各项财务制度，对一切开支严格按财务制度办理，极大地提高资金的使用效益，达到节约支出的目的。</w:t>
      </w:r>
    </w:p>
    <w:p>
      <w:pPr>
        <w:keepNext w:val="0"/>
        <w:keepLines w:val="0"/>
        <w:pageBreakBefore w:val="0"/>
        <w:widowControl/>
        <w:kinsoku w:val="0"/>
        <w:wordWrap/>
        <w:overflowPunct/>
        <w:topLinePunct w:val="0"/>
        <w:autoSpaceDE w:val="0"/>
        <w:autoSpaceDN w:val="0"/>
        <w:bidi w:val="0"/>
        <w:adjustRightInd w:val="0"/>
        <w:snapToGrid w:val="0"/>
        <w:spacing w:before="120" w:beforeLines="50" w:line="396" w:lineRule="auto"/>
        <w:ind w:left="15" w:leftChars="7" w:right="11" w:firstLine="604" w:firstLineChars="200"/>
        <w:jc w:val="left"/>
        <w:textAlignment w:val="baseline"/>
        <w:rPr>
          <w:rFonts w:hint="eastAsia" w:ascii="仿宋" w:hAnsi="仿宋" w:eastAsia="仿宋" w:cs="仿宋"/>
          <w:spacing w:val="6"/>
          <w:kern w:val="0"/>
          <w:sz w:val="29"/>
          <w:szCs w:val="29"/>
        </w:rPr>
      </w:pPr>
      <w:r>
        <w:rPr>
          <w:rFonts w:hint="eastAsia" w:ascii="仿宋" w:hAnsi="仿宋" w:eastAsia="仿宋" w:cs="仿宋"/>
          <w:spacing w:val="6"/>
          <w:kern w:val="0"/>
          <w:sz w:val="29"/>
          <w:szCs w:val="29"/>
        </w:rPr>
        <w:t>3、强化监督，不断提高专项资金使用效益。</w:t>
      </w:r>
    </w:p>
    <w:p>
      <w:pPr>
        <w:keepNext w:val="0"/>
        <w:keepLines w:val="0"/>
        <w:pageBreakBefore w:val="0"/>
        <w:widowControl/>
        <w:kinsoku w:val="0"/>
        <w:wordWrap/>
        <w:overflowPunct/>
        <w:topLinePunct w:val="0"/>
        <w:autoSpaceDE w:val="0"/>
        <w:autoSpaceDN w:val="0"/>
        <w:bidi w:val="0"/>
        <w:adjustRightInd w:val="0"/>
        <w:snapToGrid w:val="0"/>
        <w:spacing w:before="120" w:beforeLines="50" w:line="396" w:lineRule="auto"/>
        <w:ind w:left="15" w:leftChars="7" w:right="11" w:firstLine="604" w:firstLineChars="200"/>
        <w:jc w:val="left"/>
        <w:textAlignment w:val="baseline"/>
        <w:rPr>
          <w:rFonts w:hint="eastAsia" w:ascii="仿宋" w:hAnsi="仿宋" w:eastAsia="仿宋" w:cs="仿宋"/>
          <w:spacing w:val="6"/>
          <w:kern w:val="0"/>
          <w:sz w:val="29"/>
          <w:szCs w:val="29"/>
        </w:rPr>
      </w:pPr>
      <w:r>
        <w:rPr>
          <w:rFonts w:hint="eastAsia" w:ascii="仿宋" w:hAnsi="仿宋" w:eastAsia="仿宋" w:cs="仿宋"/>
          <w:spacing w:val="6"/>
          <w:kern w:val="0"/>
          <w:sz w:val="29"/>
          <w:szCs w:val="29"/>
        </w:rPr>
        <w:t>4、持续抓好‘三公经费’的管理和使用。</w:t>
      </w:r>
    </w:p>
    <w:p>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九、部门整体支出绩效自评结果拟应用和公开情况</w:t>
      </w:r>
    </w:p>
    <w:p>
      <w:pPr>
        <w:ind w:firstLine="640" w:firstLineChars="200"/>
        <w:jc w:val="left"/>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 w:hAnsi="仿宋" w:eastAsia="仿宋" w:cs="仿宋"/>
          <w:spacing w:val="6"/>
          <w:kern w:val="0"/>
          <w:sz w:val="29"/>
          <w:szCs w:val="29"/>
          <w:lang w:val="en-US" w:eastAsia="zh-CN"/>
        </w:rPr>
        <w:t>拟公开。</w:t>
      </w:r>
    </w:p>
    <w:p>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pPr>
        <w:jc w:val="left"/>
        <w:rPr>
          <w:rFonts w:ascii="仿宋_GB2312" w:hAnsi="仿宋_GB2312" w:eastAsia="仿宋_GB2312" w:cs="仿宋_GB2312"/>
          <w:color w:val="000000" w:themeColor="text1"/>
          <w:sz w:val="32"/>
          <w:szCs w:val="32"/>
          <w14:textFill>
            <w14:solidFill>
              <w14:schemeClr w14:val="tx1"/>
            </w14:solidFill>
          </w14:textFill>
        </w:rPr>
      </w:pPr>
    </w:p>
    <w:sectPr>
      <w:footerReference r:id="rId3" w:type="default"/>
      <w:pgSz w:w="11906" w:h="16838"/>
      <w:pgMar w:top="1701" w:right="1701" w:bottom="1701"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200247B" w:usb2="00000009" w:usb3="00000000" w:csb0="200001FF" w:csb1="00000000"/>
  </w:font>
  <w:font w:name="方正小标宋简体">
    <w:altName w:val="微软雅黑"/>
    <w:panose1 w:val="02000000000000000000"/>
    <w:charset w:val="86"/>
    <w:family w:val="script"/>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13</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8+2hAaAgAAIQQAAA4AAABkcnMvZTJvRG9jLnhtbK1TzY7TMBC+I/EO&#10;lu80aVFXVdV0VXZVhFSxKxXE2XXsxpLtsWy3SXkAeANOXLjzXH2OHTtNFwEnxMUee/6/+WZx2xlN&#10;jsIHBbai41FJibAcamX3Ff34Yf1qRkmIzNZMgxUVPYlAb5cvXyxaNxcTaEDXwhMMYsO8dRVtYnTz&#10;ogi8EYaFEThhUSnBGxbx6fdF7VmL0Y0uJmV5U7Tga+eBixDw975X0mWOL6Xg8UHKICLRFcXaYj59&#10;PnfpLJYLNt975hrFL2Wwf6jCMGUx6TXUPYuMHLz6I5RR3EMAGUccTAFSKi5yD9jNuPytm23DnMi9&#10;IDjBXWEK/y8sf3989ETVFZ1SYpnBEZ2/fT1//3n+8YVMEzytC3O02jq0i90b6HDMw3/Az9R1J71J&#10;N/ZDUI9An67gii4Snpxmk9msRBVH3fDA+MWzu/MhvhVgSBIq6nF6GVR23ITYmw4mKZuFtdI6T1Bb&#10;0lb05vW0zA5XDQbXNtmKzIVLmNRSX3qSYrfrLn3uoD5hmx56ngTH1wpL2bAQH5lHYmD5SPb4gIfU&#10;gCnhIlHSgP/8t/9kj/NCLSUtEq2iFjeBEv3O4hwTJwfBD8JuEOzB3AEyd4xL5HgW0cFHPYjSg/mE&#10;G7BKOVDFLMdMFY2DeBd7suMGcbFaZaOD82rf9A7IQsfixm4dT2kSVMGtDhGhzYgngHpUcFLpgTzM&#10;M7vsTCL6r+9s9bzZyy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zSVju0AAAAAUBAAAPAAAAAAAA&#10;AAEAIAAAACIAAABkcnMvZG93bnJldi54bWxQSwECFAAUAAAACACHTuJArz7aEBoCAAAhBAAADgAA&#10;AAAAAAABACAAAAAfAQAAZHJzL2Uyb0RvYy54bWxQSwUGAAAAAAYABgBZAQAAqwUAAAAA&#10;">
              <v:fill on="f" focussize="0,0"/>
              <v:stroke on="f" weight="0.5pt"/>
              <v:imagedata o:title=""/>
              <o:lock v:ext="edit" aspectratio="f"/>
              <v:textbox inset="0mm,0mm,0mm,0mm" style="mso-fit-shape-to-text:t;">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13</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F9C3EC9"/>
    <w:multiLevelType w:val="singleLevel"/>
    <w:tmpl w:val="8F9C3EC9"/>
    <w:lvl w:ilvl="0" w:tentative="0">
      <w:start w:val="3"/>
      <w:numFmt w:val="chineseCounting"/>
      <w:suff w:val="nothing"/>
      <w:lvlText w:val="%1、"/>
      <w:lvlJc w:val="left"/>
      <w:rPr>
        <w:rFonts w:hint="eastAsia"/>
      </w:rPr>
    </w:lvl>
  </w:abstractNum>
  <w:abstractNum w:abstractNumId="1">
    <w:nsid w:val="641BD68E"/>
    <w:multiLevelType w:val="singleLevel"/>
    <w:tmpl w:val="641BD68E"/>
    <w:lvl w:ilvl="0" w:tentative="0">
      <w:start w:val="2"/>
      <w:numFmt w:val="chineseCounting"/>
      <w:lvlText w:val="(%1)"/>
      <w:lvlJc w:val="left"/>
      <w:pPr>
        <w:tabs>
          <w:tab w:val="left" w:pos="312"/>
        </w:tabs>
      </w:pPr>
      <w:rPr>
        <w:rFonts w:hint="eastAsia"/>
      </w:rPr>
    </w:lvl>
  </w:abstractNum>
  <w:abstractNum w:abstractNumId="2">
    <w:nsid w:val="667508EF"/>
    <w:multiLevelType w:val="singleLevel"/>
    <w:tmpl w:val="667508EF"/>
    <w:lvl w:ilvl="0" w:tentative="0">
      <w:start w:val="1"/>
      <w:numFmt w:val="chineseCounting"/>
      <w:suff w:val="nothing"/>
      <w:lvlText w:val="%1、"/>
      <w:lvlJc w:val="left"/>
    </w:lvl>
  </w:abstractNum>
  <w:abstractNum w:abstractNumId="3">
    <w:nsid w:val="6760EF41"/>
    <w:multiLevelType w:val="singleLevel"/>
    <w:tmpl w:val="6760EF41"/>
    <w:lvl w:ilvl="0" w:tentative="0">
      <w:start w:val="8"/>
      <w:numFmt w:val="chineseCounting"/>
      <w:suff w:val="nothing"/>
      <w:lvlText w:val="%1、"/>
      <w:lvlJc w:val="left"/>
      <w:rPr>
        <w:rFonts w:hint="eastAsia"/>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3MGFjNTU5ZTI0YThjZDExZTA0NzdiNTU1MGE5ZjgifQ=="/>
  </w:docVars>
  <w:rsids>
    <w:rsidRoot w:val="53FC3987"/>
    <w:rsid w:val="000A3765"/>
    <w:rsid w:val="00121DA9"/>
    <w:rsid w:val="001D7282"/>
    <w:rsid w:val="002337B5"/>
    <w:rsid w:val="00243525"/>
    <w:rsid w:val="002E4454"/>
    <w:rsid w:val="00306DB4"/>
    <w:rsid w:val="0039081D"/>
    <w:rsid w:val="003B4AA4"/>
    <w:rsid w:val="0044419A"/>
    <w:rsid w:val="005A249F"/>
    <w:rsid w:val="005C7787"/>
    <w:rsid w:val="005E6ECB"/>
    <w:rsid w:val="00720C4F"/>
    <w:rsid w:val="00744EA1"/>
    <w:rsid w:val="00837214"/>
    <w:rsid w:val="009419CA"/>
    <w:rsid w:val="00955854"/>
    <w:rsid w:val="009C7330"/>
    <w:rsid w:val="00A00FBB"/>
    <w:rsid w:val="00B57169"/>
    <w:rsid w:val="00BF0721"/>
    <w:rsid w:val="00C03795"/>
    <w:rsid w:val="00CE3756"/>
    <w:rsid w:val="00D149E2"/>
    <w:rsid w:val="00D27A74"/>
    <w:rsid w:val="00DC2ED8"/>
    <w:rsid w:val="00DE3B48"/>
    <w:rsid w:val="00E32D5A"/>
    <w:rsid w:val="00E831C8"/>
    <w:rsid w:val="00EF287A"/>
    <w:rsid w:val="00F45526"/>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DC46A5"/>
    <w:rsid w:val="07E11DA2"/>
    <w:rsid w:val="07E40515"/>
    <w:rsid w:val="07E4574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9FC5ED3"/>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7968F4"/>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124C32"/>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DB7BAE"/>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C2FC1"/>
    <w:rsid w:val="10FE6AB1"/>
    <w:rsid w:val="1112624E"/>
    <w:rsid w:val="11153798"/>
    <w:rsid w:val="11297158"/>
    <w:rsid w:val="114B2C9B"/>
    <w:rsid w:val="115D78BB"/>
    <w:rsid w:val="116001E2"/>
    <w:rsid w:val="11650A7F"/>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73705"/>
    <w:rsid w:val="152E4EB1"/>
    <w:rsid w:val="153E3566"/>
    <w:rsid w:val="154034C3"/>
    <w:rsid w:val="156B6CDB"/>
    <w:rsid w:val="15726626"/>
    <w:rsid w:val="15756820"/>
    <w:rsid w:val="15820278"/>
    <w:rsid w:val="15914EE6"/>
    <w:rsid w:val="15A42FA4"/>
    <w:rsid w:val="15A6418F"/>
    <w:rsid w:val="15AA091B"/>
    <w:rsid w:val="15BC6BD3"/>
    <w:rsid w:val="15CF095E"/>
    <w:rsid w:val="15DA784E"/>
    <w:rsid w:val="15DB017B"/>
    <w:rsid w:val="15E6370B"/>
    <w:rsid w:val="15E835FB"/>
    <w:rsid w:val="15E84717"/>
    <w:rsid w:val="160F0091"/>
    <w:rsid w:val="16144614"/>
    <w:rsid w:val="16151569"/>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06959"/>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8478F"/>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5750A"/>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0E1F"/>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8E26A6"/>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50A9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1F0C93"/>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592BEE"/>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4FB428E"/>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20B21"/>
    <w:rsid w:val="40733CBA"/>
    <w:rsid w:val="407A4DF7"/>
    <w:rsid w:val="40B16CC2"/>
    <w:rsid w:val="40B81BAD"/>
    <w:rsid w:val="40BB2365"/>
    <w:rsid w:val="40D23962"/>
    <w:rsid w:val="40D61BC8"/>
    <w:rsid w:val="40DC4F1D"/>
    <w:rsid w:val="40DF2097"/>
    <w:rsid w:val="40E71ABD"/>
    <w:rsid w:val="40E741B6"/>
    <w:rsid w:val="4119047B"/>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2F85161"/>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42F39"/>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D31904"/>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4F11EF"/>
    <w:rsid w:val="4E50060E"/>
    <w:rsid w:val="4E534A5B"/>
    <w:rsid w:val="4E5C5562"/>
    <w:rsid w:val="4E5F69A8"/>
    <w:rsid w:val="4E643C7F"/>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40F57"/>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855BD"/>
    <w:rsid w:val="567B004B"/>
    <w:rsid w:val="56825178"/>
    <w:rsid w:val="568F784B"/>
    <w:rsid w:val="569C0124"/>
    <w:rsid w:val="56A17AE8"/>
    <w:rsid w:val="56C17B8A"/>
    <w:rsid w:val="56C9634D"/>
    <w:rsid w:val="56D41BE8"/>
    <w:rsid w:val="56EC7A5D"/>
    <w:rsid w:val="56F4599D"/>
    <w:rsid w:val="570D0322"/>
    <w:rsid w:val="57180ACE"/>
    <w:rsid w:val="571B61B6"/>
    <w:rsid w:val="57213E7D"/>
    <w:rsid w:val="5723561B"/>
    <w:rsid w:val="572362C9"/>
    <w:rsid w:val="572F37C6"/>
    <w:rsid w:val="5736629C"/>
    <w:rsid w:val="57540996"/>
    <w:rsid w:val="575C1292"/>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497C96"/>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C6103A"/>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5E4D25"/>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46703"/>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96533B"/>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0E1C78"/>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5150C"/>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26175"/>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20A2"/>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40AF4"/>
    <w:rsid w:val="69A84304"/>
    <w:rsid w:val="69B52A42"/>
    <w:rsid w:val="69B67148"/>
    <w:rsid w:val="69BE4DB3"/>
    <w:rsid w:val="69CF0E91"/>
    <w:rsid w:val="69CF0ED8"/>
    <w:rsid w:val="69D52B56"/>
    <w:rsid w:val="69D54DDD"/>
    <w:rsid w:val="69E028D2"/>
    <w:rsid w:val="69E874BD"/>
    <w:rsid w:val="69EF4C7A"/>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5B1DBA"/>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2215A"/>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42017"/>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386FFE"/>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8A0DA6"/>
    <w:rsid w:val="7FA8327A"/>
    <w:rsid w:val="7FB32EED"/>
    <w:rsid w:val="7FB6358D"/>
    <w:rsid w:val="7FE076F1"/>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unhideWhenUsed/>
    <w:qFormat/>
    <w:uiPriority w:val="1"/>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10"/>
    <w:qFormat/>
    <w:uiPriority w:val="0"/>
    <w:rPr>
      <w:sz w:val="18"/>
      <w:szCs w:val="18"/>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customStyle="1" w:styleId="9">
    <w:name w:val="Table Normal"/>
    <w:unhideWhenUsed/>
    <w:qFormat/>
    <w:uiPriority w:val="0"/>
    <w:tblPr>
      <w:tblLayout w:type="fixed"/>
      <w:tblCellMar>
        <w:top w:w="0" w:type="dxa"/>
        <w:left w:w="0" w:type="dxa"/>
        <w:bottom w:w="0" w:type="dxa"/>
        <w:right w:w="0" w:type="dxa"/>
      </w:tblCellMar>
    </w:tblPr>
  </w:style>
  <w:style w:type="character" w:customStyle="1" w:styleId="10">
    <w:name w:val="批注框文本 Char"/>
    <w:basedOn w:val="6"/>
    <w:link w:val="2"/>
    <w:qFormat/>
    <w:uiPriority w:val="0"/>
    <w:rPr>
      <w:kern w:val="2"/>
      <w:sz w:val="18"/>
      <w:szCs w:val="18"/>
    </w:rPr>
  </w:style>
  <w:style w:type="character" w:customStyle="1" w:styleId="11">
    <w:name w:val="font01"/>
    <w:basedOn w:val="6"/>
    <w:qFormat/>
    <w:uiPriority w:val="0"/>
    <w:rPr>
      <w:rFonts w:hint="eastAsia" w:ascii="仿宋" w:hAnsi="仿宋" w:eastAsia="仿宋" w:cs="仿宋"/>
      <w:color w:val="000000"/>
      <w:sz w:val="21"/>
      <w:szCs w:val="21"/>
      <w:u w:val="none"/>
    </w:rPr>
  </w:style>
  <w:style w:type="character" w:customStyle="1" w:styleId="12">
    <w:name w:val="font31"/>
    <w:basedOn w:val="6"/>
    <w:qFormat/>
    <w:uiPriority w:val="0"/>
    <w:rPr>
      <w:rFonts w:hint="eastAsia" w:ascii="仿宋" w:hAnsi="仿宋" w:eastAsia="仿宋" w:cs="仿宋"/>
      <w:color w:val="FF0000"/>
      <w:sz w:val="21"/>
      <w:szCs w:val="21"/>
      <w:u w:val="none"/>
    </w:rPr>
  </w:style>
  <w:style w:type="paragraph" w:customStyle="1" w:styleId="13">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Pages>
  <Words>6060</Words>
  <Characters>6998</Characters>
  <Lines>62</Lines>
  <Paragraphs>17</Paragraphs>
  <ScaleCrop>false</ScaleCrop>
  <LinksUpToDate>false</LinksUpToDate>
  <CharactersWithSpaces>7267</CharactersWithSpaces>
  <Application>WPS Office_10.8.0.5838_F1E327BC-269C-435d-A152-05C5408002CA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2023-06-15T08:07:00Z</dcterms:created>
  <dc:creator>新一天</dc:creator>
  <cp:lastModifiedBy>admin1</cp:lastModifiedBy>
  <cp:lastPrinted>2023-05-26T08:11:00Z</cp:lastPrinted>
  <dcterms:modified xsi:type="dcterms:W3CDTF">2024-09-14T03:00:28Z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2052-10.8.0.5838</vt:lpwstr>
  </property>
  <property fmtid="{D5CDD505-2E9C-101B-9397-08002B2CF9AE}" pid="3" name="ICV">
    <vt:lpwstr>3B4EEF19C1174B30926867C587278B26_13</vt:lpwstr>
  </property>
</Properties>
</file>