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/>
          <w:spacing w:val="0"/>
          <w:position w:val="0"/>
          <w:sz w:val="22"/>
          <w:szCs w:val="2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/>
          <w:spacing w:val="0"/>
          <w:position w:val="0"/>
          <w:sz w:val="22"/>
          <w:szCs w:val="2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/>
          <w:spacing w:val="0"/>
          <w:position w:val="0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pacing w:val="0"/>
          <w:position w:val="0"/>
          <w:sz w:val="44"/>
          <w:szCs w:val="44"/>
          <w:lang w:val="en-US" w:eastAsia="zh-CN"/>
        </w:rPr>
        <w:t>2023年度岳阳楼区东风湖新区建设工作部单位整体支出绩效自评报告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/>
          <w:spacing w:val="0"/>
          <w:position w:val="0"/>
          <w:sz w:val="22"/>
          <w:szCs w:val="2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/>
          <w:spacing w:val="0"/>
          <w:position w:val="0"/>
          <w:sz w:val="22"/>
          <w:szCs w:val="2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/>
          <w:spacing w:val="0"/>
          <w:position w:val="0"/>
          <w:sz w:val="22"/>
          <w:szCs w:val="2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/>
          <w:spacing w:val="0"/>
          <w:position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000000"/>
          <w:spacing w:val="0"/>
          <w:position w:val="0"/>
          <w:sz w:val="32"/>
          <w:szCs w:val="32"/>
          <w:lang w:val="en-US" w:eastAsia="zh-CN"/>
        </w:rPr>
        <w:t>单位基本情况</w:t>
      </w:r>
    </w:p>
    <w:p>
      <w:pPr>
        <w:widowControl/>
        <w:spacing w:line="600" w:lineRule="exact"/>
        <w:ind w:firstLine="643" w:firstLineChars="200"/>
        <w:rPr>
          <w:rFonts w:hint="eastAsia" w:ascii="仿宋" w:hAnsi="仿宋" w:eastAsia="仿宋" w:cs="仿宋_GB2312"/>
          <w:b/>
          <w:bCs/>
          <w:kern w:val="0"/>
          <w:sz w:val="32"/>
          <w:szCs w:val="32"/>
        </w:rPr>
      </w:pPr>
      <w:r>
        <w:rPr>
          <w:rFonts w:hint="eastAsia" w:ascii="仿宋" w:hAnsi="仿宋" w:eastAsia="仿宋" w:cs="仿宋_GB2312"/>
          <w:b/>
          <w:bCs/>
          <w:kern w:val="0"/>
          <w:sz w:val="32"/>
          <w:szCs w:val="32"/>
        </w:rPr>
        <w:t>（一）职能职责</w:t>
      </w:r>
    </w:p>
    <w:p>
      <w:pPr>
        <w:pStyle w:val="2"/>
        <w:ind w:firstLine="800" w:firstLineChars="250"/>
        <w:rPr>
          <w:rFonts w:hint="eastAsia" w:ascii="仿宋" w:hAnsi="仿宋" w:eastAsia="仿宋" w:cs="仿宋_GB2312"/>
          <w:kern w:val="0"/>
          <w:sz w:val="32"/>
          <w:szCs w:val="32"/>
        </w:rPr>
      </w:pPr>
      <w:r>
        <w:rPr>
          <w:rFonts w:hint="eastAsia" w:ascii="仿宋" w:hAnsi="仿宋" w:eastAsia="仿宋" w:cs="仿宋_GB2312"/>
          <w:kern w:val="0"/>
          <w:sz w:val="32"/>
          <w:szCs w:val="32"/>
        </w:rPr>
        <w:t>负责做好东风湖新区范围内的拆迁、控违和涉及地方事务协调等工作的区政府直属公益一类事业单位。</w:t>
      </w:r>
    </w:p>
    <w:p>
      <w:pPr>
        <w:widowControl/>
        <w:spacing w:line="600" w:lineRule="exact"/>
        <w:ind w:firstLine="643" w:firstLineChars="200"/>
        <w:rPr>
          <w:rFonts w:hint="eastAsia" w:ascii="仿宋" w:hAnsi="仿宋" w:eastAsia="仿宋" w:cs="仿宋_GB2312"/>
          <w:b/>
          <w:bCs/>
          <w:kern w:val="0"/>
          <w:sz w:val="32"/>
          <w:szCs w:val="32"/>
        </w:rPr>
      </w:pPr>
      <w:r>
        <w:rPr>
          <w:rFonts w:hint="eastAsia" w:ascii="仿宋" w:hAnsi="仿宋" w:eastAsia="仿宋" w:cs="仿宋_GB2312"/>
          <w:b/>
          <w:bCs/>
          <w:kern w:val="0"/>
          <w:sz w:val="32"/>
          <w:szCs w:val="32"/>
        </w:rPr>
        <w:t>（二）机构设置</w:t>
      </w:r>
    </w:p>
    <w:p>
      <w:pPr>
        <w:spacing w:line="440" w:lineRule="exact"/>
        <w:ind w:firstLine="560" w:firstLineChars="200"/>
        <w:rPr>
          <w:rFonts w:eastAsia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28"/>
          <w:szCs w:val="28"/>
        </w:rPr>
        <w:t>现</w:t>
      </w:r>
      <w:r>
        <w:rPr>
          <w:rFonts w:hint="eastAsia" w:ascii="仿宋" w:hAnsi="仿宋" w:eastAsia="仿宋" w:cs="仿宋_GB2312"/>
          <w:kern w:val="0"/>
          <w:sz w:val="32"/>
          <w:szCs w:val="32"/>
        </w:rPr>
        <w:t>现有人数</w:t>
      </w:r>
      <w:r>
        <w:rPr>
          <w:rFonts w:hint="eastAsia" w:ascii="仿宋" w:hAnsi="仿宋" w:eastAsia="仿宋" w:cs="仿宋_GB2312"/>
          <w:kern w:val="0"/>
          <w:sz w:val="32"/>
          <w:szCs w:val="32"/>
          <w:lang w:val="en-US" w:eastAsia="zh-CN"/>
        </w:rPr>
        <w:t>7</w:t>
      </w:r>
      <w:r>
        <w:rPr>
          <w:rFonts w:hint="eastAsia" w:ascii="仿宋" w:hAnsi="仿宋" w:eastAsia="仿宋" w:cs="仿宋_GB2312"/>
          <w:kern w:val="0"/>
          <w:sz w:val="32"/>
          <w:szCs w:val="32"/>
        </w:rPr>
        <w:t>人，其中：在职编制</w:t>
      </w:r>
      <w:r>
        <w:rPr>
          <w:rFonts w:hint="eastAsia" w:ascii="仿宋" w:hAnsi="仿宋" w:eastAsia="仿宋" w:cs="仿宋_GB2312"/>
          <w:kern w:val="0"/>
          <w:sz w:val="32"/>
          <w:szCs w:val="32"/>
          <w:lang w:val="en-US" w:eastAsia="zh-CN"/>
        </w:rPr>
        <w:t>5</w:t>
      </w:r>
      <w:r>
        <w:rPr>
          <w:rFonts w:hint="eastAsia" w:ascii="仿宋" w:hAnsi="仿宋" w:eastAsia="仿宋" w:cs="仿宋_GB2312"/>
          <w:kern w:val="0"/>
          <w:sz w:val="32"/>
          <w:szCs w:val="32"/>
        </w:rPr>
        <w:t>人。机关设置3个股室：办公室、业务股、协调股</w:t>
      </w:r>
      <w:r>
        <w:rPr>
          <w:rFonts w:hint="eastAsia" w:ascii="___WRD_EMBED_SUB_38" w:hAnsi="___WRD_EMBED_SUB_38" w:eastAsia="___WRD_EMBED_SUB_38" w:cs="___WRD_EMBED_SUB_38"/>
          <w:bCs/>
          <w:sz w:val="28"/>
          <w:szCs w:val="28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/>
        <w:jc w:val="left"/>
        <w:textAlignment w:val="auto"/>
        <w:rPr>
          <w:rFonts w:hint="eastAsia" w:ascii="黑体" w:hAnsi="黑体" w:eastAsia="黑体" w:cs="黑体"/>
          <w:color w:val="000000"/>
          <w:spacing w:val="0"/>
          <w:positio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/>
          <w:spacing w:val="0"/>
          <w:position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000000"/>
          <w:spacing w:val="0"/>
          <w:position w:val="0"/>
          <w:sz w:val="32"/>
          <w:szCs w:val="32"/>
          <w:lang w:val="en-US" w:eastAsia="zh-CN"/>
        </w:rPr>
        <w:t>二、一般公共预算支出情况</w:t>
      </w:r>
    </w:p>
    <w:p>
      <w:pPr>
        <w:spacing w:line="560" w:lineRule="exact"/>
        <w:ind w:firstLine="643" w:firstLineChars="200"/>
        <w:rPr>
          <w:rFonts w:hint="eastAsia" w:ascii="仿宋_GB2312" w:hAnsi="仿宋_GB2312" w:eastAsia="仿宋_GB2312" w:cs="仿宋_GB2312"/>
          <w:bCs/>
          <w:sz w:val="28"/>
          <w:szCs w:val="28"/>
        </w:rPr>
      </w:pPr>
      <w:r>
        <w:rPr>
          <w:rFonts w:hint="eastAsia" w:ascii="楷体_GB2312" w:hAnsi="楷体_GB2312" w:eastAsia="楷体_GB2312" w:cs="楷体_GB2312"/>
          <w:b/>
          <w:bCs/>
          <w:color w:val="000000"/>
          <w:spacing w:val="0"/>
          <w:position w:val="0"/>
          <w:sz w:val="32"/>
          <w:szCs w:val="32"/>
          <w:lang w:val="en-US" w:eastAsia="zh-CN"/>
        </w:rPr>
        <w:t>(一)基本支出情况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20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  <w:t>23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年保障单位机构正常运转、完成日常工作任务而发生的各项支出为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113.58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万元，包括人员基本工资、津贴补贴等人员经费以及办公费、印刷费、水电费、办公设备购置等。</w:t>
      </w:r>
    </w:p>
    <w:p>
      <w:pPr>
        <w:numPr>
          <w:ilvl w:val="0"/>
          <w:numId w:val="0"/>
        </w:numPr>
        <w:spacing w:line="560" w:lineRule="exact"/>
        <w:ind w:firstLine="643" w:firstLineChars="200"/>
        <w:rPr>
          <w:rFonts w:hint="eastAsia" w:ascii="仿宋_GB2312" w:hAnsi="仿宋_GB2312" w:eastAsia="仿宋_GB2312" w:cs="仿宋_GB2312"/>
          <w:bCs/>
          <w:sz w:val="28"/>
          <w:szCs w:val="28"/>
        </w:rPr>
      </w:pPr>
      <w:r>
        <w:rPr>
          <w:rFonts w:hint="eastAsia" w:ascii="楷体_GB2312" w:hAnsi="楷体_GB2312" w:eastAsia="楷体_GB2312" w:cs="楷体_GB2312"/>
          <w:b/>
          <w:bCs/>
          <w:color w:val="000000"/>
          <w:spacing w:val="0"/>
          <w:position w:val="0"/>
          <w:sz w:val="32"/>
          <w:szCs w:val="32"/>
          <w:lang w:val="en-US" w:eastAsia="zh-CN"/>
        </w:rPr>
        <w:t>(二)项目支出情况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楷体_GB2312" w:hAnsi="楷体_GB2312" w:eastAsia="楷体_GB2312" w:cs="楷体_GB2312"/>
          <w:b/>
          <w:bCs/>
          <w:color w:val="000000"/>
          <w:spacing w:val="0"/>
          <w:positio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20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  <w:t>23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年本单位无专项支出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3" w:firstLineChars="200"/>
        <w:jc w:val="left"/>
        <w:textAlignment w:val="auto"/>
        <w:rPr>
          <w:rFonts w:hint="eastAsia" w:ascii="楷体_GB2312" w:hAnsi="楷体_GB2312" w:eastAsia="楷体_GB2312" w:cs="楷体_GB2312"/>
          <w:b/>
          <w:bCs/>
          <w:color w:val="000000"/>
          <w:spacing w:val="0"/>
          <w:positio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黑体" w:hAnsi="黑体" w:eastAsia="黑体" w:cs="黑体"/>
          <w:color w:val="000000"/>
          <w:spacing w:val="0"/>
          <w:position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000000"/>
          <w:spacing w:val="0"/>
          <w:position w:val="0"/>
          <w:sz w:val="32"/>
          <w:szCs w:val="32"/>
          <w:lang w:val="en-US" w:eastAsia="zh-CN"/>
        </w:rPr>
        <w:t>三、政府性基金预算支出情况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 w:firstLine="960" w:firstLineChars="300"/>
        <w:jc w:val="left"/>
        <w:textAlignment w:val="auto"/>
        <w:rPr>
          <w:rFonts w:hint="default" w:ascii="仿宋_GB2312" w:hAnsi="仿宋_GB2312" w:eastAsia="仿宋_GB2312" w:cs="仿宋_GB2312"/>
          <w:bCs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20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  <w:t>23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年本单位无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  <w:t>政府性基金预算支出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黑体" w:hAnsi="黑体" w:eastAsia="黑体" w:cs="黑体"/>
          <w:color w:val="000000"/>
          <w:spacing w:val="0"/>
          <w:position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000000"/>
          <w:spacing w:val="0"/>
          <w:position w:val="0"/>
          <w:sz w:val="32"/>
          <w:szCs w:val="32"/>
          <w:lang w:val="en-US" w:eastAsia="zh-CN"/>
        </w:rPr>
        <w:t>四、国有资本经营预算支出情况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 w:firstLine="960" w:firstLineChars="300"/>
        <w:jc w:val="left"/>
        <w:textAlignment w:val="auto"/>
        <w:rPr>
          <w:rFonts w:hint="eastAsia" w:ascii="仿宋_GB2312" w:hAnsi="仿宋_GB2312" w:eastAsia="仿宋_GB2312" w:cs="仿宋_GB2312"/>
          <w:bCs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20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  <w:t>23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年本单位无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  <w:t>国有资本经营预算支出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黑体" w:hAnsi="黑体" w:eastAsia="黑体" w:cs="黑体"/>
          <w:color w:val="000000"/>
          <w:spacing w:val="0"/>
          <w:position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000000"/>
          <w:spacing w:val="0"/>
          <w:position w:val="0"/>
          <w:sz w:val="32"/>
          <w:szCs w:val="32"/>
          <w:lang w:val="en-US" w:eastAsia="zh-CN"/>
        </w:rPr>
        <w:t>五、社会保险基金预算支出情况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 w:firstLine="960" w:firstLineChars="300"/>
        <w:jc w:val="left"/>
        <w:textAlignment w:val="auto"/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20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  <w:t>23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年本单位无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  <w:t>社会保险基金预算支出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/>
          <w:spacing w:val="0"/>
          <w:position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000000"/>
          <w:spacing w:val="0"/>
          <w:position w:val="0"/>
          <w:sz w:val="32"/>
          <w:szCs w:val="32"/>
          <w:lang w:val="en-US" w:eastAsia="zh-CN"/>
        </w:rPr>
        <w:t>六、部门整体支出绩效情况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Cs/>
          <w:kern w:val="2"/>
          <w:sz w:val="32"/>
          <w:szCs w:val="32"/>
          <w:lang w:val="en-US" w:eastAsia="zh-CN" w:bidi="ar-SA"/>
        </w:rPr>
        <w:t>经济性分析：2023年本单位支出总额控制在预算总额以内，本单位预算资金均按规定管理使用，本着控制成本，合理开支，厉行节约的原则，开展了一系列工作和活动。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Cs/>
          <w:kern w:val="2"/>
          <w:sz w:val="32"/>
          <w:szCs w:val="32"/>
          <w:lang w:val="en-US" w:eastAsia="zh-CN" w:bidi="ar-SA"/>
        </w:rPr>
        <w:t>效率性分析：2023年本单位按照时效目标完成持续创优产业建设项目服务，督促落实环境治理工程征拆，协调推进绿化景观带及道路建设，高效保障新区开发建设各项工作顺利推进。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Cs/>
          <w:kern w:val="2"/>
          <w:sz w:val="32"/>
          <w:szCs w:val="32"/>
          <w:lang w:val="en-US" w:eastAsia="zh-CN" w:bidi="ar-SA"/>
        </w:rPr>
        <w:t>有效性分析：加快推进重点项目建设对我区经济社会发展具有重要的引领、带动和辐射作用。项目推进方面：今年来，工作部坚持“产业优先、项目为王”的理念，明确推进项目建设是打造“首善之区”的迫切需要，坚持目标导向、问题导向、结果导向，进一步增强责任感、使命感和紧迫感，主动服务配合，加强沟通衔接，积极有效推动，切实解决好项目建设中存在的“急难愁盼”等难题，确保重点项目建设目标任务按时保质保量完成。目前，己内酰胺征收拆迁项目正在采取分片征收的方式，征收治理开发同步推进；“守护好一江碧水”展陈馆已建设完成并投入使用；宝德东堤湾A地块四期洋房因项目施工所需，借用东风湖生态公园绿化用地得到有效解决；岳阳市东风湖流域水生态修复工程（一期）EPC 总承包项目正稳步推进中。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Cs/>
          <w:kern w:val="2"/>
          <w:sz w:val="32"/>
          <w:szCs w:val="32"/>
          <w:lang w:val="en-US" w:eastAsia="zh-CN" w:bidi="ar-SA"/>
        </w:rPr>
        <w:t>环境整治方面：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bCs/>
          <w:kern w:val="2"/>
          <w:sz w:val="32"/>
          <w:szCs w:val="32"/>
          <w:lang w:val="en-US" w:eastAsia="zh-CN" w:bidi="ar-SA"/>
        </w:rPr>
        <w:t>我工作部始终牢固树立“绿水青山就是金山银山”理念，扛牢“守护好一江碧水”的政治责任，围绕“河畅、水清、岸绿、景美”的总体目标，始终把握“问题导向，精准施策”这个关键点，有力推动了东风湖生态环境治理升级工作。今年来，我工作部组织开展巡湖5次，持续加压推动面源污染防控工作常态化；协调配合东风湖公园运营管理公司，及时处理了水面保洁不到位、存在钓鱼等问题，推动东风湖蓝藻爆发后清理打捞整治等工作；协调处理三峡集团因施工失误，导致德胜北路污水管网破裂，污水溢流问题；对吉家湖水葫芦未清理问题进行了交办和整治。协调配合开展了团区委组织的“保护生态环境、提升生活品质”学习活动，区网信办开展的“网友看楼区、碧水展新姿”网友参观活动和湘潭大学“三湘四水，五年蝶变”青马工程卓越班赴岳暑期实践团学习调研，国家教育部思政课教师研修班调研以及岳阳开放大学在东风湖拍摄“一江碧水系列精品课程”宣传片等活动6次；同时，对破坏东风湖水环境的违法行为及时向社会公开，加强社会监督，扩大治理效果，推动我区生态文明建设再上新台阶。</w:t>
      </w:r>
    </w:p>
    <w:p>
      <w:pPr>
        <w:spacing w:line="560" w:lineRule="exact"/>
        <w:ind w:firstLine="640" w:firstLineChars="200"/>
        <w:rPr>
          <w:rFonts w:hint="default" w:ascii="仿宋_GB2312" w:hAnsi="仿宋_GB2312" w:eastAsia="仿宋_GB2312" w:cs="仿宋_GB2312"/>
          <w:bCs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Cs/>
          <w:kern w:val="2"/>
          <w:sz w:val="32"/>
          <w:szCs w:val="32"/>
          <w:lang w:val="en-US" w:eastAsia="zh-CN" w:bidi="ar-SA"/>
        </w:rPr>
        <w:t>优化营商环境方面：工作部牢固树立“企业发展我发展，我与企业共繁荣”的理念，把“让群众办事不求人，企业办事更便捷”作为工作目标，采取多种措施，加强营商环境建设。一是主动走访调研企业，现场“把脉问诊”，为企业“送政策、解难题、优服务” 协助企业解决融资、用工、用能及要素保障等实际问题，推动企业稳产扩销，帮助困难企业渡过难关；二是严格落实“六联六包”责任制和《岳阳市优化营商环境100条》，积极宣传“只进一门、一窗办理、最多跑一次”改革，实行联办联动，让企业放心投资、舒心经营、安心发展。三是深入开展“湘商回归”活动，打好“乡音”“乡情”牌，激活乡友资源“一池春水”，汇集乡友之智、凝聚乡友之力助推家乡发展。</w:t>
      </w:r>
    </w:p>
    <w:p>
      <w:pPr>
        <w:spacing w:line="400" w:lineRule="exact"/>
        <w:ind w:firstLine="640" w:firstLineChars="200"/>
        <w:rPr>
          <w:rFonts w:hint="eastAsia" w:ascii="黑体" w:hAnsi="黑体" w:eastAsia="黑体" w:cs="黑体"/>
          <w:color w:val="000000"/>
          <w:spacing w:val="0"/>
          <w:position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000000"/>
          <w:spacing w:val="0"/>
          <w:position w:val="0"/>
          <w:sz w:val="32"/>
          <w:szCs w:val="32"/>
          <w:lang w:val="en-US" w:eastAsia="zh-CN"/>
        </w:rPr>
        <w:t>七、存在的问题及原因分析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 w:val="0"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center"/>
        <w:outlineLvl w:val="9"/>
        <w:rPr>
          <w:rFonts w:hint="eastAsia" w:ascii="仿宋_GB2312" w:hAnsi="仿宋_GB2312" w:eastAsia="仿宋_GB2312" w:cs="仿宋_GB2312"/>
          <w:bCs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Cs/>
          <w:kern w:val="2"/>
          <w:sz w:val="32"/>
          <w:szCs w:val="32"/>
          <w:lang w:val="en-US" w:eastAsia="zh-CN" w:bidi="ar-SA"/>
        </w:rPr>
        <w:t>主要存在问题财务管理方面的内部制度需进一步完善，财务人员业务水平需进一步提升，预算根据可预见的工作任务编制，确定了部门年度预算目标，细化了预算指标，但因实际工作中有改动，未能严格按照预算执行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bCs/>
          <w:kern w:val="2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color w:val="000000"/>
          <w:spacing w:val="0"/>
          <w:position w:val="0"/>
          <w:sz w:val="32"/>
          <w:szCs w:val="32"/>
          <w:lang w:val="en-US" w:eastAsia="zh-CN"/>
        </w:rPr>
        <w:t>下一步改进措施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 w:val="0"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center"/>
        <w:outlineLvl w:val="9"/>
        <w:rPr>
          <w:rFonts w:hint="eastAsia" w:ascii="仿宋_GB2312" w:hAnsi="仿宋_GB2312" w:eastAsia="仿宋_GB2312" w:cs="仿宋_GB2312"/>
          <w:bCs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Cs/>
          <w:kern w:val="2"/>
          <w:sz w:val="32"/>
          <w:szCs w:val="32"/>
          <w:lang w:val="en-US" w:eastAsia="zh-CN" w:bidi="ar-SA"/>
        </w:rPr>
        <w:t>一是加强财务人员的业务培训和能力提升。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 w:val="0"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center"/>
        <w:outlineLvl w:val="9"/>
        <w:rPr>
          <w:rFonts w:hint="eastAsia" w:ascii="仿宋_GB2312" w:hAnsi="仿宋_GB2312" w:eastAsia="仿宋_GB2312" w:cs="仿宋_GB2312"/>
          <w:bCs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Cs/>
          <w:kern w:val="2"/>
          <w:sz w:val="32"/>
          <w:szCs w:val="32"/>
          <w:lang w:val="en-US" w:eastAsia="zh-CN" w:bidi="ar-SA"/>
        </w:rPr>
        <w:t>二是进一步提升预算编制的科学性、合理性、严谨性和可控性。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/>
          <w:spacing w:val="0"/>
          <w:position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000000"/>
          <w:spacing w:val="0"/>
          <w:position w:val="0"/>
          <w:sz w:val="32"/>
          <w:szCs w:val="32"/>
          <w:lang w:val="en-US" w:eastAsia="zh-CN"/>
        </w:rPr>
        <w:t>九、部门整体支出绩效自评结果拟应用和公开情况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 w:val="0"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center"/>
        <w:outlineLvl w:val="9"/>
        <w:rPr>
          <w:rFonts w:hint="eastAsia" w:ascii="仿宋_GB2312" w:hAnsi="仿宋_GB2312" w:eastAsia="仿宋_GB2312" w:cs="仿宋_GB2312"/>
          <w:bCs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Cs/>
          <w:kern w:val="2"/>
          <w:sz w:val="32"/>
          <w:szCs w:val="32"/>
          <w:lang w:val="en-US" w:eastAsia="zh-CN" w:bidi="ar-SA"/>
        </w:rPr>
        <w:t>无其他需要说明的情况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___WRD_EMBED_SUB_38">
    <w:altName w:val="宋体"/>
    <w:panose1 w:val="02010600030101010101"/>
    <w:charset w:val="86"/>
    <w:family w:val="modern"/>
    <w:pitch w:val="default"/>
    <w:sig w:usb0="00000000" w:usb1="00000000" w:usb2="00000000" w:usb3="00000000" w:csb0="00040001" w:csb1="00000000"/>
  </w:font>
  <w:font w:name="Segoe UI Symbol">
    <w:panose1 w:val="020B0502040204020203"/>
    <w:charset w:val="00"/>
    <w:family w:val="swiss"/>
    <w:pitch w:val="default"/>
    <w:sig w:usb0="800001E3" w:usb1="1200FFEF" w:usb2="00040000" w:usb3="04000000" w:csb0="00000001" w:csb1="40000000"/>
  </w:font>
  <w:font w:name="Arial Unicode MS">
    <w:altName w:val="宋体"/>
    <w:panose1 w:val="020B0604020202020204"/>
    <w:charset w:val="86"/>
    <w:family w:val="auto"/>
    <w:pitch w:val="default"/>
    <w:sig w:usb0="00000000" w:usb1="00000000" w:usb2="0000003F" w:usb3="00000000" w:csb0="603F01FF" w:csb1="FFFF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Segoe UI">
    <w:panose1 w:val="020B0502040204020203"/>
    <w:charset w:val="00"/>
    <w:family w:val="swiss"/>
    <w:pitch w:val="default"/>
    <w:sig w:usb0="E4002EFF" w:usb1="C000E47F" w:usb2="00000009" w:usb3="00000000" w:csb0="200001F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EED5BB84"/>
    <w:multiLevelType w:val="singleLevel"/>
    <w:tmpl w:val="EED5BB84"/>
    <w:lvl w:ilvl="0" w:tentative="0">
      <w:start w:val="8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24935CFE"/>
    <w:multiLevelType w:val="singleLevel"/>
    <w:tmpl w:val="24935CFE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2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5426AA7"/>
    <w:rsid w:val="1D1F4C61"/>
    <w:rsid w:val="290821CB"/>
    <w:rsid w:val="35426AA7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qFormat="1"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a heading"/>
    <w:basedOn w:val="1"/>
    <w:next w:val="1"/>
    <w:qFormat/>
    <w:uiPriority w:val="0"/>
    <w:pPr>
      <w:spacing w:before="120" w:after="200" w:line="276" w:lineRule="auto"/>
    </w:pPr>
    <w:rPr>
      <w:rFonts w:ascii="Arial" w:hAnsi="Arial"/>
      <w:sz w:val="24"/>
    </w:rPr>
  </w:style>
  <w:style w:type="paragraph" w:styleId="3">
    <w:name w:val="Normal (Web)"/>
    <w:basedOn w:val="1"/>
    <w:uiPriority w:val="0"/>
    <w:pPr>
      <w:widowControl/>
      <w:spacing w:before="100" w:beforeAutospacing="1" w:after="100" w:afterAutospacing="1" w:line="240" w:lineRule="auto"/>
      <w:jc w:val="left"/>
    </w:pPr>
    <w:rPr>
      <w:rFonts w:ascii="宋体" w:hAnsi="宋体" w:eastAsia="宋体" w:cs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Office_10.8.0.5838_F1E327BC-269C-435d-A152-05C5408002CA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2024-05-28T09:11:00Z</dcterms:created>
  <dc:creator>wjh</dc:creator>
  <cp:lastModifiedBy>Administrator</cp:lastModifiedBy>
  <dcterms:modified xsi:type="dcterms:W3CDTF">2024-08-05T03:59:16Z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2052-10.8.0.5838</vt:lpwstr>
  </property>
</Properties>
</file>